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68D2A" w14:textId="3B905B7D" w:rsidR="0012063E" w:rsidRDefault="00B85842" w:rsidP="009F0C91">
      <w:pPr>
        <w:pStyle w:val="1-MainHeading"/>
        <w:spacing w:before="240" w:after="0"/>
        <w:ind w:right="-187"/>
        <w:jc w:val="both"/>
      </w:pPr>
      <w:bookmarkStart w:id="0" w:name="_Toc209023168"/>
      <w:bookmarkStart w:id="1" w:name="_Toc209021273"/>
      <w:r>
        <w:t>6</w:t>
      </w:r>
      <w:r w:rsidR="00433044" w:rsidRPr="00DF1914">
        <w:t>.</w:t>
      </w:r>
      <w:r>
        <w:t>02</w:t>
      </w:r>
      <w:r w:rsidR="00163F66" w:rsidRPr="00DF1914">
        <w:tab/>
      </w:r>
      <w:r w:rsidR="00344C9C" w:rsidRPr="00DF1914">
        <w:t>DURVALUMAB</w:t>
      </w:r>
      <w:r w:rsidR="00163F66" w:rsidRPr="00DF1914">
        <w:t>,</w:t>
      </w:r>
      <w:r w:rsidR="00163F66" w:rsidRPr="00DF1914">
        <w:br/>
      </w:r>
      <w:r w:rsidR="0012063E">
        <w:t>S</w:t>
      </w:r>
      <w:r w:rsidR="00344C9C" w:rsidRPr="00DF1914">
        <w:t>olution concentrate for I.V. infusion, 120 mg in</w:t>
      </w:r>
      <w:r w:rsidR="009F0C91">
        <w:t xml:space="preserve"> </w:t>
      </w:r>
      <w:r w:rsidR="00344C9C" w:rsidRPr="00DF1914">
        <w:t>2.4</w:t>
      </w:r>
      <w:r w:rsidR="00F55BB8">
        <w:t> </w:t>
      </w:r>
      <w:r w:rsidR="00344C9C" w:rsidRPr="00DF1914">
        <w:t>mL</w:t>
      </w:r>
      <w:r w:rsidR="00163F66" w:rsidRPr="00DF1914">
        <w:t>,</w:t>
      </w:r>
      <w:bookmarkEnd w:id="0"/>
      <w:r w:rsidR="00344C9C" w:rsidRPr="00DF1914">
        <w:t xml:space="preserve"> </w:t>
      </w:r>
    </w:p>
    <w:p w14:paraId="494ACA75" w14:textId="77777777" w:rsidR="00A177D7" w:rsidRPr="00004D5B" w:rsidRDefault="0012063E" w:rsidP="00004D5B">
      <w:pPr>
        <w:pStyle w:val="1-MainHeading"/>
        <w:spacing w:before="0"/>
        <w:ind w:left="709" w:right="-187" w:firstLine="0"/>
      </w:pPr>
      <w:bookmarkStart w:id="2" w:name="_Toc209023169"/>
      <w:r>
        <w:t>S</w:t>
      </w:r>
      <w:r w:rsidR="00344C9C" w:rsidRPr="00DF1914">
        <w:t>olution concentrate for I.V. infusion, 500 mg in 10 mL,</w:t>
      </w:r>
      <w:r w:rsidR="00163F66" w:rsidRPr="00DF1914">
        <w:br/>
      </w:r>
      <w:r w:rsidR="00344C9C" w:rsidRPr="00DF1914">
        <w:t>Imfinizi</w:t>
      </w:r>
      <w:r w:rsidR="00B60939" w:rsidRPr="00DF1914">
        <w:rPr>
          <w:vertAlign w:val="superscript"/>
        </w:rPr>
        <w:t>®</w:t>
      </w:r>
      <w:r w:rsidR="004A6040" w:rsidRPr="00DF1914">
        <w:t>,</w:t>
      </w:r>
      <w:r w:rsidR="004A6040" w:rsidRPr="00DF1914">
        <w:br/>
      </w:r>
      <w:r w:rsidR="00344C9C" w:rsidRPr="00DF1914">
        <w:t>Astra</w:t>
      </w:r>
      <w:r w:rsidR="005E4EDB">
        <w:t>Z</w:t>
      </w:r>
      <w:r w:rsidR="00344C9C" w:rsidRPr="00DF1914">
        <w:t>eneca Pty Ltd</w:t>
      </w:r>
      <w:r w:rsidR="00B60939" w:rsidRPr="00DF1914">
        <w:t>.</w:t>
      </w:r>
      <w:bookmarkEnd w:id="1"/>
      <w:bookmarkEnd w:id="2"/>
    </w:p>
    <w:p w14:paraId="11C00795" w14:textId="2094E1FD" w:rsidR="00B50DB8" w:rsidRPr="00DF1914" w:rsidRDefault="00B50DB8" w:rsidP="004A6040">
      <w:pPr>
        <w:pStyle w:val="2-SectionHeading"/>
      </w:pPr>
      <w:bookmarkStart w:id="3" w:name="_Toc209021275"/>
      <w:bookmarkStart w:id="4" w:name="_Toc209023171"/>
      <w:r w:rsidRPr="00DF1914">
        <w:t xml:space="preserve">Purpose of </w:t>
      </w:r>
      <w:r w:rsidR="00CD7193" w:rsidRPr="00DF1914">
        <w:t>s</w:t>
      </w:r>
      <w:r w:rsidR="00BB3A45" w:rsidRPr="00DF1914">
        <w:t>ubmission</w:t>
      </w:r>
      <w:bookmarkEnd w:id="3"/>
      <w:bookmarkEnd w:id="4"/>
    </w:p>
    <w:p w14:paraId="5DB902AB" w14:textId="73FD7F30" w:rsidR="00E073E8" w:rsidRPr="00DF1914" w:rsidRDefault="00E073E8" w:rsidP="00E073E8">
      <w:pPr>
        <w:pStyle w:val="3-BodyText"/>
      </w:pPr>
      <w:r w:rsidRPr="00542D90">
        <w:t>The</w:t>
      </w:r>
      <w:r w:rsidR="009F685B">
        <w:t xml:space="preserve"> Category 2</w:t>
      </w:r>
      <w:r w:rsidRPr="00542D90">
        <w:t xml:space="preserve"> submission requested a Section 100 (Efficient Funding of Chemotherapy [EFC] Program) listing for durvalumab for the perioperative treatment (i.e. </w:t>
      </w:r>
      <w:r>
        <w:t xml:space="preserve">both </w:t>
      </w:r>
      <w:r w:rsidRPr="00542D90">
        <w:t>before and after surgery) of patients with muscle-invasive bladder cancer (MIBC) who are planning to undergo radical cystectomy (RC) and are eligible for cisplatin-based neoadjuvant chemotherapy (NAC)</w:t>
      </w:r>
      <w:r>
        <w:rPr>
          <w:rStyle w:val="FootnoteReference"/>
        </w:rPr>
        <w:footnoteReference w:id="1"/>
      </w:r>
      <w:r>
        <w:t xml:space="preserve">. </w:t>
      </w:r>
    </w:p>
    <w:p w14:paraId="23ADF104" w14:textId="33A0463B" w:rsidR="001D3C8B" w:rsidRDefault="00E073E8" w:rsidP="002630A0">
      <w:pPr>
        <w:pStyle w:val="3-BodyText"/>
        <w:keepNext/>
        <w:keepLines/>
        <w:spacing w:after="0"/>
      </w:pPr>
      <w:bookmarkStart w:id="5" w:name="_Ref211953542"/>
      <w:bookmarkStart w:id="6" w:name="_Ref205664031"/>
      <w:r w:rsidRPr="00DF1914">
        <w:t xml:space="preserve">Listing was requested on the basis of a cost-utility analysis </w:t>
      </w:r>
      <w:r>
        <w:t>of</w:t>
      </w:r>
      <w:r w:rsidR="006B4C54">
        <w:t>:</w:t>
      </w:r>
      <w:bookmarkEnd w:id="5"/>
      <w:bookmarkEnd w:id="6"/>
    </w:p>
    <w:p w14:paraId="62C6BE36" w14:textId="1C062130" w:rsidR="007B59BB" w:rsidRDefault="0055091B" w:rsidP="00C12D36">
      <w:pPr>
        <w:pStyle w:val="3-BodyText"/>
        <w:keepNext/>
        <w:keepLines/>
        <w:numPr>
          <w:ilvl w:val="0"/>
          <w:numId w:val="21"/>
        </w:numPr>
        <w:spacing w:before="0"/>
        <w:ind w:left="993" w:hanging="284"/>
      </w:pPr>
      <w:r w:rsidRPr="00367355">
        <w:rPr>
          <w:iCs/>
        </w:rPr>
        <w:t>Perioperative durvalumab</w:t>
      </w:r>
      <w:r>
        <w:t xml:space="preserve">: </w:t>
      </w:r>
      <w:r w:rsidR="007B59BB">
        <w:t xml:space="preserve">neoadjuvant durvalumab </w:t>
      </w:r>
      <w:r w:rsidR="008861C4">
        <w:t>in combination with NAC</w:t>
      </w:r>
      <w:r w:rsidR="007B59BB">
        <w:t xml:space="preserve"> [and RC] followed by adjuvant durvalumab </w:t>
      </w:r>
      <w:r w:rsidR="00F415E9">
        <w:t>monotherapy</w:t>
      </w:r>
      <w:r w:rsidR="00C12D36">
        <w:t>, v</w:t>
      </w:r>
      <w:r w:rsidR="007B59BB">
        <w:t xml:space="preserve">ersus </w:t>
      </w:r>
    </w:p>
    <w:p w14:paraId="7D7C17E6" w14:textId="5830D8CC" w:rsidR="007B59BB" w:rsidRDefault="009A6CB5" w:rsidP="00DA5D39">
      <w:pPr>
        <w:pStyle w:val="3-BodyText"/>
        <w:keepNext/>
        <w:keepLines/>
        <w:numPr>
          <w:ilvl w:val="0"/>
          <w:numId w:val="21"/>
        </w:numPr>
        <w:spacing w:before="0" w:after="0"/>
        <w:ind w:left="993" w:hanging="284"/>
      </w:pPr>
      <w:r w:rsidRPr="00367355">
        <w:rPr>
          <w:iCs/>
        </w:rPr>
        <w:t>Standard of care (SoC)</w:t>
      </w:r>
      <w:r>
        <w:t xml:space="preserve">: </w:t>
      </w:r>
      <w:r w:rsidR="007B59BB">
        <w:t xml:space="preserve">NAC [and RC] followed by </w:t>
      </w:r>
    </w:p>
    <w:p w14:paraId="7A2938FB" w14:textId="77777777" w:rsidR="00087343" w:rsidRDefault="007B59BB" w:rsidP="00DA5D39">
      <w:pPr>
        <w:pStyle w:val="3-BodyText"/>
        <w:keepNext/>
        <w:keepLines/>
        <w:numPr>
          <w:ilvl w:val="0"/>
          <w:numId w:val="26"/>
        </w:numPr>
        <w:spacing w:before="0" w:after="0"/>
        <w:ind w:left="1276" w:hanging="142"/>
      </w:pPr>
      <w:r>
        <w:t xml:space="preserve">adjuvant nivolumab for patients with high risk of recurrence </w:t>
      </w:r>
    </w:p>
    <w:p w14:paraId="1CADBD2E" w14:textId="337066EC" w:rsidR="007B59BB" w:rsidRDefault="007B59BB" w:rsidP="00087343">
      <w:pPr>
        <w:pStyle w:val="3-BodyText"/>
        <w:keepNext/>
        <w:keepLines/>
        <w:numPr>
          <w:ilvl w:val="0"/>
          <w:numId w:val="0"/>
        </w:numPr>
        <w:spacing w:before="0" w:after="0"/>
        <w:ind w:left="1276"/>
      </w:pPr>
      <w:r>
        <w:t>OR</w:t>
      </w:r>
    </w:p>
    <w:p w14:paraId="1DA85202" w14:textId="7ABA1045" w:rsidR="00E073E8" w:rsidRPr="00DF1914" w:rsidRDefault="007B59BB" w:rsidP="00DA5D39">
      <w:pPr>
        <w:pStyle w:val="3-BodyText"/>
        <w:keepNext/>
        <w:keepLines/>
        <w:numPr>
          <w:ilvl w:val="0"/>
          <w:numId w:val="26"/>
        </w:numPr>
        <w:spacing w:before="0"/>
        <w:ind w:left="1276" w:hanging="142"/>
      </w:pPr>
      <w:r>
        <w:t xml:space="preserve">post-surgery active surveillance for all other patients. </w:t>
      </w:r>
    </w:p>
    <w:p w14:paraId="5D5EE22E" w14:textId="29EAFA83" w:rsidR="00E073E8" w:rsidRPr="00DF1914" w:rsidRDefault="00E073E8" w:rsidP="00E073E8">
      <w:pPr>
        <w:pStyle w:val="3-BodyText"/>
      </w:pPr>
      <w:r w:rsidRPr="00DF1914">
        <w:t xml:space="preserve">A summary of the key components of the clinical issue addressed by the submission is presented in </w:t>
      </w:r>
      <w:r w:rsidRPr="00DF1914">
        <w:fldChar w:fldCharType="begin"/>
      </w:r>
      <w:r w:rsidRPr="00DF1914">
        <w:instrText xml:space="preserve"> REF _Ref207287282 \h </w:instrText>
      </w:r>
      <w:r w:rsidRPr="00DF1914">
        <w:fldChar w:fldCharType="separate"/>
      </w:r>
      <w:r w:rsidR="005731FF" w:rsidRPr="00DF1914">
        <w:t xml:space="preserve">Table </w:t>
      </w:r>
      <w:r w:rsidR="005731FF">
        <w:rPr>
          <w:noProof/>
        </w:rPr>
        <w:t>1</w:t>
      </w:r>
      <w:r w:rsidRPr="00DF1914">
        <w:fldChar w:fldCharType="end"/>
      </w:r>
      <w:r w:rsidRPr="00DF1914">
        <w:t>.</w:t>
      </w:r>
    </w:p>
    <w:p w14:paraId="1C17D52E" w14:textId="152D5713" w:rsidR="00E073E8" w:rsidRPr="009A5B13" w:rsidRDefault="00E073E8" w:rsidP="00E073E8">
      <w:pPr>
        <w:pStyle w:val="TableFigureHeading"/>
      </w:pPr>
      <w:bookmarkStart w:id="7" w:name="_Ref207287282"/>
      <w:r w:rsidRPr="00DF1914">
        <w:lastRenderedPageBreak/>
        <w:t xml:space="preserve">Table </w:t>
      </w:r>
      <w:r w:rsidR="0077772B">
        <w:fldChar w:fldCharType="begin"/>
      </w:r>
      <w:r w:rsidR="0077772B">
        <w:instrText xml:space="preserve"> SEQ Table \* ARABIC </w:instrText>
      </w:r>
      <w:r w:rsidR="0077772B">
        <w:fldChar w:fldCharType="separate"/>
      </w:r>
      <w:r w:rsidR="005731FF">
        <w:rPr>
          <w:noProof/>
        </w:rPr>
        <w:t>1</w:t>
      </w:r>
      <w:r w:rsidR="0077772B">
        <w:rPr>
          <w:noProof/>
        </w:rPr>
        <w:fldChar w:fldCharType="end"/>
      </w:r>
      <w:bookmarkEnd w:id="7"/>
      <w:r w:rsidRPr="00DF1914">
        <w:t xml:space="preserve">: </w:t>
      </w:r>
      <w:r w:rsidRPr="009A5B13">
        <w:rPr>
          <w:rStyle w:val="CommentReference"/>
          <w:b/>
          <w:szCs w:val="24"/>
        </w:rPr>
        <w:t>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8"/>
        <w:gridCol w:w="7488"/>
      </w:tblGrid>
      <w:tr w:rsidR="00E073E8" w:rsidRPr="009A5B13" w14:paraId="079F853C" w14:textId="77777777" w:rsidTr="032B84BD">
        <w:tc>
          <w:tcPr>
            <w:tcW w:w="1668" w:type="dxa"/>
            <w:vAlign w:val="center"/>
          </w:tcPr>
          <w:p w14:paraId="595A10B7" w14:textId="77777777" w:rsidR="00E073E8" w:rsidRPr="009A5B13" w:rsidRDefault="00E073E8">
            <w:pPr>
              <w:pStyle w:val="In-tableHeading"/>
              <w:rPr>
                <w:lang w:val="en-AU"/>
              </w:rPr>
            </w:pPr>
            <w:r w:rsidRPr="009A5B13">
              <w:rPr>
                <w:lang w:val="en-AU"/>
              </w:rPr>
              <w:t>Component</w:t>
            </w:r>
          </w:p>
        </w:tc>
        <w:tc>
          <w:tcPr>
            <w:tcW w:w="7488" w:type="dxa"/>
            <w:vAlign w:val="center"/>
          </w:tcPr>
          <w:p w14:paraId="6F400F80" w14:textId="77777777" w:rsidR="00E073E8" w:rsidRPr="009A5B13" w:rsidRDefault="00E073E8">
            <w:pPr>
              <w:pStyle w:val="In-tableHeading"/>
              <w:rPr>
                <w:lang w:val="en-AU"/>
              </w:rPr>
            </w:pPr>
            <w:r w:rsidRPr="009A5B13">
              <w:rPr>
                <w:lang w:val="en-AU"/>
              </w:rPr>
              <w:t>Description</w:t>
            </w:r>
          </w:p>
        </w:tc>
      </w:tr>
      <w:tr w:rsidR="00E073E8" w:rsidRPr="009A5B13" w14:paraId="72FB60F4" w14:textId="77777777" w:rsidTr="032B84BD">
        <w:tc>
          <w:tcPr>
            <w:tcW w:w="1668" w:type="dxa"/>
            <w:vAlign w:val="center"/>
          </w:tcPr>
          <w:p w14:paraId="0DC6F949" w14:textId="77777777" w:rsidR="00E073E8" w:rsidRPr="009A5B13" w:rsidRDefault="00E073E8">
            <w:pPr>
              <w:pStyle w:val="TableText0"/>
            </w:pPr>
            <w:r w:rsidRPr="009A5B13">
              <w:t>Population</w:t>
            </w:r>
          </w:p>
        </w:tc>
        <w:tc>
          <w:tcPr>
            <w:tcW w:w="7488" w:type="dxa"/>
            <w:vAlign w:val="center"/>
          </w:tcPr>
          <w:p w14:paraId="2556189F" w14:textId="57DDD736" w:rsidR="00E073E8" w:rsidRPr="009A5B13" w:rsidRDefault="00E073E8">
            <w:pPr>
              <w:pStyle w:val="TableText0"/>
            </w:pPr>
            <w:r w:rsidRPr="009A5B13">
              <w:t>Patients with MIBC who are planning to undergo radical cystectomy and are eligible for cisplatin-based NAC</w:t>
            </w:r>
            <w:r>
              <w:t>.</w:t>
            </w:r>
          </w:p>
        </w:tc>
      </w:tr>
      <w:tr w:rsidR="00E073E8" w:rsidRPr="009A5B13" w14:paraId="7ABF0E8B" w14:textId="77777777" w:rsidTr="032B84BD">
        <w:tc>
          <w:tcPr>
            <w:tcW w:w="1668" w:type="dxa"/>
            <w:vAlign w:val="center"/>
          </w:tcPr>
          <w:p w14:paraId="30C35EA3" w14:textId="77777777" w:rsidR="00E073E8" w:rsidRPr="009A5B13" w:rsidRDefault="00E073E8">
            <w:pPr>
              <w:pStyle w:val="TableText0"/>
            </w:pPr>
            <w:r w:rsidRPr="009A5B13">
              <w:t>Intervention</w:t>
            </w:r>
          </w:p>
        </w:tc>
        <w:tc>
          <w:tcPr>
            <w:tcW w:w="7488" w:type="dxa"/>
            <w:vAlign w:val="center"/>
          </w:tcPr>
          <w:p w14:paraId="52125F91" w14:textId="77777777" w:rsidR="00E073E8" w:rsidRPr="009A5B13" w:rsidRDefault="00E073E8">
            <w:pPr>
              <w:pStyle w:val="TableText0"/>
            </w:pPr>
            <w:r w:rsidRPr="009A5B13">
              <w:t xml:space="preserve">Neoadjuvant: </w:t>
            </w:r>
            <w:r>
              <w:t xml:space="preserve">Durvalumab </w:t>
            </w:r>
            <w:r w:rsidRPr="009A5B13">
              <w:t>(1500 mg IV) every 3 weeks in combination with gemcitabine plus cisplatin for four cycles (12 weeks), followed by:</w:t>
            </w:r>
          </w:p>
          <w:p w14:paraId="25E91B0A" w14:textId="77777777" w:rsidR="00E073E8" w:rsidRPr="009A5B13" w:rsidRDefault="00E073E8">
            <w:pPr>
              <w:pStyle w:val="TableText0"/>
            </w:pPr>
            <w:r w:rsidRPr="009A5B13">
              <w:t xml:space="preserve">Adjuvant: </w:t>
            </w:r>
            <w:r>
              <w:t>Durvalumab</w:t>
            </w:r>
            <w:r w:rsidRPr="009A5B13">
              <w:t xml:space="preserve"> (1500 mg IV) every four weeks as monotherapy for up to 8 cycles (32 weeks)</w:t>
            </w:r>
            <w:r>
              <w:t>.</w:t>
            </w:r>
          </w:p>
        </w:tc>
      </w:tr>
      <w:tr w:rsidR="00E073E8" w:rsidRPr="009A5B13" w14:paraId="6DE9F2CF" w14:textId="77777777" w:rsidTr="032B84BD">
        <w:tc>
          <w:tcPr>
            <w:tcW w:w="1668" w:type="dxa"/>
            <w:vAlign w:val="center"/>
          </w:tcPr>
          <w:p w14:paraId="0E9DE861" w14:textId="77777777" w:rsidR="00E073E8" w:rsidRPr="009A5B13" w:rsidRDefault="00E073E8">
            <w:pPr>
              <w:pStyle w:val="TableText0"/>
            </w:pPr>
            <w:r w:rsidRPr="009A5B13">
              <w:t>Comparator</w:t>
            </w:r>
          </w:p>
        </w:tc>
        <w:tc>
          <w:tcPr>
            <w:tcW w:w="7488" w:type="dxa"/>
            <w:vAlign w:val="center"/>
          </w:tcPr>
          <w:p w14:paraId="5AE88AB5" w14:textId="77777777" w:rsidR="00E073E8" w:rsidRPr="009A5B13" w:rsidRDefault="00E073E8">
            <w:pPr>
              <w:pStyle w:val="TableText0"/>
            </w:pPr>
            <w:r w:rsidRPr="009A5B13">
              <w:t>Main comparator: Standard of care (SoC) comprising GC NAC followed by active surveillance post-radical cystectomy</w:t>
            </w:r>
            <w:r>
              <w:t>.</w:t>
            </w:r>
          </w:p>
          <w:p w14:paraId="261E27CF" w14:textId="1C53897D" w:rsidR="00E073E8" w:rsidRPr="009A5B13" w:rsidRDefault="00E073E8">
            <w:pPr>
              <w:pStyle w:val="TableText0"/>
            </w:pPr>
            <w:r>
              <w:t>Relevant</w:t>
            </w:r>
            <w:r w:rsidRPr="009A5B13">
              <w:t xml:space="preserve"> comparator: SoC which includes a subgroup of eligible patients </w:t>
            </w:r>
            <w:r>
              <w:t xml:space="preserve">who </w:t>
            </w:r>
            <w:r w:rsidRPr="009A5B13">
              <w:t xml:space="preserve">receive </w:t>
            </w:r>
            <w:r w:rsidRPr="00367355">
              <w:rPr>
                <w:iCs/>
              </w:rPr>
              <w:t xml:space="preserve">GC NAC followed by </w:t>
            </w:r>
            <w:r w:rsidRPr="009A5B13">
              <w:t xml:space="preserve">adjuvant </w:t>
            </w:r>
            <w:r>
              <w:t>nivolumab.</w:t>
            </w:r>
          </w:p>
        </w:tc>
      </w:tr>
      <w:tr w:rsidR="00E073E8" w:rsidRPr="009A5B13" w14:paraId="136C1EF1" w14:textId="77777777" w:rsidTr="032B84BD">
        <w:tc>
          <w:tcPr>
            <w:tcW w:w="1668" w:type="dxa"/>
            <w:vAlign w:val="center"/>
          </w:tcPr>
          <w:p w14:paraId="4314DB65" w14:textId="77777777" w:rsidR="00E073E8" w:rsidRPr="009A5B13" w:rsidRDefault="00E073E8">
            <w:pPr>
              <w:pStyle w:val="TableText0"/>
            </w:pPr>
            <w:r w:rsidRPr="009A5B13">
              <w:t>Outcomes</w:t>
            </w:r>
          </w:p>
        </w:tc>
        <w:tc>
          <w:tcPr>
            <w:tcW w:w="7488" w:type="dxa"/>
            <w:vAlign w:val="center"/>
          </w:tcPr>
          <w:p w14:paraId="1231969F" w14:textId="3D7957FF" w:rsidR="00E073E8" w:rsidRPr="009A5B13" w:rsidRDefault="00E073E8">
            <w:pPr>
              <w:pStyle w:val="TableText0"/>
            </w:pPr>
            <w:r>
              <w:t>EFS, pCR, OS, DFS, MFS, HRQoL, safety</w:t>
            </w:r>
          </w:p>
        </w:tc>
      </w:tr>
      <w:tr w:rsidR="00E073E8" w:rsidRPr="009A5B13" w14:paraId="5140B010" w14:textId="77777777" w:rsidTr="032B84BD">
        <w:tc>
          <w:tcPr>
            <w:tcW w:w="1668" w:type="dxa"/>
            <w:vAlign w:val="center"/>
          </w:tcPr>
          <w:p w14:paraId="35EBBA79" w14:textId="77777777" w:rsidR="00E073E8" w:rsidRPr="009A5B13" w:rsidRDefault="00E073E8">
            <w:pPr>
              <w:pStyle w:val="TableText0"/>
            </w:pPr>
            <w:r w:rsidRPr="009A5B13">
              <w:t>Clinical claim</w:t>
            </w:r>
          </w:p>
        </w:tc>
        <w:tc>
          <w:tcPr>
            <w:tcW w:w="7488" w:type="dxa"/>
            <w:vAlign w:val="center"/>
          </w:tcPr>
          <w:p w14:paraId="2F5D9344" w14:textId="77777777" w:rsidR="00E073E8" w:rsidRPr="009A5B13" w:rsidRDefault="00E073E8">
            <w:pPr>
              <w:pStyle w:val="TableText0"/>
            </w:pPr>
            <w:r w:rsidRPr="009A5B13">
              <w:t xml:space="preserve">Main: Compared to standard of care, perioperative </w:t>
            </w:r>
            <w:r>
              <w:t>durvalumab</w:t>
            </w:r>
            <w:r w:rsidRPr="009A5B13">
              <w:t xml:space="preserve"> plus GC NAC has superior comparative efficacy and inferior safety</w:t>
            </w:r>
            <w:r>
              <w:t>.</w:t>
            </w:r>
          </w:p>
          <w:p w14:paraId="33E77357" w14:textId="77777777" w:rsidR="00E073E8" w:rsidRPr="009A5B13" w:rsidRDefault="00E073E8">
            <w:pPr>
              <w:pStyle w:val="TableText0"/>
            </w:pPr>
            <w:r w:rsidRPr="009A5B13">
              <w:t xml:space="preserve">Supplementary: Compared to standard of care in which some patients receive adjuvant nivolumab, perioperative </w:t>
            </w:r>
            <w:r>
              <w:t>durvalumab</w:t>
            </w:r>
            <w:r w:rsidRPr="009A5B13">
              <w:t xml:space="preserve"> plus GC NAC has superior comparative efficacy and non-inferior safety</w:t>
            </w:r>
            <w:r>
              <w:t>.</w:t>
            </w:r>
          </w:p>
        </w:tc>
      </w:tr>
    </w:tbl>
    <w:p w14:paraId="39AF3F63" w14:textId="77777777" w:rsidR="00E073E8" w:rsidRPr="00DF1914" w:rsidRDefault="00E073E8" w:rsidP="00E073E8">
      <w:pPr>
        <w:pStyle w:val="TableFigureFooter"/>
      </w:pPr>
      <w:r w:rsidRPr="00DF1914">
        <w:t>Source: Table 1-1, p16 of the submission.</w:t>
      </w:r>
    </w:p>
    <w:p w14:paraId="131F902F" w14:textId="6BBFECE9" w:rsidR="00E073E8" w:rsidRDefault="00E073E8" w:rsidP="00E073E8">
      <w:pPr>
        <w:pStyle w:val="TableFigureFooter"/>
      </w:pPr>
      <w:r w:rsidRPr="00DF1914">
        <w:t>DFS = disease-free survival; EFS = event free survival; GC = gemcitabine plus cisplatin; HRQoL = health-related quality of life; IV = intravenous; MFS = metastasis-free survival; MIBC muscle-invasive bladder cancer; NAC = neoadjuvant chemotherapy; OS = overall survival</w:t>
      </w:r>
      <w:r>
        <w:t>;</w:t>
      </w:r>
      <w:r w:rsidRPr="00DF1914">
        <w:t xml:space="preserve"> pCR = pathologic complete response</w:t>
      </w:r>
      <w:r w:rsidR="00B113ED">
        <w:t>; SoC = standard of care.</w:t>
      </w:r>
    </w:p>
    <w:p w14:paraId="3CEB1F09" w14:textId="77777777" w:rsidR="00E073E8" w:rsidRPr="002A1BE6" w:rsidRDefault="00E073E8" w:rsidP="00CD4132">
      <w:pPr>
        <w:pStyle w:val="TableFigureFooter"/>
      </w:pPr>
      <w:r>
        <w:t>Note:</w:t>
      </w:r>
      <w:r w:rsidRPr="002A1BE6">
        <w:t xml:space="preserve"> Clinical criteria for cisplatin eligibility: (1) ECOG performance status &lt; 2; (2) creatinine clearance ≥60 mL/min; (3) no significant hearing loss (measured at audiometry of 25 dB at 2 contiguous frequencies); (4) less than Grade 2 peripheral neuropathy, and (5) no clinical evidence of NYHA class III or greater heart failure (Galsky MD</w:t>
      </w:r>
      <w:r>
        <w:t xml:space="preserve"> </w:t>
      </w:r>
      <w:r w:rsidRPr="002A1BE6">
        <w:t>et al. 2011)</w:t>
      </w:r>
      <w:r>
        <w:t>.</w:t>
      </w:r>
    </w:p>
    <w:p w14:paraId="060EC34C" w14:textId="5C75F850" w:rsidR="00E073E8" w:rsidRPr="00DF1914" w:rsidRDefault="00E073E8" w:rsidP="00E073E8">
      <w:pPr>
        <w:pStyle w:val="2-SectionHeading"/>
      </w:pPr>
      <w:bookmarkStart w:id="8" w:name="_Toc209021276"/>
      <w:bookmarkStart w:id="9" w:name="_Toc209023172"/>
      <w:r w:rsidRPr="00DF1914">
        <w:t>Background</w:t>
      </w:r>
      <w:bookmarkEnd w:id="8"/>
      <w:bookmarkEnd w:id="9"/>
    </w:p>
    <w:p w14:paraId="7F66E46A" w14:textId="44340D20" w:rsidR="00E073E8" w:rsidRPr="00DF1914" w:rsidRDefault="00E073E8" w:rsidP="00E073E8">
      <w:pPr>
        <w:pStyle w:val="4-SubsectionHeading"/>
      </w:pPr>
      <w:bookmarkStart w:id="10" w:name="_Toc22897638"/>
      <w:bookmarkStart w:id="11" w:name="_Toc209021277"/>
      <w:bookmarkStart w:id="12" w:name="_Toc209023173"/>
      <w:r w:rsidRPr="00DF1914">
        <w:t>Registration status</w:t>
      </w:r>
      <w:bookmarkEnd w:id="10"/>
      <w:bookmarkEnd w:id="11"/>
      <w:bookmarkEnd w:id="12"/>
    </w:p>
    <w:p w14:paraId="2955C459" w14:textId="41E640B0" w:rsidR="00E073E8" w:rsidRPr="00DF1914" w:rsidRDefault="00E073E8" w:rsidP="00E073E8">
      <w:pPr>
        <w:pStyle w:val="3-BodyText"/>
      </w:pPr>
      <w:r w:rsidRPr="0098262F">
        <w:t>The submission was made under the TGA/PBAC Parallel Process.</w:t>
      </w:r>
      <w:r>
        <w:t xml:space="preserve"> </w:t>
      </w:r>
      <w:r w:rsidRPr="00DF1914">
        <w:t xml:space="preserve">The proposed TGA indication is: </w:t>
      </w:r>
    </w:p>
    <w:p w14:paraId="5A5A5E53" w14:textId="77777777" w:rsidR="00E073E8" w:rsidRDefault="00E073E8" w:rsidP="00E073E8">
      <w:pPr>
        <w:pStyle w:val="3-BodyText"/>
        <w:numPr>
          <w:ilvl w:val="0"/>
          <w:numId w:val="0"/>
        </w:numPr>
        <w:ind w:left="1134"/>
      </w:pPr>
      <w:r w:rsidRPr="00DF1914">
        <w:t>IMFINZI</w:t>
      </w:r>
      <w:r w:rsidRPr="00DF1914">
        <w:rPr>
          <w:rFonts w:cstheme="minorHAnsi"/>
        </w:rPr>
        <w:t xml:space="preserve">® </w:t>
      </w:r>
      <w:r w:rsidRPr="00DF1914">
        <w:t>(durvalumab) in combination with gemcitabine and cisplatin as neoadjuvant treatment, followed by IMFINZI</w:t>
      </w:r>
      <w:r w:rsidRPr="00DF1914">
        <w:rPr>
          <w:rFonts w:cstheme="minorHAnsi"/>
        </w:rPr>
        <w:t>®</w:t>
      </w:r>
      <w:r w:rsidRPr="00DF1914">
        <w:t xml:space="preserve"> as monotherapy adjuvant treatment after radical cystectomy, is indicated for the treatment of </w:t>
      </w:r>
      <w:r>
        <w:t>adult</w:t>
      </w:r>
      <w:r w:rsidRPr="00DF1914">
        <w:t xml:space="preserve"> patients with muscle-invasive bladder cancer (MIBC).</w:t>
      </w:r>
    </w:p>
    <w:p w14:paraId="57E187BE" w14:textId="40E0DD4D" w:rsidR="00E073E8" w:rsidRDefault="00972408" w:rsidP="00B032C0">
      <w:pPr>
        <w:pStyle w:val="3-BodyText"/>
      </w:pPr>
      <w:r>
        <w:t xml:space="preserve">At the time of PBAC consideration, the Delegate’s Overview was available. </w:t>
      </w:r>
      <w:r w:rsidR="00E073E8" w:rsidRPr="004E055B">
        <w:t>The Delegate</w:t>
      </w:r>
      <w:r w:rsidR="00D3276D">
        <w:t xml:space="preserve"> </w:t>
      </w:r>
      <w:r w:rsidR="00E073E8" w:rsidRPr="004E055B">
        <w:t>stated an intention to approve the registration of durvalumab for the above</w:t>
      </w:r>
      <w:r w:rsidR="00EA4087">
        <w:t>-</w:t>
      </w:r>
      <w:r w:rsidR="00E073E8" w:rsidRPr="004E055B">
        <w:t xml:space="preserve">mentioned indication, with an additional condition for the sponsor to submit the final analysis of overall survival </w:t>
      </w:r>
      <w:r w:rsidR="00714A88">
        <w:t xml:space="preserve">(OS) </w:t>
      </w:r>
      <w:r w:rsidR="00E073E8" w:rsidRPr="004E055B">
        <w:t>in the</w:t>
      </w:r>
      <w:r w:rsidR="006122BE">
        <w:t xml:space="preserve"> </w:t>
      </w:r>
      <w:r w:rsidR="006122BE" w:rsidRPr="00B032C0">
        <w:rPr>
          <w:iCs/>
        </w:rPr>
        <w:t>pivotal</w:t>
      </w:r>
      <w:r w:rsidR="00E073E8" w:rsidRPr="004E055B">
        <w:t xml:space="preserve"> NIAGARA study (5 years after final enrolment) for TGA evaluation.</w:t>
      </w:r>
      <w:r w:rsidR="00323CB4">
        <w:t xml:space="preserve"> T</w:t>
      </w:r>
      <w:r w:rsidR="00FC2267">
        <w:t>he PBAC noted that this condition of registration</w:t>
      </w:r>
      <w:r w:rsidR="007F16C1">
        <w:t xml:space="preserve"> will not reduce the key uncertainty regarding the comparison of </w:t>
      </w:r>
      <w:r w:rsidR="00C504B7">
        <w:t>perioperative durvalumab to adjuvant nivolumab in patients at high risk of recurrence (</w:t>
      </w:r>
      <w:r w:rsidR="00C504B7" w:rsidRPr="000D7F57">
        <w:t xml:space="preserve">see paragraph </w:t>
      </w:r>
      <w:r w:rsidR="001920E4" w:rsidRPr="000D7F57">
        <w:fldChar w:fldCharType="begin"/>
      </w:r>
      <w:r w:rsidR="001920E4" w:rsidRPr="000D7F57">
        <w:instrText xml:space="preserve"> REF _Ref214010999 \r \h </w:instrText>
      </w:r>
      <w:r w:rsidR="000D7F57">
        <w:instrText xml:space="preserve"> \* MERGEFORMAT </w:instrText>
      </w:r>
      <w:r w:rsidR="001920E4" w:rsidRPr="000D7F57">
        <w:fldChar w:fldCharType="separate"/>
      </w:r>
      <w:r w:rsidR="005731FF">
        <w:t>6.36</w:t>
      </w:r>
      <w:r w:rsidR="001920E4" w:rsidRPr="000D7F57">
        <w:fldChar w:fldCharType="end"/>
      </w:r>
      <w:r w:rsidR="00C504B7" w:rsidRPr="000D7F57">
        <w:t xml:space="preserve"> below</w:t>
      </w:r>
      <w:r w:rsidR="00C504B7">
        <w:t>).</w:t>
      </w:r>
    </w:p>
    <w:p w14:paraId="551A431C" w14:textId="283DA55B" w:rsidR="006F6F08" w:rsidRPr="004C05BB" w:rsidRDefault="006F6F08" w:rsidP="004C05BB">
      <w:pPr>
        <w:pStyle w:val="3-BodyText"/>
        <w:numPr>
          <w:ilvl w:val="0"/>
          <w:numId w:val="0"/>
        </w:numPr>
        <w:ind w:left="720"/>
        <w:rPr>
          <w:i/>
          <w:iCs/>
        </w:rPr>
      </w:pPr>
      <w:bookmarkStart w:id="13" w:name="_Hlk76375324"/>
      <w:r w:rsidRPr="006F6F08">
        <w:rPr>
          <w:i/>
          <w:iCs/>
        </w:rPr>
        <w:t>For more detail on PBAC’s view, see section 7 PBAC outcome.</w:t>
      </w:r>
      <w:bookmarkEnd w:id="13"/>
    </w:p>
    <w:p w14:paraId="02216BF4" w14:textId="7D2718D1" w:rsidR="00E073E8" w:rsidRDefault="00E073E8" w:rsidP="00E073E8">
      <w:pPr>
        <w:pStyle w:val="2-SectionHeading"/>
        <w:keepLines/>
      </w:pPr>
      <w:bookmarkStart w:id="14" w:name="_Toc107902078"/>
      <w:bookmarkStart w:id="15" w:name="_Toc209021278"/>
      <w:bookmarkStart w:id="16" w:name="_Toc209023174"/>
      <w:bookmarkEnd w:id="14"/>
      <w:r w:rsidRPr="00DF1914">
        <w:lastRenderedPageBreak/>
        <w:t>Requested listing</w:t>
      </w:r>
      <w:bookmarkEnd w:id="15"/>
      <w:bookmarkEnd w:id="16"/>
    </w:p>
    <w:p w14:paraId="65AD56DA" w14:textId="3FA6B64E" w:rsidR="0006731F" w:rsidRPr="0006731F" w:rsidRDefault="0006731F" w:rsidP="0006731F">
      <w:pPr>
        <w:pStyle w:val="3-BodyText"/>
      </w:pPr>
      <w:r>
        <w:rPr>
          <w:rFonts w:cs="Calibri"/>
          <w:bCs/>
          <w:iCs/>
        </w:rPr>
        <w:t xml:space="preserve">The requested listing is presented below. </w:t>
      </w:r>
      <w:r w:rsidRPr="00911028">
        <w:t>Suggestions and additions proposed by the Secretariat are added in italics and suggested deletions are crossed out with strikethrough.</w:t>
      </w:r>
    </w:p>
    <w:p w14:paraId="573720A5" w14:textId="30FCAA2E" w:rsidR="00E073E8" w:rsidRPr="00DF1914" w:rsidRDefault="00E073E8" w:rsidP="00E073E8">
      <w:pPr>
        <w:pStyle w:val="Caption"/>
      </w:pPr>
      <w:bookmarkStart w:id="17" w:name="_Hlk104809082"/>
      <w:r w:rsidRPr="00DF1914">
        <w:t xml:space="preserve">Essential elements of the requested listing </w:t>
      </w:r>
      <w:r w:rsidR="001C54D2">
        <w:t xml:space="preserve">for </w:t>
      </w:r>
      <w:r w:rsidR="00591DDF">
        <w:t xml:space="preserve">each of </w:t>
      </w:r>
      <w:r w:rsidRPr="00DF1914">
        <w:t>initial</w:t>
      </w:r>
      <w:r w:rsidR="0005028E">
        <w:t xml:space="preserve"> and continuing</w:t>
      </w:r>
      <w:r w:rsidRPr="00DF1914">
        <w:t xml:space="preserve">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quested listing "/>
      </w:tblPr>
      <w:tblGrid>
        <w:gridCol w:w="1695"/>
        <w:gridCol w:w="994"/>
        <w:gridCol w:w="849"/>
        <w:gridCol w:w="1616"/>
        <w:gridCol w:w="1933"/>
        <w:gridCol w:w="1930"/>
      </w:tblGrid>
      <w:tr w:rsidR="00E073E8" w:rsidRPr="00DF1914" w14:paraId="3BD5A790" w14:textId="77777777" w:rsidTr="00D80638">
        <w:trPr>
          <w:trHeight w:val="405"/>
          <w:tblHeader/>
        </w:trPr>
        <w:tc>
          <w:tcPr>
            <w:tcW w:w="940" w:type="pct"/>
            <w:vMerge w:val="restart"/>
            <w:shd w:val="clear" w:color="auto" w:fill="FFFFFF" w:themeFill="background1"/>
            <w:hideMark/>
          </w:tcPr>
          <w:p w14:paraId="78EC2BD6" w14:textId="77777777" w:rsidR="00E073E8" w:rsidRPr="005C3B5B" w:rsidRDefault="00E073E8">
            <w:pPr>
              <w:pStyle w:val="TableText0"/>
              <w:ind w:right="-103"/>
              <w:rPr>
                <w:b/>
                <w:bCs w:val="0"/>
              </w:rPr>
            </w:pPr>
            <w:r w:rsidRPr="005C3B5B">
              <w:rPr>
                <w:b/>
                <w:bCs w:val="0"/>
              </w:rPr>
              <w:t>Name, restriction, manner of administration and form</w:t>
            </w:r>
          </w:p>
        </w:tc>
        <w:tc>
          <w:tcPr>
            <w:tcW w:w="551" w:type="pct"/>
            <w:vMerge w:val="restart"/>
            <w:shd w:val="clear" w:color="auto" w:fill="FFFFFF" w:themeFill="background1"/>
          </w:tcPr>
          <w:p w14:paraId="175AB60B" w14:textId="77777777" w:rsidR="00E073E8" w:rsidRPr="005C3B5B" w:rsidRDefault="00E073E8">
            <w:pPr>
              <w:pStyle w:val="TableText0"/>
              <w:rPr>
                <w:b/>
                <w:bCs w:val="0"/>
              </w:rPr>
            </w:pPr>
            <w:r w:rsidRPr="005C3B5B">
              <w:rPr>
                <w:b/>
                <w:bCs w:val="0"/>
              </w:rPr>
              <w:t>Max Quantity (units)</w:t>
            </w:r>
          </w:p>
        </w:tc>
        <w:tc>
          <w:tcPr>
            <w:tcW w:w="471" w:type="pct"/>
            <w:vMerge w:val="restart"/>
            <w:shd w:val="clear" w:color="auto" w:fill="FFFFFF" w:themeFill="background1"/>
            <w:hideMark/>
          </w:tcPr>
          <w:p w14:paraId="0E067CDF" w14:textId="77777777" w:rsidR="00E073E8" w:rsidRPr="005C3B5B" w:rsidRDefault="00E073E8">
            <w:pPr>
              <w:pStyle w:val="TableText0"/>
              <w:rPr>
                <w:b/>
                <w:bCs w:val="0"/>
              </w:rPr>
            </w:pPr>
            <w:r w:rsidRPr="005C3B5B">
              <w:rPr>
                <w:b/>
                <w:bCs w:val="0"/>
              </w:rPr>
              <w:t>Number of repeats</w:t>
            </w:r>
          </w:p>
        </w:tc>
        <w:tc>
          <w:tcPr>
            <w:tcW w:w="1968" w:type="pct"/>
            <w:gridSpan w:val="2"/>
            <w:shd w:val="clear" w:color="auto" w:fill="FFFFFF" w:themeFill="background1"/>
            <w:vAlign w:val="center"/>
            <w:hideMark/>
          </w:tcPr>
          <w:p w14:paraId="29F12552" w14:textId="77777777" w:rsidR="00E073E8" w:rsidRPr="005C3B5B" w:rsidRDefault="00E073E8">
            <w:pPr>
              <w:pStyle w:val="TableText0"/>
              <w:jc w:val="center"/>
              <w:rPr>
                <w:b/>
                <w:bCs w:val="0"/>
              </w:rPr>
            </w:pPr>
            <w:r w:rsidRPr="005C3B5B">
              <w:rPr>
                <w:b/>
                <w:bCs w:val="0"/>
              </w:rPr>
              <w:t>DPMQ</w:t>
            </w:r>
          </w:p>
        </w:tc>
        <w:tc>
          <w:tcPr>
            <w:tcW w:w="1070" w:type="pct"/>
            <w:vMerge w:val="restart"/>
            <w:shd w:val="clear" w:color="auto" w:fill="FFFFFF" w:themeFill="background1"/>
            <w:hideMark/>
          </w:tcPr>
          <w:p w14:paraId="23317802" w14:textId="77777777" w:rsidR="00E073E8" w:rsidRPr="005C3B5B" w:rsidRDefault="00E073E8">
            <w:pPr>
              <w:pStyle w:val="TableText0"/>
              <w:rPr>
                <w:b/>
                <w:bCs w:val="0"/>
              </w:rPr>
            </w:pPr>
            <w:r w:rsidRPr="005C3B5B">
              <w:rPr>
                <w:b/>
                <w:bCs w:val="0"/>
              </w:rPr>
              <w:t>Proprietary name and manufacturer</w:t>
            </w:r>
          </w:p>
        </w:tc>
      </w:tr>
      <w:tr w:rsidR="00E073E8" w:rsidRPr="00DF1914" w14:paraId="35FB2EE9" w14:textId="77777777" w:rsidTr="00D80638">
        <w:trPr>
          <w:trHeight w:val="405"/>
          <w:tblHeader/>
        </w:trPr>
        <w:tc>
          <w:tcPr>
            <w:tcW w:w="940" w:type="pct"/>
            <w:vMerge/>
            <w:shd w:val="clear" w:color="auto" w:fill="FFFFFF" w:themeFill="background1"/>
          </w:tcPr>
          <w:p w14:paraId="0E8A1A0E" w14:textId="77777777" w:rsidR="00E073E8" w:rsidRPr="00DF1914" w:rsidRDefault="00E073E8">
            <w:pPr>
              <w:pStyle w:val="TableText0"/>
              <w:ind w:right="-103"/>
            </w:pPr>
          </w:p>
        </w:tc>
        <w:tc>
          <w:tcPr>
            <w:tcW w:w="551" w:type="pct"/>
            <w:vMerge/>
            <w:shd w:val="clear" w:color="auto" w:fill="FFFFFF" w:themeFill="background1"/>
          </w:tcPr>
          <w:p w14:paraId="63163D49" w14:textId="77777777" w:rsidR="00E073E8" w:rsidRPr="00DF1914" w:rsidRDefault="00E073E8">
            <w:pPr>
              <w:pStyle w:val="TableText0"/>
            </w:pPr>
          </w:p>
        </w:tc>
        <w:tc>
          <w:tcPr>
            <w:tcW w:w="471" w:type="pct"/>
            <w:vMerge/>
            <w:shd w:val="clear" w:color="auto" w:fill="FFFFFF" w:themeFill="background1"/>
          </w:tcPr>
          <w:p w14:paraId="673A0E2E" w14:textId="77777777" w:rsidR="00E073E8" w:rsidRPr="00DF1914" w:rsidRDefault="00E073E8">
            <w:pPr>
              <w:pStyle w:val="TableText0"/>
            </w:pPr>
          </w:p>
        </w:tc>
        <w:tc>
          <w:tcPr>
            <w:tcW w:w="896" w:type="pct"/>
            <w:shd w:val="clear" w:color="auto" w:fill="FFFFFF" w:themeFill="background1"/>
          </w:tcPr>
          <w:p w14:paraId="393EF3CC" w14:textId="77777777" w:rsidR="00E073E8" w:rsidRPr="005C3B5B" w:rsidRDefault="00E073E8">
            <w:pPr>
              <w:pStyle w:val="TableText0"/>
              <w:jc w:val="center"/>
              <w:rPr>
                <w:b/>
                <w:bCs w:val="0"/>
              </w:rPr>
            </w:pPr>
            <w:r w:rsidRPr="005C3B5B">
              <w:rPr>
                <w:b/>
                <w:bCs w:val="0"/>
              </w:rPr>
              <w:t>Public hospital</w:t>
            </w:r>
          </w:p>
        </w:tc>
        <w:tc>
          <w:tcPr>
            <w:tcW w:w="1072" w:type="pct"/>
            <w:shd w:val="clear" w:color="auto" w:fill="FFFFFF" w:themeFill="background1"/>
          </w:tcPr>
          <w:p w14:paraId="3F1BA0F7" w14:textId="77777777" w:rsidR="00E073E8" w:rsidRPr="005C3B5B" w:rsidRDefault="00E073E8">
            <w:pPr>
              <w:pStyle w:val="TableText0"/>
              <w:jc w:val="center"/>
              <w:rPr>
                <w:b/>
                <w:bCs w:val="0"/>
              </w:rPr>
            </w:pPr>
            <w:r w:rsidRPr="005C3B5B">
              <w:rPr>
                <w:b/>
                <w:bCs w:val="0"/>
              </w:rPr>
              <w:t>Private hospital</w:t>
            </w:r>
          </w:p>
        </w:tc>
        <w:tc>
          <w:tcPr>
            <w:tcW w:w="1070" w:type="pct"/>
            <w:vMerge/>
            <w:shd w:val="clear" w:color="auto" w:fill="FFFFFF" w:themeFill="background1"/>
          </w:tcPr>
          <w:p w14:paraId="21FB04FD" w14:textId="77777777" w:rsidR="00E073E8" w:rsidRPr="00DF1914" w:rsidRDefault="00E073E8">
            <w:pPr>
              <w:pStyle w:val="TableText0"/>
            </w:pPr>
          </w:p>
        </w:tc>
      </w:tr>
      <w:tr w:rsidR="00E073E8" w:rsidRPr="00DF1914" w14:paraId="3F4038F4" w14:textId="77777777" w:rsidTr="00D80638">
        <w:trPr>
          <w:trHeight w:val="224"/>
        </w:trPr>
        <w:tc>
          <w:tcPr>
            <w:tcW w:w="940" w:type="pct"/>
            <w:vAlign w:val="center"/>
          </w:tcPr>
          <w:p w14:paraId="004361B0" w14:textId="77777777" w:rsidR="00E073E8" w:rsidRPr="00DF1914" w:rsidRDefault="00E073E8">
            <w:pPr>
              <w:pStyle w:val="TableText0"/>
              <w:ind w:right="-106"/>
            </w:pPr>
            <w:r>
              <w:t>Durvalumab</w:t>
            </w:r>
          </w:p>
          <w:p w14:paraId="34074387" w14:textId="77777777" w:rsidR="00E073E8" w:rsidRPr="00DF1914" w:rsidRDefault="00E073E8">
            <w:pPr>
              <w:pStyle w:val="TableText0"/>
              <w:ind w:right="-106"/>
            </w:pPr>
            <w:r w:rsidRPr="00DF1914">
              <w:t>500</w:t>
            </w:r>
            <w:r>
              <w:t> </w:t>
            </w:r>
            <w:r w:rsidRPr="00DF1914">
              <w:t>mg/10</w:t>
            </w:r>
            <w:r>
              <w:t> </w:t>
            </w:r>
            <w:r w:rsidRPr="00DF1914">
              <w:t>mL; 10</w:t>
            </w:r>
            <w:r>
              <w:t> </w:t>
            </w:r>
            <w:r w:rsidRPr="00DF1914">
              <w:t>m</w:t>
            </w:r>
            <w:r>
              <w:t>L</w:t>
            </w:r>
            <w:r w:rsidRPr="00DF1914">
              <w:t xml:space="preserve"> vial</w:t>
            </w:r>
          </w:p>
        </w:tc>
        <w:tc>
          <w:tcPr>
            <w:tcW w:w="551" w:type="pct"/>
            <w:vMerge w:val="restart"/>
          </w:tcPr>
          <w:p w14:paraId="15B65A6E" w14:textId="77777777" w:rsidR="00E073E8" w:rsidRPr="00DF1914" w:rsidRDefault="00E073E8">
            <w:pPr>
              <w:pStyle w:val="TableText0"/>
              <w:jc w:val="center"/>
            </w:pPr>
            <w:r w:rsidRPr="00DF1914">
              <w:t>1500</w:t>
            </w:r>
            <w:r>
              <w:t> </w:t>
            </w:r>
            <w:r w:rsidRPr="00DF1914">
              <w:t>mg</w:t>
            </w:r>
          </w:p>
        </w:tc>
        <w:tc>
          <w:tcPr>
            <w:tcW w:w="471" w:type="pct"/>
            <w:vMerge w:val="restart"/>
          </w:tcPr>
          <w:p w14:paraId="0FB7DB4C" w14:textId="77777777" w:rsidR="00E073E8" w:rsidRPr="00DF1914" w:rsidRDefault="00E073E8">
            <w:pPr>
              <w:pStyle w:val="TableText0"/>
              <w:jc w:val="center"/>
            </w:pPr>
            <w:r w:rsidRPr="00DF1914">
              <w:t>3</w:t>
            </w:r>
          </w:p>
        </w:tc>
        <w:tc>
          <w:tcPr>
            <w:tcW w:w="896" w:type="pct"/>
            <w:vMerge w:val="restart"/>
          </w:tcPr>
          <w:p w14:paraId="1B64A1F7" w14:textId="688C2C88" w:rsidR="00E073E8" w:rsidRPr="00DF1914" w:rsidRDefault="00E073E8">
            <w:pPr>
              <w:pStyle w:val="TableText0"/>
            </w:pPr>
            <w:r w:rsidRPr="00DF1914">
              <w:t>Published: $</w:t>
            </w:r>
            <w:r w:rsidR="000F4FEC" w:rsidRPr="000F4FEC">
              <w:rPr>
                <w:highlight w:val="black"/>
              </w:rPr>
              <w:t>@@@@</w:t>
            </w:r>
            <w:r w:rsidRPr="00DF1914">
              <w:t xml:space="preserve"> Effective:</w:t>
            </w:r>
          </w:p>
          <w:p w14:paraId="7EA652C6" w14:textId="4C21B5CC" w:rsidR="00E073E8" w:rsidRPr="00DF1914" w:rsidRDefault="00E073E8">
            <w:pPr>
              <w:pStyle w:val="TableText0"/>
            </w:pPr>
            <w:r w:rsidRPr="00DF1914">
              <w:t>$</w:t>
            </w:r>
            <w:r w:rsidR="000F4FEC" w:rsidRPr="000F4FEC">
              <w:rPr>
                <w:highlight w:val="black"/>
              </w:rPr>
              <w:t>@@@@</w:t>
            </w:r>
            <w:r w:rsidRPr="00DF1914">
              <w:t xml:space="preserve"> with SPA</w:t>
            </w:r>
          </w:p>
        </w:tc>
        <w:tc>
          <w:tcPr>
            <w:tcW w:w="1072" w:type="pct"/>
            <w:vMerge w:val="restart"/>
          </w:tcPr>
          <w:p w14:paraId="4DC27229" w14:textId="77777777" w:rsidR="00E073E8" w:rsidRPr="00DF1914" w:rsidRDefault="00E073E8">
            <w:pPr>
              <w:pStyle w:val="TableText0"/>
            </w:pPr>
            <w:r w:rsidRPr="00DF1914">
              <w:t xml:space="preserve">Published: </w:t>
            </w:r>
          </w:p>
          <w:p w14:paraId="37A26F07" w14:textId="23105400" w:rsidR="00E073E8" w:rsidRPr="00DF1914" w:rsidRDefault="00E073E8">
            <w:pPr>
              <w:pStyle w:val="TableText0"/>
            </w:pPr>
            <w:r w:rsidRPr="00DF1914">
              <w:t>$</w:t>
            </w:r>
            <w:r w:rsidR="000F4FEC" w:rsidRPr="000F4FEC">
              <w:rPr>
                <w:highlight w:val="black"/>
              </w:rPr>
              <w:t>@@@@</w:t>
            </w:r>
            <w:r w:rsidRPr="00DF1914">
              <w:t xml:space="preserve"> </w:t>
            </w:r>
          </w:p>
          <w:p w14:paraId="6D8A3B1A" w14:textId="77777777" w:rsidR="00E073E8" w:rsidRPr="00DF1914" w:rsidRDefault="00E073E8">
            <w:pPr>
              <w:pStyle w:val="TableText0"/>
            </w:pPr>
            <w:r w:rsidRPr="00DF1914">
              <w:t>Effective:</w:t>
            </w:r>
          </w:p>
          <w:p w14:paraId="6B0A534C" w14:textId="13DC0CB8" w:rsidR="00E073E8" w:rsidRPr="00DF1914" w:rsidRDefault="00E073E8">
            <w:pPr>
              <w:pStyle w:val="TableText0"/>
            </w:pPr>
            <w:r w:rsidRPr="00DF1914">
              <w:t>$</w:t>
            </w:r>
            <w:r w:rsidR="000F4FEC" w:rsidRPr="000F4FEC">
              <w:rPr>
                <w:highlight w:val="black"/>
              </w:rPr>
              <w:t>@@@@</w:t>
            </w:r>
          </w:p>
        </w:tc>
        <w:tc>
          <w:tcPr>
            <w:tcW w:w="1070" w:type="pct"/>
            <w:vMerge w:val="restart"/>
          </w:tcPr>
          <w:p w14:paraId="062A7862" w14:textId="77777777" w:rsidR="00E073E8" w:rsidRPr="00DF1914" w:rsidRDefault="00E073E8">
            <w:pPr>
              <w:pStyle w:val="Tabletext"/>
              <w:keepNext/>
              <w:keepLines/>
              <w:rPr>
                <w:rFonts w:cs="Arial"/>
                <w:szCs w:val="20"/>
              </w:rPr>
            </w:pPr>
            <w:r w:rsidRPr="00DF1914">
              <w:rPr>
                <w:rFonts w:cs="Arial"/>
                <w:szCs w:val="20"/>
              </w:rPr>
              <w:t>IMFINZI</w:t>
            </w:r>
            <w:r w:rsidRPr="00DF1914">
              <w:rPr>
                <w:rFonts w:cs="Arial"/>
                <w:szCs w:val="20"/>
                <w:vertAlign w:val="superscript"/>
              </w:rPr>
              <w:t>®</w:t>
            </w:r>
          </w:p>
          <w:p w14:paraId="2658FF20" w14:textId="77777777" w:rsidR="00E073E8" w:rsidRPr="00DF1914" w:rsidRDefault="00E073E8">
            <w:pPr>
              <w:pStyle w:val="TableText0"/>
            </w:pPr>
            <w:r w:rsidRPr="00DF1914">
              <w:t>AstraZeneca Pty Ltd</w:t>
            </w:r>
          </w:p>
        </w:tc>
      </w:tr>
      <w:tr w:rsidR="00E073E8" w:rsidRPr="00DF1914" w14:paraId="59DDEF1D" w14:textId="77777777" w:rsidTr="00D80638">
        <w:trPr>
          <w:trHeight w:val="224"/>
        </w:trPr>
        <w:tc>
          <w:tcPr>
            <w:tcW w:w="940" w:type="pct"/>
            <w:vAlign w:val="center"/>
          </w:tcPr>
          <w:p w14:paraId="1DD5C9AD" w14:textId="77777777" w:rsidR="00E073E8" w:rsidRPr="00DF1914" w:rsidRDefault="00E073E8">
            <w:pPr>
              <w:pStyle w:val="TableText0"/>
              <w:ind w:right="-106"/>
            </w:pPr>
            <w:r>
              <w:t>Durvalumab</w:t>
            </w:r>
          </w:p>
          <w:p w14:paraId="2DA6ADF1" w14:textId="77777777" w:rsidR="00E073E8" w:rsidRPr="00DF1914" w:rsidRDefault="00E073E8">
            <w:pPr>
              <w:pStyle w:val="TableText0"/>
              <w:ind w:right="-106"/>
            </w:pPr>
            <w:r w:rsidRPr="00DF1914">
              <w:t>120</w:t>
            </w:r>
            <w:r>
              <w:t> </w:t>
            </w:r>
            <w:r w:rsidRPr="00DF1914">
              <w:t>mg/2.4</w:t>
            </w:r>
            <w:r>
              <w:t> </w:t>
            </w:r>
            <w:r w:rsidRPr="00DF1914">
              <w:t>mL; 10</w:t>
            </w:r>
            <w:r>
              <w:t> </w:t>
            </w:r>
            <w:r w:rsidRPr="00DF1914">
              <w:t>m</w:t>
            </w:r>
            <w:r>
              <w:t>L</w:t>
            </w:r>
            <w:r w:rsidRPr="00DF1914">
              <w:t xml:space="preserve"> vial</w:t>
            </w:r>
          </w:p>
        </w:tc>
        <w:tc>
          <w:tcPr>
            <w:tcW w:w="551" w:type="pct"/>
            <w:vMerge/>
          </w:tcPr>
          <w:p w14:paraId="6E6BC3F3" w14:textId="77777777" w:rsidR="00E073E8" w:rsidRPr="00DF1914" w:rsidRDefault="00E073E8">
            <w:pPr>
              <w:pStyle w:val="TableText0"/>
            </w:pPr>
          </w:p>
        </w:tc>
        <w:tc>
          <w:tcPr>
            <w:tcW w:w="471" w:type="pct"/>
            <w:vMerge/>
          </w:tcPr>
          <w:p w14:paraId="37493378" w14:textId="77777777" w:rsidR="00E073E8" w:rsidRPr="00DF1914" w:rsidRDefault="00E073E8">
            <w:pPr>
              <w:pStyle w:val="TableText0"/>
            </w:pPr>
          </w:p>
        </w:tc>
        <w:tc>
          <w:tcPr>
            <w:tcW w:w="896" w:type="pct"/>
            <w:vMerge/>
          </w:tcPr>
          <w:p w14:paraId="0E48558B" w14:textId="77777777" w:rsidR="00E073E8" w:rsidRPr="00DF1914" w:rsidRDefault="00E073E8">
            <w:pPr>
              <w:pStyle w:val="TableText0"/>
            </w:pPr>
          </w:p>
        </w:tc>
        <w:tc>
          <w:tcPr>
            <w:tcW w:w="1072" w:type="pct"/>
            <w:vMerge/>
          </w:tcPr>
          <w:p w14:paraId="08066BE6" w14:textId="77777777" w:rsidR="00E073E8" w:rsidRPr="00DF1914" w:rsidRDefault="00E073E8">
            <w:pPr>
              <w:pStyle w:val="TableText0"/>
            </w:pPr>
          </w:p>
        </w:tc>
        <w:tc>
          <w:tcPr>
            <w:tcW w:w="1070" w:type="pct"/>
            <w:vMerge/>
          </w:tcPr>
          <w:p w14:paraId="79660515" w14:textId="77777777" w:rsidR="00E073E8" w:rsidRPr="00DF1914" w:rsidRDefault="00E073E8">
            <w:pPr>
              <w:pStyle w:val="TableText0"/>
            </w:pPr>
          </w:p>
        </w:tc>
      </w:tr>
    </w:tbl>
    <w:p w14:paraId="322B085F" w14:textId="3A850D2E" w:rsidR="00E073E8" w:rsidRPr="00DF1914" w:rsidRDefault="00E073E8" w:rsidP="00E073E8">
      <w:pPr>
        <w:pStyle w:val="TableFigureFooter"/>
        <w:keepNext/>
      </w:pPr>
      <w:r w:rsidRPr="00DF1914">
        <w:t>Source: Table</w:t>
      </w:r>
      <w:r w:rsidR="0005028E">
        <w:t>s</w:t>
      </w:r>
      <w:r w:rsidRPr="00DF1914">
        <w:t xml:space="preserve"> 1-8</w:t>
      </w:r>
      <w:r w:rsidR="0005028E">
        <w:t xml:space="preserve"> and 1-9</w:t>
      </w:r>
      <w:r w:rsidRPr="00DF1914">
        <w:t>, p28 of the submission</w:t>
      </w:r>
    </w:p>
    <w:p w14:paraId="37ED0060" w14:textId="77777777" w:rsidR="00E073E8" w:rsidRPr="00DF1914" w:rsidRDefault="00E073E8" w:rsidP="00E073E8">
      <w:pPr>
        <w:pStyle w:val="TableFigureFooter"/>
        <w:keepNext/>
      </w:pPr>
      <w:r w:rsidRPr="00781A2E">
        <w:t xml:space="preserve">DPMQ = dispensed price for maximum quantity; </w:t>
      </w:r>
      <w:r>
        <w:t xml:space="preserve">mg = milligram; mL = millilitre; </w:t>
      </w:r>
      <w:r w:rsidRPr="00781A2E">
        <w:t>SPA = special pricing arrangement</w:t>
      </w:r>
    </w:p>
    <w:p w14:paraId="535CD36F" w14:textId="77777777" w:rsidR="00E073E8" w:rsidRDefault="00E073E8" w:rsidP="00E073E8">
      <w:pPr>
        <w:pStyle w:val="Caption"/>
        <w:keepNext w:val="0"/>
        <w:keepLines w:val="0"/>
      </w:pPr>
      <w:r w:rsidRPr="00DF1914">
        <w:rPr>
          <w:rStyle w:val="CommentReference"/>
          <w:b/>
          <w:szCs w:val="24"/>
        </w:rPr>
        <w:t xml:space="preserve">Requested restriction for durvalumab </w:t>
      </w:r>
      <w:r w:rsidRPr="00DF1914">
        <w:t>–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initial treatment"/>
      </w:tblPr>
      <w:tblGrid>
        <w:gridCol w:w="9017"/>
      </w:tblGrid>
      <w:tr w:rsidR="00B0181D" w:rsidRPr="00A81438" w14:paraId="6FBB3016" w14:textId="77777777" w:rsidTr="00B0181D">
        <w:trPr>
          <w:cantSplit/>
          <w:trHeight w:val="20"/>
        </w:trPr>
        <w:tc>
          <w:tcPr>
            <w:tcW w:w="5000" w:type="pct"/>
            <w:tcBorders>
              <w:top w:val="single" w:sz="4" w:space="0" w:color="auto"/>
              <w:left w:val="single" w:sz="4" w:space="0" w:color="auto"/>
              <w:bottom w:val="single" w:sz="4" w:space="0" w:color="auto"/>
              <w:right w:val="single" w:sz="4" w:space="0" w:color="auto"/>
            </w:tcBorders>
          </w:tcPr>
          <w:p w14:paraId="7C44A001" w14:textId="58710E01" w:rsidR="00B0181D" w:rsidRPr="00051ECC" w:rsidRDefault="00B0181D" w:rsidP="00051ECC">
            <w:pPr>
              <w:pStyle w:val="TableText0"/>
              <w:keepNext w:val="0"/>
              <w:rPr>
                <w:b/>
              </w:rPr>
            </w:pPr>
            <w:r w:rsidRPr="00051ECC">
              <w:rPr>
                <w:b/>
              </w:rPr>
              <w:t>Restriction Summary NEW / Treatment of Concept: NEW</w:t>
            </w:r>
          </w:p>
        </w:tc>
      </w:tr>
      <w:tr w:rsidR="00B0181D" w:rsidRPr="00A81438" w14:paraId="5A553170" w14:textId="77777777" w:rsidTr="00B0181D">
        <w:trPr>
          <w:cantSplit/>
          <w:trHeight w:val="20"/>
        </w:trPr>
        <w:tc>
          <w:tcPr>
            <w:tcW w:w="5000" w:type="pct"/>
          </w:tcPr>
          <w:p w14:paraId="13A5CA79" w14:textId="77777777" w:rsidR="00B0181D" w:rsidRPr="00A81438" w:rsidRDefault="00B0181D">
            <w:pPr>
              <w:keepNext/>
              <w:rPr>
                <w:rFonts w:ascii="Arial Narrow" w:hAnsi="Arial Narrow"/>
                <w:sz w:val="20"/>
                <w:szCs w:val="20"/>
              </w:rPr>
            </w:pPr>
            <w:r w:rsidRPr="00A81438">
              <w:rPr>
                <w:rFonts w:ascii="Arial Narrow" w:hAnsi="Arial Narrow"/>
                <w:b/>
                <w:sz w:val="20"/>
                <w:szCs w:val="20"/>
              </w:rPr>
              <w:t xml:space="preserve">Category / Program: </w:t>
            </w:r>
            <w:r w:rsidRPr="00A81438">
              <w:rPr>
                <w:rFonts w:ascii="Arial Narrow" w:hAnsi="Arial Narrow"/>
                <w:sz w:val="20"/>
                <w:szCs w:val="20"/>
              </w:rPr>
              <w:t>Section 100 – Efficient Funding of Chemotherapy Public/Private hospitals</w:t>
            </w:r>
          </w:p>
        </w:tc>
      </w:tr>
      <w:tr w:rsidR="00B0181D" w:rsidRPr="00A81438" w14:paraId="09C9F88D" w14:textId="77777777" w:rsidTr="00B0181D">
        <w:trPr>
          <w:cantSplit/>
          <w:trHeight w:val="20"/>
        </w:trPr>
        <w:tc>
          <w:tcPr>
            <w:tcW w:w="5000" w:type="pct"/>
          </w:tcPr>
          <w:p w14:paraId="3D79EEC6" w14:textId="77777777" w:rsidR="00B0181D" w:rsidRPr="00A81438" w:rsidRDefault="00B0181D">
            <w:pPr>
              <w:keepNext/>
              <w:rPr>
                <w:rFonts w:ascii="Arial Narrow" w:hAnsi="Arial Narrow"/>
                <w:b/>
                <w:sz w:val="20"/>
                <w:szCs w:val="20"/>
              </w:rPr>
            </w:pPr>
            <w:r w:rsidRPr="00A81438">
              <w:rPr>
                <w:rFonts w:ascii="Arial Narrow" w:hAnsi="Arial Narrow"/>
                <w:b/>
                <w:sz w:val="20"/>
                <w:szCs w:val="20"/>
              </w:rPr>
              <w:t xml:space="preserve">Prescriber type: </w:t>
            </w:r>
            <w:r w:rsidRPr="00A81438">
              <w:rPr>
                <w:rFonts w:ascii="Arial Narrow" w:hAnsi="Arial Narrow"/>
                <w:sz w:val="20"/>
                <w:szCs w:val="20"/>
              </w:rPr>
              <w:fldChar w:fldCharType="begin">
                <w:ffData>
                  <w:name w:val=""/>
                  <w:enabled/>
                  <w:calcOnExit w:val="0"/>
                  <w:checkBox>
                    <w:sizeAuto/>
                    <w:default w:val="1"/>
                  </w:checkBox>
                </w:ffData>
              </w:fldChar>
            </w:r>
            <w:r w:rsidRPr="00A81438">
              <w:rPr>
                <w:rFonts w:ascii="Arial Narrow" w:hAnsi="Arial Narrow"/>
                <w:sz w:val="20"/>
                <w:szCs w:val="20"/>
              </w:rPr>
              <w:instrText xml:space="preserve"> FORMCHECKBOX </w:instrText>
            </w:r>
            <w:r w:rsidRPr="00A81438">
              <w:rPr>
                <w:rFonts w:ascii="Arial Narrow" w:hAnsi="Arial Narrow"/>
                <w:sz w:val="20"/>
                <w:szCs w:val="20"/>
              </w:rPr>
            </w:r>
            <w:r w:rsidRPr="00A81438">
              <w:rPr>
                <w:rFonts w:ascii="Arial Narrow" w:hAnsi="Arial Narrow"/>
                <w:sz w:val="20"/>
                <w:szCs w:val="20"/>
              </w:rPr>
              <w:fldChar w:fldCharType="separate"/>
            </w:r>
            <w:r w:rsidRPr="00A81438">
              <w:rPr>
                <w:rFonts w:ascii="Arial Narrow" w:hAnsi="Arial Narrow"/>
                <w:sz w:val="20"/>
                <w:szCs w:val="20"/>
              </w:rPr>
              <w:fldChar w:fldCharType="end"/>
            </w:r>
            <w:r w:rsidRPr="00A81438">
              <w:rPr>
                <w:rFonts w:ascii="Arial Narrow" w:hAnsi="Arial Narrow"/>
                <w:sz w:val="20"/>
                <w:szCs w:val="20"/>
              </w:rPr>
              <w:t xml:space="preserve">Medical Practitioners </w:t>
            </w:r>
          </w:p>
        </w:tc>
      </w:tr>
      <w:tr w:rsidR="00B0181D" w:rsidRPr="00A81438" w14:paraId="055E95BC" w14:textId="77777777" w:rsidTr="00B0181D">
        <w:trPr>
          <w:cantSplit/>
          <w:trHeight w:val="20"/>
        </w:trPr>
        <w:tc>
          <w:tcPr>
            <w:tcW w:w="5000" w:type="pct"/>
          </w:tcPr>
          <w:p w14:paraId="4F72E240" w14:textId="77777777" w:rsidR="00B0181D" w:rsidRPr="00A81438" w:rsidRDefault="00B0181D">
            <w:pPr>
              <w:rPr>
                <w:rFonts w:ascii="Arial Narrow" w:eastAsia="Calibri" w:hAnsi="Arial Narrow"/>
                <w:sz w:val="20"/>
                <w:szCs w:val="20"/>
              </w:rPr>
            </w:pPr>
            <w:r w:rsidRPr="00A81438">
              <w:rPr>
                <w:rFonts w:ascii="Arial Narrow" w:hAnsi="Arial Narrow"/>
                <w:b/>
                <w:sz w:val="20"/>
                <w:szCs w:val="20"/>
              </w:rPr>
              <w:t xml:space="preserve">Restriction type: </w:t>
            </w:r>
            <w:r w:rsidRPr="00A81438">
              <w:rPr>
                <w:rFonts w:ascii="Arial Narrow" w:eastAsia="Calibri" w:hAnsi="Arial Narrow"/>
                <w:sz w:val="20"/>
                <w:szCs w:val="20"/>
              </w:rPr>
              <w:fldChar w:fldCharType="begin">
                <w:ffData>
                  <w:name w:val=""/>
                  <w:enabled/>
                  <w:calcOnExit w:val="0"/>
                  <w:checkBox>
                    <w:sizeAuto/>
                    <w:default w:val="1"/>
                  </w:checkBox>
                </w:ffData>
              </w:fldChar>
            </w:r>
            <w:r w:rsidRPr="00A81438">
              <w:rPr>
                <w:rFonts w:ascii="Arial Narrow" w:eastAsia="Calibri" w:hAnsi="Arial Narrow"/>
                <w:sz w:val="20"/>
                <w:szCs w:val="20"/>
              </w:rPr>
              <w:instrText xml:space="preserve"> FORMCHECKBOX </w:instrText>
            </w:r>
            <w:r w:rsidRPr="00A81438">
              <w:rPr>
                <w:rFonts w:ascii="Arial Narrow" w:eastAsia="Calibri" w:hAnsi="Arial Narrow"/>
                <w:sz w:val="20"/>
                <w:szCs w:val="20"/>
              </w:rPr>
            </w:r>
            <w:r w:rsidRPr="00A81438">
              <w:rPr>
                <w:rFonts w:ascii="Arial Narrow" w:eastAsia="Calibri" w:hAnsi="Arial Narrow"/>
                <w:sz w:val="20"/>
                <w:szCs w:val="20"/>
              </w:rPr>
              <w:fldChar w:fldCharType="separate"/>
            </w:r>
            <w:r w:rsidRPr="00A81438">
              <w:rPr>
                <w:rFonts w:ascii="Arial Narrow" w:eastAsia="Calibri" w:hAnsi="Arial Narrow"/>
                <w:sz w:val="20"/>
                <w:szCs w:val="20"/>
              </w:rPr>
              <w:fldChar w:fldCharType="end"/>
            </w:r>
            <w:r w:rsidRPr="00A81438">
              <w:rPr>
                <w:rFonts w:ascii="Arial Narrow" w:eastAsia="Calibri" w:hAnsi="Arial Narrow"/>
                <w:sz w:val="20"/>
                <w:szCs w:val="20"/>
              </w:rPr>
              <w:t xml:space="preserve">Authority Required (STREAMLINED) [new] </w:t>
            </w:r>
          </w:p>
        </w:tc>
      </w:tr>
      <w:tr w:rsidR="00B0181D" w:rsidRPr="00A81438" w14:paraId="501193DF" w14:textId="77777777" w:rsidTr="00B0181D">
        <w:trPr>
          <w:trHeight w:val="20"/>
        </w:trPr>
        <w:tc>
          <w:tcPr>
            <w:tcW w:w="5000" w:type="pct"/>
          </w:tcPr>
          <w:p w14:paraId="59F967D7" w14:textId="77777777" w:rsidR="00B0181D" w:rsidRPr="00A81438" w:rsidRDefault="00B0181D">
            <w:pPr>
              <w:keepLines/>
              <w:rPr>
                <w:rFonts w:ascii="Arial Narrow" w:hAnsi="Arial Narrow"/>
                <w:sz w:val="20"/>
                <w:szCs w:val="20"/>
              </w:rPr>
            </w:pPr>
            <w:r w:rsidRPr="00A81438">
              <w:rPr>
                <w:rStyle w:val="Strong"/>
                <w:rFonts w:ascii="Arial Narrow" w:hAnsi="Arial Narrow" w:cs="Open Sans"/>
                <w:sz w:val="20"/>
                <w:szCs w:val="20"/>
                <w:bdr w:val="none" w:sz="0" w:space="0" w:color="auto" w:frame="1"/>
              </w:rPr>
              <w:t>Administrative Advice: No increase in the maximum quantity or number of units may be authorised</w:t>
            </w:r>
          </w:p>
        </w:tc>
      </w:tr>
      <w:tr w:rsidR="00B0181D" w:rsidRPr="00A81438" w14:paraId="3B621D2E" w14:textId="77777777" w:rsidTr="00B0181D">
        <w:trPr>
          <w:trHeight w:val="20"/>
        </w:trPr>
        <w:tc>
          <w:tcPr>
            <w:tcW w:w="5000" w:type="pct"/>
          </w:tcPr>
          <w:p w14:paraId="54CF9A5F" w14:textId="77777777" w:rsidR="00B0181D" w:rsidRPr="00A81438" w:rsidRDefault="00B0181D">
            <w:pPr>
              <w:keepLines/>
              <w:rPr>
                <w:rFonts w:ascii="Arial Narrow" w:hAnsi="Arial Narrow"/>
                <w:b/>
                <w:bCs/>
                <w:sz w:val="20"/>
                <w:szCs w:val="20"/>
              </w:rPr>
            </w:pPr>
            <w:r w:rsidRPr="00A81438">
              <w:rPr>
                <w:rStyle w:val="Strong"/>
                <w:rFonts w:ascii="Arial Narrow" w:hAnsi="Arial Narrow" w:cs="Open Sans"/>
                <w:sz w:val="20"/>
                <w:szCs w:val="20"/>
                <w:bdr w:val="none" w:sz="0" w:space="0" w:color="auto" w:frame="1"/>
              </w:rPr>
              <w:t>Administrative Advice: No increase in the maximum number of repeats may be authorised</w:t>
            </w:r>
          </w:p>
        </w:tc>
      </w:tr>
      <w:tr w:rsidR="00B0181D" w:rsidRPr="00A81438" w14:paraId="67A336C1" w14:textId="77777777" w:rsidTr="00B0181D">
        <w:trPr>
          <w:trHeight w:val="20"/>
        </w:trPr>
        <w:tc>
          <w:tcPr>
            <w:tcW w:w="5000" w:type="pct"/>
          </w:tcPr>
          <w:p w14:paraId="44AACDBA" w14:textId="77777777" w:rsidR="00B0181D" w:rsidRPr="00A81438" w:rsidRDefault="00B0181D">
            <w:pPr>
              <w:keepLines/>
              <w:rPr>
                <w:rFonts w:ascii="Arial Narrow" w:hAnsi="Arial Narrow"/>
                <w:b/>
                <w:bCs/>
                <w:sz w:val="20"/>
                <w:szCs w:val="20"/>
              </w:rPr>
            </w:pPr>
            <w:r w:rsidRPr="00A81438">
              <w:rPr>
                <w:rStyle w:val="Strong"/>
                <w:rFonts w:ascii="Arial Narrow" w:hAnsi="Arial Narrow" w:cs="Open Sans"/>
                <w:sz w:val="20"/>
                <w:szCs w:val="20"/>
                <w:bdr w:val="none" w:sz="0" w:space="0" w:color="auto" w:frame="1"/>
              </w:rPr>
              <w:t>Administrative Advice: Special Pricing Arrangements apply</w:t>
            </w:r>
          </w:p>
        </w:tc>
      </w:tr>
      <w:tr w:rsidR="00B0181D" w:rsidRPr="00A81438" w14:paraId="13946B7D" w14:textId="77777777" w:rsidTr="00B0181D">
        <w:trPr>
          <w:cantSplit/>
          <w:trHeight w:val="20"/>
        </w:trPr>
        <w:tc>
          <w:tcPr>
            <w:tcW w:w="5000" w:type="pct"/>
            <w:vAlign w:val="center"/>
          </w:tcPr>
          <w:p w14:paraId="5679A3F9" w14:textId="77777777" w:rsidR="00B0181D" w:rsidRPr="00A81438" w:rsidRDefault="00B0181D">
            <w:pPr>
              <w:keepLines/>
              <w:rPr>
                <w:rFonts w:ascii="Arial Narrow" w:hAnsi="Arial Narrow"/>
                <w:b/>
                <w:bCs/>
                <w:sz w:val="20"/>
                <w:szCs w:val="20"/>
              </w:rPr>
            </w:pPr>
            <w:r w:rsidRPr="00A81438">
              <w:rPr>
                <w:rFonts w:ascii="Arial Narrow" w:hAnsi="Arial Narrow"/>
                <w:b/>
                <w:bCs/>
                <w:sz w:val="20"/>
                <w:szCs w:val="20"/>
              </w:rPr>
              <w:t xml:space="preserve">Condition: </w:t>
            </w:r>
            <w:r w:rsidRPr="00A81438">
              <w:rPr>
                <w:rFonts w:ascii="Arial Narrow" w:hAnsi="Arial Narrow"/>
                <w:bCs/>
                <w:strike/>
                <w:sz w:val="20"/>
                <w:szCs w:val="20"/>
              </w:rPr>
              <w:t xml:space="preserve">Muscle-invasive bladder cancer </w:t>
            </w:r>
            <w:r w:rsidRPr="00A81438">
              <w:rPr>
                <w:rFonts w:ascii="Arial Narrow" w:hAnsi="Arial Narrow"/>
                <w:bCs/>
                <w:i/>
                <w:iCs/>
                <w:sz w:val="20"/>
                <w:szCs w:val="20"/>
              </w:rPr>
              <w:t>Urothelial Carcinoma</w:t>
            </w:r>
          </w:p>
        </w:tc>
      </w:tr>
      <w:tr w:rsidR="00B0181D" w:rsidRPr="00A81438" w14:paraId="448FBBEE" w14:textId="77777777" w:rsidTr="00B0181D">
        <w:trPr>
          <w:cantSplit/>
          <w:trHeight w:val="20"/>
        </w:trPr>
        <w:tc>
          <w:tcPr>
            <w:tcW w:w="5000" w:type="pct"/>
            <w:vAlign w:val="center"/>
            <w:hideMark/>
          </w:tcPr>
          <w:p w14:paraId="26451DAA" w14:textId="77777777" w:rsidR="00B0181D" w:rsidRPr="00A81438" w:rsidRDefault="00B0181D">
            <w:pPr>
              <w:keepLines/>
              <w:rPr>
                <w:rFonts w:ascii="Arial Narrow" w:hAnsi="Arial Narrow"/>
                <w:sz w:val="20"/>
                <w:szCs w:val="20"/>
              </w:rPr>
            </w:pPr>
            <w:r w:rsidRPr="00A81438">
              <w:rPr>
                <w:rFonts w:ascii="Arial Narrow" w:hAnsi="Arial Narrow"/>
                <w:b/>
                <w:bCs/>
                <w:sz w:val="20"/>
                <w:szCs w:val="20"/>
              </w:rPr>
              <w:t>Indication:</w:t>
            </w:r>
            <w:r w:rsidRPr="00A81438">
              <w:rPr>
                <w:rFonts w:ascii="Arial Narrow" w:hAnsi="Arial Narrow"/>
                <w:sz w:val="20"/>
                <w:szCs w:val="20"/>
              </w:rPr>
              <w:t xml:space="preserve"> </w:t>
            </w:r>
            <w:r w:rsidRPr="00A81438">
              <w:rPr>
                <w:rFonts w:ascii="Arial Narrow" w:hAnsi="Arial Narrow"/>
                <w:bCs/>
                <w:strike/>
                <w:sz w:val="20"/>
                <w:szCs w:val="20"/>
              </w:rPr>
              <w:t xml:space="preserve">Muscle-invasive bladder cancer </w:t>
            </w:r>
            <w:r w:rsidRPr="00A81438">
              <w:rPr>
                <w:rFonts w:ascii="Arial Narrow" w:hAnsi="Arial Narrow"/>
                <w:bCs/>
                <w:i/>
                <w:iCs/>
                <w:sz w:val="20"/>
                <w:szCs w:val="20"/>
              </w:rPr>
              <w:t>Urothelial Carcinoma</w:t>
            </w:r>
          </w:p>
        </w:tc>
      </w:tr>
      <w:tr w:rsidR="00B0181D" w:rsidRPr="00A81438" w14:paraId="71767A2E" w14:textId="77777777" w:rsidTr="00B0181D">
        <w:trPr>
          <w:cantSplit/>
          <w:trHeight w:val="20"/>
        </w:trPr>
        <w:tc>
          <w:tcPr>
            <w:tcW w:w="5000" w:type="pct"/>
            <w:vAlign w:val="center"/>
            <w:hideMark/>
          </w:tcPr>
          <w:p w14:paraId="23E05DAD" w14:textId="77777777" w:rsidR="00B0181D" w:rsidRPr="00A81438" w:rsidRDefault="00B0181D">
            <w:pPr>
              <w:rPr>
                <w:rFonts w:ascii="Arial Narrow" w:hAnsi="Arial Narrow"/>
                <w:i/>
                <w:iCs/>
                <w:sz w:val="20"/>
                <w:szCs w:val="20"/>
              </w:rPr>
            </w:pPr>
            <w:r w:rsidRPr="00A81438">
              <w:rPr>
                <w:rFonts w:ascii="Arial Narrow" w:hAnsi="Arial Narrow"/>
                <w:b/>
                <w:bCs/>
                <w:sz w:val="20"/>
                <w:szCs w:val="20"/>
              </w:rPr>
              <w:t>Treatment Phase:</w:t>
            </w:r>
            <w:r>
              <w:rPr>
                <w:rFonts w:ascii="Arial Narrow" w:hAnsi="Arial Narrow"/>
                <w:b/>
                <w:bCs/>
                <w:sz w:val="20"/>
                <w:szCs w:val="20"/>
              </w:rPr>
              <w:t xml:space="preserve"> </w:t>
            </w:r>
            <w:r w:rsidRPr="00A81438">
              <w:rPr>
                <w:rFonts w:ascii="Arial Narrow" w:hAnsi="Arial Narrow"/>
                <w:sz w:val="20"/>
                <w:szCs w:val="20"/>
              </w:rPr>
              <w:t xml:space="preserve">Initial </w:t>
            </w:r>
            <w:r w:rsidRPr="00A81438">
              <w:rPr>
                <w:rFonts w:ascii="Arial Narrow" w:hAnsi="Arial Narrow"/>
                <w:i/>
                <w:iCs/>
                <w:sz w:val="20"/>
                <w:szCs w:val="20"/>
              </w:rPr>
              <w:t>treatment – neoadjuvant setting</w:t>
            </w:r>
          </w:p>
        </w:tc>
      </w:tr>
      <w:tr w:rsidR="00B0181D" w:rsidRPr="00A81438" w14:paraId="29447FB7" w14:textId="77777777" w:rsidTr="00B0181D">
        <w:trPr>
          <w:cantSplit/>
          <w:trHeight w:val="20"/>
        </w:trPr>
        <w:tc>
          <w:tcPr>
            <w:tcW w:w="5000" w:type="pct"/>
            <w:vAlign w:val="center"/>
          </w:tcPr>
          <w:p w14:paraId="775F9783" w14:textId="77777777" w:rsidR="00B0181D" w:rsidRPr="00A81438" w:rsidRDefault="00B0181D">
            <w:pPr>
              <w:rPr>
                <w:rFonts w:ascii="Arial Narrow" w:hAnsi="Arial Narrow"/>
                <w:b/>
                <w:bCs/>
                <w:sz w:val="20"/>
                <w:szCs w:val="20"/>
              </w:rPr>
            </w:pPr>
            <w:r w:rsidRPr="00A81438">
              <w:rPr>
                <w:rFonts w:ascii="Arial Narrow" w:hAnsi="Arial Narrow"/>
                <w:b/>
                <w:bCs/>
                <w:sz w:val="20"/>
                <w:szCs w:val="20"/>
              </w:rPr>
              <w:t>Population criteria:</w:t>
            </w:r>
          </w:p>
        </w:tc>
      </w:tr>
      <w:tr w:rsidR="00B0181D" w:rsidRPr="00CE2B16" w14:paraId="62804F41" w14:textId="77777777" w:rsidTr="00B0181D">
        <w:trPr>
          <w:cantSplit/>
          <w:trHeight w:val="20"/>
        </w:trPr>
        <w:tc>
          <w:tcPr>
            <w:tcW w:w="5000" w:type="pct"/>
            <w:vAlign w:val="center"/>
          </w:tcPr>
          <w:p w14:paraId="2BF148BD" w14:textId="77777777" w:rsidR="00B0181D" w:rsidRPr="00CE2B16" w:rsidRDefault="00B0181D">
            <w:pPr>
              <w:rPr>
                <w:rFonts w:ascii="Arial Narrow" w:hAnsi="Arial Narrow"/>
                <w:sz w:val="20"/>
                <w:szCs w:val="20"/>
              </w:rPr>
            </w:pPr>
            <w:r w:rsidRPr="00CE2B16">
              <w:rPr>
                <w:rFonts w:ascii="Arial Narrow" w:hAnsi="Arial Narrow"/>
                <w:sz w:val="20"/>
                <w:szCs w:val="20"/>
              </w:rPr>
              <w:t xml:space="preserve">Patient must be initiating treatment with this drug for this condition; or </w:t>
            </w:r>
          </w:p>
        </w:tc>
      </w:tr>
      <w:tr w:rsidR="00B0181D" w:rsidRPr="00CE2B16" w14:paraId="4354F3FB" w14:textId="77777777" w:rsidTr="00B0181D">
        <w:trPr>
          <w:cantSplit/>
          <w:trHeight w:val="20"/>
        </w:trPr>
        <w:tc>
          <w:tcPr>
            <w:tcW w:w="5000" w:type="pct"/>
            <w:vAlign w:val="center"/>
          </w:tcPr>
          <w:p w14:paraId="4F387107" w14:textId="77777777" w:rsidR="00B0181D" w:rsidRPr="00CE2B16" w:rsidRDefault="00B0181D">
            <w:pPr>
              <w:rPr>
                <w:rFonts w:ascii="Arial Narrow" w:hAnsi="Arial Narrow"/>
                <w:sz w:val="20"/>
                <w:szCs w:val="20"/>
              </w:rPr>
            </w:pPr>
            <w:r w:rsidRPr="00CE2B16">
              <w:rPr>
                <w:rFonts w:ascii="Arial Narrow" w:hAnsi="Arial Narrow"/>
                <w:sz w:val="20"/>
                <w:szCs w:val="20"/>
              </w:rPr>
              <w:t xml:space="preserve">Patient must be transitioning from </w:t>
            </w:r>
            <w:r w:rsidRPr="00994B6E">
              <w:rPr>
                <w:rFonts w:ascii="Arial Narrow" w:hAnsi="Arial Narrow"/>
                <w:strike/>
                <w:sz w:val="20"/>
                <w:szCs w:val="20"/>
              </w:rPr>
              <w:t>existing</w:t>
            </w:r>
            <w:r w:rsidRPr="00CE2B16">
              <w:rPr>
                <w:rFonts w:ascii="Arial Narrow" w:hAnsi="Arial Narrow"/>
                <w:sz w:val="20"/>
                <w:szCs w:val="20"/>
              </w:rPr>
              <w:t xml:space="preserve"> non-PBS to PBS subsidised</w:t>
            </w:r>
            <w:r>
              <w:rPr>
                <w:rFonts w:ascii="Arial Narrow" w:hAnsi="Arial Narrow"/>
                <w:sz w:val="20"/>
                <w:szCs w:val="20"/>
              </w:rPr>
              <w:t xml:space="preserve"> </w:t>
            </w:r>
            <w:r w:rsidRPr="00994B6E">
              <w:rPr>
                <w:rFonts w:ascii="Arial Narrow" w:hAnsi="Arial Narrow"/>
                <w:i/>
                <w:iCs/>
                <w:sz w:val="20"/>
                <w:szCs w:val="20"/>
              </w:rPr>
              <w:t>treatment with this drug for this condition</w:t>
            </w:r>
            <w:r w:rsidRPr="00CE2B16">
              <w:rPr>
                <w:rFonts w:ascii="Arial Narrow" w:hAnsi="Arial Narrow"/>
                <w:sz w:val="20"/>
                <w:szCs w:val="20"/>
              </w:rPr>
              <w:t xml:space="preserve"> </w:t>
            </w:r>
            <w:r w:rsidRPr="00994B6E">
              <w:rPr>
                <w:rFonts w:ascii="Arial Narrow" w:hAnsi="Arial Narrow"/>
                <w:strike/>
                <w:sz w:val="20"/>
                <w:szCs w:val="20"/>
              </w:rPr>
              <w:t>supply of this drug</w:t>
            </w:r>
          </w:p>
        </w:tc>
      </w:tr>
      <w:tr w:rsidR="00B0181D" w:rsidRPr="00CE2B16" w14:paraId="51230E23" w14:textId="77777777" w:rsidTr="00B0181D">
        <w:trPr>
          <w:cantSplit/>
          <w:trHeight w:val="20"/>
        </w:trPr>
        <w:tc>
          <w:tcPr>
            <w:tcW w:w="5000" w:type="pct"/>
            <w:vAlign w:val="center"/>
          </w:tcPr>
          <w:p w14:paraId="5D884DF1" w14:textId="77777777" w:rsidR="00B0181D" w:rsidRPr="00CE2B16" w:rsidRDefault="00B0181D">
            <w:pPr>
              <w:rPr>
                <w:rFonts w:ascii="Arial Narrow" w:hAnsi="Arial Narrow"/>
                <w:sz w:val="20"/>
                <w:szCs w:val="20"/>
              </w:rPr>
            </w:pPr>
            <w:r w:rsidRPr="00A81438">
              <w:rPr>
                <w:rFonts w:ascii="Arial Narrow" w:hAnsi="Arial Narrow"/>
                <w:b/>
                <w:bCs/>
                <w:sz w:val="20"/>
                <w:szCs w:val="20"/>
              </w:rPr>
              <w:t>Clinical criteria:</w:t>
            </w:r>
          </w:p>
        </w:tc>
      </w:tr>
      <w:tr w:rsidR="00B0181D" w:rsidRPr="00CE2B16" w14:paraId="276E6E0E" w14:textId="77777777" w:rsidTr="00B0181D">
        <w:trPr>
          <w:cantSplit/>
          <w:trHeight w:val="20"/>
        </w:trPr>
        <w:tc>
          <w:tcPr>
            <w:tcW w:w="5000" w:type="pct"/>
            <w:vAlign w:val="center"/>
          </w:tcPr>
          <w:p w14:paraId="278B55FC" w14:textId="77777777" w:rsidR="00B0181D" w:rsidRPr="00CE2B16" w:rsidRDefault="00B0181D">
            <w:pPr>
              <w:rPr>
                <w:rFonts w:ascii="Arial Narrow" w:hAnsi="Arial Narrow"/>
                <w:sz w:val="20"/>
                <w:szCs w:val="20"/>
              </w:rPr>
            </w:pPr>
            <w:r w:rsidRPr="00CE2B16">
              <w:rPr>
                <w:rFonts w:ascii="Arial Narrow" w:hAnsi="Arial Narrow"/>
                <w:sz w:val="20"/>
                <w:szCs w:val="20"/>
              </w:rPr>
              <w:t>The condition must not have previously been treated with systemic therapy for muscle-invasive bladder cancer</w:t>
            </w:r>
            <w:r>
              <w:rPr>
                <w:rFonts w:ascii="Arial Narrow" w:hAnsi="Arial Narrow"/>
                <w:sz w:val="20"/>
                <w:szCs w:val="20"/>
              </w:rPr>
              <w:t xml:space="preserve"> </w:t>
            </w:r>
            <w:r>
              <w:rPr>
                <w:rFonts w:ascii="Arial Narrow" w:hAnsi="Arial Narrow"/>
                <w:i/>
                <w:iCs/>
                <w:sz w:val="20"/>
                <w:szCs w:val="20"/>
              </w:rPr>
              <w:t>at the time this drug was initiated for this condition</w:t>
            </w:r>
          </w:p>
        </w:tc>
      </w:tr>
      <w:tr w:rsidR="00B0181D" w:rsidRPr="00FB674C" w14:paraId="6EAFBF54" w14:textId="77777777" w:rsidTr="00B0181D">
        <w:trPr>
          <w:cantSplit/>
          <w:trHeight w:val="20"/>
        </w:trPr>
        <w:tc>
          <w:tcPr>
            <w:tcW w:w="5000" w:type="pct"/>
            <w:vAlign w:val="center"/>
          </w:tcPr>
          <w:p w14:paraId="31CBB371" w14:textId="77777777" w:rsidR="00B0181D" w:rsidRPr="00FB674C" w:rsidRDefault="00B0181D">
            <w:pPr>
              <w:rPr>
                <w:rFonts w:ascii="Arial Narrow" w:hAnsi="Arial Narrow"/>
                <w:b/>
                <w:bCs/>
                <w:sz w:val="20"/>
                <w:szCs w:val="20"/>
              </w:rPr>
            </w:pPr>
            <w:r w:rsidRPr="00FB674C">
              <w:rPr>
                <w:rFonts w:ascii="Arial Narrow" w:hAnsi="Arial Narrow"/>
                <w:b/>
                <w:bCs/>
                <w:sz w:val="20"/>
                <w:szCs w:val="20"/>
              </w:rPr>
              <w:t>AND</w:t>
            </w:r>
          </w:p>
        </w:tc>
      </w:tr>
      <w:tr w:rsidR="00B0181D" w:rsidRPr="00A81438" w14:paraId="0A140E1E" w14:textId="77777777" w:rsidTr="00B0181D">
        <w:trPr>
          <w:cantSplit/>
          <w:trHeight w:val="20"/>
        </w:trPr>
        <w:tc>
          <w:tcPr>
            <w:tcW w:w="5000" w:type="pct"/>
            <w:vAlign w:val="center"/>
            <w:hideMark/>
          </w:tcPr>
          <w:p w14:paraId="66ACB120" w14:textId="77777777" w:rsidR="00B0181D" w:rsidRPr="00A81438" w:rsidRDefault="00B0181D">
            <w:pPr>
              <w:rPr>
                <w:rFonts w:ascii="Arial Narrow" w:hAnsi="Arial Narrow"/>
                <w:sz w:val="20"/>
                <w:szCs w:val="20"/>
              </w:rPr>
            </w:pPr>
            <w:r w:rsidRPr="00A81438">
              <w:rPr>
                <w:rFonts w:ascii="Arial Narrow" w:hAnsi="Arial Narrow"/>
                <w:b/>
                <w:bCs/>
                <w:sz w:val="20"/>
                <w:szCs w:val="20"/>
              </w:rPr>
              <w:t xml:space="preserve">Clinical criteria: </w:t>
            </w:r>
          </w:p>
        </w:tc>
      </w:tr>
      <w:tr w:rsidR="00B0181D" w:rsidRPr="00A81438" w14:paraId="4B128ABF" w14:textId="77777777" w:rsidTr="00B0181D">
        <w:trPr>
          <w:cantSplit/>
          <w:trHeight w:val="20"/>
        </w:trPr>
        <w:tc>
          <w:tcPr>
            <w:tcW w:w="5000" w:type="pct"/>
            <w:vAlign w:val="center"/>
          </w:tcPr>
          <w:p w14:paraId="26C768F7" w14:textId="77777777" w:rsidR="00B0181D" w:rsidRPr="00A81438" w:rsidRDefault="00B0181D">
            <w:pPr>
              <w:rPr>
                <w:rFonts w:ascii="Arial Narrow" w:hAnsi="Arial Narrow"/>
                <w:b/>
                <w:bCs/>
                <w:i/>
                <w:iCs/>
                <w:sz w:val="20"/>
                <w:szCs w:val="20"/>
              </w:rPr>
            </w:pPr>
            <w:r w:rsidRPr="00A81438">
              <w:rPr>
                <w:rFonts w:ascii="Arial Narrow" w:hAnsi="Arial Narrow"/>
                <w:bCs/>
                <w:sz w:val="20"/>
                <w:szCs w:val="20"/>
              </w:rPr>
              <w:t xml:space="preserve">The condition must be of muscle-invasive type disease </w:t>
            </w:r>
            <w:r w:rsidRPr="00A81438">
              <w:rPr>
                <w:rFonts w:ascii="Arial Narrow" w:hAnsi="Arial Narrow"/>
                <w:bCs/>
                <w:strike/>
                <w:sz w:val="20"/>
                <w:szCs w:val="20"/>
              </w:rPr>
              <w:t>(T2-T4a)</w:t>
            </w:r>
            <w:r w:rsidRPr="00A81438">
              <w:rPr>
                <w:rFonts w:ascii="Arial Narrow" w:hAnsi="Arial Narrow"/>
                <w:bCs/>
                <w:sz w:val="20"/>
                <w:szCs w:val="20"/>
              </w:rPr>
              <w:t xml:space="preserve"> </w:t>
            </w:r>
            <w:r w:rsidRPr="00A81438">
              <w:rPr>
                <w:rFonts w:ascii="Arial Narrow" w:hAnsi="Arial Narrow"/>
                <w:bCs/>
                <w:i/>
                <w:iCs/>
                <w:sz w:val="20"/>
                <w:szCs w:val="20"/>
              </w:rPr>
              <w:t>with a clinical tumour stage of either T2</w:t>
            </w:r>
            <w:r>
              <w:rPr>
                <w:rFonts w:ascii="Arial Narrow" w:hAnsi="Arial Narrow"/>
                <w:bCs/>
                <w:i/>
                <w:iCs/>
                <w:sz w:val="20"/>
                <w:szCs w:val="20"/>
              </w:rPr>
              <w:t>,</w:t>
            </w:r>
            <w:r w:rsidRPr="00A81438">
              <w:rPr>
                <w:rFonts w:ascii="Arial Narrow" w:hAnsi="Arial Narrow"/>
                <w:bCs/>
                <w:i/>
                <w:iCs/>
                <w:sz w:val="20"/>
                <w:szCs w:val="20"/>
              </w:rPr>
              <w:t xml:space="preserve"> T3 </w:t>
            </w:r>
            <w:r>
              <w:rPr>
                <w:rFonts w:ascii="Arial Narrow" w:hAnsi="Arial Narrow"/>
                <w:bCs/>
                <w:i/>
                <w:iCs/>
                <w:sz w:val="20"/>
                <w:szCs w:val="20"/>
              </w:rPr>
              <w:t>or</w:t>
            </w:r>
            <w:r w:rsidRPr="00A81438">
              <w:rPr>
                <w:rFonts w:ascii="Arial Narrow" w:hAnsi="Arial Narrow"/>
                <w:bCs/>
                <w:i/>
                <w:iCs/>
                <w:sz w:val="20"/>
                <w:szCs w:val="20"/>
              </w:rPr>
              <w:t xml:space="preserve"> T4a</w:t>
            </w:r>
          </w:p>
        </w:tc>
      </w:tr>
      <w:tr w:rsidR="00B0181D" w:rsidRPr="00A81438" w14:paraId="11825EDD" w14:textId="77777777" w:rsidTr="00B0181D">
        <w:trPr>
          <w:cantSplit/>
          <w:trHeight w:val="20"/>
        </w:trPr>
        <w:tc>
          <w:tcPr>
            <w:tcW w:w="5000" w:type="pct"/>
            <w:vAlign w:val="center"/>
            <w:hideMark/>
          </w:tcPr>
          <w:p w14:paraId="372B41A6" w14:textId="77777777" w:rsidR="00B0181D" w:rsidRPr="00A81438" w:rsidRDefault="00B0181D">
            <w:pPr>
              <w:rPr>
                <w:rFonts w:ascii="Arial Narrow" w:hAnsi="Arial Narrow"/>
                <w:sz w:val="20"/>
                <w:szCs w:val="20"/>
              </w:rPr>
            </w:pPr>
            <w:r w:rsidRPr="00A81438">
              <w:rPr>
                <w:rFonts w:ascii="Arial Narrow" w:hAnsi="Arial Narrow"/>
                <w:b/>
                <w:bCs/>
                <w:sz w:val="20"/>
                <w:szCs w:val="20"/>
              </w:rPr>
              <w:t>AND</w:t>
            </w:r>
          </w:p>
        </w:tc>
      </w:tr>
      <w:tr w:rsidR="00B0181D" w:rsidRPr="00A81438" w14:paraId="65011C35" w14:textId="77777777" w:rsidTr="00B0181D">
        <w:trPr>
          <w:cantSplit/>
          <w:trHeight w:val="20"/>
        </w:trPr>
        <w:tc>
          <w:tcPr>
            <w:tcW w:w="5000" w:type="pct"/>
            <w:vAlign w:val="center"/>
            <w:hideMark/>
          </w:tcPr>
          <w:p w14:paraId="6B70E4A9" w14:textId="77777777" w:rsidR="00B0181D" w:rsidRPr="00A81438" w:rsidRDefault="00B0181D">
            <w:pPr>
              <w:rPr>
                <w:rFonts w:ascii="Arial Narrow" w:hAnsi="Arial Narrow"/>
                <w:sz w:val="20"/>
                <w:szCs w:val="20"/>
              </w:rPr>
            </w:pPr>
            <w:r w:rsidRPr="00A81438">
              <w:rPr>
                <w:rFonts w:ascii="Arial Narrow" w:hAnsi="Arial Narrow"/>
                <w:b/>
                <w:bCs/>
                <w:sz w:val="20"/>
                <w:szCs w:val="20"/>
              </w:rPr>
              <w:t>Clinical criteria:</w:t>
            </w:r>
          </w:p>
        </w:tc>
      </w:tr>
      <w:tr w:rsidR="00B0181D" w:rsidRPr="00A81438" w14:paraId="7E3454CE" w14:textId="77777777" w:rsidTr="00B0181D">
        <w:trPr>
          <w:cantSplit/>
          <w:trHeight w:val="20"/>
        </w:trPr>
        <w:tc>
          <w:tcPr>
            <w:tcW w:w="5000" w:type="pct"/>
            <w:vAlign w:val="center"/>
            <w:hideMark/>
          </w:tcPr>
          <w:p w14:paraId="0C53997F" w14:textId="77777777" w:rsidR="00B0181D" w:rsidRPr="00A81438" w:rsidRDefault="00B0181D">
            <w:pPr>
              <w:rPr>
                <w:rFonts w:ascii="Arial Narrow" w:hAnsi="Arial Narrow"/>
                <w:i/>
                <w:iCs/>
                <w:sz w:val="20"/>
                <w:szCs w:val="20"/>
              </w:rPr>
            </w:pPr>
            <w:r w:rsidRPr="00A81438">
              <w:rPr>
                <w:rFonts w:ascii="Arial Narrow" w:hAnsi="Arial Narrow"/>
                <w:sz w:val="20"/>
                <w:szCs w:val="20"/>
              </w:rPr>
              <w:t xml:space="preserve">The treatment must be for </w:t>
            </w:r>
            <w:r w:rsidRPr="00A81438">
              <w:rPr>
                <w:rFonts w:ascii="Arial Narrow" w:hAnsi="Arial Narrow"/>
                <w:strike/>
                <w:sz w:val="20"/>
                <w:szCs w:val="20"/>
              </w:rPr>
              <w:t>the purpose of</w:t>
            </w:r>
            <w:r w:rsidRPr="00A81438">
              <w:rPr>
                <w:rFonts w:ascii="Arial Narrow" w:hAnsi="Arial Narrow"/>
                <w:sz w:val="20"/>
                <w:szCs w:val="20"/>
              </w:rPr>
              <w:t xml:space="preserve"> neoadjuvant use in a patient preparing for radical cystectomy </w:t>
            </w:r>
          </w:p>
        </w:tc>
      </w:tr>
      <w:tr w:rsidR="00B0181D" w:rsidRPr="00A81438" w14:paraId="324BC1C4" w14:textId="77777777" w:rsidTr="00B0181D">
        <w:trPr>
          <w:cantSplit/>
          <w:trHeight w:val="20"/>
        </w:trPr>
        <w:tc>
          <w:tcPr>
            <w:tcW w:w="5000" w:type="pct"/>
            <w:vAlign w:val="center"/>
            <w:hideMark/>
          </w:tcPr>
          <w:p w14:paraId="61F5EB2B" w14:textId="77777777" w:rsidR="00B0181D" w:rsidRPr="00A81438" w:rsidRDefault="00B0181D">
            <w:pPr>
              <w:rPr>
                <w:rFonts w:ascii="Arial Narrow" w:hAnsi="Arial Narrow"/>
                <w:sz w:val="20"/>
                <w:szCs w:val="20"/>
              </w:rPr>
            </w:pPr>
            <w:r w:rsidRPr="00A81438">
              <w:rPr>
                <w:rFonts w:ascii="Arial Narrow" w:hAnsi="Arial Narrow"/>
                <w:b/>
                <w:bCs/>
                <w:sz w:val="20"/>
                <w:szCs w:val="20"/>
              </w:rPr>
              <w:t>AND</w:t>
            </w:r>
          </w:p>
        </w:tc>
      </w:tr>
      <w:tr w:rsidR="00B0181D" w:rsidRPr="00A81438" w14:paraId="77CB2EF6" w14:textId="77777777" w:rsidTr="00B0181D">
        <w:trPr>
          <w:cantSplit/>
          <w:trHeight w:val="20"/>
        </w:trPr>
        <w:tc>
          <w:tcPr>
            <w:tcW w:w="5000" w:type="pct"/>
            <w:vAlign w:val="center"/>
            <w:hideMark/>
          </w:tcPr>
          <w:p w14:paraId="23AB2585" w14:textId="77777777" w:rsidR="00B0181D" w:rsidRPr="00A81438" w:rsidRDefault="00B0181D">
            <w:pPr>
              <w:rPr>
                <w:rFonts w:ascii="Arial Narrow" w:hAnsi="Arial Narrow"/>
                <w:sz w:val="20"/>
                <w:szCs w:val="20"/>
              </w:rPr>
            </w:pPr>
            <w:r w:rsidRPr="00A81438">
              <w:rPr>
                <w:rFonts w:ascii="Arial Narrow" w:hAnsi="Arial Narrow"/>
                <w:b/>
                <w:bCs/>
                <w:sz w:val="20"/>
                <w:szCs w:val="20"/>
              </w:rPr>
              <w:t>Clinical criteria:</w:t>
            </w:r>
          </w:p>
        </w:tc>
      </w:tr>
      <w:tr w:rsidR="00B0181D" w:rsidRPr="00A81438" w14:paraId="015779F5" w14:textId="77777777" w:rsidTr="00B0181D">
        <w:trPr>
          <w:cantSplit/>
          <w:trHeight w:val="20"/>
        </w:trPr>
        <w:tc>
          <w:tcPr>
            <w:tcW w:w="5000" w:type="pct"/>
            <w:vAlign w:val="center"/>
            <w:hideMark/>
          </w:tcPr>
          <w:p w14:paraId="2D3FBD8C" w14:textId="77777777" w:rsidR="00B0181D" w:rsidRPr="00A81438" w:rsidRDefault="00B0181D">
            <w:pPr>
              <w:rPr>
                <w:rFonts w:ascii="Arial Narrow" w:hAnsi="Arial Narrow"/>
                <w:sz w:val="20"/>
                <w:szCs w:val="20"/>
              </w:rPr>
            </w:pPr>
            <w:r w:rsidRPr="00A81438">
              <w:rPr>
                <w:rFonts w:ascii="Arial Narrow" w:hAnsi="Arial Narrow"/>
                <w:sz w:val="20"/>
                <w:szCs w:val="20"/>
              </w:rPr>
              <w:t>Patient must have/have had at the time of initiating treatment with this drug, a WHO performance status no higher than 1</w:t>
            </w:r>
          </w:p>
        </w:tc>
      </w:tr>
      <w:tr w:rsidR="00B0181D" w:rsidRPr="00A81438" w14:paraId="10B7E976" w14:textId="77777777" w:rsidTr="00B0181D">
        <w:trPr>
          <w:cantSplit/>
          <w:trHeight w:val="20"/>
        </w:trPr>
        <w:tc>
          <w:tcPr>
            <w:tcW w:w="5000" w:type="pct"/>
            <w:vAlign w:val="center"/>
          </w:tcPr>
          <w:p w14:paraId="391FB6E3" w14:textId="77777777" w:rsidR="00B0181D" w:rsidRPr="00A81438" w:rsidRDefault="00B0181D">
            <w:pPr>
              <w:rPr>
                <w:rFonts w:ascii="Arial Narrow" w:hAnsi="Arial Narrow"/>
                <w:sz w:val="20"/>
                <w:szCs w:val="20"/>
              </w:rPr>
            </w:pPr>
            <w:r w:rsidRPr="00A81438">
              <w:rPr>
                <w:rFonts w:ascii="Arial Narrow" w:hAnsi="Arial Narrow"/>
                <w:b/>
                <w:bCs/>
                <w:sz w:val="20"/>
                <w:szCs w:val="20"/>
              </w:rPr>
              <w:t>AND</w:t>
            </w:r>
          </w:p>
        </w:tc>
      </w:tr>
      <w:tr w:rsidR="00B0181D" w:rsidRPr="00A81438" w14:paraId="4E901942" w14:textId="77777777" w:rsidTr="00B0181D">
        <w:trPr>
          <w:cantSplit/>
          <w:trHeight w:val="20"/>
        </w:trPr>
        <w:tc>
          <w:tcPr>
            <w:tcW w:w="5000" w:type="pct"/>
            <w:vAlign w:val="center"/>
          </w:tcPr>
          <w:p w14:paraId="3992C4AE" w14:textId="77777777" w:rsidR="00B0181D" w:rsidRPr="00A81438" w:rsidRDefault="00B0181D">
            <w:pPr>
              <w:rPr>
                <w:rFonts w:ascii="Arial Narrow" w:hAnsi="Arial Narrow"/>
                <w:sz w:val="20"/>
                <w:szCs w:val="20"/>
              </w:rPr>
            </w:pPr>
            <w:r w:rsidRPr="00A81438">
              <w:rPr>
                <w:rFonts w:ascii="Arial Narrow" w:hAnsi="Arial Narrow"/>
                <w:b/>
                <w:bCs/>
                <w:sz w:val="20"/>
                <w:szCs w:val="20"/>
              </w:rPr>
              <w:t>Clinical criteria:</w:t>
            </w:r>
          </w:p>
        </w:tc>
      </w:tr>
      <w:tr w:rsidR="00B0181D" w:rsidRPr="007E51B5" w14:paraId="701406EF" w14:textId="77777777" w:rsidTr="00B0181D">
        <w:trPr>
          <w:cantSplit/>
          <w:trHeight w:val="20"/>
        </w:trPr>
        <w:tc>
          <w:tcPr>
            <w:tcW w:w="5000" w:type="pct"/>
            <w:vAlign w:val="center"/>
          </w:tcPr>
          <w:p w14:paraId="0A7D1475" w14:textId="77777777" w:rsidR="00B0181D" w:rsidRDefault="00B0181D">
            <w:pPr>
              <w:rPr>
                <w:rFonts w:ascii="Arial Narrow" w:hAnsi="Arial Narrow"/>
                <w:i/>
                <w:iCs/>
                <w:sz w:val="20"/>
                <w:szCs w:val="20"/>
              </w:rPr>
            </w:pPr>
            <w:r w:rsidRPr="00A81438">
              <w:rPr>
                <w:rFonts w:ascii="Arial Narrow" w:hAnsi="Arial Narrow"/>
                <w:strike/>
                <w:sz w:val="20"/>
                <w:szCs w:val="20"/>
              </w:rPr>
              <w:lastRenderedPageBreak/>
              <w:t>The treatment must be initiated in combination with gemcitabine and cisplatin</w:t>
            </w:r>
          </w:p>
          <w:p w14:paraId="7B8673C3" w14:textId="77777777" w:rsidR="00B0181D" w:rsidRPr="007E51B5" w:rsidRDefault="00B0181D">
            <w:pPr>
              <w:rPr>
                <w:rFonts w:ascii="Arial Narrow" w:hAnsi="Arial Narrow"/>
                <w:i/>
                <w:iCs/>
                <w:sz w:val="20"/>
                <w:szCs w:val="20"/>
              </w:rPr>
            </w:pPr>
            <w:r w:rsidRPr="007E51B5">
              <w:rPr>
                <w:rFonts w:ascii="Arial Narrow" w:hAnsi="Arial Narrow"/>
                <w:i/>
                <w:iCs/>
                <w:sz w:val="20"/>
                <w:szCs w:val="20"/>
              </w:rPr>
              <w:t>The treatment must be/have been initiated with both: (i) gemcitabine, (ii) cisplatin (refer to Product Information of gemcitabine and cisplatin for dosing information).</w:t>
            </w:r>
          </w:p>
        </w:tc>
      </w:tr>
      <w:tr w:rsidR="00B0181D" w:rsidRPr="00A81438" w14:paraId="5160F03B" w14:textId="77777777" w:rsidTr="00B0181D">
        <w:trPr>
          <w:cantSplit/>
          <w:trHeight w:val="20"/>
        </w:trPr>
        <w:tc>
          <w:tcPr>
            <w:tcW w:w="5000" w:type="pct"/>
            <w:vAlign w:val="center"/>
          </w:tcPr>
          <w:p w14:paraId="7A16A265" w14:textId="77777777" w:rsidR="00B0181D" w:rsidRPr="00A81438" w:rsidRDefault="00B0181D">
            <w:pPr>
              <w:rPr>
                <w:rFonts w:ascii="Arial Narrow" w:hAnsi="Arial Narrow"/>
                <w:sz w:val="20"/>
                <w:szCs w:val="20"/>
              </w:rPr>
            </w:pPr>
            <w:r w:rsidRPr="00A81438">
              <w:rPr>
                <w:rFonts w:ascii="Arial Narrow" w:hAnsi="Arial Narrow"/>
                <w:b/>
                <w:bCs/>
                <w:sz w:val="20"/>
                <w:szCs w:val="20"/>
              </w:rPr>
              <w:t>AND</w:t>
            </w:r>
          </w:p>
        </w:tc>
      </w:tr>
      <w:tr w:rsidR="00B0181D" w:rsidRPr="00A81438" w14:paraId="0E8FF597" w14:textId="77777777" w:rsidTr="00B0181D">
        <w:trPr>
          <w:cantSplit/>
          <w:trHeight w:val="20"/>
        </w:trPr>
        <w:tc>
          <w:tcPr>
            <w:tcW w:w="5000" w:type="pct"/>
            <w:vAlign w:val="center"/>
          </w:tcPr>
          <w:p w14:paraId="311505E5" w14:textId="77777777" w:rsidR="00B0181D" w:rsidRPr="00A81438" w:rsidRDefault="00B0181D">
            <w:pPr>
              <w:rPr>
                <w:rFonts w:ascii="Arial Narrow" w:hAnsi="Arial Narrow"/>
                <w:sz w:val="20"/>
                <w:szCs w:val="20"/>
              </w:rPr>
            </w:pPr>
            <w:r w:rsidRPr="00A81438">
              <w:rPr>
                <w:rFonts w:ascii="Arial Narrow" w:hAnsi="Arial Narrow"/>
                <w:b/>
                <w:bCs/>
                <w:sz w:val="20"/>
                <w:szCs w:val="20"/>
              </w:rPr>
              <w:t>Treatment criteria:</w:t>
            </w:r>
          </w:p>
        </w:tc>
      </w:tr>
      <w:tr w:rsidR="00B0181D" w:rsidRPr="00A81438" w14:paraId="1AD87652" w14:textId="77777777" w:rsidTr="00B0181D">
        <w:trPr>
          <w:cantSplit/>
          <w:trHeight w:val="20"/>
        </w:trPr>
        <w:tc>
          <w:tcPr>
            <w:tcW w:w="5000" w:type="pct"/>
            <w:vAlign w:val="center"/>
          </w:tcPr>
          <w:p w14:paraId="3843C48F" w14:textId="77777777" w:rsidR="00B0181D" w:rsidRPr="00A81438" w:rsidRDefault="00B0181D">
            <w:pPr>
              <w:rPr>
                <w:rFonts w:ascii="Arial Narrow" w:hAnsi="Arial Narrow"/>
                <w:sz w:val="20"/>
                <w:szCs w:val="20"/>
              </w:rPr>
            </w:pPr>
            <w:r w:rsidRPr="00A81438">
              <w:rPr>
                <w:rFonts w:ascii="Arial Narrow" w:hAnsi="Arial Narrow"/>
                <w:sz w:val="20"/>
                <w:szCs w:val="20"/>
              </w:rPr>
              <w:t>Patient must not be undergoing PBS subsidised treatment</w:t>
            </w:r>
            <w:r w:rsidRPr="00A81438">
              <w:rPr>
                <w:rFonts w:ascii="Arial Narrow" w:hAnsi="Arial Narrow"/>
                <w:i/>
                <w:iCs/>
                <w:sz w:val="20"/>
                <w:szCs w:val="20"/>
              </w:rPr>
              <w:t xml:space="preserve"> </w:t>
            </w:r>
            <w:r w:rsidRPr="00A81438">
              <w:rPr>
                <w:rFonts w:ascii="Arial Narrow" w:hAnsi="Arial Narrow"/>
                <w:sz w:val="20"/>
                <w:szCs w:val="20"/>
              </w:rPr>
              <w:t xml:space="preserve">where this prescription extends treatment beyond whichever comes first: (i) 4 cycles from treatment initiation, irrespective of whether initial treatment was PBS </w:t>
            </w:r>
            <w:r w:rsidRPr="00477DCD">
              <w:rPr>
                <w:rFonts w:ascii="Arial Narrow" w:hAnsi="Arial Narrow"/>
                <w:sz w:val="20"/>
                <w:szCs w:val="20"/>
              </w:rPr>
              <w:t>subsidised</w:t>
            </w:r>
            <w:r>
              <w:rPr>
                <w:rFonts w:ascii="Arial Narrow" w:hAnsi="Arial Narrow"/>
                <w:sz w:val="20"/>
                <w:szCs w:val="20"/>
              </w:rPr>
              <w:t>/</w:t>
            </w:r>
            <w:r w:rsidRPr="00A81438">
              <w:rPr>
                <w:rFonts w:ascii="Arial Narrow" w:hAnsi="Arial Narrow"/>
                <w:sz w:val="20"/>
                <w:szCs w:val="20"/>
              </w:rPr>
              <w:t>non-PBS subsidised, (ii) disease progression recurrence despite treatment with this drug, (iii) unacceptable toxicity; annotate any remaining repeat prescriptions with the word 'cancelled' where this occurs.</w:t>
            </w:r>
          </w:p>
        </w:tc>
      </w:tr>
      <w:tr w:rsidR="00B0181D" w:rsidRPr="00A81438" w14:paraId="0BD897BF" w14:textId="77777777" w:rsidTr="00B0181D">
        <w:trPr>
          <w:cantSplit/>
          <w:trHeight w:val="20"/>
        </w:trPr>
        <w:tc>
          <w:tcPr>
            <w:tcW w:w="5000" w:type="pct"/>
            <w:vAlign w:val="center"/>
          </w:tcPr>
          <w:p w14:paraId="18D3AE76" w14:textId="77777777" w:rsidR="00B0181D" w:rsidRPr="00A81438" w:rsidRDefault="00B0181D">
            <w:pPr>
              <w:rPr>
                <w:rFonts w:ascii="Arial Narrow" w:hAnsi="Arial Narrow"/>
                <w:strike/>
                <w:sz w:val="20"/>
                <w:szCs w:val="20"/>
              </w:rPr>
            </w:pPr>
            <w:r w:rsidRPr="00A81438">
              <w:rPr>
                <w:rFonts w:ascii="Arial Narrow" w:hAnsi="Arial Narrow"/>
                <w:b/>
                <w:bCs/>
                <w:strike/>
                <w:sz w:val="20"/>
                <w:szCs w:val="20"/>
              </w:rPr>
              <w:t>Administration advice</w:t>
            </w:r>
            <w:r w:rsidRPr="00A81438">
              <w:rPr>
                <w:rFonts w:ascii="Arial Narrow" w:hAnsi="Arial Narrow"/>
                <w:b/>
                <w:bCs/>
                <w:i/>
                <w:iCs/>
                <w:strike/>
                <w:sz w:val="20"/>
                <w:szCs w:val="20"/>
              </w:rPr>
              <w:t>:</w:t>
            </w:r>
            <w:r w:rsidRPr="00A81438">
              <w:rPr>
                <w:rFonts w:ascii="Arial Narrow" w:hAnsi="Arial Narrow"/>
                <w:b/>
                <w:bCs/>
                <w:strike/>
                <w:sz w:val="20"/>
                <w:szCs w:val="20"/>
              </w:rPr>
              <w:t xml:space="preserve"> </w:t>
            </w:r>
            <w:r w:rsidRPr="00A81438">
              <w:rPr>
                <w:rFonts w:ascii="Arial Narrow" w:hAnsi="Arial Narrow"/>
                <w:strike/>
                <w:sz w:val="20"/>
                <w:szCs w:val="20"/>
              </w:rPr>
              <w:t>The prescribing dose is 1500 mg administered every 3 weeks</w:t>
            </w:r>
          </w:p>
        </w:tc>
      </w:tr>
      <w:tr w:rsidR="00B0181D" w:rsidRPr="00A81438" w14:paraId="5E9273B2" w14:textId="77777777" w:rsidTr="00B0181D">
        <w:trPr>
          <w:cantSplit/>
          <w:trHeight w:val="20"/>
        </w:trPr>
        <w:tc>
          <w:tcPr>
            <w:tcW w:w="5000" w:type="pct"/>
          </w:tcPr>
          <w:p w14:paraId="7AD1D2D7" w14:textId="77777777" w:rsidR="00B0181D" w:rsidRPr="00A81438" w:rsidRDefault="00B0181D">
            <w:pPr>
              <w:rPr>
                <w:rFonts w:ascii="Arial Narrow" w:hAnsi="Arial Narrow"/>
                <w:b/>
                <w:bCs/>
                <w:sz w:val="20"/>
                <w:szCs w:val="20"/>
              </w:rPr>
            </w:pPr>
            <w:r w:rsidRPr="00A81438">
              <w:rPr>
                <w:rFonts w:ascii="Arial Narrow" w:eastAsia="Calibri" w:hAnsi="Arial Narrow" w:cs="Calibri"/>
                <w:b/>
                <w:bCs/>
                <w:i/>
                <w:iCs/>
                <w:sz w:val="20"/>
                <w:szCs w:val="20"/>
              </w:rPr>
              <w:t xml:space="preserve">Prescribing Instruction: </w:t>
            </w:r>
            <w:r w:rsidRPr="00A81438">
              <w:rPr>
                <w:rFonts w:ascii="Arial Narrow" w:eastAsia="Calibri" w:hAnsi="Arial Narrow" w:cs="Calibri"/>
                <w:i/>
                <w:iCs/>
                <w:sz w:val="20"/>
                <w:szCs w:val="20"/>
              </w:rPr>
              <w:t>Patients with a body weight of 30 kg or less must receive weight-based dosing of durvalumab at 20 mg/kg as per the TGA approved Product Information</w:t>
            </w:r>
          </w:p>
        </w:tc>
      </w:tr>
    </w:tbl>
    <w:p w14:paraId="2B9C67F9" w14:textId="77777777" w:rsidR="00C2755B" w:rsidRPr="00C2755B" w:rsidRDefault="00C2755B" w:rsidP="00C2755B"/>
    <w:p w14:paraId="318EB997" w14:textId="77777777" w:rsidR="00E073E8" w:rsidRDefault="00E073E8" w:rsidP="00E073E8">
      <w:pPr>
        <w:pStyle w:val="Caption"/>
      </w:pPr>
      <w:r w:rsidRPr="00DF1914">
        <w:rPr>
          <w:rStyle w:val="CommentReference"/>
          <w:b/>
          <w:szCs w:val="24"/>
        </w:rPr>
        <w:t xml:space="preserve">Requested restriction for durvalumab </w:t>
      </w:r>
      <w:r w:rsidRPr="00DF1914">
        <w:t>–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continuing treatment "/>
      </w:tblPr>
      <w:tblGrid>
        <w:gridCol w:w="9017"/>
      </w:tblGrid>
      <w:tr w:rsidR="00D80638" w:rsidRPr="00A81438" w14:paraId="6A2EFC4C" w14:textId="77777777" w:rsidTr="00D80638">
        <w:trPr>
          <w:cantSplit/>
          <w:trHeight w:val="20"/>
        </w:trPr>
        <w:tc>
          <w:tcPr>
            <w:tcW w:w="5000" w:type="pct"/>
          </w:tcPr>
          <w:p w14:paraId="699DEA36" w14:textId="0BF91F13" w:rsidR="00D80638" w:rsidRPr="00A81438" w:rsidRDefault="00D80638">
            <w:pPr>
              <w:keepNext/>
              <w:rPr>
                <w:rFonts w:ascii="Arial Narrow" w:hAnsi="Arial Narrow"/>
                <w:b/>
                <w:sz w:val="20"/>
                <w:szCs w:val="20"/>
              </w:rPr>
            </w:pPr>
            <w:r w:rsidRPr="006F7060">
              <w:rPr>
                <w:rFonts w:ascii="Arial Narrow" w:hAnsi="Arial Narrow"/>
                <w:b/>
                <w:sz w:val="20"/>
              </w:rPr>
              <w:t>Restriction Summary NEW / Treatment of Concept: NEW</w:t>
            </w:r>
          </w:p>
        </w:tc>
      </w:tr>
      <w:tr w:rsidR="00D80638" w:rsidRPr="00A81438" w14:paraId="0504FCA9" w14:textId="77777777" w:rsidTr="00D80638">
        <w:trPr>
          <w:cantSplit/>
          <w:trHeight w:val="20"/>
        </w:trPr>
        <w:tc>
          <w:tcPr>
            <w:tcW w:w="5000" w:type="pct"/>
          </w:tcPr>
          <w:p w14:paraId="3AF5DBFB" w14:textId="77777777" w:rsidR="00D80638" w:rsidRPr="00A81438" w:rsidRDefault="00D80638">
            <w:pPr>
              <w:keepNext/>
              <w:rPr>
                <w:rFonts w:ascii="Arial Narrow" w:hAnsi="Arial Narrow"/>
                <w:sz w:val="20"/>
                <w:szCs w:val="20"/>
              </w:rPr>
            </w:pPr>
            <w:r w:rsidRPr="00A81438">
              <w:rPr>
                <w:rFonts w:ascii="Arial Narrow" w:hAnsi="Arial Narrow"/>
                <w:b/>
                <w:sz w:val="20"/>
                <w:szCs w:val="20"/>
              </w:rPr>
              <w:t xml:space="preserve">Category / Program: </w:t>
            </w:r>
            <w:r w:rsidRPr="00A81438">
              <w:rPr>
                <w:rFonts w:ascii="Arial Narrow" w:hAnsi="Arial Narrow"/>
                <w:sz w:val="20"/>
                <w:szCs w:val="20"/>
              </w:rPr>
              <w:t>Section 100 – Efficient Funding of Chemotherapy Public/Private hospitals</w:t>
            </w:r>
          </w:p>
        </w:tc>
      </w:tr>
      <w:tr w:rsidR="00D80638" w:rsidRPr="00A81438" w14:paraId="7EA9E05E" w14:textId="77777777" w:rsidTr="00D80638">
        <w:trPr>
          <w:cantSplit/>
          <w:trHeight w:val="20"/>
        </w:trPr>
        <w:tc>
          <w:tcPr>
            <w:tcW w:w="5000" w:type="pct"/>
          </w:tcPr>
          <w:p w14:paraId="40510141" w14:textId="77777777" w:rsidR="00D80638" w:rsidRPr="00A81438" w:rsidRDefault="00D80638">
            <w:pPr>
              <w:keepNext/>
              <w:rPr>
                <w:rFonts w:ascii="Arial Narrow" w:hAnsi="Arial Narrow"/>
                <w:b/>
                <w:sz w:val="20"/>
                <w:szCs w:val="20"/>
              </w:rPr>
            </w:pPr>
            <w:r w:rsidRPr="00A81438">
              <w:rPr>
                <w:rFonts w:ascii="Arial Narrow" w:hAnsi="Arial Narrow"/>
                <w:b/>
                <w:sz w:val="20"/>
                <w:szCs w:val="20"/>
              </w:rPr>
              <w:t xml:space="preserve">Prescriber type: </w:t>
            </w:r>
            <w:r w:rsidRPr="00A81438">
              <w:rPr>
                <w:rFonts w:ascii="Arial Narrow" w:hAnsi="Arial Narrow"/>
                <w:sz w:val="20"/>
                <w:szCs w:val="20"/>
              </w:rPr>
              <w:fldChar w:fldCharType="begin">
                <w:ffData>
                  <w:name w:val=""/>
                  <w:enabled/>
                  <w:calcOnExit w:val="0"/>
                  <w:checkBox>
                    <w:sizeAuto/>
                    <w:default w:val="1"/>
                  </w:checkBox>
                </w:ffData>
              </w:fldChar>
            </w:r>
            <w:r w:rsidRPr="00A81438">
              <w:rPr>
                <w:rFonts w:ascii="Arial Narrow" w:hAnsi="Arial Narrow"/>
                <w:sz w:val="20"/>
                <w:szCs w:val="20"/>
              </w:rPr>
              <w:instrText xml:space="preserve"> FORMCHECKBOX </w:instrText>
            </w:r>
            <w:r w:rsidRPr="00A81438">
              <w:rPr>
                <w:rFonts w:ascii="Arial Narrow" w:hAnsi="Arial Narrow"/>
                <w:sz w:val="20"/>
                <w:szCs w:val="20"/>
              </w:rPr>
            </w:r>
            <w:r w:rsidRPr="00A81438">
              <w:rPr>
                <w:rFonts w:ascii="Arial Narrow" w:hAnsi="Arial Narrow"/>
                <w:sz w:val="20"/>
                <w:szCs w:val="20"/>
              </w:rPr>
              <w:fldChar w:fldCharType="separate"/>
            </w:r>
            <w:r w:rsidRPr="00A81438">
              <w:rPr>
                <w:rFonts w:ascii="Arial Narrow" w:hAnsi="Arial Narrow"/>
                <w:sz w:val="20"/>
                <w:szCs w:val="20"/>
              </w:rPr>
              <w:fldChar w:fldCharType="end"/>
            </w:r>
            <w:r w:rsidRPr="00A81438">
              <w:rPr>
                <w:rFonts w:ascii="Arial Narrow" w:hAnsi="Arial Narrow"/>
                <w:sz w:val="20"/>
                <w:szCs w:val="20"/>
              </w:rPr>
              <w:t xml:space="preserve">Medical Practitioners </w:t>
            </w:r>
          </w:p>
        </w:tc>
      </w:tr>
      <w:tr w:rsidR="00D80638" w:rsidRPr="00A81438" w14:paraId="0E376B45" w14:textId="77777777" w:rsidTr="00D80638">
        <w:trPr>
          <w:cantSplit/>
          <w:trHeight w:val="20"/>
        </w:trPr>
        <w:tc>
          <w:tcPr>
            <w:tcW w:w="5000" w:type="pct"/>
          </w:tcPr>
          <w:p w14:paraId="77944567" w14:textId="77777777" w:rsidR="00D80638" w:rsidRPr="00A81438" w:rsidRDefault="00D80638">
            <w:pPr>
              <w:rPr>
                <w:rFonts w:ascii="Arial Narrow" w:eastAsia="Calibri" w:hAnsi="Arial Narrow"/>
                <w:sz w:val="20"/>
                <w:szCs w:val="20"/>
              </w:rPr>
            </w:pPr>
            <w:r w:rsidRPr="00A81438">
              <w:rPr>
                <w:rFonts w:ascii="Arial Narrow" w:hAnsi="Arial Narrow"/>
                <w:b/>
                <w:sz w:val="20"/>
                <w:szCs w:val="20"/>
              </w:rPr>
              <w:t xml:space="preserve">Restriction type: </w:t>
            </w:r>
            <w:r w:rsidRPr="00A81438">
              <w:rPr>
                <w:rFonts w:ascii="Arial Narrow" w:eastAsia="Calibri" w:hAnsi="Arial Narrow"/>
                <w:sz w:val="20"/>
                <w:szCs w:val="20"/>
              </w:rPr>
              <w:fldChar w:fldCharType="begin">
                <w:ffData>
                  <w:name w:val=""/>
                  <w:enabled/>
                  <w:calcOnExit w:val="0"/>
                  <w:checkBox>
                    <w:sizeAuto/>
                    <w:default w:val="1"/>
                  </w:checkBox>
                </w:ffData>
              </w:fldChar>
            </w:r>
            <w:r w:rsidRPr="00A81438">
              <w:rPr>
                <w:rFonts w:ascii="Arial Narrow" w:eastAsia="Calibri" w:hAnsi="Arial Narrow"/>
                <w:sz w:val="20"/>
                <w:szCs w:val="20"/>
              </w:rPr>
              <w:instrText xml:space="preserve"> FORMCHECKBOX </w:instrText>
            </w:r>
            <w:r w:rsidRPr="00A81438">
              <w:rPr>
                <w:rFonts w:ascii="Arial Narrow" w:eastAsia="Calibri" w:hAnsi="Arial Narrow"/>
                <w:sz w:val="20"/>
                <w:szCs w:val="20"/>
              </w:rPr>
            </w:r>
            <w:r w:rsidRPr="00A81438">
              <w:rPr>
                <w:rFonts w:ascii="Arial Narrow" w:eastAsia="Calibri" w:hAnsi="Arial Narrow"/>
                <w:sz w:val="20"/>
                <w:szCs w:val="20"/>
              </w:rPr>
              <w:fldChar w:fldCharType="separate"/>
            </w:r>
            <w:r w:rsidRPr="00A81438">
              <w:rPr>
                <w:rFonts w:ascii="Arial Narrow" w:eastAsia="Calibri" w:hAnsi="Arial Narrow"/>
                <w:sz w:val="20"/>
                <w:szCs w:val="20"/>
              </w:rPr>
              <w:fldChar w:fldCharType="end"/>
            </w:r>
            <w:r w:rsidRPr="00A81438">
              <w:rPr>
                <w:rFonts w:ascii="Arial Narrow" w:eastAsia="Calibri" w:hAnsi="Arial Narrow"/>
                <w:sz w:val="20"/>
                <w:szCs w:val="20"/>
              </w:rPr>
              <w:t xml:space="preserve">Authority Required (STREAMLINED) [new] </w:t>
            </w:r>
          </w:p>
        </w:tc>
      </w:tr>
      <w:tr w:rsidR="00D80638" w:rsidRPr="00A81438" w14:paraId="0152E57E" w14:textId="77777777" w:rsidTr="00D80638">
        <w:trPr>
          <w:trHeight w:val="20"/>
        </w:trPr>
        <w:tc>
          <w:tcPr>
            <w:tcW w:w="5000" w:type="pct"/>
          </w:tcPr>
          <w:p w14:paraId="216380DA" w14:textId="77777777" w:rsidR="00D80638" w:rsidRPr="00A81438" w:rsidRDefault="00D80638">
            <w:pPr>
              <w:keepLines/>
              <w:rPr>
                <w:rFonts w:ascii="Arial Narrow" w:hAnsi="Arial Narrow"/>
                <w:sz w:val="20"/>
                <w:szCs w:val="20"/>
              </w:rPr>
            </w:pPr>
            <w:r w:rsidRPr="00A81438">
              <w:rPr>
                <w:rStyle w:val="Strong"/>
                <w:rFonts w:ascii="Arial Narrow" w:hAnsi="Arial Narrow" w:cs="Open Sans"/>
                <w:sz w:val="20"/>
                <w:szCs w:val="20"/>
                <w:bdr w:val="none" w:sz="0" w:space="0" w:color="auto" w:frame="1"/>
              </w:rPr>
              <w:t>Administrative Advice: No increase in the maximum quantity or number of units may be authorised</w:t>
            </w:r>
          </w:p>
        </w:tc>
      </w:tr>
      <w:tr w:rsidR="00D80638" w:rsidRPr="00A81438" w14:paraId="34F7A7EA" w14:textId="77777777" w:rsidTr="00D80638">
        <w:trPr>
          <w:trHeight w:val="20"/>
        </w:trPr>
        <w:tc>
          <w:tcPr>
            <w:tcW w:w="5000" w:type="pct"/>
          </w:tcPr>
          <w:p w14:paraId="5EA682E0" w14:textId="77777777" w:rsidR="00D80638" w:rsidRPr="00A81438" w:rsidRDefault="00D80638">
            <w:pPr>
              <w:keepLines/>
              <w:rPr>
                <w:rFonts w:ascii="Arial Narrow" w:hAnsi="Arial Narrow"/>
                <w:b/>
                <w:bCs/>
                <w:sz w:val="20"/>
                <w:szCs w:val="20"/>
              </w:rPr>
            </w:pPr>
            <w:r w:rsidRPr="00A81438">
              <w:rPr>
                <w:rStyle w:val="Strong"/>
                <w:rFonts w:ascii="Arial Narrow" w:hAnsi="Arial Narrow" w:cs="Open Sans"/>
                <w:sz w:val="20"/>
                <w:szCs w:val="20"/>
                <w:bdr w:val="none" w:sz="0" w:space="0" w:color="auto" w:frame="1"/>
              </w:rPr>
              <w:t>Administrative Advice: No increase in the maximum number of repeats may be authorised</w:t>
            </w:r>
          </w:p>
        </w:tc>
      </w:tr>
      <w:tr w:rsidR="00D80638" w:rsidRPr="00A81438" w14:paraId="5AF99AE2" w14:textId="77777777" w:rsidTr="00D80638">
        <w:trPr>
          <w:trHeight w:val="20"/>
        </w:trPr>
        <w:tc>
          <w:tcPr>
            <w:tcW w:w="5000" w:type="pct"/>
          </w:tcPr>
          <w:p w14:paraId="0F26B4FA" w14:textId="77777777" w:rsidR="00D80638" w:rsidRPr="00A81438" w:rsidRDefault="00D80638">
            <w:pPr>
              <w:keepLines/>
              <w:rPr>
                <w:rFonts w:ascii="Arial Narrow" w:hAnsi="Arial Narrow"/>
                <w:b/>
                <w:bCs/>
                <w:sz w:val="20"/>
                <w:szCs w:val="20"/>
              </w:rPr>
            </w:pPr>
            <w:r w:rsidRPr="00A81438">
              <w:rPr>
                <w:rStyle w:val="Strong"/>
                <w:rFonts w:ascii="Arial Narrow" w:hAnsi="Arial Narrow" w:cs="Open Sans"/>
                <w:sz w:val="20"/>
                <w:szCs w:val="20"/>
                <w:bdr w:val="none" w:sz="0" w:space="0" w:color="auto" w:frame="1"/>
              </w:rPr>
              <w:t>Administrative Advice: Special Pricing Arrangements apply</w:t>
            </w:r>
          </w:p>
        </w:tc>
      </w:tr>
      <w:tr w:rsidR="00D80638" w:rsidRPr="00A81438" w14:paraId="16F10527" w14:textId="77777777" w:rsidTr="00D80638">
        <w:trPr>
          <w:cantSplit/>
          <w:trHeight w:val="20"/>
        </w:trPr>
        <w:tc>
          <w:tcPr>
            <w:tcW w:w="5000" w:type="pct"/>
            <w:vAlign w:val="center"/>
          </w:tcPr>
          <w:p w14:paraId="06BCE02E" w14:textId="77777777" w:rsidR="00D80638" w:rsidRPr="00A81438" w:rsidRDefault="00D80638">
            <w:pPr>
              <w:keepLines/>
              <w:rPr>
                <w:rFonts w:ascii="Arial Narrow" w:hAnsi="Arial Narrow"/>
                <w:b/>
                <w:bCs/>
                <w:sz w:val="20"/>
                <w:szCs w:val="20"/>
              </w:rPr>
            </w:pPr>
            <w:r w:rsidRPr="00A81438">
              <w:rPr>
                <w:rFonts w:ascii="Arial Narrow" w:hAnsi="Arial Narrow"/>
                <w:b/>
                <w:bCs/>
                <w:sz w:val="20"/>
                <w:szCs w:val="20"/>
              </w:rPr>
              <w:t xml:space="preserve">Condition: </w:t>
            </w:r>
            <w:r w:rsidRPr="00A81438">
              <w:rPr>
                <w:rFonts w:ascii="Arial Narrow" w:hAnsi="Arial Narrow"/>
                <w:bCs/>
                <w:strike/>
                <w:sz w:val="20"/>
                <w:szCs w:val="20"/>
              </w:rPr>
              <w:t xml:space="preserve">Muscle-invasive bladder cancer </w:t>
            </w:r>
            <w:r w:rsidRPr="00A81438">
              <w:rPr>
                <w:rFonts w:ascii="Arial Narrow" w:hAnsi="Arial Narrow"/>
                <w:bCs/>
                <w:i/>
                <w:iCs/>
                <w:sz w:val="20"/>
                <w:szCs w:val="20"/>
              </w:rPr>
              <w:t>Urothelial Carcinoma</w:t>
            </w:r>
          </w:p>
        </w:tc>
      </w:tr>
      <w:tr w:rsidR="00D80638" w:rsidRPr="00A81438" w14:paraId="679BC8B8" w14:textId="77777777" w:rsidTr="00D80638">
        <w:trPr>
          <w:cantSplit/>
          <w:trHeight w:val="20"/>
        </w:trPr>
        <w:tc>
          <w:tcPr>
            <w:tcW w:w="5000" w:type="pct"/>
            <w:vAlign w:val="center"/>
            <w:hideMark/>
          </w:tcPr>
          <w:p w14:paraId="14E9C79F" w14:textId="77777777" w:rsidR="00D80638" w:rsidRPr="00A81438" w:rsidRDefault="00D80638">
            <w:pPr>
              <w:keepLines/>
              <w:rPr>
                <w:rFonts w:ascii="Arial Narrow" w:hAnsi="Arial Narrow"/>
                <w:sz w:val="20"/>
                <w:szCs w:val="20"/>
              </w:rPr>
            </w:pPr>
            <w:r w:rsidRPr="00A81438">
              <w:rPr>
                <w:rFonts w:ascii="Arial Narrow" w:hAnsi="Arial Narrow"/>
                <w:b/>
                <w:bCs/>
                <w:sz w:val="20"/>
                <w:szCs w:val="20"/>
              </w:rPr>
              <w:t>Indication:</w:t>
            </w:r>
            <w:r w:rsidRPr="00A81438">
              <w:rPr>
                <w:rFonts w:ascii="Arial Narrow" w:hAnsi="Arial Narrow"/>
                <w:sz w:val="20"/>
                <w:szCs w:val="20"/>
              </w:rPr>
              <w:t xml:space="preserve"> </w:t>
            </w:r>
            <w:r w:rsidRPr="00A81438">
              <w:rPr>
                <w:rFonts w:ascii="Arial Narrow" w:hAnsi="Arial Narrow"/>
                <w:bCs/>
                <w:strike/>
                <w:sz w:val="20"/>
                <w:szCs w:val="20"/>
              </w:rPr>
              <w:t xml:space="preserve">Muscle-invasive bladder cancer </w:t>
            </w:r>
            <w:r w:rsidRPr="00A81438">
              <w:rPr>
                <w:rFonts w:ascii="Arial Narrow" w:hAnsi="Arial Narrow"/>
                <w:bCs/>
                <w:i/>
                <w:iCs/>
                <w:sz w:val="20"/>
                <w:szCs w:val="20"/>
              </w:rPr>
              <w:t>Urothelial Carcinoma</w:t>
            </w:r>
          </w:p>
        </w:tc>
      </w:tr>
      <w:tr w:rsidR="00D80638" w:rsidRPr="00A81438" w14:paraId="19E3350B" w14:textId="77777777" w:rsidTr="00D80638">
        <w:trPr>
          <w:cantSplit/>
          <w:trHeight w:val="20"/>
        </w:trPr>
        <w:tc>
          <w:tcPr>
            <w:tcW w:w="5000" w:type="pct"/>
            <w:vAlign w:val="center"/>
            <w:hideMark/>
          </w:tcPr>
          <w:p w14:paraId="10F81FA8" w14:textId="77777777" w:rsidR="00D80638" w:rsidRPr="00A81438" w:rsidRDefault="00D80638">
            <w:pPr>
              <w:rPr>
                <w:rFonts w:ascii="Arial Narrow" w:hAnsi="Arial Narrow"/>
                <w:i/>
                <w:iCs/>
                <w:sz w:val="20"/>
                <w:szCs w:val="20"/>
              </w:rPr>
            </w:pPr>
            <w:r w:rsidRPr="00A81438">
              <w:rPr>
                <w:rFonts w:ascii="Arial Narrow" w:hAnsi="Arial Narrow"/>
                <w:b/>
                <w:bCs/>
                <w:sz w:val="20"/>
                <w:szCs w:val="20"/>
              </w:rPr>
              <w:t>Treatment Phase:</w:t>
            </w:r>
            <w:r w:rsidRPr="00A81438">
              <w:rPr>
                <w:rFonts w:ascii="Arial Narrow" w:hAnsi="Arial Narrow"/>
                <w:sz w:val="20"/>
                <w:szCs w:val="20"/>
              </w:rPr>
              <w:t xml:space="preserve"> </w:t>
            </w:r>
            <w:r w:rsidRPr="00E642DB">
              <w:rPr>
                <w:rFonts w:ascii="Arial Narrow" w:hAnsi="Arial Narrow"/>
                <w:sz w:val="20"/>
                <w:szCs w:val="20"/>
              </w:rPr>
              <w:t xml:space="preserve">Continuing </w:t>
            </w:r>
            <w:r>
              <w:rPr>
                <w:rFonts w:ascii="Arial Narrow" w:hAnsi="Arial Narrow"/>
                <w:sz w:val="20"/>
                <w:szCs w:val="20"/>
              </w:rPr>
              <w:t>treatment – adjuvant setting</w:t>
            </w:r>
          </w:p>
        </w:tc>
      </w:tr>
      <w:tr w:rsidR="00D80638" w:rsidRPr="00A81438" w14:paraId="2B41CC97" w14:textId="77777777" w:rsidTr="00D80638">
        <w:trPr>
          <w:cantSplit/>
          <w:trHeight w:val="20"/>
        </w:trPr>
        <w:tc>
          <w:tcPr>
            <w:tcW w:w="5000" w:type="pct"/>
            <w:vAlign w:val="center"/>
          </w:tcPr>
          <w:p w14:paraId="2EBD325C" w14:textId="77777777" w:rsidR="00D80638" w:rsidRPr="00A81438" w:rsidRDefault="00D80638">
            <w:pPr>
              <w:rPr>
                <w:rFonts w:ascii="Arial Narrow" w:hAnsi="Arial Narrow"/>
                <w:b/>
                <w:bCs/>
                <w:sz w:val="20"/>
                <w:szCs w:val="20"/>
              </w:rPr>
            </w:pPr>
            <w:r w:rsidRPr="00A81438">
              <w:rPr>
                <w:rFonts w:ascii="Arial Narrow" w:hAnsi="Arial Narrow"/>
                <w:b/>
                <w:bCs/>
                <w:sz w:val="20"/>
                <w:szCs w:val="20"/>
              </w:rPr>
              <w:t>Population criteria:</w:t>
            </w:r>
          </w:p>
        </w:tc>
      </w:tr>
      <w:tr w:rsidR="00D80638" w:rsidRPr="00A81438" w14:paraId="4B5CC415" w14:textId="77777777" w:rsidTr="00D80638">
        <w:trPr>
          <w:cantSplit/>
          <w:trHeight w:val="20"/>
        </w:trPr>
        <w:tc>
          <w:tcPr>
            <w:tcW w:w="5000" w:type="pct"/>
            <w:vAlign w:val="center"/>
          </w:tcPr>
          <w:p w14:paraId="748C7476" w14:textId="77777777" w:rsidR="00D80638" w:rsidRPr="00A81438" w:rsidRDefault="00D80638">
            <w:pPr>
              <w:rPr>
                <w:rFonts w:ascii="Arial Narrow" w:hAnsi="Arial Narrow"/>
                <w:b/>
                <w:bCs/>
                <w:sz w:val="20"/>
                <w:szCs w:val="20"/>
              </w:rPr>
            </w:pPr>
            <w:r w:rsidRPr="00A81438">
              <w:rPr>
                <w:rFonts w:ascii="Arial Narrow" w:hAnsi="Arial Narrow"/>
                <w:sz w:val="20"/>
                <w:szCs w:val="20"/>
              </w:rPr>
              <w:t>Patient must have previously received PBS subsidised neoadjuvant treatment with this drug for this condition; or</w:t>
            </w:r>
          </w:p>
        </w:tc>
      </w:tr>
      <w:tr w:rsidR="00D80638" w:rsidRPr="00A81438" w14:paraId="7E612C49" w14:textId="77777777" w:rsidTr="00D80638">
        <w:trPr>
          <w:cantSplit/>
          <w:trHeight w:val="20"/>
        </w:trPr>
        <w:tc>
          <w:tcPr>
            <w:tcW w:w="5000" w:type="pct"/>
            <w:vAlign w:val="center"/>
          </w:tcPr>
          <w:p w14:paraId="36F8B5BF" w14:textId="77777777" w:rsidR="00D80638" w:rsidRPr="00A81438" w:rsidRDefault="00D80638">
            <w:pPr>
              <w:rPr>
                <w:rFonts w:ascii="Arial Narrow" w:hAnsi="Arial Narrow"/>
                <w:b/>
                <w:bCs/>
                <w:sz w:val="20"/>
                <w:szCs w:val="20"/>
              </w:rPr>
            </w:pPr>
            <w:r w:rsidRPr="00A81438">
              <w:rPr>
                <w:rFonts w:ascii="Arial Narrow" w:hAnsi="Arial Narrow"/>
                <w:sz w:val="20"/>
                <w:szCs w:val="20"/>
              </w:rPr>
              <w:t>Patient must be both: (i) transitioning from existing non-PBS to PBS subsidised</w:t>
            </w:r>
            <w:r>
              <w:rPr>
                <w:rFonts w:ascii="Arial Narrow" w:hAnsi="Arial Narrow"/>
                <w:sz w:val="20"/>
                <w:szCs w:val="20"/>
              </w:rPr>
              <w:t xml:space="preserve"> </w:t>
            </w:r>
            <w:r w:rsidRPr="0041096B">
              <w:rPr>
                <w:rFonts w:ascii="Arial Narrow" w:hAnsi="Arial Narrow"/>
                <w:i/>
                <w:iCs/>
                <w:sz w:val="20"/>
                <w:szCs w:val="20"/>
              </w:rPr>
              <w:t>treatment with</w:t>
            </w:r>
            <w:r w:rsidRPr="00A81438">
              <w:rPr>
                <w:rFonts w:ascii="Arial Narrow" w:hAnsi="Arial Narrow"/>
                <w:sz w:val="20"/>
                <w:szCs w:val="20"/>
              </w:rPr>
              <w:t xml:space="preserve"> </w:t>
            </w:r>
            <w:r w:rsidRPr="0041096B">
              <w:rPr>
                <w:rFonts w:ascii="Arial Narrow" w:hAnsi="Arial Narrow"/>
                <w:strike/>
                <w:sz w:val="20"/>
                <w:szCs w:val="20"/>
              </w:rPr>
              <w:t>supply of</w:t>
            </w:r>
            <w:r w:rsidRPr="00A81438">
              <w:rPr>
                <w:rFonts w:ascii="Arial Narrow" w:hAnsi="Arial Narrow"/>
                <w:sz w:val="20"/>
                <w:szCs w:val="20"/>
              </w:rPr>
              <w:t xml:space="preserve"> this drug</w:t>
            </w:r>
            <w:r>
              <w:rPr>
                <w:rFonts w:ascii="Arial Narrow" w:hAnsi="Arial Narrow"/>
                <w:sz w:val="20"/>
                <w:szCs w:val="20"/>
              </w:rPr>
              <w:t xml:space="preserve"> </w:t>
            </w:r>
            <w:r w:rsidRPr="0041096B">
              <w:rPr>
                <w:rFonts w:ascii="Arial Narrow" w:hAnsi="Arial Narrow"/>
                <w:i/>
                <w:iCs/>
                <w:sz w:val="20"/>
                <w:szCs w:val="20"/>
              </w:rPr>
              <w:t>for this condition</w:t>
            </w:r>
            <w:r w:rsidRPr="00A81438">
              <w:rPr>
                <w:rFonts w:ascii="Arial Narrow" w:hAnsi="Arial Narrow"/>
                <w:sz w:val="20"/>
                <w:szCs w:val="20"/>
              </w:rPr>
              <w:t>, (ii) treated</w:t>
            </w:r>
            <w:r>
              <w:rPr>
                <w:rFonts w:ascii="Arial Narrow" w:hAnsi="Arial Narrow"/>
                <w:sz w:val="20"/>
                <w:szCs w:val="20"/>
              </w:rPr>
              <w:t xml:space="preserve"> </w:t>
            </w:r>
            <w:r w:rsidRPr="00277822">
              <w:rPr>
                <w:rFonts w:ascii="Arial Narrow" w:hAnsi="Arial Narrow"/>
                <w:i/>
                <w:iCs/>
                <w:sz w:val="20"/>
                <w:szCs w:val="20"/>
              </w:rPr>
              <w:t>in combination</w:t>
            </w:r>
            <w:r w:rsidRPr="00A81438">
              <w:rPr>
                <w:rFonts w:ascii="Arial Narrow" w:hAnsi="Arial Narrow"/>
                <w:sz w:val="20"/>
                <w:szCs w:val="20"/>
              </w:rPr>
              <w:t xml:space="preserve"> with </w:t>
            </w:r>
            <w:r w:rsidRPr="00277822">
              <w:rPr>
                <w:rFonts w:ascii="Arial Narrow" w:hAnsi="Arial Narrow"/>
                <w:strike/>
                <w:sz w:val="20"/>
                <w:szCs w:val="20"/>
              </w:rPr>
              <w:t>combined therapy with</w:t>
            </w:r>
            <w:r w:rsidRPr="00A81438">
              <w:rPr>
                <w:rFonts w:ascii="Arial Narrow" w:hAnsi="Arial Narrow"/>
                <w:sz w:val="20"/>
                <w:szCs w:val="20"/>
              </w:rPr>
              <w:t xml:space="preserve"> durvalumab</w:t>
            </w:r>
            <w:r>
              <w:rPr>
                <w:rFonts w:ascii="Arial Narrow" w:hAnsi="Arial Narrow"/>
                <w:sz w:val="20"/>
                <w:szCs w:val="20"/>
              </w:rPr>
              <w:t>,</w:t>
            </w:r>
            <w:r w:rsidRPr="00A81438">
              <w:rPr>
                <w:rFonts w:ascii="Arial Narrow" w:hAnsi="Arial Narrow"/>
                <w:sz w:val="20"/>
                <w:szCs w:val="20"/>
              </w:rPr>
              <w:t xml:space="preserve"> </w:t>
            </w:r>
            <w:r w:rsidRPr="00277822">
              <w:rPr>
                <w:rFonts w:ascii="Arial Narrow" w:hAnsi="Arial Narrow"/>
                <w:strike/>
                <w:sz w:val="20"/>
                <w:szCs w:val="20"/>
              </w:rPr>
              <w:t>and</w:t>
            </w:r>
            <w:r w:rsidRPr="00A81438">
              <w:rPr>
                <w:rFonts w:ascii="Arial Narrow" w:hAnsi="Arial Narrow"/>
                <w:sz w:val="20"/>
                <w:szCs w:val="20"/>
              </w:rPr>
              <w:t xml:space="preserve"> cisplatin and gemcitabine as neoadjuvant treatment for this condition</w:t>
            </w:r>
            <w:r>
              <w:rPr>
                <w:rFonts w:ascii="Arial Narrow" w:hAnsi="Arial Narrow"/>
                <w:sz w:val="20"/>
                <w:szCs w:val="20"/>
              </w:rPr>
              <w:t>.</w:t>
            </w:r>
          </w:p>
        </w:tc>
      </w:tr>
      <w:tr w:rsidR="00D80638" w:rsidRPr="00B5529B" w14:paraId="13EC6919" w14:textId="77777777" w:rsidTr="00D80638">
        <w:trPr>
          <w:cantSplit/>
          <w:trHeight w:val="20"/>
        </w:trPr>
        <w:tc>
          <w:tcPr>
            <w:tcW w:w="5000" w:type="pct"/>
            <w:vAlign w:val="center"/>
          </w:tcPr>
          <w:p w14:paraId="4C4526C0" w14:textId="77777777" w:rsidR="00D80638" w:rsidRPr="00B5529B" w:rsidRDefault="00D80638">
            <w:pPr>
              <w:rPr>
                <w:rFonts w:ascii="Arial Narrow" w:hAnsi="Arial Narrow"/>
                <w:b/>
                <w:bCs/>
                <w:i/>
                <w:iCs/>
                <w:sz w:val="20"/>
                <w:szCs w:val="20"/>
              </w:rPr>
            </w:pPr>
            <w:r w:rsidRPr="00B5529B">
              <w:rPr>
                <w:rFonts w:ascii="Arial Narrow" w:hAnsi="Arial Narrow"/>
                <w:b/>
                <w:bCs/>
                <w:i/>
                <w:iCs/>
                <w:sz w:val="20"/>
                <w:szCs w:val="20"/>
              </w:rPr>
              <w:t>Clinical criteria:</w:t>
            </w:r>
          </w:p>
        </w:tc>
      </w:tr>
      <w:tr w:rsidR="00D80638" w:rsidRPr="00B5529B" w14:paraId="10FB8B76" w14:textId="77777777" w:rsidTr="00D80638">
        <w:trPr>
          <w:cantSplit/>
          <w:trHeight w:val="20"/>
        </w:trPr>
        <w:tc>
          <w:tcPr>
            <w:tcW w:w="5000" w:type="pct"/>
            <w:vAlign w:val="center"/>
          </w:tcPr>
          <w:p w14:paraId="658741FE" w14:textId="77777777" w:rsidR="00D80638" w:rsidRPr="00B5529B" w:rsidRDefault="00D80638">
            <w:pPr>
              <w:rPr>
                <w:rFonts w:ascii="Arial Narrow" w:hAnsi="Arial Narrow"/>
                <w:b/>
                <w:bCs/>
                <w:i/>
                <w:iCs/>
                <w:sz w:val="20"/>
                <w:szCs w:val="20"/>
              </w:rPr>
            </w:pPr>
            <w:r w:rsidRPr="00B5529B">
              <w:rPr>
                <w:rFonts w:ascii="Arial Narrow" w:hAnsi="Arial Narrow"/>
                <w:i/>
                <w:iCs/>
                <w:sz w:val="20"/>
                <w:szCs w:val="20"/>
              </w:rPr>
              <w:t>Patient must have undergone radical cystectomy within 70 days from the final dose of neoadjuvant therapy with this drug for this condition</w:t>
            </w:r>
          </w:p>
        </w:tc>
      </w:tr>
      <w:tr w:rsidR="00D80638" w:rsidRPr="005B4D7E" w14:paraId="24D6B2EE" w14:textId="77777777" w:rsidTr="00D80638">
        <w:trPr>
          <w:cantSplit/>
          <w:trHeight w:val="20"/>
        </w:trPr>
        <w:tc>
          <w:tcPr>
            <w:tcW w:w="5000" w:type="pct"/>
            <w:vAlign w:val="center"/>
          </w:tcPr>
          <w:p w14:paraId="39A9094D" w14:textId="77777777" w:rsidR="00D80638" w:rsidRPr="005B4D7E" w:rsidRDefault="00D80638">
            <w:pPr>
              <w:rPr>
                <w:rFonts w:ascii="Arial Narrow" w:hAnsi="Arial Narrow"/>
                <w:b/>
                <w:bCs/>
                <w:i/>
                <w:iCs/>
                <w:sz w:val="20"/>
                <w:szCs w:val="20"/>
              </w:rPr>
            </w:pPr>
            <w:r w:rsidRPr="005B4D7E">
              <w:rPr>
                <w:rFonts w:ascii="Arial Narrow" w:hAnsi="Arial Narrow"/>
                <w:b/>
                <w:bCs/>
                <w:i/>
                <w:iCs/>
                <w:sz w:val="20"/>
                <w:szCs w:val="20"/>
              </w:rPr>
              <w:t>AND</w:t>
            </w:r>
          </w:p>
        </w:tc>
      </w:tr>
      <w:tr w:rsidR="00D80638" w:rsidRPr="00A81438" w14:paraId="62EF5309" w14:textId="77777777" w:rsidTr="00D80638">
        <w:trPr>
          <w:cantSplit/>
          <w:trHeight w:val="20"/>
        </w:trPr>
        <w:tc>
          <w:tcPr>
            <w:tcW w:w="5000" w:type="pct"/>
            <w:vAlign w:val="center"/>
          </w:tcPr>
          <w:p w14:paraId="67527F6C" w14:textId="77777777" w:rsidR="00D80638" w:rsidRPr="00A81438" w:rsidRDefault="00D80638">
            <w:pPr>
              <w:rPr>
                <w:rFonts w:ascii="Arial Narrow" w:hAnsi="Arial Narrow"/>
                <w:b/>
                <w:bCs/>
                <w:sz w:val="20"/>
                <w:szCs w:val="20"/>
              </w:rPr>
            </w:pPr>
            <w:r w:rsidRPr="00A81438">
              <w:rPr>
                <w:rFonts w:ascii="Arial Narrow" w:hAnsi="Arial Narrow"/>
                <w:b/>
                <w:bCs/>
                <w:sz w:val="20"/>
                <w:szCs w:val="20"/>
              </w:rPr>
              <w:t>Clinical criteria:</w:t>
            </w:r>
          </w:p>
        </w:tc>
      </w:tr>
      <w:tr w:rsidR="00D80638" w:rsidRPr="00A81438" w14:paraId="09F3D96A" w14:textId="77777777" w:rsidTr="00D80638">
        <w:trPr>
          <w:cantSplit/>
          <w:trHeight w:val="20"/>
        </w:trPr>
        <w:tc>
          <w:tcPr>
            <w:tcW w:w="5000" w:type="pct"/>
            <w:vAlign w:val="center"/>
          </w:tcPr>
          <w:p w14:paraId="575C45EF" w14:textId="77777777" w:rsidR="00D80638" w:rsidRPr="00A81438" w:rsidRDefault="00D80638">
            <w:pPr>
              <w:rPr>
                <w:rFonts w:ascii="Arial Narrow" w:hAnsi="Arial Narrow"/>
                <w:b/>
                <w:bCs/>
                <w:sz w:val="20"/>
                <w:szCs w:val="20"/>
              </w:rPr>
            </w:pPr>
            <w:r w:rsidRPr="00A81438">
              <w:rPr>
                <w:rFonts w:ascii="Arial Narrow" w:hAnsi="Arial Narrow"/>
                <w:sz w:val="20"/>
                <w:szCs w:val="20"/>
              </w:rPr>
              <w:t xml:space="preserve">The treatment must be for adjuvant therapy that is/was initiated within </w:t>
            </w:r>
            <w:r w:rsidRPr="00A81438">
              <w:rPr>
                <w:rFonts w:ascii="Arial Narrow" w:hAnsi="Arial Narrow"/>
                <w:i/>
                <w:iCs/>
                <w:sz w:val="20"/>
                <w:szCs w:val="20"/>
              </w:rPr>
              <w:t>42 to</w:t>
            </w:r>
            <w:r w:rsidRPr="00A81438">
              <w:rPr>
                <w:rFonts w:ascii="Arial Narrow" w:hAnsi="Arial Narrow"/>
                <w:sz w:val="20"/>
                <w:szCs w:val="20"/>
              </w:rPr>
              <w:t xml:space="preserve"> 120 days of radical cystectomy for this condition</w:t>
            </w:r>
          </w:p>
        </w:tc>
      </w:tr>
      <w:tr w:rsidR="00D80638" w:rsidRPr="00A81438" w14:paraId="35031692" w14:textId="77777777" w:rsidTr="00D80638">
        <w:trPr>
          <w:cantSplit/>
          <w:trHeight w:val="20"/>
        </w:trPr>
        <w:tc>
          <w:tcPr>
            <w:tcW w:w="5000" w:type="pct"/>
            <w:vAlign w:val="center"/>
          </w:tcPr>
          <w:p w14:paraId="70C79DF1" w14:textId="77777777" w:rsidR="00D80638" w:rsidRPr="00A81438" w:rsidRDefault="00D80638">
            <w:pPr>
              <w:rPr>
                <w:rFonts w:ascii="Arial Narrow" w:hAnsi="Arial Narrow"/>
                <w:sz w:val="20"/>
                <w:szCs w:val="20"/>
              </w:rPr>
            </w:pPr>
            <w:r w:rsidRPr="00A81438">
              <w:rPr>
                <w:rFonts w:ascii="Arial Narrow" w:hAnsi="Arial Narrow"/>
                <w:b/>
                <w:bCs/>
                <w:sz w:val="20"/>
                <w:szCs w:val="20"/>
              </w:rPr>
              <w:t>Clinical criteria:</w:t>
            </w:r>
          </w:p>
        </w:tc>
      </w:tr>
      <w:tr w:rsidR="00D80638" w:rsidRPr="008116EF" w14:paraId="0A45D535" w14:textId="77777777" w:rsidTr="00D80638">
        <w:trPr>
          <w:cantSplit/>
          <w:trHeight w:val="20"/>
        </w:trPr>
        <w:tc>
          <w:tcPr>
            <w:tcW w:w="5000" w:type="pct"/>
            <w:vAlign w:val="center"/>
          </w:tcPr>
          <w:p w14:paraId="78798376" w14:textId="77777777" w:rsidR="00D80638" w:rsidRDefault="00D80638">
            <w:pPr>
              <w:rPr>
                <w:rFonts w:ascii="Arial Narrow" w:hAnsi="Arial Narrow"/>
                <w:strike/>
                <w:sz w:val="20"/>
                <w:szCs w:val="20"/>
              </w:rPr>
            </w:pPr>
            <w:r w:rsidRPr="008116EF">
              <w:rPr>
                <w:rFonts w:ascii="Arial Narrow" w:hAnsi="Arial Narrow"/>
                <w:strike/>
                <w:sz w:val="20"/>
                <w:szCs w:val="20"/>
              </w:rPr>
              <w:t>The treatment must be as monotherapy</w:t>
            </w:r>
          </w:p>
          <w:p w14:paraId="68B531D6" w14:textId="77777777" w:rsidR="00D80638" w:rsidRPr="008116EF" w:rsidRDefault="00D80638">
            <w:pPr>
              <w:rPr>
                <w:rFonts w:ascii="Arial Narrow" w:hAnsi="Arial Narrow"/>
                <w:i/>
                <w:iCs/>
                <w:sz w:val="20"/>
                <w:szCs w:val="20"/>
              </w:rPr>
            </w:pPr>
            <w:r w:rsidRPr="008116EF">
              <w:rPr>
                <w:rFonts w:ascii="Arial Narrow" w:hAnsi="Arial Narrow"/>
                <w:i/>
                <w:iCs/>
                <w:sz w:val="20"/>
                <w:szCs w:val="20"/>
              </w:rPr>
              <w:t>The treatment must be the sole PBS-subsidised systemic anti-cancer therapy for this PBS indication</w:t>
            </w:r>
          </w:p>
        </w:tc>
      </w:tr>
      <w:tr w:rsidR="00D80638" w:rsidRPr="00A81438" w14:paraId="0C6CEBF8" w14:textId="77777777" w:rsidTr="00D80638">
        <w:trPr>
          <w:cantSplit/>
          <w:trHeight w:val="20"/>
        </w:trPr>
        <w:tc>
          <w:tcPr>
            <w:tcW w:w="5000" w:type="pct"/>
            <w:vAlign w:val="center"/>
          </w:tcPr>
          <w:p w14:paraId="0D157D19" w14:textId="77777777" w:rsidR="00D80638" w:rsidRPr="00A81438" w:rsidRDefault="00D80638">
            <w:pPr>
              <w:rPr>
                <w:rFonts w:ascii="Arial Narrow" w:hAnsi="Arial Narrow"/>
                <w:sz w:val="20"/>
                <w:szCs w:val="20"/>
              </w:rPr>
            </w:pPr>
            <w:r w:rsidRPr="00A81438">
              <w:rPr>
                <w:rFonts w:ascii="Arial Narrow" w:hAnsi="Arial Narrow"/>
                <w:b/>
                <w:bCs/>
                <w:sz w:val="20"/>
                <w:szCs w:val="20"/>
              </w:rPr>
              <w:t>AND</w:t>
            </w:r>
          </w:p>
        </w:tc>
      </w:tr>
      <w:tr w:rsidR="00D80638" w:rsidRPr="00A81438" w14:paraId="1CFAD9CD" w14:textId="77777777" w:rsidTr="00D80638">
        <w:trPr>
          <w:cantSplit/>
          <w:trHeight w:val="20"/>
        </w:trPr>
        <w:tc>
          <w:tcPr>
            <w:tcW w:w="5000" w:type="pct"/>
            <w:vAlign w:val="center"/>
          </w:tcPr>
          <w:p w14:paraId="66531934" w14:textId="77777777" w:rsidR="00D80638" w:rsidRPr="00A81438" w:rsidRDefault="00D80638">
            <w:pPr>
              <w:rPr>
                <w:rFonts w:ascii="Arial Narrow" w:hAnsi="Arial Narrow"/>
                <w:sz w:val="20"/>
                <w:szCs w:val="20"/>
              </w:rPr>
            </w:pPr>
            <w:r w:rsidRPr="00A81438">
              <w:rPr>
                <w:rFonts w:ascii="Arial Narrow" w:hAnsi="Arial Narrow"/>
                <w:b/>
                <w:bCs/>
                <w:sz w:val="20"/>
                <w:szCs w:val="20"/>
              </w:rPr>
              <w:t>Clinical criteria:</w:t>
            </w:r>
          </w:p>
        </w:tc>
      </w:tr>
      <w:tr w:rsidR="00D80638" w:rsidRPr="00A81438" w14:paraId="24E40B0A" w14:textId="77777777" w:rsidTr="00D80638">
        <w:trPr>
          <w:cantSplit/>
          <w:trHeight w:val="20"/>
        </w:trPr>
        <w:tc>
          <w:tcPr>
            <w:tcW w:w="5000" w:type="pct"/>
            <w:vAlign w:val="center"/>
          </w:tcPr>
          <w:p w14:paraId="490D78E7" w14:textId="165E2DAE" w:rsidR="00D80638" w:rsidRPr="00A81438" w:rsidRDefault="00D80638">
            <w:pPr>
              <w:rPr>
                <w:rFonts w:ascii="Arial Narrow" w:hAnsi="Arial Narrow"/>
                <w:sz w:val="20"/>
                <w:szCs w:val="20"/>
              </w:rPr>
            </w:pPr>
            <w:r w:rsidRPr="00A81438">
              <w:rPr>
                <w:rFonts w:ascii="Arial Narrow" w:hAnsi="Arial Narrow"/>
                <w:sz w:val="20"/>
                <w:szCs w:val="20"/>
              </w:rPr>
              <w:t>Patient must have received prior neoadjuvant chemotherapy with gemcitabine plus cisplatin for this condition</w:t>
            </w:r>
          </w:p>
        </w:tc>
      </w:tr>
      <w:tr w:rsidR="00D80638" w:rsidRPr="00EA66A3" w14:paraId="000F5D9F" w14:textId="77777777" w:rsidTr="00D80638">
        <w:trPr>
          <w:cantSplit/>
          <w:trHeight w:val="20"/>
        </w:trPr>
        <w:tc>
          <w:tcPr>
            <w:tcW w:w="5000" w:type="pct"/>
            <w:vAlign w:val="center"/>
          </w:tcPr>
          <w:p w14:paraId="14F11716" w14:textId="77777777" w:rsidR="00D80638" w:rsidRPr="00EA66A3" w:rsidRDefault="00D80638">
            <w:pPr>
              <w:rPr>
                <w:rFonts w:ascii="Arial Narrow" w:hAnsi="Arial Narrow"/>
                <w:i/>
                <w:iCs/>
                <w:sz w:val="20"/>
                <w:szCs w:val="20"/>
              </w:rPr>
            </w:pPr>
            <w:r w:rsidRPr="00EA66A3">
              <w:rPr>
                <w:rFonts w:ascii="Arial Narrow" w:hAnsi="Arial Narrow"/>
                <w:b/>
                <w:bCs/>
                <w:i/>
                <w:iCs/>
                <w:sz w:val="20"/>
                <w:szCs w:val="20"/>
              </w:rPr>
              <w:t>AND</w:t>
            </w:r>
          </w:p>
        </w:tc>
      </w:tr>
      <w:tr w:rsidR="00D80638" w:rsidRPr="00A81438" w14:paraId="1094F61A" w14:textId="77777777" w:rsidTr="00D80638">
        <w:trPr>
          <w:cantSplit/>
          <w:trHeight w:val="20"/>
        </w:trPr>
        <w:tc>
          <w:tcPr>
            <w:tcW w:w="5000" w:type="pct"/>
            <w:vAlign w:val="center"/>
          </w:tcPr>
          <w:p w14:paraId="26C28C81" w14:textId="77777777" w:rsidR="00D80638" w:rsidRPr="00A81438" w:rsidRDefault="00D80638">
            <w:pPr>
              <w:rPr>
                <w:rFonts w:ascii="Arial Narrow" w:hAnsi="Arial Narrow"/>
                <w:b/>
                <w:bCs/>
                <w:sz w:val="20"/>
                <w:szCs w:val="20"/>
              </w:rPr>
            </w:pPr>
            <w:r w:rsidRPr="00A81438">
              <w:rPr>
                <w:rFonts w:ascii="Arial Narrow" w:hAnsi="Arial Narrow"/>
                <w:b/>
                <w:bCs/>
                <w:sz w:val="20"/>
                <w:szCs w:val="20"/>
              </w:rPr>
              <w:t>Treatment criteria:</w:t>
            </w:r>
          </w:p>
        </w:tc>
      </w:tr>
      <w:tr w:rsidR="00D80638" w:rsidRPr="00A81438" w14:paraId="50D4E95B" w14:textId="77777777" w:rsidTr="00D80638">
        <w:trPr>
          <w:cantSplit/>
          <w:trHeight w:val="20"/>
        </w:trPr>
        <w:tc>
          <w:tcPr>
            <w:tcW w:w="5000" w:type="pct"/>
            <w:vAlign w:val="center"/>
          </w:tcPr>
          <w:p w14:paraId="6E691844" w14:textId="77777777" w:rsidR="00D80638" w:rsidRPr="00A81438" w:rsidRDefault="00D80638">
            <w:pPr>
              <w:rPr>
                <w:rFonts w:ascii="Arial Narrow" w:hAnsi="Arial Narrow"/>
                <w:sz w:val="20"/>
                <w:szCs w:val="20"/>
              </w:rPr>
            </w:pPr>
            <w:r w:rsidRPr="00A81438">
              <w:rPr>
                <w:rFonts w:ascii="Arial Narrow" w:hAnsi="Arial Narrow"/>
                <w:sz w:val="20"/>
                <w:szCs w:val="20"/>
              </w:rPr>
              <w:t xml:space="preserve">Patient must be undergoing treatment that does not occur beyond the following, whichever comes first: (i) </w:t>
            </w:r>
            <w:r w:rsidRPr="0018531F">
              <w:rPr>
                <w:rFonts w:ascii="Arial Narrow" w:hAnsi="Arial Narrow"/>
                <w:sz w:val="20"/>
                <w:szCs w:val="20"/>
              </w:rPr>
              <w:t>the first instance of</w:t>
            </w:r>
            <w:r w:rsidRPr="00A81438">
              <w:rPr>
                <w:rFonts w:ascii="Arial Narrow" w:hAnsi="Arial Narrow"/>
                <w:sz w:val="20"/>
                <w:szCs w:val="20"/>
              </w:rPr>
              <w:t xml:space="preserve"> disease progression/recurrence, (ii) maximum of 8 </w:t>
            </w:r>
            <w:r w:rsidRPr="004E19E5">
              <w:rPr>
                <w:rFonts w:ascii="Arial Narrow" w:hAnsi="Arial Narrow"/>
                <w:strike/>
                <w:sz w:val="20"/>
                <w:szCs w:val="20"/>
              </w:rPr>
              <w:t>months</w:t>
            </w:r>
            <w:r>
              <w:rPr>
                <w:rFonts w:ascii="Arial Narrow" w:hAnsi="Arial Narrow"/>
                <w:sz w:val="20"/>
                <w:szCs w:val="20"/>
              </w:rPr>
              <w:t xml:space="preserve"> </w:t>
            </w:r>
            <w:r w:rsidRPr="004E19E5">
              <w:rPr>
                <w:rFonts w:ascii="Arial Narrow" w:hAnsi="Arial Narrow"/>
                <w:i/>
                <w:iCs/>
                <w:sz w:val="20"/>
                <w:szCs w:val="20"/>
              </w:rPr>
              <w:t>cycles</w:t>
            </w:r>
            <w:r w:rsidRPr="00A81438">
              <w:rPr>
                <w:rFonts w:ascii="Arial Narrow" w:hAnsi="Arial Narrow"/>
                <w:sz w:val="20"/>
                <w:szCs w:val="20"/>
              </w:rPr>
              <w:t xml:space="preserve"> for this condition from the first administered dose following radical cystectomy, (iii) unacceptable toxicity; annotate any remaining repeat prescriptions with the word 'cancelled' where this occurs</w:t>
            </w:r>
          </w:p>
        </w:tc>
      </w:tr>
      <w:tr w:rsidR="00D80638" w:rsidRPr="00A81438" w14:paraId="1993533E" w14:textId="77777777" w:rsidTr="00D80638">
        <w:trPr>
          <w:cantSplit/>
          <w:trHeight w:val="20"/>
        </w:trPr>
        <w:tc>
          <w:tcPr>
            <w:tcW w:w="5000" w:type="pct"/>
            <w:vAlign w:val="center"/>
          </w:tcPr>
          <w:p w14:paraId="5FB40E3E" w14:textId="77777777" w:rsidR="00D80638" w:rsidRPr="00A81438" w:rsidRDefault="00D80638">
            <w:pPr>
              <w:rPr>
                <w:rFonts w:ascii="Arial Narrow" w:hAnsi="Arial Narrow"/>
                <w:b/>
                <w:bCs/>
                <w:strike/>
                <w:sz w:val="20"/>
                <w:szCs w:val="20"/>
              </w:rPr>
            </w:pPr>
            <w:r w:rsidRPr="00A81438">
              <w:rPr>
                <w:rFonts w:ascii="Arial Narrow" w:hAnsi="Arial Narrow"/>
                <w:b/>
                <w:bCs/>
                <w:strike/>
                <w:sz w:val="20"/>
                <w:szCs w:val="20"/>
              </w:rPr>
              <w:t>Administration advice</w:t>
            </w:r>
            <w:r w:rsidRPr="00A81438">
              <w:rPr>
                <w:rFonts w:ascii="Arial Narrow" w:hAnsi="Arial Narrow"/>
                <w:b/>
                <w:bCs/>
                <w:i/>
                <w:iCs/>
                <w:strike/>
                <w:sz w:val="20"/>
                <w:szCs w:val="20"/>
              </w:rPr>
              <w:t>:</w:t>
            </w:r>
            <w:r w:rsidRPr="00A81438">
              <w:rPr>
                <w:rFonts w:ascii="Arial Narrow" w:hAnsi="Arial Narrow"/>
                <w:b/>
                <w:bCs/>
                <w:strike/>
                <w:sz w:val="20"/>
                <w:szCs w:val="20"/>
              </w:rPr>
              <w:t xml:space="preserve"> </w:t>
            </w:r>
            <w:r w:rsidRPr="00A81438">
              <w:rPr>
                <w:rFonts w:ascii="Arial Narrow" w:hAnsi="Arial Narrow"/>
                <w:strike/>
                <w:sz w:val="20"/>
                <w:szCs w:val="20"/>
              </w:rPr>
              <w:t>The prescribing dose is 1500 mg administered every 4 weeks</w:t>
            </w:r>
          </w:p>
        </w:tc>
      </w:tr>
      <w:tr w:rsidR="00D80638" w:rsidRPr="00A81438" w14:paraId="19450ABD" w14:textId="77777777" w:rsidTr="00D80638">
        <w:trPr>
          <w:cantSplit/>
          <w:trHeight w:val="20"/>
        </w:trPr>
        <w:tc>
          <w:tcPr>
            <w:tcW w:w="5000" w:type="pct"/>
          </w:tcPr>
          <w:p w14:paraId="7C385C97" w14:textId="77777777" w:rsidR="00D80638" w:rsidRPr="00A81438" w:rsidRDefault="00D80638">
            <w:pPr>
              <w:rPr>
                <w:rFonts w:ascii="Arial Narrow" w:hAnsi="Arial Narrow"/>
                <w:b/>
                <w:bCs/>
                <w:sz w:val="20"/>
                <w:szCs w:val="20"/>
              </w:rPr>
            </w:pPr>
            <w:r w:rsidRPr="00A81438">
              <w:rPr>
                <w:rFonts w:ascii="Arial Narrow" w:eastAsia="Calibri" w:hAnsi="Arial Narrow" w:cs="Calibri"/>
                <w:b/>
                <w:bCs/>
                <w:i/>
                <w:iCs/>
                <w:sz w:val="20"/>
                <w:szCs w:val="20"/>
              </w:rPr>
              <w:lastRenderedPageBreak/>
              <w:t xml:space="preserve">Prescribing Instruction: </w:t>
            </w:r>
            <w:r w:rsidRPr="00A81438">
              <w:rPr>
                <w:rFonts w:ascii="Arial Narrow" w:eastAsia="Calibri" w:hAnsi="Arial Narrow" w:cs="Calibri"/>
                <w:i/>
                <w:iCs/>
                <w:sz w:val="20"/>
                <w:szCs w:val="20"/>
              </w:rPr>
              <w:t>Patients with a body weight of 30 kg or less must receive weight-based dosing of durvalumab at 20 mg/kg as per the TGA approved Product Information</w:t>
            </w:r>
          </w:p>
        </w:tc>
      </w:tr>
      <w:tr w:rsidR="00D80638" w:rsidRPr="00A81438" w14:paraId="57D97E9B" w14:textId="77777777" w:rsidTr="00D80638">
        <w:trPr>
          <w:cantSplit/>
          <w:trHeight w:val="20"/>
        </w:trPr>
        <w:tc>
          <w:tcPr>
            <w:tcW w:w="5000" w:type="pct"/>
          </w:tcPr>
          <w:p w14:paraId="565A0E0A" w14:textId="77777777" w:rsidR="00D80638" w:rsidRPr="00A81438" w:rsidRDefault="00D80638">
            <w:pPr>
              <w:rPr>
                <w:rFonts w:ascii="Arial Narrow" w:eastAsia="Calibri" w:hAnsi="Arial Narrow" w:cs="Calibri"/>
                <w:b/>
                <w:bCs/>
                <w:i/>
                <w:iCs/>
                <w:sz w:val="20"/>
                <w:szCs w:val="20"/>
              </w:rPr>
            </w:pPr>
            <w:r w:rsidRPr="00A81438">
              <w:rPr>
                <w:rFonts w:ascii="Arial Narrow" w:eastAsia="Calibri" w:hAnsi="Arial Narrow" w:cs="Calibri"/>
                <w:b/>
                <w:bCs/>
                <w:i/>
                <w:iCs/>
                <w:sz w:val="20"/>
                <w:szCs w:val="20"/>
              </w:rPr>
              <w:t xml:space="preserve">Prescribing Instruction: </w:t>
            </w:r>
            <w:r w:rsidRPr="00EA66A3">
              <w:rPr>
                <w:rFonts w:ascii="Arial Narrow" w:hAnsi="Arial Narrow"/>
                <w:i/>
                <w:iCs/>
                <w:sz w:val="20"/>
                <w:szCs w:val="20"/>
              </w:rPr>
              <w:t>Treatment with this drug for this condition must not exceed 12 treatment cycles (neoadjuvant and adjuvant) in a lifetime</w:t>
            </w:r>
          </w:p>
        </w:tc>
      </w:tr>
    </w:tbl>
    <w:bookmarkEnd w:id="17"/>
    <w:p w14:paraId="1D07E451" w14:textId="28A2D10B" w:rsidR="00E073E8" w:rsidRPr="00DF1914" w:rsidRDefault="00E073E8" w:rsidP="00C2755B">
      <w:pPr>
        <w:pStyle w:val="3-BodyText"/>
        <w:spacing w:before="240"/>
      </w:pPr>
      <w:r w:rsidRPr="00DF1914">
        <w:t>The submission requested a Special Pricing Arrangement (SPA)</w:t>
      </w:r>
      <w:r>
        <w:t xml:space="preserve">. </w:t>
      </w:r>
      <w:r w:rsidRPr="00DF1914">
        <w:t xml:space="preserve">The requested effective </w:t>
      </w:r>
      <w:r>
        <w:t xml:space="preserve">ex-manufacturer </w:t>
      </w:r>
      <w:r w:rsidRPr="00DF1914">
        <w:t>price is $</w:t>
      </w:r>
      <w:r w:rsidR="000F4FEC" w:rsidRPr="000F4FEC">
        <w:rPr>
          <w:highlight w:val="black"/>
        </w:rPr>
        <w:t>@@@@</w:t>
      </w:r>
      <w:r w:rsidRPr="00DF1914">
        <w:t xml:space="preserve"> per 500 mg vial</w:t>
      </w:r>
      <w:r w:rsidR="00DA1FE7">
        <w:t>.</w:t>
      </w:r>
      <w:r w:rsidRPr="00DF1914">
        <w:t xml:space="preserve"> </w:t>
      </w:r>
    </w:p>
    <w:p w14:paraId="52CEB71D" w14:textId="5F43975D" w:rsidR="00E073E8" w:rsidRPr="00781A2E" w:rsidRDefault="00E073E8" w:rsidP="00E073E8">
      <w:pPr>
        <w:pStyle w:val="3-BodyText"/>
      </w:pPr>
      <w:bookmarkStart w:id="18" w:name="_Ref213686639"/>
      <w:r w:rsidRPr="00CE2C7B">
        <w:t>The</w:t>
      </w:r>
      <w:r w:rsidR="00CD0D02">
        <w:t xml:space="preserve"> PBAC agreed with the</w:t>
      </w:r>
      <w:r w:rsidRPr="00CE2C7B">
        <w:t xml:space="preserve"> submission </w:t>
      </w:r>
      <w:r w:rsidR="00CD0D02">
        <w:t>that</w:t>
      </w:r>
      <w:r w:rsidR="00CD0D02" w:rsidRPr="00CE2C7B">
        <w:t xml:space="preserve"> </w:t>
      </w:r>
      <w:r w:rsidRPr="00CE2C7B">
        <w:t>a flow-on change to the existing PBS items for adjuvant nivolumab for MIBC</w:t>
      </w:r>
      <w:r w:rsidR="002C02B5">
        <w:t xml:space="preserve"> would be appropriate</w:t>
      </w:r>
      <w:r w:rsidRPr="00CE2C7B">
        <w:t xml:space="preserve"> </w:t>
      </w:r>
      <w:r>
        <w:t>if</w:t>
      </w:r>
      <w:r w:rsidR="006F22FC">
        <w:t>/when</w:t>
      </w:r>
      <w:r w:rsidRPr="00CE2C7B">
        <w:t xml:space="preserve"> </w:t>
      </w:r>
      <w:r>
        <w:t>durvalumab</w:t>
      </w:r>
      <w:r w:rsidRPr="00CE2C7B">
        <w:t xml:space="preserve"> is listed. This was proposed in order to reflect the once-per-lifetime use of immunotherapy, which is consistent with other PBS listings for locally advanced and metastatic urothelial carcinoma</w:t>
      </w:r>
      <w:r w:rsidRPr="00781A2E">
        <w:t>.</w:t>
      </w:r>
      <w:bookmarkEnd w:id="18"/>
    </w:p>
    <w:tbl>
      <w:tblPr>
        <w:tblStyle w:val="AZTable"/>
        <w:tblW w:w="0" w:type="auto"/>
        <w:tblLook w:val="04A0" w:firstRow="1" w:lastRow="0" w:firstColumn="1" w:lastColumn="0" w:noHBand="0" w:noVBand="1"/>
        <w:tblCaption w:val="Flow on changes to adjuvant nivolumab for MIBC "/>
      </w:tblPr>
      <w:tblGrid>
        <w:gridCol w:w="1271"/>
        <w:gridCol w:w="7745"/>
      </w:tblGrid>
      <w:tr w:rsidR="003F65AA" w:rsidRPr="00DF1914" w14:paraId="33B71B2A" w14:textId="77777777" w:rsidTr="00F7183A">
        <w:trPr>
          <w:cnfStyle w:val="100000000000" w:firstRow="1" w:lastRow="0" w:firstColumn="0" w:lastColumn="0" w:oddVBand="0" w:evenVBand="0" w:oddHBand="0" w:evenHBand="0" w:firstRowFirstColumn="0" w:firstRowLastColumn="0" w:lastRowFirstColumn="0" w:lastRowLastColumn="0"/>
        </w:trPr>
        <w:tc>
          <w:tcPr>
            <w:tcW w:w="1271" w:type="dxa"/>
            <w:shd w:val="clear" w:color="auto" w:fill="F2F2F2" w:themeFill="background1" w:themeFillShade="F2"/>
          </w:tcPr>
          <w:p w14:paraId="5F53BC82" w14:textId="77777777" w:rsidR="00E073E8" w:rsidRPr="00DF1914" w:rsidRDefault="00E073E8">
            <w:pPr>
              <w:rPr>
                <w:rFonts w:ascii="Arial Narrow" w:eastAsia="Calibri" w:hAnsi="Arial Narrow"/>
                <w:bCs/>
                <w:sz w:val="22"/>
                <w:szCs w:val="22"/>
              </w:rPr>
            </w:pPr>
            <w:r w:rsidRPr="00DF1914">
              <w:rPr>
                <w:rFonts w:ascii="Arial Narrow" w:eastAsia="Calibri" w:hAnsi="Arial Narrow"/>
                <w:bCs/>
                <w:sz w:val="22"/>
                <w:szCs w:val="22"/>
              </w:rPr>
              <w:t>PBS items</w:t>
            </w:r>
          </w:p>
        </w:tc>
        <w:tc>
          <w:tcPr>
            <w:tcW w:w="7745" w:type="dxa"/>
            <w:shd w:val="clear" w:color="auto" w:fill="F2F2F2" w:themeFill="background1" w:themeFillShade="F2"/>
          </w:tcPr>
          <w:p w14:paraId="2A73B36D" w14:textId="77777777" w:rsidR="00E073E8" w:rsidRPr="00DF1914" w:rsidRDefault="00E073E8">
            <w:pPr>
              <w:rPr>
                <w:rFonts w:ascii="Arial Narrow" w:eastAsia="Calibri" w:hAnsi="Arial Narrow"/>
                <w:bCs/>
                <w:sz w:val="22"/>
                <w:szCs w:val="22"/>
              </w:rPr>
            </w:pPr>
            <w:r w:rsidRPr="00DF1914">
              <w:rPr>
                <w:rFonts w:ascii="Arial Narrow" w:eastAsia="Calibri" w:hAnsi="Arial Narrow"/>
                <w:bCs/>
                <w:sz w:val="22"/>
                <w:szCs w:val="22"/>
              </w:rPr>
              <w:t>Additional clinical criteria:</w:t>
            </w:r>
          </w:p>
        </w:tc>
      </w:tr>
      <w:tr w:rsidR="00E073E8" w:rsidRPr="00DF1914" w14:paraId="291C95D3" w14:textId="77777777">
        <w:tc>
          <w:tcPr>
            <w:tcW w:w="1271" w:type="dxa"/>
            <w:shd w:val="clear" w:color="auto" w:fill="F2F2F2" w:themeFill="background1" w:themeFillShade="F2"/>
          </w:tcPr>
          <w:p w14:paraId="1299E770" w14:textId="77777777" w:rsidR="00E073E8" w:rsidRPr="00DF1914" w:rsidRDefault="00E073E8">
            <w:pPr>
              <w:rPr>
                <w:rFonts w:ascii="Arial Narrow" w:eastAsia="Calibri" w:hAnsi="Arial Narrow"/>
                <w:sz w:val="20"/>
                <w:szCs w:val="22"/>
              </w:rPr>
            </w:pPr>
            <w:r w:rsidRPr="00DF1914">
              <w:rPr>
                <w:rFonts w:ascii="Arial Narrow" w:eastAsia="Calibri" w:hAnsi="Arial Narrow"/>
                <w:sz w:val="20"/>
                <w:szCs w:val="22"/>
              </w:rPr>
              <w:t>14231B</w:t>
            </w:r>
          </w:p>
          <w:p w14:paraId="35506A9C" w14:textId="77777777" w:rsidR="00E073E8" w:rsidRPr="00DF1914" w:rsidRDefault="00E073E8">
            <w:pPr>
              <w:rPr>
                <w:rFonts w:ascii="Arial Narrow" w:eastAsia="Calibri" w:hAnsi="Arial Narrow"/>
                <w:i/>
                <w:iCs/>
                <w:sz w:val="20"/>
                <w:szCs w:val="22"/>
              </w:rPr>
            </w:pPr>
            <w:r w:rsidRPr="00DF1914">
              <w:rPr>
                <w:rFonts w:ascii="Arial Narrow" w:eastAsia="Calibri" w:hAnsi="Arial Narrow"/>
                <w:sz w:val="20"/>
                <w:szCs w:val="22"/>
              </w:rPr>
              <w:t>14260M</w:t>
            </w:r>
          </w:p>
        </w:tc>
        <w:tc>
          <w:tcPr>
            <w:tcW w:w="7745" w:type="dxa"/>
            <w:shd w:val="clear" w:color="auto" w:fill="F2F2F2" w:themeFill="background1" w:themeFillShade="F2"/>
          </w:tcPr>
          <w:p w14:paraId="6916C1FA" w14:textId="77777777" w:rsidR="00E073E8" w:rsidRPr="00DF1914" w:rsidRDefault="00E073E8">
            <w:pPr>
              <w:rPr>
                <w:rFonts w:ascii="Arial Narrow" w:eastAsia="Calibri" w:hAnsi="Arial Narrow"/>
                <w:b/>
                <w:bCs/>
                <w:i/>
                <w:sz w:val="20"/>
                <w:szCs w:val="22"/>
              </w:rPr>
            </w:pPr>
            <w:r w:rsidRPr="00DF1914">
              <w:rPr>
                <w:rFonts w:ascii="Arial Narrow" w:eastAsia="Calibri" w:hAnsi="Arial Narrow"/>
                <w:i/>
                <w:iCs/>
                <w:sz w:val="20"/>
                <w:szCs w:val="22"/>
              </w:rPr>
              <w:t>Patient must not have received prior treatment with a programmed cell death-1 (PD-1) inhibitor or a programmed cell death ligand-1 (PD-L1) inhibitor for this condition</w:t>
            </w:r>
            <w:r w:rsidRPr="00DF1914">
              <w:rPr>
                <w:rFonts w:ascii="Arial Narrow" w:eastAsia="Calibri" w:hAnsi="Arial Narrow"/>
                <w:sz w:val="20"/>
                <w:szCs w:val="22"/>
              </w:rPr>
              <w:t>.</w:t>
            </w:r>
          </w:p>
        </w:tc>
      </w:tr>
    </w:tbl>
    <w:p w14:paraId="48AC78BF" w14:textId="77777777" w:rsidR="00E073E8" w:rsidRPr="00DF1914" w:rsidRDefault="00E073E8" w:rsidP="00E073E8">
      <w:pPr>
        <w:pStyle w:val="TableFigureFooter"/>
      </w:pPr>
      <w:r w:rsidRPr="00DF1914">
        <w:t>Source: Table 1-12; p31 of the submission</w:t>
      </w:r>
    </w:p>
    <w:p w14:paraId="1BA120F7" w14:textId="10B25B8B" w:rsidR="00E073E8" w:rsidRPr="00186D53" w:rsidRDefault="00E073E8" w:rsidP="00E073E8">
      <w:pPr>
        <w:pStyle w:val="3-BodyText"/>
      </w:pPr>
      <w:bookmarkStart w:id="19" w:name="_Hlk208240148"/>
      <w:r w:rsidRPr="00186D53">
        <w:t>A separate grandfathering listing was not requested in the submission. The</w:t>
      </w:r>
      <w:r w:rsidR="0010354E">
        <w:t xml:space="preserve"> PBAC acknowledged that</w:t>
      </w:r>
      <w:r w:rsidRPr="00186D53">
        <w:t xml:space="preserve"> proposed restrictions for initial and continuing treatment with </w:t>
      </w:r>
      <w:r>
        <w:t>durvalumab</w:t>
      </w:r>
      <w:r w:rsidRPr="00186D53">
        <w:t xml:space="preserve"> were worded to allow grandfathered patients from the planned patient access program to transition to PBS subsidised therapy</w:t>
      </w:r>
      <w:r w:rsidR="00053A80">
        <w:t>.</w:t>
      </w:r>
      <w:r w:rsidRPr="00186D53">
        <w:t xml:space="preserve"> </w:t>
      </w:r>
      <w:r w:rsidR="00053A80">
        <w:t>D</w:t>
      </w:r>
      <w:r>
        <w:t>urvalumab</w:t>
      </w:r>
      <w:r w:rsidRPr="00186D53">
        <w:t xml:space="preserve"> was anticipated to be provided via an Early Access Program for patients with MIBC following the drug’s registration. </w:t>
      </w:r>
      <w:bookmarkEnd w:id="19"/>
    </w:p>
    <w:p w14:paraId="78A729B3" w14:textId="4A73EDC9" w:rsidR="003A0919" w:rsidRPr="00361390" w:rsidRDefault="0069046B" w:rsidP="00361390">
      <w:pPr>
        <w:pStyle w:val="3-BodyText"/>
        <w:rPr>
          <w:color w:val="000000" w:themeColor="text1"/>
        </w:rPr>
      </w:pPr>
      <w:r w:rsidRPr="00705E6F">
        <w:rPr>
          <w:color w:val="000000" w:themeColor="text1"/>
        </w:rPr>
        <w:t>T</w:t>
      </w:r>
      <w:r w:rsidR="008E1CD9" w:rsidRPr="00705E6F">
        <w:rPr>
          <w:color w:val="000000" w:themeColor="text1"/>
        </w:rPr>
        <w:t xml:space="preserve">he </w:t>
      </w:r>
      <w:r w:rsidR="007647E5" w:rsidRPr="004E055B">
        <w:rPr>
          <w:color w:val="000000" w:themeColor="text1"/>
        </w:rPr>
        <w:t xml:space="preserve">requested restriction did not propose a timeframe </w:t>
      </w:r>
      <w:r w:rsidR="00D13CE7" w:rsidRPr="004E055B">
        <w:rPr>
          <w:color w:val="000000" w:themeColor="text1"/>
        </w:rPr>
        <w:t xml:space="preserve">between </w:t>
      </w:r>
      <w:r w:rsidR="00163690" w:rsidRPr="004E055B">
        <w:rPr>
          <w:color w:val="000000" w:themeColor="text1"/>
        </w:rPr>
        <w:t>patients receiving neoadjuvant durval</w:t>
      </w:r>
      <w:r w:rsidR="00590F43" w:rsidRPr="004E055B">
        <w:rPr>
          <w:color w:val="000000" w:themeColor="text1"/>
        </w:rPr>
        <w:t>umab</w:t>
      </w:r>
      <w:r w:rsidR="0046069E" w:rsidRPr="004E055B">
        <w:rPr>
          <w:color w:val="000000" w:themeColor="text1"/>
        </w:rPr>
        <w:t xml:space="preserve"> and undergoing surgery.</w:t>
      </w:r>
      <w:r w:rsidR="007C731C">
        <w:rPr>
          <w:color w:val="000000" w:themeColor="text1"/>
        </w:rPr>
        <w:t xml:space="preserve"> </w:t>
      </w:r>
      <w:r w:rsidR="007C731C" w:rsidRPr="00367355">
        <w:rPr>
          <w:iCs/>
          <w:color w:val="000000" w:themeColor="text1"/>
        </w:rPr>
        <w:t xml:space="preserve">The </w:t>
      </w:r>
      <w:r w:rsidR="00743C49" w:rsidRPr="00367355">
        <w:rPr>
          <w:iCs/>
          <w:color w:val="000000" w:themeColor="text1"/>
        </w:rPr>
        <w:t>NIAGARA</w:t>
      </w:r>
      <w:r w:rsidR="007C731C" w:rsidRPr="00367355">
        <w:rPr>
          <w:iCs/>
          <w:color w:val="000000" w:themeColor="text1"/>
        </w:rPr>
        <w:t xml:space="preserve"> trial specified </w:t>
      </w:r>
      <w:r w:rsidR="007310FA" w:rsidRPr="00367355">
        <w:rPr>
          <w:iCs/>
          <w:color w:val="000000" w:themeColor="text1"/>
        </w:rPr>
        <w:t xml:space="preserve">RC </w:t>
      </w:r>
      <w:r w:rsidR="003A51AC" w:rsidRPr="00367355">
        <w:rPr>
          <w:iCs/>
          <w:color w:val="000000" w:themeColor="text1"/>
        </w:rPr>
        <w:t>should</w:t>
      </w:r>
      <w:r w:rsidR="007310FA" w:rsidRPr="00367355">
        <w:rPr>
          <w:iCs/>
          <w:color w:val="000000" w:themeColor="text1"/>
        </w:rPr>
        <w:t xml:space="preserve"> be performed as soon as possible after completion of, and recovery from, neoadjuvant therapy and was recommended to occur within 56 days after the last dose of neoadjuvant chemotherapy. </w:t>
      </w:r>
      <w:r w:rsidR="005028F9" w:rsidRPr="00367355">
        <w:rPr>
          <w:iCs/>
          <w:color w:val="000000" w:themeColor="text1"/>
        </w:rPr>
        <w:t>RC</w:t>
      </w:r>
      <w:r w:rsidR="007310FA" w:rsidRPr="00367355">
        <w:rPr>
          <w:iCs/>
          <w:color w:val="000000" w:themeColor="text1"/>
        </w:rPr>
        <w:t xml:space="preserve"> was not recommended earlier than 14 days after the last dose of neoadjuvant therapy</w:t>
      </w:r>
      <w:r w:rsidR="00D327ED" w:rsidRPr="00367355">
        <w:rPr>
          <w:iCs/>
          <w:color w:val="000000" w:themeColor="text1"/>
        </w:rPr>
        <w:t>. Delays up to 70 days (the outer limit supported by guidelines) due to medical reasons were permitted</w:t>
      </w:r>
      <w:r w:rsidR="007310FA" w:rsidRPr="00367355">
        <w:rPr>
          <w:iCs/>
          <w:color w:val="000000" w:themeColor="text1"/>
        </w:rPr>
        <w:t>.</w:t>
      </w:r>
      <w:r w:rsidR="00361390" w:rsidRPr="00FF470D">
        <w:rPr>
          <w:color w:val="000000" w:themeColor="text1"/>
        </w:rPr>
        <w:t xml:space="preserve"> </w:t>
      </w:r>
      <w:r w:rsidR="00FF48B0" w:rsidRPr="00367355">
        <w:rPr>
          <w:iCs/>
          <w:color w:val="000000" w:themeColor="text1"/>
        </w:rPr>
        <w:t>The</w:t>
      </w:r>
      <w:r w:rsidR="00102993">
        <w:rPr>
          <w:iCs/>
          <w:color w:val="000000" w:themeColor="text1"/>
        </w:rPr>
        <w:t xml:space="preserve"> PBAC agreed with the</w:t>
      </w:r>
      <w:r w:rsidR="00FF48B0" w:rsidRPr="00367355">
        <w:rPr>
          <w:iCs/>
          <w:color w:val="000000" w:themeColor="text1"/>
        </w:rPr>
        <w:t xml:space="preserve"> ESC</w:t>
      </w:r>
      <w:r w:rsidR="00102993">
        <w:rPr>
          <w:iCs/>
          <w:color w:val="000000" w:themeColor="text1"/>
        </w:rPr>
        <w:t xml:space="preserve"> in</w:t>
      </w:r>
      <w:r w:rsidR="00FF48B0" w:rsidRPr="00367355">
        <w:rPr>
          <w:iCs/>
          <w:color w:val="000000" w:themeColor="text1"/>
        </w:rPr>
        <w:t xml:space="preserve"> consider</w:t>
      </w:r>
      <w:r w:rsidR="00102993">
        <w:rPr>
          <w:iCs/>
          <w:color w:val="000000" w:themeColor="text1"/>
        </w:rPr>
        <w:t>ing</w:t>
      </w:r>
      <w:r w:rsidR="00FF48B0" w:rsidRPr="00367355">
        <w:rPr>
          <w:iCs/>
          <w:color w:val="000000" w:themeColor="text1"/>
        </w:rPr>
        <w:t xml:space="preserve"> that </w:t>
      </w:r>
      <w:r w:rsidR="008A6FC2" w:rsidRPr="00367355">
        <w:rPr>
          <w:iCs/>
          <w:color w:val="000000" w:themeColor="text1"/>
        </w:rPr>
        <w:t>a timeframe between patients receiving neoadjuvant durvalumab and undergoing surgery</w:t>
      </w:r>
      <w:r w:rsidR="002873FA" w:rsidRPr="00367355">
        <w:rPr>
          <w:iCs/>
          <w:color w:val="000000" w:themeColor="text1"/>
        </w:rPr>
        <w:t xml:space="preserve"> </w:t>
      </w:r>
      <w:r w:rsidR="00FF48B0" w:rsidRPr="00367355">
        <w:rPr>
          <w:iCs/>
          <w:color w:val="000000" w:themeColor="text1"/>
        </w:rPr>
        <w:t>would not</w:t>
      </w:r>
      <w:r w:rsidR="001362F2">
        <w:rPr>
          <w:iCs/>
          <w:color w:val="000000" w:themeColor="text1"/>
        </w:rPr>
        <w:t xml:space="preserve"> be</w:t>
      </w:r>
      <w:r w:rsidR="00FF48B0" w:rsidRPr="00367355">
        <w:rPr>
          <w:iCs/>
          <w:color w:val="000000" w:themeColor="text1"/>
        </w:rPr>
        <w:t xml:space="preserve"> </w:t>
      </w:r>
      <w:r w:rsidR="002873FA" w:rsidRPr="00367355">
        <w:rPr>
          <w:iCs/>
          <w:color w:val="000000" w:themeColor="text1"/>
        </w:rPr>
        <w:t>need</w:t>
      </w:r>
      <w:r w:rsidR="001362F2">
        <w:rPr>
          <w:iCs/>
          <w:color w:val="000000" w:themeColor="text1"/>
        </w:rPr>
        <w:t>ed</w:t>
      </w:r>
      <w:r w:rsidR="00FF48B0" w:rsidRPr="00367355">
        <w:rPr>
          <w:iCs/>
          <w:color w:val="000000" w:themeColor="text1"/>
        </w:rPr>
        <w:t xml:space="preserve"> in the restriction </w:t>
      </w:r>
      <w:r w:rsidR="002873FA" w:rsidRPr="00367355">
        <w:rPr>
          <w:iCs/>
          <w:color w:val="000000" w:themeColor="text1"/>
        </w:rPr>
        <w:t>because</w:t>
      </w:r>
      <w:r w:rsidR="00FF48B0" w:rsidRPr="00367355">
        <w:rPr>
          <w:iCs/>
          <w:color w:val="000000" w:themeColor="text1"/>
        </w:rPr>
        <w:t xml:space="preserve"> it may preclude a small number of patients whose surgery was delayed and who may benefit from treatment.</w:t>
      </w:r>
    </w:p>
    <w:p w14:paraId="4C3292D2" w14:textId="344A19DF" w:rsidR="00CF5EC0" w:rsidRPr="00367355" w:rsidDel="007E72A6" w:rsidRDefault="00C96744" w:rsidP="00C96744">
      <w:pPr>
        <w:pStyle w:val="3-BodyText"/>
        <w:rPr>
          <w:iCs/>
          <w:color w:val="000000" w:themeColor="text1"/>
        </w:rPr>
      </w:pPr>
      <w:r w:rsidRPr="00367355">
        <w:rPr>
          <w:iCs/>
          <w:color w:val="000000" w:themeColor="text1"/>
        </w:rPr>
        <w:t xml:space="preserve">The proposed PBS restriction for continuing use of durvalumab </w:t>
      </w:r>
      <w:r w:rsidRPr="00367355">
        <w:rPr>
          <w:iCs/>
        </w:rPr>
        <w:t>require</w:t>
      </w:r>
      <w:r w:rsidR="0033181C">
        <w:rPr>
          <w:iCs/>
        </w:rPr>
        <w:t>d</w:t>
      </w:r>
      <w:r w:rsidRPr="00367355">
        <w:rPr>
          <w:iCs/>
        </w:rPr>
        <w:t xml:space="preserve"> patients to commence adjuvant therapy within 120 days of undergoing a RC</w:t>
      </w:r>
      <w:r w:rsidRPr="004E055B" w:rsidDel="007E72A6">
        <w:rPr>
          <w:color w:val="000000" w:themeColor="text1"/>
        </w:rPr>
        <w:t>.</w:t>
      </w:r>
      <w:r>
        <w:rPr>
          <w:color w:val="000000" w:themeColor="text1"/>
        </w:rPr>
        <w:t xml:space="preserve"> </w:t>
      </w:r>
      <w:r w:rsidRPr="004E055B" w:rsidDel="007E72A6">
        <w:rPr>
          <w:color w:val="000000" w:themeColor="text1"/>
        </w:rPr>
        <w:t>This is</w:t>
      </w:r>
      <w:r>
        <w:rPr>
          <w:color w:val="000000" w:themeColor="text1"/>
        </w:rPr>
        <w:t xml:space="preserve"> </w:t>
      </w:r>
      <w:r w:rsidRPr="00367355">
        <w:rPr>
          <w:iCs/>
          <w:color w:val="000000" w:themeColor="text1"/>
        </w:rPr>
        <w:t>broadly</w:t>
      </w:r>
      <w:r w:rsidRPr="004E055B" w:rsidDel="007E72A6">
        <w:rPr>
          <w:color w:val="000000" w:themeColor="text1"/>
        </w:rPr>
        <w:t xml:space="preserve"> in line </w:t>
      </w:r>
      <w:r w:rsidRPr="00367355">
        <w:rPr>
          <w:iCs/>
          <w:color w:val="000000" w:themeColor="text1"/>
        </w:rPr>
        <w:t>with the treatment scheme of the NIAGARA trial (42</w:t>
      </w:r>
      <w:r w:rsidRPr="00367355">
        <w:rPr>
          <w:rFonts w:cstheme="minorHAnsi"/>
          <w:iCs/>
          <w:color w:val="000000" w:themeColor="text1"/>
        </w:rPr>
        <w:t>−</w:t>
      </w:r>
      <w:r w:rsidRPr="00367355">
        <w:rPr>
          <w:iCs/>
          <w:color w:val="000000" w:themeColor="text1"/>
        </w:rPr>
        <w:t xml:space="preserve">120 days) and </w:t>
      </w:r>
      <w:r w:rsidRPr="004E055B" w:rsidDel="007E72A6">
        <w:rPr>
          <w:color w:val="000000" w:themeColor="text1"/>
        </w:rPr>
        <w:t xml:space="preserve">with the PBS restriction for the use of </w:t>
      </w:r>
      <w:r w:rsidRPr="004E055B">
        <w:rPr>
          <w:color w:val="000000" w:themeColor="text1"/>
        </w:rPr>
        <w:t xml:space="preserve">nivolumab </w:t>
      </w:r>
      <w:r w:rsidRPr="004E055B" w:rsidDel="007E72A6">
        <w:rPr>
          <w:color w:val="000000" w:themeColor="text1"/>
        </w:rPr>
        <w:t>as adjuvant therapy for patients with MIBC who are at high risk of disease recurrence.</w:t>
      </w:r>
      <w:r w:rsidR="004106BE">
        <w:rPr>
          <w:color w:val="000000" w:themeColor="text1"/>
        </w:rPr>
        <w:t xml:space="preserve"> </w:t>
      </w:r>
      <w:r w:rsidR="00D35D1D" w:rsidRPr="00367355">
        <w:rPr>
          <w:iCs/>
          <w:color w:val="000000" w:themeColor="text1"/>
        </w:rPr>
        <w:t>The</w:t>
      </w:r>
      <w:r w:rsidR="00E12DE6">
        <w:rPr>
          <w:iCs/>
          <w:color w:val="000000" w:themeColor="text1"/>
        </w:rPr>
        <w:t xml:space="preserve"> PBAC agreed with the</w:t>
      </w:r>
      <w:r w:rsidR="00D35D1D" w:rsidRPr="00367355">
        <w:rPr>
          <w:iCs/>
          <w:color w:val="000000" w:themeColor="text1"/>
        </w:rPr>
        <w:t xml:space="preserve"> ESC </w:t>
      </w:r>
      <w:r w:rsidR="00E12DE6">
        <w:rPr>
          <w:iCs/>
          <w:color w:val="000000" w:themeColor="text1"/>
        </w:rPr>
        <w:t>that</w:t>
      </w:r>
      <w:r w:rsidR="00E12DE6" w:rsidRPr="00367355">
        <w:rPr>
          <w:iCs/>
          <w:color w:val="000000" w:themeColor="text1"/>
        </w:rPr>
        <w:t xml:space="preserve"> </w:t>
      </w:r>
      <w:r w:rsidR="004106BE" w:rsidRPr="00367355">
        <w:rPr>
          <w:iCs/>
          <w:color w:val="000000" w:themeColor="text1"/>
        </w:rPr>
        <w:t xml:space="preserve">it </w:t>
      </w:r>
      <w:r w:rsidR="00C01A65" w:rsidRPr="00367355">
        <w:rPr>
          <w:iCs/>
          <w:color w:val="000000" w:themeColor="text1"/>
        </w:rPr>
        <w:t>may</w:t>
      </w:r>
      <w:r w:rsidR="004106BE" w:rsidRPr="00367355">
        <w:rPr>
          <w:iCs/>
          <w:color w:val="000000" w:themeColor="text1"/>
        </w:rPr>
        <w:t xml:space="preserve"> be appropriate to specify “within 6 months”</w:t>
      </w:r>
      <w:r w:rsidR="00D35D1D" w:rsidRPr="00367355">
        <w:rPr>
          <w:iCs/>
          <w:color w:val="000000" w:themeColor="text1"/>
        </w:rPr>
        <w:t xml:space="preserve"> in the criteria</w:t>
      </w:r>
      <w:r w:rsidR="004106BE" w:rsidRPr="00367355">
        <w:rPr>
          <w:iCs/>
          <w:color w:val="000000" w:themeColor="text1"/>
        </w:rPr>
        <w:t xml:space="preserve"> to allow for flexibility in clinical practice</w:t>
      </w:r>
      <w:r w:rsidR="00B9447C">
        <w:rPr>
          <w:iCs/>
          <w:color w:val="000000" w:themeColor="text1"/>
        </w:rPr>
        <w:t>.</w:t>
      </w:r>
    </w:p>
    <w:p w14:paraId="45E1155E" w14:textId="5C0028DF" w:rsidR="005F4249" w:rsidRPr="00CA0571" w:rsidRDefault="00E073E8" w:rsidP="00CA0571">
      <w:pPr>
        <w:pStyle w:val="3-BodyText"/>
        <w:rPr>
          <w:iCs/>
          <w:color w:val="000000" w:themeColor="text1"/>
          <w:lang w:val="en-GB"/>
        </w:rPr>
      </w:pPr>
      <w:bookmarkStart w:id="20" w:name="_Ref214014448"/>
      <w:r w:rsidRPr="004E055B">
        <w:rPr>
          <w:color w:val="000000" w:themeColor="text1"/>
        </w:rPr>
        <w:t xml:space="preserve">With regard to the nodal involvement and disease metastasis in the proposed population, the submission’s proposed restriction (MIBC clinical stage T2 to T4a) does </w:t>
      </w:r>
      <w:r w:rsidRPr="004E055B">
        <w:rPr>
          <w:color w:val="000000" w:themeColor="text1"/>
        </w:rPr>
        <w:lastRenderedPageBreak/>
        <w:t xml:space="preserve">not limit the use of perioperative durvalumab to patients who would reflect the NIAGARA trial population (stage N0 or N1, and stage M0). Therefore, patients with stage IIIb [T2-T4a, N2 or N3] and more advanced disease would also be eligible according to the proposed restriction. </w:t>
      </w:r>
      <w:r w:rsidR="00786D75" w:rsidRPr="00367355">
        <w:rPr>
          <w:iCs/>
          <w:color w:val="000000" w:themeColor="text1"/>
        </w:rPr>
        <w:t>The evaluation noted that</w:t>
      </w:r>
      <w:r w:rsidR="00786D75">
        <w:rPr>
          <w:color w:val="000000" w:themeColor="text1"/>
        </w:rPr>
        <w:t xml:space="preserve"> t</w:t>
      </w:r>
      <w:r w:rsidRPr="004E055B">
        <w:rPr>
          <w:color w:val="000000" w:themeColor="text1"/>
        </w:rPr>
        <w:t xml:space="preserve">here is limited clinical evidence to support the efficacy and safety of perioperative durvalumab in patients with MIBC who have nodal involvement beyond stage N1 or with metastatic disease. Of note, the trial population represents patients with MIBC who do not have nodal involvement because the vast majority of the </w:t>
      </w:r>
      <w:r w:rsidR="005A7B87">
        <w:rPr>
          <w:color w:val="000000" w:themeColor="text1"/>
        </w:rPr>
        <w:t>patients</w:t>
      </w:r>
      <w:r w:rsidRPr="004E055B">
        <w:rPr>
          <w:color w:val="000000" w:themeColor="text1"/>
        </w:rPr>
        <w:t xml:space="preserve"> (94.5%) had stage N0 MIBC</w:t>
      </w:r>
      <w:r w:rsidRPr="005C1394">
        <w:rPr>
          <w:color w:val="000000" w:themeColor="text1"/>
        </w:rPr>
        <w:t>.</w:t>
      </w:r>
      <w:r w:rsidR="00B94F5A" w:rsidRPr="005C1394">
        <w:rPr>
          <w:color w:val="000000" w:themeColor="text1"/>
        </w:rPr>
        <w:t xml:space="preserve"> </w:t>
      </w:r>
      <w:r w:rsidR="00B94F5A" w:rsidRPr="00367355">
        <w:rPr>
          <w:iCs/>
          <w:color w:val="000000" w:themeColor="text1"/>
        </w:rPr>
        <w:t xml:space="preserve">The </w:t>
      </w:r>
      <w:r w:rsidR="00A31522" w:rsidRPr="00367355">
        <w:rPr>
          <w:iCs/>
          <w:color w:val="000000" w:themeColor="text1"/>
        </w:rPr>
        <w:t>Pre-Sub-Committee Response (P</w:t>
      </w:r>
      <w:r w:rsidR="00B94F5A" w:rsidRPr="00367355">
        <w:rPr>
          <w:iCs/>
          <w:color w:val="000000" w:themeColor="text1"/>
        </w:rPr>
        <w:t>SCR</w:t>
      </w:r>
      <w:r w:rsidR="00A31522" w:rsidRPr="00367355">
        <w:rPr>
          <w:iCs/>
          <w:color w:val="000000" w:themeColor="text1"/>
        </w:rPr>
        <w:t>)</w:t>
      </w:r>
      <w:r w:rsidR="00B94F5A" w:rsidRPr="00367355">
        <w:rPr>
          <w:iCs/>
          <w:color w:val="000000" w:themeColor="text1"/>
        </w:rPr>
        <w:t xml:space="preserve"> stated that</w:t>
      </w:r>
      <w:r w:rsidR="00635196" w:rsidRPr="00367355">
        <w:rPr>
          <w:iCs/>
          <w:color w:val="000000" w:themeColor="text1"/>
        </w:rPr>
        <w:t xml:space="preserve"> this</w:t>
      </w:r>
      <w:r w:rsidR="0098549B" w:rsidRPr="00367355">
        <w:rPr>
          <w:iCs/>
          <w:color w:val="000000" w:themeColor="text1"/>
        </w:rPr>
        <w:t xml:space="preserve"> issue</w:t>
      </w:r>
      <w:r w:rsidR="00635196" w:rsidRPr="00367355">
        <w:rPr>
          <w:iCs/>
          <w:color w:val="000000" w:themeColor="text1"/>
        </w:rPr>
        <w:t xml:space="preserve"> could be addressed by </w:t>
      </w:r>
      <w:r w:rsidR="00E650C0">
        <w:rPr>
          <w:iCs/>
          <w:color w:val="000000" w:themeColor="text1"/>
        </w:rPr>
        <w:t>specifying stage</w:t>
      </w:r>
      <w:r w:rsidR="00E650C0" w:rsidRPr="00367355">
        <w:rPr>
          <w:iCs/>
          <w:color w:val="000000" w:themeColor="text1"/>
        </w:rPr>
        <w:t xml:space="preserve"> </w:t>
      </w:r>
      <w:r w:rsidR="00635196" w:rsidRPr="00367355">
        <w:rPr>
          <w:iCs/>
          <w:color w:val="000000" w:themeColor="text1"/>
        </w:rPr>
        <w:t>N0/1</w:t>
      </w:r>
      <w:r w:rsidR="00103B08" w:rsidRPr="00367355">
        <w:rPr>
          <w:iCs/>
          <w:color w:val="000000" w:themeColor="text1"/>
        </w:rPr>
        <w:t xml:space="preserve"> </w:t>
      </w:r>
      <w:r w:rsidR="00E650C0">
        <w:rPr>
          <w:iCs/>
          <w:color w:val="000000" w:themeColor="text1"/>
        </w:rPr>
        <w:t>in</w:t>
      </w:r>
      <w:r w:rsidR="00E650C0" w:rsidRPr="00367355">
        <w:rPr>
          <w:iCs/>
          <w:color w:val="000000" w:themeColor="text1"/>
        </w:rPr>
        <w:t xml:space="preserve"> </w:t>
      </w:r>
      <w:r w:rsidR="00103B08" w:rsidRPr="00367355">
        <w:rPr>
          <w:iCs/>
          <w:color w:val="000000" w:themeColor="text1"/>
        </w:rPr>
        <w:t xml:space="preserve">the restriction </w:t>
      </w:r>
      <w:r w:rsidR="00243A6E" w:rsidRPr="00367355">
        <w:rPr>
          <w:iCs/>
          <w:color w:val="000000" w:themeColor="text1"/>
        </w:rPr>
        <w:t>criteria</w:t>
      </w:r>
      <w:r w:rsidR="00E24113">
        <w:rPr>
          <w:iCs/>
          <w:color w:val="000000" w:themeColor="text1"/>
        </w:rPr>
        <w:t>, which</w:t>
      </w:r>
      <w:r w:rsidR="00D02386" w:rsidRPr="00367355">
        <w:rPr>
          <w:iCs/>
          <w:color w:val="000000" w:themeColor="text1"/>
        </w:rPr>
        <w:t xml:space="preserve"> </w:t>
      </w:r>
      <w:r w:rsidR="00E24113">
        <w:rPr>
          <w:iCs/>
          <w:color w:val="000000" w:themeColor="text1"/>
        </w:rPr>
        <w:t>t</w:t>
      </w:r>
      <w:r w:rsidR="000D1CF9" w:rsidRPr="00367355">
        <w:rPr>
          <w:iCs/>
          <w:color w:val="000000" w:themeColor="text1"/>
        </w:rPr>
        <w:t>he</w:t>
      </w:r>
      <w:r w:rsidR="00A020A7" w:rsidRPr="00367355">
        <w:rPr>
          <w:iCs/>
          <w:color w:val="000000" w:themeColor="text1"/>
        </w:rPr>
        <w:t xml:space="preserve"> ESC</w:t>
      </w:r>
      <w:r w:rsidR="004049A3">
        <w:rPr>
          <w:iCs/>
          <w:color w:val="000000" w:themeColor="text1"/>
        </w:rPr>
        <w:t xml:space="preserve"> and the PBAC</w:t>
      </w:r>
      <w:r w:rsidR="00A020A7" w:rsidRPr="00367355">
        <w:rPr>
          <w:iCs/>
          <w:color w:val="000000" w:themeColor="text1"/>
        </w:rPr>
        <w:t xml:space="preserve"> </w:t>
      </w:r>
      <w:r w:rsidR="001A5718" w:rsidRPr="00367355">
        <w:rPr>
          <w:iCs/>
          <w:color w:val="000000" w:themeColor="text1"/>
        </w:rPr>
        <w:t>agreed with</w:t>
      </w:r>
      <w:r w:rsidR="00E24113">
        <w:rPr>
          <w:iCs/>
          <w:color w:val="000000" w:themeColor="text1"/>
        </w:rPr>
        <w:t>.</w:t>
      </w:r>
      <w:r w:rsidR="001A5718" w:rsidRPr="00367355">
        <w:rPr>
          <w:iCs/>
          <w:color w:val="000000" w:themeColor="text1"/>
        </w:rPr>
        <w:t xml:space="preserve"> </w:t>
      </w:r>
      <w:r w:rsidR="00D869AC" w:rsidRPr="00367355">
        <w:rPr>
          <w:iCs/>
          <w:color w:val="000000" w:themeColor="text1"/>
        </w:rPr>
        <w:t>The ESC</w:t>
      </w:r>
      <w:r w:rsidR="001A3CEC">
        <w:rPr>
          <w:iCs/>
          <w:color w:val="000000" w:themeColor="text1"/>
        </w:rPr>
        <w:t xml:space="preserve"> and the PBAC</w:t>
      </w:r>
      <w:r w:rsidR="00D869AC" w:rsidRPr="00367355">
        <w:rPr>
          <w:iCs/>
          <w:color w:val="000000" w:themeColor="text1"/>
        </w:rPr>
        <w:t xml:space="preserve"> noted that </w:t>
      </w:r>
      <w:r w:rsidR="00D869AC" w:rsidRPr="00367355">
        <w:rPr>
          <w:iCs/>
          <w:color w:val="000000" w:themeColor="text1"/>
          <w:lang w:val="en-US"/>
        </w:rPr>
        <w:t>it is not necessary to specify M0</w:t>
      </w:r>
      <w:r w:rsidR="000C7D17">
        <w:rPr>
          <w:iCs/>
          <w:color w:val="000000" w:themeColor="text1"/>
          <w:lang w:val="en-US"/>
        </w:rPr>
        <w:t>,</w:t>
      </w:r>
      <w:r w:rsidR="00D869AC" w:rsidRPr="00367355">
        <w:rPr>
          <w:iCs/>
          <w:color w:val="000000" w:themeColor="text1"/>
          <w:lang w:val="en-US"/>
        </w:rPr>
        <w:t xml:space="preserve"> as</w:t>
      </w:r>
      <w:r w:rsidR="00717BC6" w:rsidRPr="00367355">
        <w:rPr>
          <w:iCs/>
          <w:color w:val="000000" w:themeColor="text1"/>
          <w:lang w:val="en-US"/>
        </w:rPr>
        <w:t xml:space="preserve"> durvalumab would be</w:t>
      </w:r>
      <w:r w:rsidR="00D869AC" w:rsidRPr="00367355">
        <w:rPr>
          <w:iCs/>
          <w:color w:val="000000" w:themeColor="text1"/>
          <w:lang w:val="en-US"/>
        </w:rPr>
        <w:t xml:space="preserve"> restricted to those</w:t>
      </w:r>
      <w:r w:rsidR="00717BC6" w:rsidRPr="00367355">
        <w:rPr>
          <w:iCs/>
          <w:color w:val="000000" w:themeColor="text1"/>
          <w:lang w:val="en-US"/>
        </w:rPr>
        <w:t xml:space="preserve"> patients</w:t>
      </w:r>
      <w:r w:rsidR="00D869AC" w:rsidRPr="00367355">
        <w:rPr>
          <w:iCs/>
          <w:color w:val="000000" w:themeColor="text1"/>
          <w:lang w:val="en-US"/>
        </w:rPr>
        <w:t xml:space="preserve"> planned for </w:t>
      </w:r>
      <w:r w:rsidR="00717BC6" w:rsidRPr="00367355">
        <w:rPr>
          <w:iCs/>
          <w:color w:val="000000" w:themeColor="text1"/>
          <w:lang w:val="en-US"/>
        </w:rPr>
        <w:t>RC</w:t>
      </w:r>
      <w:r w:rsidR="00767B53">
        <w:rPr>
          <w:iCs/>
          <w:color w:val="000000" w:themeColor="text1"/>
          <w:lang w:val="en-US"/>
        </w:rPr>
        <w:t xml:space="preserve"> and would thus have no</w:t>
      </w:r>
      <w:r w:rsidR="0008614F">
        <w:rPr>
          <w:iCs/>
          <w:color w:val="000000" w:themeColor="text1"/>
          <w:lang w:val="en-US"/>
        </w:rPr>
        <w:t xml:space="preserve"> detectable</w:t>
      </w:r>
      <w:r w:rsidR="00767B53">
        <w:rPr>
          <w:iCs/>
          <w:color w:val="000000" w:themeColor="text1"/>
          <w:lang w:val="en-US"/>
        </w:rPr>
        <w:t xml:space="preserve"> distant metastases</w:t>
      </w:r>
      <w:r w:rsidR="00717BC6" w:rsidRPr="00367355">
        <w:rPr>
          <w:iCs/>
          <w:color w:val="000000" w:themeColor="text1"/>
          <w:lang w:val="en-GB"/>
        </w:rPr>
        <w:t>.</w:t>
      </w:r>
      <w:bookmarkEnd w:id="20"/>
    </w:p>
    <w:p w14:paraId="7FF5F5B2" w14:textId="3F1578AF" w:rsidR="006F6F08" w:rsidRPr="006F6F08" w:rsidRDefault="006F6F08" w:rsidP="006F6F08">
      <w:pPr>
        <w:pStyle w:val="3-BodyText"/>
        <w:numPr>
          <w:ilvl w:val="0"/>
          <w:numId w:val="0"/>
        </w:numPr>
        <w:ind w:left="720"/>
        <w:rPr>
          <w:i/>
          <w:iCs/>
        </w:rPr>
      </w:pPr>
      <w:r w:rsidRPr="006F6F08">
        <w:rPr>
          <w:i/>
          <w:iCs/>
        </w:rPr>
        <w:t>For more detail on PBAC’s view, see section 7 PBAC outcome.</w:t>
      </w:r>
    </w:p>
    <w:p w14:paraId="20F2608A" w14:textId="482CC3A1" w:rsidR="00E073E8" w:rsidRPr="00DF1914" w:rsidDel="00195452" w:rsidRDefault="00E073E8" w:rsidP="00E073E8">
      <w:pPr>
        <w:pStyle w:val="2-SectionHeading"/>
      </w:pPr>
      <w:bookmarkStart w:id="21" w:name="_Toc209021279"/>
      <w:bookmarkStart w:id="22" w:name="_Toc209023175"/>
      <w:r w:rsidRPr="00DF1914" w:rsidDel="00195452">
        <w:t>Population and disease</w:t>
      </w:r>
      <w:bookmarkEnd w:id="21"/>
      <w:bookmarkEnd w:id="22"/>
    </w:p>
    <w:p w14:paraId="0D6E620E" w14:textId="77777777" w:rsidR="00E073E8" w:rsidRPr="0081452F" w:rsidRDefault="00E073E8" w:rsidP="00E073E8">
      <w:pPr>
        <w:pStyle w:val="3-BodyText"/>
        <w:rPr>
          <w:color w:val="000000" w:themeColor="text1"/>
        </w:rPr>
      </w:pPr>
      <w:r w:rsidRPr="0081452F">
        <w:rPr>
          <w:color w:val="000000" w:themeColor="text1"/>
        </w:rPr>
        <w:t>Bladder cancer is the eleventh most diagnosed cancer in Australia. In 2024, 3,319 new cases of the disease were estimated (compared to 3,017 in 2020, and 2,012 in 2005</w:t>
      </w:r>
      <w:r w:rsidRPr="0081452F">
        <w:rPr>
          <w:color w:val="000000" w:themeColor="text1"/>
          <w:vertAlign w:val="superscript"/>
        </w:rPr>
        <w:footnoteReference w:id="2"/>
      </w:r>
      <w:r w:rsidRPr="0081452F">
        <w:rPr>
          <w:color w:val="000000" w:themeColor="text1"/>
        </w:rPr>
        <w:t xml:space="preserve">). Bladder cancer affects more males than females and mainly affects older people. </w:t>
      </w:r>
      <w:r w:rsidRPr="0081452F">
        <w:rPr>
          <w:bCs/>
          <w:color w:val="000000" w:themeColor="text1"/>
        </w:rPr>
        <w:t>The median age of patients with primary muscle-invasive or metastatic urothelial cancer in the BLADDA registry</w:t>
      </w:r>
      <w:r w:rsidRPr="0081452F">
        <w:rPr>
          <w:bCs/>
          <w:color w:val="000000" w:themeColor="text1"/>
          <w:vertAlign w:val="superscript"/>
        </w:rPr>
        <w:footnoteReference w:id="3"/>
      </w:r>
      <w:r w:rsidRPr="0081452F">
        <w:rPr>
          <w:bCs/>
          <w:color w:val="000000" w:themeColor="text1"/>
        </w:rPr>
        <w:t xml:space="preserve"> who had a surgery with perioperative chemotherapy was 68 years. </w:t>
      </w:r>
      <w:r w:rsidRPr="0081452F">
        <w:rPr>
          <w:color w:val="000000" w:themeColor="text1"/>
        </w:rPr>
        <w:t>Smoking has been known as the major risk factor, as well as other environmental factors and occupational exposures in industries such as dye manufacturing, rubber production, and aluminium processing. More recently, western diet, imbalanced microbiome, gene-external risk factor interactions, diesel exhaust emission exposure, and pelvic radiotherapy are considered risk factors of bladder cancer</w:t>
      </w:r>
      <w:r w:rsidRPr="0081452F">
        <w:rPr>
          <w:color w:val="000000" w:themeColor="text1"/>
          <w:vertAlign w:val="superscript"/>
        </w:rPr>
        <w:footnoteReference w:id="4"/>
      </w:r>
      <w:r w:rsidRPr="0081452F">
        <w:rPr>
          <w:color w:val="000000" w:themeColor="text1"/>
        </w:rPr>
        <w:t>.</w:t>
      </w:r>
    </w:p>
    <w:p w14:paraId="39BE2F0F" w14:textId="6C177719" w:rsidR="00E073E8" w:rsidRPr="00DF1914" w:rsidRDefault="00E073E8" w:rsidP="00E073E8">
      <w:pPr>
        <w:pStyle w:val="3-BodyText"/>
      </w:pPr>
      <w:r w:rsidRPr="0081452F">
        <w:rPr>
          <w:color w:val="000000" w:themeColor="text1"/>
        </w:rPr>
        <w:t>Bladder cancer typically presents with intermittent, painless haematuria (grossly visible or microscopic). Irritative voiding symptoms (frequency, urgency, dysuria) can also be the initial clinical presentations. Advanced cases of bladder cancer may present with symptoms like flank pain due to ureteric obstruction, causing hydronephrosis or declining renal function. The extent of invasion of the tumour into deeper layers of the bladder and surrounding tissues is the most important element in the pathologic staging of bladder cancer and has major implications for both prognosis and treatment</w:t>
      </w:r>
      <w:r w:rsidRPr="0081452F">
        <w:rPr>
          <w:color w:val="000000" w:themeColor="text1"/>
          <w:vertAlign w:val="superscript"/>
        </w:rPr>
        <w:footnoteReference w:id="5"/>
      </w:r>
      <w:r w:rsidRPr="0081452F">
        <w:rPr>
          <w:color w:val="000000" w:themeColor="text1"/>
        </w:rPr>
        <w:t xml:space="preserve">. Bladder cancer is typically confirmed by cystoscopy with </w:t>
      </w:r>
      <w:r w:rsidRPr="0081452F">
        <w:rPr>
          <w:color w:val="000000" w:themeColor="text1"/>
        </w:rPr>
        <w:lastRenderedPageBreak/>
        <w:t xml:space="preserve">transurethral resection of bladder tumour, together with imaging assessment of the extent of disease (i.e., nodal involvement and distant metastases). Bladder cancer of clinical </w:t>
      </w:r>
      <w:r>
        <w:rPr>
          <w:color w:val="000000" w:themeColor="text1"/>
        </w:rPr>
        <w:t>s</w:t>
      </w:r>
      <w:r w:rsidRPr="0081452F">
        <w:rPr>
          <w:color w:val="000000" w:themeColor="text1"/>
        </w:rPr>
        <w:t xml:space="preserve">tage T2 to </w:t>
      </w:r>
      <w:r>
        <w:rPr>
          <w:color w:val="000000" w:themeColor="text1"/>
        </w:rPr>
        <w:t>s</w:t>
      </w:r>
      <w:r w:rsidRPr="0081452F">
        <w:rPr>
          <w:color w:val="000000" w:themeColor="text1"/>
        </w:rPr>
        <w:t>tage T4 (defined by the 8</w:t>
      </w:r>
      <w:r w:rsidRPr="0081452F">
        <w:rPr>
          <w:color w:val="000000" w:themeColor="text1"/>
          <w:vertAlign w:val="superscript"/>
        </w:rPr>
        <w:t>th</w:t>
      </w:r>
      <w:r w:rsidRPr="0081452F">
        <w:rPr>
          <w:color w:val="000000" w:themeColor="text1"/>
        </w:rPr>
        <w:t xml:space="preserve"> Edition of the American Joint Committee on Cancer [AJCC] Tumour-Node-Metastasis [TNM] staging system) are included in the category of MIBC. </w:t>
      </w:r>
      <w:r w:rsidRPr="00021461">
        <w:rPr>
          <w:color w:val="000000" w:themeColor="text1"/>
        </w:rPr>
        <w:t xml:space="preserve">The target population in the submission is patients with clinical stages T2 to T4a (i.e., without tumour invasion of the pelvic or abdominal wall). </w:t>
      </w:r>
    </w:p>
    <w:p w14:paraId="502015BC" w14:textId="65823AFD" w:rsidR="00E073E8" w:rsidRPr="003951B9" w:rsidRDefault="00E073E8" w:rsidP="00E073E8">
      <w:pPr>
        <w:pStyle w:val="3-BodyText"/>
        <w:rPr>
          <w:color w:val="000000" w:themeColor="text1"/>
        </w:rPr>
      </w:pPr>
      <w:r w:rsidRPr="0081452F">
        <w:rPr>
          <w:color w:val="000000" w:themeColor="text1"/>
        </w:rPr>
        <w:t>In current clinical practice, NAC with gemcitabine plus cisplatin (GC) followed by RC is the</w:t>
      </w:r>
      <w:r w:rsidRPr="0081452F" w:rsidDel="00BB676A">
        <w:rPr>
          <w:color w:val="000000" w:themeColor="text1"/>
        </w:rPr>
        <w:t xml:space="preserve"> </w:t>
      </w:r>
      <w:r>
        <w:rPr>
          <w:color w:val="000000" w:themeColor="text1"/>
        </w:rPr>
        <w:t>primary treatment recommended by the National Comprehensive Cancer Network (NCCN) for MIBC patients with T2N0M0 disease (i.e., stage II MIBC) to T3-T4aN0/N1M0 disease (i.e., Stage IIIa MIBC)</w:t>
      </w:r>
      <w:r w:rsidRPr="0081452F">
        <w:rPr>
          <w:color w:val="000000" w:themeColor="text1"/>
        </w:rPr>
        <w:t xml:space="preserve">. Following RC, </w:t>
      </w:r>
      <w:r w:rsidRPr="003951B9">
        <w:rPr>
          <w:color w:val="000000" w:themeColor="text1"/>
        </w:rPr>
        <w:t>patients who are considered high</w:t>
      </w:r>
      <w:r w:rsidR="00D85960" w:rsidRPr="003951B9">
        <w:rPr>
          <w:color w:val="000000" w:themeColor="text1"/>
        </w:rPr>
        <w:t xml:space="preserve"> </w:t>
      </w:r>
      <w:r w:rsidRPr="003951B9">
        <w:rPr>
          <w:color w:val="000000" w:themeColor="text1"/>
        </w:rPr>
        <w:t>risk for disease recurrence (defined by a pathologic staging of ypT2</w:t>
      </w:r>
      <w:r w:rsidR="00B26439" w:rsidRPr="003951B9">
        <w:rPr>
          <w:rStyle w:val="FootnoteReference"/>
          <w:color w:val="000000" w:themeColor="text1"/>
        </w:rPr>
        <w:footnoteReference w:id="6"/>
      </w:r>
      <w:r w:rsidRPr="003951B9">
        <w:rPr>
          <w:color w:val="000000" w:themeColor="text1"/>
        </w:rPr>
        <w:t xml:space="preserve"> to ypT4a or ypN+</w:t>
      </w:r>
      <w:r w:rsidRPr="003951B9">
        <w:rPr>
          <w:color w:val="000000" w:themeColor="text1"/>
          <w:vertAlign w:val="superscript"/>
        </w:rPr>
        <w:footnoteReference w:id="7"/>
      </w:r>
      <w:r w:rsidRPr="003951B9">
        <w:rPr>
          <w:color w:val="000000" w:themeColor="text1"/>
        </w:rPr>
        <w:t xml:space="preserve"> of the tumour tissue obtained from the surgery) </w:t>
      </w:r>
      <w:r w:rsidR="000401FE" w:rsidRPr="003951B9">
        <w:rPr>
          <w:color w:val="000000" w:themeColor="text1"/>
        </w:rPr>
        <w:t xml:space="preserve">commence </w:t>
      </w:r>
      <w:r w:rsidRPr="003951B9">
        <w:rPr>
          <w:color w:val="000000" w:themeColor="text1"/>
        </w:rPr>
        <w:t>adjuvant nivolumab as monotherapy within 120 days if there is no evidence of disease recurrence</w:t>
      </w:r>
      <w:r w:rsidR="001F725A" w:rsidRPr="003951B9">
        <w:rPr>
          <w:color w:val="000000" w:themeColor="text1"/>
        </w:rPr>
        <w:t>.</w:t>
      </w:r>
      <w:r w:rsidRPr="003951B9">
        <w:rPr>
          <w:color w:val="000000" w:themeColor="text1"/>
        </w:rPr>
        <w:t xml:space="preserve"> </w:t>
      </w:r>
      <w:r w:rsidR="001F725A" w:rsidRPr="003951B9">
        <w:rPr>
          <w:color w:val="000000" w:themeColor="text1"/>
        </w:rPr>
        <w:t xml:space="preserve">Nivolumab </w:t>
      </w:r>
      <w:r w:rsidRPr="003951B9">
        <w:rPr>
          <w:color w:val="000000" w:themeColor="text1"/>
        </w:rPr>
        <w:t>is given for a maximum duration of 1 year.</w:t>
      </w:r>
      <w:r w:rsidR="00D85960" w:rsidRPr="003951B9">
        <w:rPr>
          <w:color w:val="000000" w:themeColor="text1"/>
        </w:rPr>
        <w:t xml:space="preserve"> </w:t>
      </w:r>
      <w:r w:rsidR="00D85960" w:rsidRPr="003951B9">
        <w:rPr>
          <w:iCs/>
          <w:color w:val="000000" w:themeColor="text1"/>
        </w:rPr>
        <w:t>For patients who are not at high risk for disease recurrence</w:t>
      </w:r>
      <w:r w:rsidR="0053722F" w:rsidRPr="003951B9">
        <w:rPr>
          <w:iCs/>
          <w:color w:val="000000" w:themeColor="text1"/>
        </w:rPr>
        <w:t xml:space="preserve"> following RC, </w:t>
      </w:r>
      <w:r w:rsidR="007B6A05" w:rsidRPr="003951B9">
        <w:rPr>
          <w:iCs/>
          <w:color w:val="000000" w:themeColor="text1"/>
        </w:rPr>
        <w:t>post-surgery active surveillance is required</w:t>
      </w:r>
      <w:r w:rsidR="007B6A05" w:rsidRPr="003951B9">
        <w:rPr>
          <w:color w:val="000000" w:themeColor="text1"/>
        </w:rPr>
        <w:t>.</w:t>
      </w:r>
      <w:r w:rsidRPr="003951B9">
        <w:rPr>
          <w:color w:val="000000" w:themeColor="text1"/>
        </w:rPr>
        <w:t xml:space="preserve"> For patients who have MIBC but are not candidates for RC, avelumab is an option for first-line immunotherapy after a platinum-based chemotherapy if there is no evidence of disease progression. In Australia, both GC and dose dense methotrexate, vinblastine, doxorubicin, and cisplatin (ddMVAC) are available options for </w:t>
      </w:r>
      <w:r w:rsidR="006F4F1E" w:rsidRPr="003951B9">
        <w:rPr>
          <w:color w:val="000000" w:themeColor="text1"/>
        </w:rPr>
        <w:t>neoadjuvant</w:t>
      </w:r>
      <w:r w:rsidRPr="003951B9">
        <w:rPr>
          <w:color w:val="000000" w:themeColor="text1"/>
        </w:rPr>
        <w:t xml:space="preserve"> NAC in MIBC management (</w:t>
      </w:r>
      <w:r w:rsidR="00864194" w:rsidRPr="003951B9">
        <w:rPr>
          <w:color w:val="000000" w:themeColor="text1"/>
        </w:rPr>
        <w:t>r</w:t>
      </w:r>
      <w:r w:rsidRPr="003951B9">
        <w:rPr>
          <w:color w:val="000000" w:themeColor="text1"/>
        </w:rPr>
        <w:t>efer to</w:t>
      </w:r>
      <w:r w:rsidR="00864194" w:rsidRPr="003951B9">
        <w:rPr>
          <w:color w:val="000000" w:themeColor="text1"/>
        </w:rPr>
        <w:t xml:space="preserve"> paragraph </w:t>
      </w:r>
      <w:r w:rsidR="00026A95" w:rsidRPr="003951B9">
        <w:rPr>
          <w:color w:val="000000" w:themeColor="text1"/>
        </w:rPr>
        <w:fldChar w:fldCharType="begin"/>
      </w:r>
      <w:r w:rsidR="00026A95" w:rsidRPr="003951B9">
        <w:rPr>
          <w:color w:val="000000" w:themeColor="text1"/>
        </w:rPr>
        <w:instrText xml:space="preserve"> REF _Ref213853418 \r \h </w:instrText>
      </w:r>
      <w:r w:rsidR="003951B9">
        <w:rPr>
          <w:color w:val="000000" w:themeColor="text1"/>
        </w:rPr>
        <w:instrText xml:space="preserve"> \* MERGEFORMAT </w:instrText>
      </w:r>
      <w:r w:rsidR="00026A95" w:rsidRPr="003951B9">
        <w:rPr>
          <w:color w:val="000000" w:themeColor="text1"/>
        </w:rPr>
      </w:r>
      <w:r w:rsidR="00026A95" w:rsidRPr="003951B9">
        <w:rPr>
          <w:color w:val="000000" w:themeColor="text1"/>
        </w:rPr>
        <w:fldChar w:fldCharType="separate"/>
      </w:r>
      <w:r w:rsidR="005731FF">
        <w:rPr>
          <w:color w:val="000000" w:themeColor="text1"/>
        </w:rPr>
        <w:t>5.5</w:t>
      </w:r>
      <w:r w:rsidR="00026A95" w:rsidRPr="003951B9">
        <w:rPr>
          <w:color w:val="000000" w:themeColor="text1"/>
        </w:rPr>
        <w:fldChar w:fldCharType="end"/>
      </w:r>
      <w:r w:rsidR="00864194" w:rsidRPr="003951B9">
        <w:rPr>
          <w:color w:val="000000" w:themeColor="text1"/>
        </w:rPr>
        <w:t xml:space="preserve"> below</w:t>
      </w:r>
      <w:r w:rsidRPr="003951B9">
        <w:rPr>
          <w:color w:val="000000" w:themeColor="text1"/>
        </w:rPr>
        <w:t>).</w:t>
      </w:r>
    </w:p>
    <w:p w14:paraId="79EEAB7B" w14:textId="77777777" w:rsidR="00E073E8" w:rsidRDefault="00E073E8" w:rsidP="00E073E8">
      <w:pPr>
        <w:pStyle w:val="3-BodyText"/>
      </w:pPr>
      <w:r w:rsidRPr="0081452F">
        <w:rPr>
          <w:color w:val="000000" w:themeColor="text1"/>
        </w:rPr>
        <w:t xml:space="preserve">Durvalumab is a human monoclonal antibody of the IgG1 kappa subclass that acts as a programmed cell death ligand 1 (PD-L1) receptor inhibitor. PD-L1 blockade by </w:t>
      </w:r>
      <w:r>
        <w:rPr>
          <w:color w:val="000000" w:themeColor="text1"/>
        </w:rPr>
        <w:t>durvalumab</w:t>
      </w:r>
      <w:r w:rsidRPr="0081452F">
        <w:rPr>
          <w:color w:val="000000" w:themeColor="text1"/>
        </w:rPr>
        <w:t xml:space="preserve"> can lead to increased T-cell activation and decreased tumour size. D</w:t>
      </w:r>
      <w:r>
        <w:rPr>
          <w:color w:val="000000" w:themeColor="text1"/>
        </w:rPr>
        <w:t>urvalumab</w:t>
      </w:r>
      <w:r w:rsidRPr="0081452F">
        <w:rPr>
          <w:color w:val="000000" w:themeColor="text1"/>
        </w:rPr>
        <w:t xml:space="preserve"> is proposed to be as a neoadjuvant therapy in combination with GC, followed by RC, then as a monotherapy in the adjuvant setting</w:t>
      </w:r>
      <w:r w:rsidRPr="00DF1914">
        <w:t xml:space="preserve">. </w:t>
      </w:r>
    </w:p>
    <w:p w14:paraId="302920F2" w14:textId="1D3718D7" w:rsidR="006F6F08" w:rsidRPr="006F6F08" w:rsidDel="00195452" w:rsidRDefault="006F6F08" w:rsidP="006F6F08">
      <w:pPr>
        <w:pStyle w:val="3-BodyText"/>
        <w:numPr>
          <w:ilvl w:val="0"/>
          <w:numId w:val="0"/>
        </w:numPr>
        <w:ind w:left="720"/>
        <w:rPr>
          <w:i/>
          <w:iCs/>
        </w:rPr>
      </w:pPr>
      <w:r w:rsidRPr="006F6F08">
        <w:rPr>
          <w:i/>
          <w:iCs/>
        </w:rPr>
        <w:t>For more detail on PBAC’s view, see section 7 PBAC outcome.</w:t>
      </w:r>
    </w:p>
    <w:p w14:paraId="543573E3" w14:textId="1018BAE3" w:rsidR="00E073E8" w:rsidRPr="00DF1914" w:rsidRDefault="00E073E8" w:rsidP="00E073E8">
      <w:pPr>
        <w:pStyle w:val="2-SectionHeading"/>
      </w:pPr>
      <w:bookmarkStart w:id="23" w:name="_Toc209021280"/>
      <w:bookmarkStart w:id="24" w:name="_Toc209023176"/>
      <w:r w:rsidRPr="00DF1914">
        <w:t>Comparator</w:t>
      </w:r>
      <w:bookmarkEnd w:id="23"/>
      <w:bookmarkEnd w:id="24"/>
    </w:p>
    <w:p w14:paraId="21AB9C04" w14:textId="1A97D946" w:rsidR="00E073E8" w:rsidRPr="004E055B" w:rsidRDefault="00E073E8" w:rsidP="00E073E8">
      <w:pPr>
        <w:pStyle w:val="3-BodyText"/>
      </w:pPr>
      <w:r w:rsidRPr="00DF1914">
        <w:t xml:space="preserve">The submission nominated SoC </w:t>
      </w:r>
      <w:r w:rsidR="00671752">
        <w:t>(</w:t>
      </w:r>
      <w:r>
        <w:t>GC</w:t>
      </w:r>
      <w:r w:rsidRPr="00DF1914">
        <w:t xml:space="preserve"> NAC and RC followed by post-surgery active surveillance</w:t>
      </w:r>
      <w:r w:rsidR="00671752">
        <w:t>)</w:t>
      </w:r>
      <w:r w:rsidRPr="00DF1914">
        <w:t xml:space="preserve"> as the main comparator. </w:t>
      </w:r>
      <w:r w:rsidRPr="004E055B">
        <w:t>While</w:t>
      </w:r>
      <w:r w:rsidR="00E832B6">
        <w:t xml:space="preserve"> the evaluation considered that</w:t>
      </w:r>
      <w:r w:rsidRPr="004E055B">
        <w:t xml:space="preserve"> SoC is appropriate as the main comparator, </w:t>
      </w:r>
      <w:r w:rsidR="001B7D42">
        <w:t>SoC as described by the submission</w:t>
      </w:r>
      <w:r w:rsidRPr="004E055B">
        <w:t xml:space="preserve"> </w:t>
      </w:r>
      <w:r w:rsidR="00C51BE5">
        <w:t>did</w:t>
      </w:r>
      <w:r w:rsidRPr="004E055B">
        <w:t xml:space="preserve"> not incorporate adjuvant nivolumab (see </w:t>
      </w:r>
      <w:r w:rsidRPr="00457D14">
        <w:t>next paragraph</w:t>
      </w:r>
      <w:r w:rsidRPr="004E055B">
        <w:t>) and therefore may not reflect current practice in the Australian setting.</w:t>
      </w:r>
    </w:p>
    <w:p w14:paraId="4F8D030B" w14:textId="6FBB5D0C" w:rsidR="00E073E8" w:rsidRPr="004E055B" w:rsidRDefault="00E073E8" w:rsidP="00E073E8">
      <w:pPr>
        <w:pStyle w:val="3-BodyText"/>
      </w:pPr>
      <w:r w:rsidRPr="00DF1914">
        <w:t>The submission</w:t>
      </w:r>
      <w:r w:rsidR="00045F3C">
        <w:t xml:space="preserve"> also</w:t>
      </w:r>
      <w:r w:rsidRPr="00DF1914">
        <w:t xml:space="preserve"> </w:t>
      </w:r>
      <w:r>
        <w:t>described</w:t>
      </w:r>
      <w:r w:rsidRPr="00DF1914">
        <w:t xml:space="preserve"> adjuvant </w:t>
      </w:r>
      <w:r>
        <w:t xml:space="preserve">nivolumab </w:t>
      </w:r>
      <w:r w:rsidRPr="00DF1914">
        <w:t xml:space="preserve">as </w:t>
      </w:r>
      <w:r>
        <w:t>a</w:t>
      </w:r>
      <w:r w:rsidRPr="00DF1914" w:rsidDel="00DC31AD">
        <w:t xml:space="preserve"> </w:t>
      </w:r>
      <w:r>
        <w:t xml:space="preserve">relevant </w:t>
      </w:r>
      <w:r w:rsidRPr="00DF1914">
        <w:t>comparator</w:t>
      </w:r>
      <w:r w:rsidR="00DF2201">
        <w:t>, specifically</w:t>
      </w:r>
      <w:r>
        <w:t xml:space="preserve"> for MIBC patients with a high risk of disease recurrence who have received GC NAC. </w:t>
      </w:r>
      <w:r w:rsidRPr="004E055B">
        <w:t xml:space="preserve">Nivolumab is currently listed on the PBS as an adjuvant immunotherapy for </w:t>
      </w:r>
      <w:r w:rsidRPr="004E055B">
        <w:lastRenderedPageBreak/>
        <w:t xml:space="preserve">this patient group. </w:t>
      </w:r>
      <w:r w:rsidR="001E6052" w:rsidRPr="00367355">
        <w:rPr>
          <w:iCs/>
        </w:rPr>
        <w:t>The evaluation noted that</w:t>
      </w:r>
      <w:r w:rsidR="001E6052">
        <w:t xml:space="preserve"> </w:t>
      </w:r>
      <w:r w:rsidR="00FB0D88">
        <w:t>i</w:t>
      </w:r>
      <w:r w:rsidRPr="004E055B">
        <w:t xml:space="preserve">f perioperative durvalumab </w:t>
      </w:r>
      <w:r w:rsidR="00A8404E" w:rsidRPr="004E055B">
        <w:t>is</w:t>
      </w:r>
      <w:r w:rsidRPr="004E055B">
        <w:t xml:space="preserve"> </w:t>
      </w:r>
      <w:r w:rsidR="00D82826" w:rsidRPr="004E055B">
        <w:t>PBS-</w:t>
      </w:r>
      <w:r w:rsidRPr="004E055B">
        <w:t>listed</w:t>
      </w:r>
      <w:r w:rsidR="006878CA" w:rsidRPr="004E055B">
        <w:t>,</w:t>
      </w:r>
      <w:r w:rsidRPr="004E055B">
        <w:t xml:space="preserve"> it will replace </w:t>
      </w:r>
      <w:r w:rsidR="004754CD" w:rsidRPr="004E055B">
        <w:t xml:space="preserve">adjuvant </w:t>
      </w:r>
      <w:r w:rsidRPr="004E055B">
        <w:t xml:space="preserve">nivolumab in </w:t>
      </w:r>
      <w:r w:rsidR="00830E44" w:rsidRPr="004E055B">
        <w:t>patients at high risk of recurrence</w:t>
      </w:r>
      <w:r w:rsidR="00B93DAF">
        <w:t xml:space="preserve"> and</w:t>
      </w:r>
      <w:r w:rsidRPr="004E055B">
        <w:t xml:space="preserve"> </w:t>
      </w:r>
      <w:r w:rsidR="00B93DAF">
        <w:t>t</w:t>
      </w:r>
      <w:r w:rsidRPr="004E055B">
        <w:t>h</w:t>
      </w:r>
      <w:r w:rsidR="002355C1">
        <w:t>us</w:t>
      </w:r>
      <w:r w:rsidRPr="004E055B">
        <w:t xml:space="preserve"> it is reasonable to consider adjuvant nivolumab as a relevant comparator </w:t>
      </w:r>
      <w:r w:rsidR="00CA7607" w:rsidRPr="004E055B">
        <w:t>for a proportion of patients</w:t>
      </w:r>
      <w:r w:rsidRPr="004E055B">
        <w:t>. However, at the time the key trial (NIAGARA) was designed, adjuvant nivolumab was not yet available in clinical practice and was therefore not included in the comparator arm in the trial.</w:t>
      </w:r>
    </w:p>
    <w:p w14:paraId="6FBAA2AC" w14:textId="09A2EC85" w:rsidR="00E073E8" w:rsidRPr="004E055B" w:rsidRDefault="00E073E8" w:rsidP="007D0FD6">
      <w:pPr>
        <w:pStyle w:val="3-BodyText"/>
        <w:keepNext/>
        <w:keepLines/>
      </w:pPr>
      <w:bookmarkStart w:id="25" w:name="_Ref209015319"/>
      <w:r w:rsidRPr="004E055B">
        <w:t xml:space="preserve">Incorporating both the neoadjuvant and adjuvant treatment stages, </w:t>
      </w:r>
      <w:r w:rsidR="005878BE">
        <w:t xml:space="preserve">the </w:t>
      </w:r>
      <w:r w:rsidR="00B433BF">
        <w:t>evaluation</w:t>
      </w:r>
      <w:r w:rsidR="005878BE">
        <w:t xml:space="preserve"> considered that </w:t>
      </w:r>
      <w:r w:rsidRPr="004E055B">
        <w:t>the</w:t>
      </w:r>
      <w:r w:rsidR="00BB10DB">
        <w:t xml:space="preserve"> </w:t>
      </w:r>
      <w:r w:rsidR="00BB10DB" w:rsidRPr="00367355">
        <w:rPr>
          <w:iCs/>
        </w:rPr>
        <w:t>most</w:t>
      </w:r>
      <w:r w:rsidRPr="004E055B">
        <w:t xml:space="preserve"> relevant comparator could be described as:</w:t>
      </w:r>
      <w:bookmarkEnd w:id="25"/>
    </w:p>
    <w:p w14:paraId="65FF8CFB" w14:textId="77777777" w:rsidR="00E073E8" w:rsidRPr="004E055B" w:rsidRDefault="00E073E8" w:rsidP="00DA5D39">
      <w:pPr>
        <w:pStyle w:val="3-BodyText"/>
        <w:keepNext/>
        <w:keepLines/>
        <w:numPr>
          <w:ilvl w:val="0"/>
          <w:numId w:val="15"/>
        </w:numPr>
        <w:spacing w:before="0" w:after="0"/>
      </w:pPr>
      <w:r w:rsidRPr="004E055B">
        <w:t xml:space="preserve">GC NAC and RC, followed by </w:t>
      </w:r>
    </w:p>
    <w:p w14:paraId="17D053A0" w14:textId="76759E23" w:rsidR="00E073E8" w:rsidRPr="004E055B" w:rsidRDefault="00E073E8" w:rsidP="00DA5D39">
      <w:pPr>
        <w:pStyle w:val="3-BodyText"/>
        <w:keepNext/>
        <w:keepLines/>
        <w:numPr>
          <w:ilvl w:val="1"/>
          <w:numId w:val="15"/>
        </w:numPr>
        <w:spacing w:before="0" w:after="0"/>
      </w:pPr>
      <w:r w:rsidRPr="004E055B">
        <w:t>adjuvant nivolumab for patients with high risk of recurrence</w:t>
      </w:r>
    </w:p>
    <w:p w14:paraId="2E24DDD1" w14:textId="77777777" w:rsidR="00E073E8" w:rsidRPr="004E055B" w:rsidRDefault="00E073E8" w:rsidP="007D0FD6">
      <w:pPr>
        <w:pStyle w:val="3-BodyText"/>
        <w:keepNext/>
        <w:keepLines/>
        <w:numPr>
          <w:ilvl w:val="0"/>
          <w:numId w:val="0"/>
        </w:numPr>
        <w:spacing w:before="0" w:after="0"/>
        <w:ind w:left="1800"/>
      </w:pPr>
      <w:r w:rsidRPr="004E055B">
        <w:t>OR</w:t>
      </w:r>
    </w:p>
    <w:p w14:paraId="575E79B5" w14:textId="77777777" w:rsidR="00E073E8" w:rsidRPr="004E055B" w:rsidRDefault="00E073E8" w:rsidP="00DA5D39">
      <w:pPr>
        <w:pStyle w:val="3-BodyText"/>
        <w:keepNext/>
        <w:keepLines/>
        <w:numPr>
          <w:ilvl w:val="1"/>
          <w:numId w:val="15"/>
        </w:numPr>
        <w:spacing w:before="0"/>
        <w:ind w:left="1797" w:hanging="357"/>
      </w:pPr>
      <w:r w:rsidRPr="004E055B">
        <w:t>post-surgery active surveillance for all other patients.</w:t>
      </w:r>
    </w:p>
    <w:p w14:paraId="5E700C57" w14:textId="0E4251D3" w:rsidR="00E073E8" w:rsidRPr="004E055B" w:rsidRDefault="00E073E8" w:rsidP="00144AB1">
      <w:pPr>
        <w:pStyle w:val="3-BodyText"/>
        <w:numPr>
          <w:ilvl w:val="0"/>
          <w:numId w:val="0"/>
        </w:numPr>
        <w:ind w:left="720"/>
      </w:pPr>
      <w:r w:rsidRPr="004E055B">
        <w:t>Given that nivolumab is likely to be used in the adjuvant setting for high risk patients in line with its PBS listing,</w:t>
      </w:r>
      <w:r w:rsidR="00585F0E">
        <w:t xml:space="preserve"> the ESC considered that</w:t>
      </w:r>
      <w:r w:rsidRPr="004E055B">
        <w:t xml:space="preserve"> it is likely that the </w:t>
      </w:r>
      <w:r w:rsidR="00DB592A" w:rsidRPr="00367355">
        <w:rPr>
          <w:iCs/>
        </w:rPr>
        <w:t>mixed comparator</w:t>
      </w:r>
      <w:r w:rsidR="00DB592A" w:rsidRPr="004E055B">
        <w:t xml:space="preserve"> </w:t>
      </w:r>
      <w:r w:rsidRPr="004E055B">
        <w:t>described above should have been defined as the main comparator in the submission.</w:t>
      </w:r>
      <w:r w:rsidR="001B4317">
        <w:t xml:space="preserve"> </w:t>
      </w:r>
      <w:r w:rsidR="00B95C9B">
        <w:t xml:space="preserve">The Pre-PBAC response </w:t>
      </w:r>
      <w:r w:rsidR="00B95C9B" w:rsidRPr="006977F6">
        <w:t>accept</w:t>
      </w:r>
      <w:r w:rsidR="00B95C9B">
        <w:t xml:space="preserve">ed </w:t>
      </w:r>
      <w:r w:rsidR="00B95C9B" w:rsidRPr="006977F6">
        <w:t>the</w:t>
      </w:r>
      <w:r w:rsidR="00B95C9B">
        <w:t xml:space="preserve"> description of the</w:t>
      </w:r>
      <w:r w:rsidR="00B95C9B" w:rsidRPr="006977F6">
        <w:t xml:space="preserve"> comparators as proposed by</w:t>
      </w:r>
      <w:r w:rsidR="00B95C9B">
        <w:t xml:space="preserve"> the evaluation and the</w:t>
      </w:r>
      <w:r w:rsidR="00B95C9B" w:rsidRPr="006977F6">
        <w:t xml:space="preserve"> ESC</w:t>
      </w:r>
      <w:r w:rsidR="00B95C9B">
        <w:t>,</w:t>
      </w:r>
      <w:r w:rsidR="00B95C9B" w:rsidRPr="006977F6">
        <w:t xml:space="preserve"> and agree</w:t>
      </w:r>
      <w:r w:rsidR="00B95C9B">
        <w:t>d</w:t>
      </w:r>
      <w:r w:rsidR="00B95C9B" w:rsidRPr="006977F6">
        <w:t xml:space="preserve"> that </w:t>
      </w:r>
      <w:r w:rsidR="00B95C9B">
        <w:t>it</w:t>
      </w:r>
      <w:r w:rsidR="00B95C9B" w:rsidRPr="006977F6">
        <w:t xml:space="preserve"> accurately reflects the </w:t>
      </w:r>
      <w:r w:rsidR="00B95C9B">
        <w:t>comparison</w:t>
      </w:r>
      <w:r w:rsidR="00B95C9B" w:rsidRPr="006977F6">
        <w:t xml:space="preserve"> presented in the submission since adjuvant nivolumab </w:t>
      </w:r>
      <w:r w:rsidR="006857D4">
        <w:t>wa</w:t>
      </w:r>
      <w:r w:rsidR="00B95C9B" w:rsidRPr="006977F6">
        <w:t>s addressed in the clinical section and accounted for in the economic and financial models.</w:t>
      </w:r>
    </w:p>
    <w:p w14:paraId="08885626" w14:textId="798524E2" w:rsidR="003E718E" w:rsidRPr="00367355" w:rsidRDefault="00AB7D2B" w:rsidP="00E073E8">
      <w:pPr>
        <w:pStyle w:val="3-BodyText"/>
      </w:pPr>
      <w:bookmarkStart w:id="26" w:name="_Ref211918092"/>
      <w:bookmarkStart w:id="27" w:name="_Ref214038401"/>
      <w:bookmarkStart w:id="28" w:name="_Ref209016502"/>
      <w:bookmarkStart w:id="29" w:name="_Toc22897640"/>
      <w:r w:rsidRPr="715C3CB5">
        <w:t xml:space="preserve">With respect to the </w:t>
      </w:r>
      <w:r w:rsidR="003E718E" w:rsidRPr="715C3CB5">
        <w:t>proportion of patients</w:t>
      </w:r>
      <w:r w:rsidR="000D3744" w:rsidRPr="715C3CB5">
        <w:t xml:space="preserve"> at high risk of recurrence</w:t>
      </w:r>
      <w:r w:rsidRPr="715C3CB5">
        <w:t>, t</w:t>
      </w:r>
      <w:r w:rsidR="00CB71C8" w:rsidRPr="715C3CB5">
        <w:t xml:space="preserve">he submission reported that </w:t>
      </w:r>
      <w:r w:rsidR="00676BD4" w:rsidRPr="008E1CBE">
        <w:t>27.</w:t>
      </w:r>
      <w:r w:rsidR="00816C94" w:rsidRPr="008E1CBE">
        <w:t>6</w:t>
      </w:r>
      <w:r w:rsidR="00676BD4" w:rsidRPr="008E1CBE">
        <w:t xml:space="preserve">% </w:t>
      </w:r>
      <w:r w:rsidR="00676BD4">
        <w:t>of patients</w:t>
      </w:r>
      <w:r w:rsidR="00715E67" w:rsidRPr="715C3CB5">
        <w:t xml:space="preserve"> in the SoC arm</w:t>
      </w:r>
      <w:r w:rsidR="00122EF9" w:rsidRPr="715C3CB5">
        <w:t xml:space="preserve"> of NIAGARA</w:t>
      </w:r>
      <w:r w:rsidR="00715E67" w:rsidRPr="715C3CB5">
        <w:t xml:space="preserve"> had residual T2+ and/or node positive disease</w:t>
      </w:r>
      <w:r w:rsidR="00BE7803" w:rsidRPr="715C3CB5">
        <w:t xml:space="preserve"> after </w:t>
      </w:r>
      <w:r w:rsidR="003935BD" w:rsidRPr="715C3CB5">
        <w:t xml:space="preserve">neoadjuvant chemotherapy </w:t>
      </w:r>
      <w:r w:rsidR="003844AA" w:rsidRPr="715C3CB5">
        <w:t xml:space="preserve">and an </w:t>
      </w:r>
      <w:r w:rsidR="008870C8" w:rsidRPr="715C3CB5">
        <w:t>RC</w:t>
      </w:r>
      <w:r w:rsidR="001C6A80">
        <w:rPr>
          <w:iCs/>
        </w:rPr>
        <w:t>,</w:t>
      </w:r>
      <w:r w:rsidR="00627BF2" w:rsidRPr="00367355">
        <w:rPr>
          <w:iCs/>
        </w:rPr>
        <w:t xml:space="preserve"> </w:t>
      </w:r>
      <w:r w:rsidR="00BE7803" w:rsidRPr="715C3CB5">
        <w:t>and would</w:t>
      </w:r>
      <w:r w:rsidR="00C97600" w:rsidRPr="715C3CB5">
        <w:t xml:space="preserve"> have satisfied the PBS</w:t>
      </w:r>
      <w:r w:rsidR="00BE7803" w:rsidRPr="715C3CB5">
        <w:t xml:space="preserve"> eligib</w:t>
      </w:r>
      <w:r w:rsidR="00C97600" w:rsidRPr="715C3CB5">
        <w:t>i</w:t>
      </w:r>
      <w:r w:rsidR="00BE7803" w:rsidRPr="715C3CB5">
        <w:t>l</w:t>
      </w:r>
      <w:r w:rsidR="00C97600" w:rsidRPr="715C3CB5">
        <w:t>ity criteria</w:t>
      </w:r>
      <w:r w:rsidR="00C20C76" w:rsidRPr="715C3CB5">
        <w:t xml:space="preserve"> to receive</w:t>
      </w:r>
      <w:r w:rsidR="00BE7803" w:rsidRPr="00367355">
        <w:rPr>
          <w:iCs/>
        </w:rPr>
        <w:t xml:space="preserve"> </w:t>
      </w:r>
      <w:r w:rsidR="00BD3065" w:rsidRPr="715C3CB5">
        <w:t>adjuvant nivolumab.</w:t>
      </w:r>
      <w:r w:rsidR="00C0523E" w:rsidRPr="715C3CB5">
        <w:rPr>
          <w:rStyle w:val="FootnoteReference"/>
        </w:rPr>
        <w:footnoteReference w:id="8"/>
      </w:r>
      <w:r w:rsidR="00BD3065" w:rsidRPr="715C3CB5">
        <w:t xml:space="preserve"> The ESC considered this </w:t>
      </w:r>
      <w:r w:rsidR="00D61F60" w:rsidRPr="715C3CB5">
        <w:t>proportion</w:t>
      </w:r>
      <w:r w:rsidR="00BD3065" w:rsidRPr="715C3CB5">
        <w:t xml:space="preserve"> to be </w:t>
      </w:r>
      <w:r w:rsidR="00D61F60" w:rsidRPr="715C3CB5">
        <w:t xml:space="preserve">consistent with studies of neoadjuvant </w:t>
      </w:r>
      <w:r w:rsidR="009F49BA" w:rsidRPr="715C3CB5">
        <w:t>chemotherapy and clinical experience</w:t>
      </w:r>
      <w:r w:rsidR="004C61EF" w:rsidRPr="715C3CB5">
        <w:t xml:space="preserve">, although noted that </w:t>
      </w:r>
      <w:r w:rsidR="00D4202D" w:rsidRPr="715C3CB5">
        <w:t>some</w:t>
      </w:r>
      <w:r w:rsidR="00565664" w:rsidRPr="00367355">
        <w:rPr>
          <w:iCs/>
        </w:rPr>
        <w:t xml:space="preserve"> </w:t>
      </w:r>
      <w:r w:rsidR="009A6151" w:rsidRPr="715C3CB5">
        <w:t>comorbid patients would not proceed to</w:t>
      </w:r>
      <w:r w:rsidR="004D48AA" w:rsidRPr="715C3CB5">
        <w:t xml:space="preserve"> any</w:t>
      </w:r>
      <w:r w:rsidR="009A6151" w:rsidRPr="715C3CB5">
        <w:t xml:space="preserve"> adjuvant immunotherapy</w:t>
      </w:r>
      <w:r w:rsidR="00254FEB" w:rsidRPr="715C3CB5">
        <w:t xml:space="preserve"> after RC</w:t>
      </w:r>
      <w:r w:rsidR="004721D6" w:rsidRPr="00367355">
        <w:rPr>
          <w:iCs/>
        </w:rPr>
        <w:t>,</w:t>
      </w:r>
      <w:r w:rsidR="006E1A75" w:rsidRPr="715C3CB5">
        <w:t xml:space="preserve"> regardless of their risk status</w:t>
      </w:r>
      <w:r w:rsidR="00A2374C">
        <w:rPr>
          <w:iCs/>
        </w:rPr>
        <w:t>.</w:t>
      </w:r>
      <w:r w:rsidR="0035196B">
        <w:rPr>
          <w:iCs/>
        </w:rPr>
        <w:t xml:space="preserve"> </w:t>
      </w:r>
      <w:bookmarkEnd w:id="26"/>
      <w:bookmarkEnd w:id="27"/>
    </w:p>
    <w:p w14:paraId="0B963B8D" w14:textId="4FCF81CE" w:rsidR="00E073E8" w:rsidRDefault="00E073E8" w:rsidP="00880D6F">
      <w:pPr>
        <w:pStyle w:val="3-BodyText"/>
      </w:pPr>
      <w:bookmarkStart w:id="30" w:name="_Ref213853418"/>
      <w:r w:rsidRPr="009A0E52">
        <w:t>In current Australian clinical practice,</w:t>
      </w:r>
      <w:r>
        <w:t xml:space="preserve"> </w:t>
      </w:r>
      <w:r w:rsidRPr="009A0E52">
        <w:t>ddMVAC</w:t>
      </w:r>
      <w:r>
        <w:t xml:space="preserve"> is</w:t>
      </w:r>
      <w:r w:rsidRPr="009A0E52">
        <w:t xml:space="preserve"> </w:t>
      </w:r>
      <w:r>
        <w:t xml:space="preserve">also used </w:t>
      </w:r>
      <w:r w:rsidRPr="009A0E52">
        <w:t>as NAC for patients with MIBC</w:t>
      </w:r>
      <w:r>
        <w:t xml:space="preserve"> but is </w:t>
      </w:r>
      <w:r w:rsidRPr="009A0E52">
        <w:t xml:space="preserve">used slightly less frequently </w:t>
      </w:r>
      <w:r>
        <w:t>compared with GC (</w:t>
      </w:r>
      <w:r w:rsidRPr="009A0E52">
        <w:t>41%</w:t>
      </w:r>
      <w:r>
        <w:t xml:space="preserve"> </w:t>
      </w:r>
      <w:r w:rsidRPr="009A0E52">
        <w:t>vs 45%</w:t>
      </w:r>
      <w:r>
        <w:t>, according to the BLADDA registry data</w:t>
      </w:r>
      <w:r>
        <w:rPr>
          <w:rStyle w:val="FootnoteReference"/>
        </w:rPr>
        <w:footnoteReference w:id="9"/>
      </w:r>
      <w:r>
        <w:t xml:space="preserve">). </w:t>
      </w:r>
      <w:r w:rsidRPr="009A0E52">
        <w:t xml:space="preserve">Thus, ddMVAC </w:t>
      </w:r>
      <w:r>
        <w:t xml:space="preserve">may be </w:t>
      </w:r>
      <w:r w:rsidRPr="009A0E52">
        <w:t>replaced by durvalumab</w:t>
      </w:r>
      <w:r>
        <w:t>, in combination with GC,</w:t>
      </w:r>
      <w:r w:rsidRPr="009A0E52">
        <w:t xml:space="preserve"> in the neoadjuvant setting </w:t>
      </w:r>
      <w:r>
        <w:t>for some patients</w:t>
      </w:r>
      <w:r w:rsidRPr="009A0E52">
        <w:t>.</w:t>
      </w:r>
      <w:r>
        <w:t xml:space="preserve"> </w:t>
      </w:r>
      <w:r w:rsidRPr="009A0E52">
        <w:t xml:space="preserve">ddMVAC has been shown to have improved </w:t>
      </w:r>
      <w:r w:rsidRPr="00CD1EA6">
        <w:t>progression-free survival</w:t>
      </w:r>
      <w:r>
        <w:t xml:space="preserve"> over GC</w:t>
      </w:r>
      <w:r w:rsidRPr="009A0E52">
        <w:t xml:space="preserve"> (</w:t>
      </w:r>
      <w:r>
        <w:t>hazard ratio [</w:t>
      </w:r>
      <w:r w:rsidRPr="009A0E52">
        <w:t>HR</w:t>
      </w:r>
      <w:r>
        <w:t>]:</w:t>
      </w:r>
      <w:r w:rsidRPr="009A0E52">
        <w:t xml:space="preserve"> 0.68</w:t>
      </w:r>
      <w:r>
        <w:t xml:space="preserve">; </w:t>
      </w:r>
      <w:r w:rsidRPr="009A0E52">
        <w:t xml:space="preserve">95% </w:t>
      </w:r>
      <w:r>
        <w:t>confidence interval [</w:t>
      </w:r>
      <w:r w:rsidRPr="009A0E52">
        <w:t>CI</w:t>
      </w:r>
      <w:r>
        <w:t>]</w:t>
      </w:r>
      <w:r w:rsidRPr="009A0E52">
        <w:t>: 0.50, 0.93)</w:t>
      </w:r>
      <w:r>
        <w:t xml:space="preserve"> </w:t>
      </w:r>
      <w:r w:rsidRPr="009A0E52">
        <w:t xml:space="preserve">and </w:t>
      </w:r>
      <w:r>
        <w:t xml:space="preserve">improved </w:t>
      </w:r>
      <w:r w:rsidR="00272B91">
        <w:t>OS</w:t>
      </w:r>
      <w:r w:rsidRPr="009A0E52">
        <w:t xml:space="preserve"> over GC</w:t>
      </w:r>
      <w:r>
        <w:t xml:space="preserve"> </w:t>
      </w:r>
      <w:r w:rsidRPr="00BF6DAC">
        <w:t>(HR</w:t>
      </w:r>
      <w:r>
        <w:t>:</w:t>
      </w:r>
      <w:r w:rsidRPr="00BF6DAC">
        <w:t xml:space="preserve"> 0.71</w:t>
      </w:r>
      <w:r>
        <w:t>;</w:t>
      </w:r>
      <w:r w:rsidRPr="00BF6DAC">
        <w:t xml:space="preserve"> 95% CI: </w:t>
      </w:r>
      <w:r w:rsidRPr="00BF6DAC">
        <w:lastRenderedPageBreak/>
        <w:t>0.52, 0.97)</w:t>
      </w:r>
      <w:r w:rsidRPr="009A0E52">
        <w:t xml:space="preserve"> in the </w:t>
      </w:r>
      <w:r w:rsidRPr="004E055B">
        <w:t>neoadjuvant setting in the VESPER trial, but had increased treatment-related toxicity</w:t>
      </w:r>
      <w:r w:rsidRPr="004E055B">
        <w:rPr>
          <w:rStyle w:val="FootnoteReference"/>
        </w:rPr>
        <w:footnoteReference w:id="10"/>
      </w:r>
      <w:r w:rsidRPr="004E055B">
        <w:rPr>
          <w:vertAlign w:val="superscript"/>
        </w:rPr>
        <w:t>,</w:t>
      </w:r>
      <w:r w:rsidRPr="004E055B">
        <w:rPr>
          <w:rStyle w:val="FootnoteReference"/>
        </w:rPr>
        <w:footnoteReference w:id="11"/>
      </w:r>
      <w:r w:rsidRPr="004E055B">
        <w:t>.</w:t>
      </w:r>
      <w:bookmarkEnd w:id="28"/>
      <w:bookmarkEnd w:id="30"/>
    </w:p>
    <w:p w14:paraId="3D17D02A" w14:textId="79391262" w:rsidR="00EA2CAB" w:rsidRPr="00EA2CAB" w:rsidRDefault="00EA2CAB" w:rsidP="00EA2CAB">
      <w:pPr>
        <w:pStyle w:val="3-BodyText"/>
        <w:numPr>
          <w:ilvl w:val="0"/>
          <w:numId w:val="0"/>
        </w:numPr>
        <w:ind w:left="720"/>
        <w:rPr>
          <w:i/>
          <w:iCs/>
        </w:rPr>
      </w:pPr>
      <w:r w:rsidRPr="00EA2CAB">
        <w:rPr>
          <w:i/>
          <w:iCs/>
        </w:rPr>
        <w:t>For more detail on PBAC’s view, see section 7 PBAC outcome.</w:t>
      </w:r>
    </w:p>
    <w:p w14:paraId="1D7750D0" w14:textId="77777777" w:rsidR="00E073E8" w:rsidRPr="00DF1914" w:rsidRDefault="00E073E8" w:rsidP="00880D6F">
      <w:pPr>
        <w:pStyle w:val="2-SectionHeading"/>
        <w:keepNext w:val="0"/>
        <w:numPr>
          <w:ilvl w:val="0"/>
          <w:numId w:val="1"/>
        </w:numPr>
      </w:pPr>
      <w:bookmarkStart w:id="31" w:name="_Toc209021281"/>
      <w:bookmarkStart w:id="32" w:name="_Toc209023177"/>
      <w:r w:rsidRPr="00DF1914">
        <w:t>Consideration of the evidence</w:t>
      </w:r>
      <w:bookmarkEnd w:id="31"/>
      <w:bookmarkEnd w:id="32"/>
    </w:p>
    <w:p w14:paraId="7D728484" w14:textId="77777777" w:rsidR="00E10BFA" w:rsidRPr="006E1229" w:rsidRDefault="00E10BFA" w:rsidP="00E10BFA">
      <w:pPr>
        <w:pStyle w:val="4-SubsectionHeading"/>
        <w:spacing w:before="240"/>
      </w:pPr>
      <w:bookmarkStart w:id="33" w:name="_Hlk76375935"/>
      <w:bookmarkStart w:id="34" w:name="_Hlk212457692"/>
      <w:bookmarkStart w:id="35" w:name="_Toc209021282"/>
      <w:bookmarkStart w:id="36" w:name="_Toc209023178"/>
      <w:bookmarkStart w:id="37" w:name="_Toc22897641"/>
      <w:bookmarkEnd w:id="29"/>
      <w:r w:rsidRPr="006E1229">
        <w:t>Sponsor hearing</w:t>
      </w:r>
    </w:p>
    <w:p w14:paraId="58B02BCC" w14:textId="674DFE4F" w:rsidR="00E10BFA" w:rsidRPr="00F91542" w:rsidRDefault="00447847" w:rsidP="00E10BFA">
      <w:pPr>
        <w:widowControl w:val="0"/>
        <w:numPr>
          <w:ilvl w:val="1"/>
          <w:numId w:val="1"/>
        </w:numPr>
        <w:spacing w:after="120"/>
        <w:rPr>
          <w:rFonts w:cs="Calibri"/>
          <w:bCs/>
          <w:snapToGrid w:val="0"/>
        </w:rPr>
      </w:pPr>
      <w:r w:rsidRPr="00F91542">
        <w:rPr>
          <w:rFonts w:cs="Calibri"/>
          <w:bCs/>
          <w:snapToGrid w:val="0"/>
        </w:rPr>
        <w:t>There was no hearing for this item.</w:t>
      </w:r>
    </w:p>
    <w:p w14:paraId="3342F9F1" w14:textId="77777777" w:rsidR="00E10BFA" w:rsidRPr="006E1229" w:rsidRDefault="00E10BFA" w:rsidP="00E10BFA">
      <w:pPr>
        <w:pStyle w:val="4-SubsectionHeading"/>
        <w:spacing w:before="240"/>
        <w:rPr>
          <w:lang w:eastAsia="en-AU"/>
        </w:rPr>
      </w:pPr>
      <w:r w:rsidRPr="006E1229">
        <w:t>Consumer comments</w:t>
      </w:r>
    </w:p>
    <w:p w14:paraId="0448D6BA" w14:textId="35562C7F" w:rsidR="00A9148A" w:rsidRPr="00EA63E3" w:rsidRDefault="00A9148A" w:rsidP="00EA63E3">
      <w:pPr>
        <w:pStyle w:val="3-BodyText"/>
        <w:numPr>
          <w:ilvl w:val="1"/>
          <w:numId w:val="1"/>
        </w:numPr>
      </w:pPr>
      <w:bookmarkStart w:id="38" w:name="_Hlk76382618"/>
      <w:r w:rsidRPr="00BA5E45">
        <w:t xml:space="preserve">The PBAC noted and welcomed the input from </w:t>
      </w:r>
      <w:r w:rsidR="00BA5E45" w:rsidRPr="00BA5E45">
        <w:t>3</w:t>
      </w:r>
      <w:r w:rsidRPr="00BA5E45">
        <w:t xml:space="preserve"> organisations via the Consumer Comments facility on the PBS website.</w:t>
      </w:r>
      <w:r w:rsidR="003C4E6E">
        <w:t xml:space="preserve"> </w:t>
      </w:r>
      <w:r w:rsidR="005C4F3A">
        <w:t xml:space="preserve">One individual </w:t>
      </w:r>
      <w:r w:rsidR="00286DDC">
        <w:t>also provided</w:t>
      </w:r>
      <w:r w:rsidR="005C4F3A">
        <w:t xml:space="preserve"> </w:t>
      </w:r>
      <w:r w:rsidR="00ED69EC">
        <w:t>input</w:t>
      </w:r>
      <w:r w:rsidR="00286DDC">
        <w:t xml:space="preserve"> </w:t>
      </w:r>
      <w:r w:rsidR="005C4F3A">
        <w:t>expressi</w:t>
      </w:r>
      <w:r w:rsidR="00286DDC">
        <w:t>ng</w:t>
      </w:r>
      <w:r w:rsidR="005C4F3A">
        <w:t xml:space="preserve"> support for the </w:t>
      </w:r>
      <w:r w:rsidR="00703356">
        <w:t xml:space="preserve">PBS </w:t>
      </w:r>
      <w:r w:rsidR="005C4F3A">
        <w:t>listing of durvalumab</w:t>
      </w:r>
      <w:r w:rsidR="00703356">
        <w:t>, but</w:t>
      </w:r>
      <w:r w:rsidR="00622C19">
        <w:t xml:space="preserve"> </w:t>
      </w:r>
      <w:r w:rsidR="00D54652">
        <w:t>specially in relation to</w:t>
      </w:r>
      <w:r w:rsidR="00286DDC">
        <w:t xml:space="preserve"> endometrial cancer</w:t>
      </w:r>
      <w:r w:rsidR="004E257D">
        <w:t>, not MIBC</w:t>
      </w:r>
      <w:r w:rsidR="00286DDC">
        <w:t>.</w:t>
      </w:r>
    </w:p>
    <w:p w14:paraId="79623F82" w14:textId="5CD96169" w:rsidR="00A9148A" w:rsidRPr="00E0655A" w:rsidRDefault="00C51F80" w:rsidP="00A9148A">
      <w:pPr>
        <w:pStyle w:val="3-BodyText"/>
        <w:numPr>
          <w:ilvl w:val="1"/>
          <w:numId w:val="1"/>
        </w:numPr>
      </w:pPr>
      <w:r w:rsidRPr="00E0655A">
        <w:t>T</w:t>
      </w:r>
      <w:r w:rsidR="00A9148A" w:rsidRPr="00E0655A">
        <w:t xml:space="preserve">he Medical Oncology Group Australia </w:t>
      </w:r>
      <w:r w:rsidR="002537FE">
        <w:t>(</w:t>
      </w:r>
      <w:r w:rsidR="00A9148A" w:rsidRPr="00E0655A">
        <w:t>MOGA) indicated their</w:t>
      </w:r>
      <w:r w:rsidR="006601C5">
        <w:t xml:space="preserve"> strong</w:t>
      </w:r>
      <w:r w:rsidR="00A9148A" w:rsidRPr="00E0655A">
        <w:t xml:space="preserve"> support for the PBS listing of </w:t>
      </w:r>
      <w:r w:rsidRPr="00E0655A">
        <w:t>durvalumab</w:t>
      </w:r>
      <w:r w:rsidR="00A9148A" w:rsidRPr="00E0655A">
        <w:t xml:space="preserve"> to be extended to</w:t>
      </w:r>
      <w:r w:rsidR="002D3236" w:rsidRPr="00E0655A">
        <w:t xml:space="preserve"> perioperative treatment of patients with MIBC</w:t>
      </w:r>
      <w:r w:rsidR="00C71105" w:rsidRPr="00E0655A">
        <w:t>.</w:t>
      </w:r>
      <w:r w:rsidR="00A9148A" w:rsidRPr="00E0655A">
        <w:t xml:space="preserve"> The MOGA categoris</w:t>
      </w:r>
      <w:r w:rsidR="00194E89">
        <w:t>ed</w:t>
      </w:r>
      <w:r w:rsidR="00A9148A" w:rsidRPr="00E0655A">
        <w:t xml:space="preserve"> </w:t>
      </w:r>
      <w:r w:rsidR="00194E89">
        <w:t>durvalumab</w:t>
      </w:r>
      <w:r w:rsidR="00A9148A" w:rsidRPr="00E0655A">
        <w:t xml:space="preserve"> as one of the therapies of ‘highest priority for PBS listing’ on the basis of the </w:t>
      </w:r>
      <w:r w:rsidR="007C2F72" w:rsidRPr="00E0655A">
        <w:t>NIAGARA</w:t>
      </w:r>
      <w:r w:rsidR="00A9148A" w:rsidRPr="00E0655A">
        <w:t xml:space="preserve"> trial. </w:t>
      </w:r>
      <w:r w:rsidR="00393DFB" w:rsidRPr="00E0655A">
        <w:rPr>
          <w:bCs/>
          <w:snapToGrid w:val="0"/>
        </w:rPr>
        <w:t xml:space="preserve">The PBAC noted that the MOGA classified </w:t>
      </w:r>
      <w:r w:rsidR="00E0655A" w:rsidRPr="00E0655A">
        <w:rPr>
          <w:bCs/>
          <w:snapToGrid w:val="0"/>
        </w:rPr>
        <w:t>durvalumab</w:t>
      </w:r>
      <w:r w:rsidR="00393DFB" w:rsidRPr="00E0655A">
        <w:rPr>
          <w:bCs/>
          <w:snapToGrid w:val="0"/>
        </w:rPr>
        <w:t xml:space="preserve"> with a European Society for Medical Oncology Magnitude of Clinical Benefit Scale (ESMO-MCBS) </w:t>
      </w:r>
      <w:r w:rsidR="00393DFB" w:rsidRPr="00E0655A">
        <w:t>grade ‘A’, categorising it as a new treatment with substantial benefit in the curative setting</w:t>
      </w:r>
      <w:r w:rsidR="00E0655A" w:rsidRPr="00E0655A">
        <w:t>.</w:t>
      </w:r>
      <w:r w:rsidR="00A9148A" w:rsidRPr="00E0655A">
        <w:rPr>
          <w:rStyle w:val="FootnoteReference"/>
        </w:rPr>
        <w:footnoteReference w:id="12"/>
      </w:r>
    </w:p>
    <w:p w14:paraId="1A712C99" w14:textId="5210473F" w:rsidR="00E10BFA" w:rsidRPr="00B9297A" w:rsidRDefault="00A9148A" w:rsidP="00B9297A">
      <w:pPr>
        <w:pStyle w:val="3-BodyText"/>
        <w:rPr>
          <w:rFonts w:ascii="Calibri" w:eastAsia="Times New Roman" w:hAnsi="Calibri" w:cs="Arial"/>
          <w:szCs w:val="24"/>
        </w:rPr>
      </w:pPr>
      <w:r w:rsidRPr="005774F4">
        <w:t>Similarly, two consumer groups (Rare Cancers Australia</w:t>
      </w:r>
      <w:r w:rsidR="00F90307">
        <w:t xml:space="preserve"> and BEAT Bladder Cancer Australia</w:t>
      </w:r>
      <w:r w:rsidRPr="005774F4">
        <w:t xml:space="preserve">) expressed their support for </w:t>
      </w:r>
      <w:r w:rsidR="00BF1F44" w:rsidRPr="005774F4">
        <w:t>durvalumab</w:t>
      </w:r>
      <w:r w:rsidRPr="005774F4">
        <w:t xml:space="preserve"> for the treatment of </w:t>
      </w:r>
      <w:r w:rsidR="00BF1F44" w:rsidRPr="005774F4">
        <w:t>MIBC</w:t>
      </w:r>
      <w:r w:rsidRPr="005774F4">
        <w:t xml:space="preserve">. </w:t>
      </w:r>
      <w:r w:rsidRPr="00E91D98">
        <w:t xml:space="preserve">Rare Cancers Australia </w:t>
      </w:r>
      <w:r w:rsidR="00215E34">
        <w:t xml:space="preserve">discussed how </w:t>
      </w:r>
      <w:r w:rsidR="00B9297A">
        <w:t xml:space="preserve">access to </w:t>
      </w:r>
      <w:r w:rsidR="00B9297A">
        <w:rPr>
          <w:rFonts w:ascii="Calibri" w:eastAsia="Times New Roman" w:hAnsi="Calibri" w:cs="Arial"/>
          <w:szCs w:val="24"/>
        </w:rPr>
        <w:t>p</w:t>
      </w:r>
      <w:r w:rsidR="00B9297A" w:rsidRPr="00B9297A">
        <w:rPr>
          <w:rFonts w:ascii="Calibri" w:eastAsia="Times New Roman" w:hAnsi="Calibri" w:cs="Arial"/>
          <w:szCs w:val="24"/>
        </w:rPr>
        <w:t xml:space="preserve">erioperative treatment </w:t>
      </w:r>
      <w:r w:rsidR="00B9297A">
        <w:rPr>
          <w:rFonts w:ascii="Calibri" w:eastAsia="Times New Roman" w:hAnsi="Calibri" w:cs="Arial"/>
          <w:szCs w:val="24"/>
        </w:rPr>
        <w:t xml:space="preserve">will </w:t>
      </w:r>
      <w:r w:rsidR="00B9297A" w:rsidRPr="00B9297A">
        <w:rPr>
          <w:rFonts w:ascii="Calibri" w:eastAsia="Times New Roman" w:hAnsi="Calibri" w:cs="Arial"/>
          <w:szCs w:val="24"/>
        </w:rPr>
        <w:t xml:space="preserve">reduce the </w:t>
      </w:r>
      <w:r w:rsidR="00B9297A">
        <w:rPr>
          <w:rFonts w:ascii="Calibri" w:eastAsia="Times New Roman" w:hAnsi="Calibri" w:cs="Arial"/>
          <w:szCs w:val="24"/>
        </w:rPr>
        <w:t>risk</w:t>
      </w:r>
      <w:r w:rsidR="00B9297A" w:rsidRPr="00B9297A">
        <w:rPr>
          <w:rFonts w:ascii="Calibri" w:eastAsia="Times New Roman" w:hAnsi="Calibri" w:cs="Arial"/>
          <w:szCs w:val="24"/>
        </w:rPr>
        <w:t xml:space="preserve"> of metastases that cannot always be eliminated by surgery alone</w:t>
      </w:r>
      <w:r w:rsidR="008A2189">
        <w:rPr>
          <w:rFonts w:ascii="Calibri" w:eastAsia="Times New Roman" w:hAnsi="Calibri" w:cs="Arial"/>
          <w:szCs w:val="24"/>
        </w:rPr>
        <w:t xml:space="preserve"> and </w:t>
      </w:r>
      <w:r w:rsidR="00BE1A66">
        <w:rPr>
          <w:rFonts w:ascii="Calibri" w:eastAsia="Times New Roman" w:hAnsi="Calibri" w:cs="Arial"/>
          <w:szCs w:val="24"/>
        </w:rPr>
        <w:t>that</w:t>
      </w:r>
      <w:r w:rsidR="008A2189">
        <w:rPr>
          <w:rFonts w:ascii="Calibri" w:eastAsia="Times New Roman" w:hAnsi="Calibri" w:cs="Arial"/>
          <w:szCs w:val="24"/>
        </w:rPr>
        <w:t xml:space="preserve"> reported side effects can be managed with the support of general practitioners</w:t>
      </w:r>
      <w:r w:rsidR="00B9297A" w:rsidRPr="00B9297A">
        <w:rPr>
          <w:rFonts w:ascii="Calibri" w:eastAsia="Times New Roman" w:hAnsi="Calibri" w:cs="Arial"/>
          <w:szCs w:val="24"/>
        </w:rPr>
        <w:t xml:space="preserve">. </w:t>
      </w:r>
      <w:r w:rsidR="004379CB" w:rsidRPr="00D73588">
        <w:t>BEAT Bladde</w:t>
      </w:r>
      <w:r w:rsidR="00D73588" w:rsidRPr="00D73588">
        <w:t>r</w:t>
      </w:r>
      <w:r w:rsidR="004379CB" w:rsidRPr="00D73588">
        <w:t xml:space="preserve"> Cancer</w:t>
      </w:r>
      <w:r w:rsidRPr="00D73588">
        <w:t xml:space="preserve"> Australia</w:t>
      </w:r>
      <w:r w:rsidR="00067E91">
        <w:t xml:space="preserve"> discussed the </w:t>
      </w:r>
      <w:r w:rsidR="00024522">
        <w:t>currently available treatment</w:t>
      </w:r>
      <w:r w:rsidR="004F58DA">
        <w:t>s for MIBC</w:t>
      </w:r>
      <w:r w:rsidR="00024522">
        <w:t>, including adjuvant nivolumab</w:t>
      </w:r>
      <w:r w:rsidR="004F58DA">
        <w:t xml:space="preserve"> as a welcome recent option, but noted that </w:t>
      </w:r>
      <w:r w:rsidR="00E6320B">
        <w:t>there is</w:t>
      </w:r>
      <w:r w:rsidR="00532D64">
        <w:t xml:space="preserve"> still</w:t>
      </w:r>
      <w:r w:rsidR="00E6320B">
        <w:t xml:space="preserve"> a high chance of the cancer returning as metastatic disease.</w:t>
      </w:r>
      <w:r w:rsidRPr="00D73588">
        <w:t xml:space="preserve"> </w:t>
      </w:r>
      <w:r w:rsidR="00E6320B">
        <w:t xml:space="preserve">It </w:t>
      </w:r>
      <w:r w:rsidR="00805D5A">
        <w:t>stated</w:t>
      </w:r>
      <w:r w:rsidRPr="00D73588">
        <w:t xml:space="preserve"> that</w:t>
      </w:r>
      <w:r w:rsidR="00D73588" w:rsidRPr="00D73588">
        <w:t xml:space="preserve"> </w:t>
      </w:r>
      <w:r w:rsidR="001B73D8">
        <w:t>the advantage of</w:t>
      </w:r>
      <w:r w:rsidR="00EC2ABB">
        <w:t xml:space="preserve"> patient access to</w:t>
      </w:r>
      <w:r w:rsidR="001B73D8">
        <w:t xml:space="preserve"> </w:t>
      </w:r>
      <w:r w:rsidR="00E352D2">
        <w:t>perioperative durvalumab is</w:t>
      </w:r>
      <w:r w:rsidR="00EC2ABB">
        <w:t xml:space="preserve"> reflected by</w:t>
      </w:r>
      <w:r w:rsidR="00E352D2">
        <w:t xml:space="preserve"> the survival advantage demonstrated </w:t>
      </w:r>
      <w:r w:rsidR="007D40D5">
        <w:t xml:space="preserve">in </w:t>
      </w:r>
      <w:r w:rsidR="00971529">
        <w:t>the NIAGARA trial</w:t>
      </w:r>
      <w:r w:rsidR="008A795E">
        <w:t>.</w:t>
      </w:r>
      <w:bookmarkEnd w:id="33"/>
      <w:bookmarkEnd w:id="38"/>
    </w:p>
    <w:bookmarkEnd w:id="34"/>
    <w:p w14:paraId="05640512" w14:textId="19548028" w:rsidR="00E073E8" w:rsidRPr="00DF1914" w:rsidRDefault="00E073E8" w:rsidP="00E073E8">
      <w:pPr>
        <w:pStyle w:val="4-SubsectionHeading"/>
        <w:spacing w:before="240"/>
      </w:pPr>
      <w:r w:rsidRPr="00DF1914">
        <w:lastRenderedPageBreak/>
        <w:t>Clinical trials</w:t>
      </w:r>
      <w:bookmarkEnd w:id="35"/>
      <w:bookmarkEnd w:id="36"/>
    </w:p>
    <w:p w14:paraId="69233E48" w14:textId="77777777" w:rsidR="00E073E8" w:rsidRPr="008B5D5C" w:rsidRDefault="00E073E8" w:rsidP="00E073E8">
      <w:pPr>
        <w:pStyle w:val="3-BodyText"/>
      </w:pPr>
      <w:bookmarkStart w:id="39" w:name="_Ref213929545"/>
      <w:r w:rsidRPr="008B5D5C">
        <w:t>The submission was based on one head-to-head trial (NIAGARA) comparing:</w:t>
      </w:r>
      <w:bookmarkEnd w:id="39"/>
    </w:p>
    <w:p w14:paraId="08193996" w14:textId="60E3C530" w:rsidR="00E073E8" w:rsidRPr="008B5D5C" w:rsidRDefault="00E073E8" w:rsidP="00DA5D39">
      <w:pPr>
        <w:pStyle w:val="3-BodyText"/>
        <w:numPr>
          <w:ilvl w:val="0"/>
          <w:numId w:val="14"/>
        </w:numPr>
        <w:spacing w:after="0"/>
      </w:pPr>
      <w:r w:rsidRPr="008B5D5C">
        <w:t xml:space="preserve">neoadjuvant </w:t>
      </w:r>
      <w:r>
        <w:t>durvalumab</w:t>
      </w:r>
      <w:r w:rsidRPr="008B5D5C">
        <w:t xml:space="preserve"> in combination with GC followed by RC and adjuvant </w:t>
      </w:r>
      <w:r>
        <w:t>durvalumab</w:t>
      </w:r>
      <w:r w:rsidRPr="008B5D5C">
        <w:t xml:space="preserve"> as a monotherapy (</w:t>
      </w:r>
      <w:r w:rsidR="00430804">
        <w:t>durvalumab</w:t>
      </w:r>
      <w:r w:rsidRPr="008B5D5C">
        <w:t xml:space="preserve"> + GC arm)</w:t>
      </w:r>
    </w:p>
    <w:p w14:paraId="4AC2D269" w14:textId="77777777" w:rsidR="00E073E8" w:rsidRPr="008B5D5C" w:rsidRDefault="00E073E8" w:rsidP="00E073E8">
      <w:pPr>
        <w:pStyle w:val="3-BodyText"/>
        <w:numPr>
          <w:ilvl w:val="0"/>
          <w:numId w:val="0"/>
        </w:numPr>
        <w:spacing w:after="0"/>
        <w:ind w:left="1440"/>
      </w:pPr>
      <w:r w:rsidRPr="008B5D5C">
        <w:t xml:space="preserve">with </w:t>
      </w:r>
    </w:p>
    <w:p w14:paraId="2F0ED259" w14:textId="77777777" w:rsidR="00E073E8" w:rsidRPr="008B5D5C" w:rsidRDefault="00E073E8" w:rsidP="00DA5D39">
      <w:pPr>
        <w:pStyle w:val="3-BodyText"/>
        <w:numPr>
          <w:ilvl w:val="0"/>
          <w:numId w:val="14"/>
        </w:numPr>
      </w:pPr>
      <w:r w:rsidRPr="00570A47">
        <w:t>cisplatin-based NAC followed by RC and post-surgery active surveillance (GC arm)</w:t>
      </w:r>
      <w:r>
        <w:t>.</w:t>
      </w:r>
      <w:r w:rsidRPr="00570A47">
        <w:t xml:space="preserve"> </w:t>
      </w:r>
    </w:p>
    <w:p w14:paraId="66A86FC1" w14:textId="337106DE" w:rsidR="00E073E8" w:rsidRPr="008B5D5C" w:rsidRDefault="00E073E8" w:rsidP="00E073E8">
      <w:pPr>
        <w:pStyle w:val="3-BodyText"/>
        <w:numPr>
          <w:ilvl w:val="0"/>
          <w:numId w:val="0"/>
        </w:numPr>
        <w:ind w:left="720"/>
      </w:pPr>
      <w:r>
        <w:t xml:space="preserve">The trial population comprised </w:t>
      </w:r>
      <w:r w:rsidRPr="00570A47">
        <w:t xml:space="preserve">patients with MIBC of </w:t>
      </w:r>
      <w:r>
        <w:t>s</w:t>
      </w:r>
      <w:r w:rsidRPr="00570A47">
        <w:t xml:space="preserve">tage T2 to T4a, N0 or N1, and M0 (i.e., </w:t>
      </w:r>
      <w:r>
        <w:t>s</w:t>
      </w:r>
      <w:r w:rsidRPr="00570A47">
        <w:t xml:space="preserve">tage II to </w:t>
      </w:r>
      <w:r>
        <w:t>s</w:t>
      </w:r>
      <w:r w:rsidRPr="00570A47">
        <w:t>tage IIIa) (N = 1</w:t>
      </w:r>
      <w:r>
        <w:t>,</w:t>
      </w:r>
      <w:r w:rsidRPr="00570A47">
        <w:t>063).</w:t>
      </w:r>
    </w:p>
    <w:p w14:paraId="66D42DA1" w14:textId="4F7CFF7E" w:rsidR="00E073E8" w:rsidRPr="008B5D5C" w:rsidRDefault="00E073E8" w:rsidP="00E073E8">
      <w:pPr>
        <w:pStyle w:val="3-BodyText"/>
      </w:pPr>
      <w:r>
        <w:t>The submission also performed an ITC involving the NIAGARA trial and the Checkmate 274 (CM274) trial. The CM274 trial compared:</w:t>
      </w:r>
    </w:p>
    <w:p w14:paraId="74E7769E" w14:textId="77777777" w:rsidR="00E073E8" w:rsidRPr="00441C53" w:rsidRDefault="00E073E8" w:rsidP="00DA5D39">
      <w:pPr>
        <w:pStyle w:val="3-BodyText"/>
        <w:numPr>
          <w:ilvl w:val="0"/>
          <w:numId w:val="14"/>
        </w:numPr>
        <w:spacing w:after="0"/>
      </w:pPr>
      <w:r w:rsidRPr="00441C53">
        <w:t>[</w:t>
      </w:r>
      <w:r>
        <w:t>Possible</w:t>
      </w:r>
      <w:r w:rsidRPr="00441C53">
        <w:t xml:space="preserve"> </w:t>
      </w:r>
      <w:r>
        <w:t>NAC</w:t>
      </w:r>
      <w:r w:rsidRPr="00441C53">
        <w:t xml:space="preserve">, followed by] RC and adjuvant </w:t>
      </w:r>
      <w:r>
        <w:t>nivolumab</w:t>
      </w:r>
    </w:p>
    <w:p w14:paraId="6EBE7246" w14:textId="77777777" w:rsidR="00E073E8" w:rsidRDefault="00E073E8" w:rsidP="00E073E8">
      <w:pPr>
        <w:pStyle w:val="3-BodyText"/>
        <w:numPr>
          <w:ilvl w:val="0"/>
          <w:numId w:val="0"/>
        </w:numPr>
        <w:spacing w:after="0"/>
        <w:ind w:left="1440"/>
      </w:pPr>
      <w:r>
        <w:t>with</w:t>
      </w:r>
    </w:p>
    <w:p w14:paraId="1B32D068" w14:textId="77777777" w:rsidR="00E073E8" w:rsidRPr="00441C53" w:rsidRDefault="00E073E8" w:rsidP="00DA5D39">
      <w:pPr>
        <w:pStyle w:val="3-BodyText"/>
        <w:numPr>
          <w:ilvl w:val="0"/>
          <w:numId w:val="14"/>
        </w:numPr>
      </w:pPr>
      <w:r w:rsidRPr="00441C53">
        <w:t>[</w:t>
      </w:r>
      <w:r>
        <w:t>Possible</w:t>
      </w:r>
      <w:r w:rsidRPr="00441C53">
        <w:t xml:space="preserve"> </w:t>
      </w:r>
      <w:r>
        <w:t>NAC</w:t>
      </w:r>
      <w:r w:rsidRPr="00441C53">
        <w:t>, followed by] RC and adjuvant placebo.</w:t>
      </w:r>
    </w:p>
    <w:p w14:paraId="121CF71A" w14:textId="139E72B8" w:rsidR="000F4FEC" w:rsidRPr="000F4FEC" w:rsidRDefault="00E073E8" w:rsidP="00E073E8">
      <w:pPr>
        <w:pStyle w:val="3-BodyText"/>
        <w:numPr>
          <w:ilvl w:val="0"/>
          <w:numId w:val="0"/>
        </w:numPr>
        <w:ind w:left="709" w:firstLine="11"/>
      </w:pPr>
      <w:r>
        <w:t xml:space="preserve">The trial population comprised </w:t>
      </w:r>
      <w:r w:rsidRPr="00570A47">
        <w:t>patients with</w:t>
      </w:r>
      <w:r>
        <w:t xml:space="preserve"> </w:t>
      </w:r>
      <w:r w:rsidRPr="00520B59">
        <w:t>high-risk muscle-invasive urothelial carcinoma (MIUC)</w:t>
      </w:r>
      <w:r>
        <w:t xml:space="preserve">. </w:t>
      </w:r>
      <w:r w:rsidR="00A11A76" w:rsidRPr="00367355">
        <w:rPr>
          <w:iCs/>
        </w:rPr>
        <w:t>Almost</w:t>
      </w:r>
      <w:r w:rsidR="00A11A76">
        <w:t xml:space="preserve"> </w:t>
      </w:r>
      <w:r>
        <w:t>half the patients (43%) in the CM274 trial received cisplatin-based NAC compared to all of the patients in the NIAGARA trial.</w:t>
      </w:r>
    </w:p>
    <w:p w14:paraId="386BAAD6" w14:textId="37E64770" w:rsidR="00E073E8" w:rsidRPr="008B5D5C" w:rsidRDefault="00E073E8" w:rsidP="00E073E8">
      <w:pPr>
        <w:pStyle w:val="3-BodyText"/>
      </w:pPr>
      <w:r w:rsidRPr="00570A47">
        <w:t xml:space="preserve">Details of </w:t>
      </w:r>
      <w:r w:rsidR="007D4D73">
        <w:t xml:space="preserve">the </w:t>
      </w:r>
      <w:r w:rsidRPr="00570A47">
        <w:t>NIAGARA</w:t>
      </w:r>
      <w:r w:rsidR="00793292">
        <w:t xml:space="preserve"> </w:t>
      </w:r>
      <w:r w:rsidR="00793292" w:rsidRPr="00367355">
        <w:rPr>
          <w:iCs/>
        </w:rPr>
        <w:t>and CM274 trials</w:t>
      </w:r>
      <w:r w:rsidRPr="00570A47">
        <w:t xml:space="preserve"> presented in the submission are provided in </w:t>
      </w:r>
      <w:r w:rsidRPr="00570A47">
        <w:fldChar w:fldCharType="begin"/>
      </w:r>
      <w:r w:rsidRPr="00570A47">
        <w:instrText xml:space="preserve"> REF _Ref208172227 \h </w:instrText>
      </w:r>
      <w:r>
        <w:instrText xml:space="preserve"> \* MERGEFORMAT </w:instrText>
      </w:r>
      <w:r w:rsidRPr="00570A47">
        <w:fldChar w:fldCharType="separate"/>
      </w:r>
      <w:r w:rsidR="005731FF" w:rsidRPr="00DF1914">
        <w:t xml:space="preserve">Table </w:t>
      </w:r>
      <w:r w:rsidR="005731FF">
        <w:rPr>
          <w:noProof/>
        </w:rPr>
        <w:t>2</w:t>
      </w:r>
      <w:r w:rsidRPr="00570A47">
        <w:fldChar w:fldCharType="end"/>
      </w:r>
      <w:r w:rsidRPr="00570A47">
        <w:t>.</w:t>
      </w:r>
    </w:p>
    <w:p w14:paraId="15859CCD" w14:textId="0DE07AFD" w:rsidR="00E073E8" w:rsidRPr="00DF1914" w:rsidRDefault="00E073E8" w:rsidP="00E073E8">
      <w:pPr>
        <w:pStyle w:val="Caption"/>
      </w:pPr>
      <w:bookmarkStart w:id="40" w:name="_Ref208172227"/>
      <w:r w:rsidRPr="00DF1914">
        <w:lastRenderedPageBreak/>
        <w:t xml:space="preserve">Table </w:t>
      </w:r>
      <w:r w:rsidR="0077772B">
        <w:fldChar w:fldCharType="begin"/>
      </w:r>
      <w:r w:rsidR="0077772B">
        <w:instrText xml:space="preserve"> SEQ Table \* ARABIC </w:instrText>
      </w:r>
      <w:r w:rsidR="0077772B">
        <w:fldChar w:fldCharType="separate"/>
      </w:r>
      <w:r w:rsidR="005731FF">
        <w:rPr>
          <w:noProof/>
        </w:rPr>
        <w:t>2</w:t>
      </w:r>
      <w:r w:rsidR="0077772B">
        <w:rPr>
          <w:noProof/>
        </w:rPr>
        <w:fldChar w:fldCharType="end"/>
      </w:r>
      <w:bookmarkEnd w:id="40"/>
      <w:r w:rsidRPr="00DF191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E073E8" w:rsidRPr="00DF1914" w14:paraId="23B185B0" w14:textId="77777777">
        <w:trPr>
          <w:tblHeader/>
        </w:trPr>
        <w:tc>
          <w:tcPr>
            <w:tcW w:w="796" w:type="pct"/>
          </w:tcPr>
          <w:p w14:paraId="41DD1BC5" w14:textId="77777777" w:rsidR="00E073E8" w:rsidRPr="00DF1914" w:rsidRDefault="00E073E8">
            <w:pPr>
              <w:pStyle w:val="In-tableHeading"/>
              <w:rPr>
                <w:lang w:val="en-AU"/>
              </w:rPr>
            </w:pPr>
            <w:r w:rsidRPr="00DF1914">
              <w:rPr>
                <w:lang w:val="en-AU"/>
              </w:rPr>
              <w:t>Trial ID</w:t>
            </w:r>
          </w:p>
        </w:tc>
        <w:tc>
          <w:tcPr>
            <w:tcW w:w="3027" w:type="pct"/>
          </w:tcPr>
          <w:p w14:paraId="5A7F305A" w14:textId="77777777" w:rsidR="00E073E8" w:rsidRPr="00DF1914" w:rsidRDefault="00E073E8">
            <w:pPr>
              <w:pStyle w:val="In-tableHeading"/>
              <w:rPr>
                <w:lang w:val="en-AU"/>
              </w:rPr>
            </w:pPr>
            <w:r w:rsidRPr="00DF1914">
              <w:rPr>
                <w:lang w:val="en-AU"/>
              </w:rPr>
              <w:t>Protocol title/ Publication title</w:t>
            </w:r>
          </w:p>
        </w:tc>
        <w:tc>
          <w:tcPr>
            <w:tcW w:w="1177" w:type="pct"/>
          </w:tcPr>
          <w:p w14:paraId="5C6EDA17" w14:textId="77777777" w:rsidR="00E073E8" w:rsidRPr="00DF1914" w:rsidRDefault="00E073E8">
            <w:pPr>
              <w:pStyle w:val="In-tableHeading"/>
              <w:rPr>
                <w:lang w:val="en-AU"/>
              </w:rPr>
            </w:pPr>
            <w:r w:rsidRPr="00DF1914">
              <w:rPr>
                <w:lang w:val="en-AU"/>
              </w:rPr>
              <w:t>Publication citation</w:t>
            </w:r>
          </w:p>
        </w:tc>
      </w:tr>
      <w:tr w:rsidR="00E073E8" w:rsidRPr="00DF1914" w14:paraId="5419744A" w14:textId="77777777">
        <w:tc>
          <w:tcPr>
            <w:tcW w:w="796" w:type="pct"/>
            <w:tcBorders>
              <w:bottom w:val="nil"/>
            </w:tcBorders>
          </w:tcPr>
          <w:p w14:paraId="6C6288E7" w14:textId="77777777" w:rsidR="00E073E8" w:rsidRPr="00DF1914" w:rsidRDefault="00E073E8">
            <w:pPr>
              <w:pStyle w:val="TableText0"/>
            </w:pPr>
          </w:p>
        </w:tc>
        <w:tc>
          <w:tcPr>
            <w:tcW w:w="3027" w:type="pct"/>
            <w:tcBorders>
              <w:bottom w:val="nil"/>
            </w:tcBorders>
          </w:tcPr>
          <w:p w14:paraId="1B2AE933" w14:textId="77777777" w:rsidR="00E073E8" w:rsidRPr="00DF1914" w:rsidRDefault="00E073E8">
            <w:pPr>
              <w:pStyle w:val="TableText0"/>
              <w:rPr>
                <w:szCs w:val="18"/>
              </w:rPr>
            </w:pPr>
            <w:r w:rsidRPr="00DF1914">
              <w:rPr>
                <w:szCs w:val="18"/>
              </w:rPr>
              <w:t>NIAGARA CSR - DCO: 29 April, 2024</w:t>
            </w:r>
          </w:p>
        </w:tc>
        <w:tc>
          <w:tcPr>
            <w:tcW w:w="1177" w:type="pct"/>
            <w:tcBorders>
              <w:bottom w:val="nil"/>
            </w:tcBorders>
          </w:tcPr>
          <w:p w14:paraId="584116ED" w14:textId="77777777" w:rsidR="00E073E8" w:rsidRPr="00DF1914" w:rsidRDefault="00E073E8">
            <w:pPr>
              <w:pStyle w:val="TableText0"/>
            </w:pPr>
          </w:p>
        </w:tc>
      </w:tr>
      <w:tr w:rsidR="00E073E8" w:rsidRPr="00DF1914" w14:paraId="5D3D184C" w14:textId="77777777">
        <w:tc>
          <w:tcPr>
            <w:tcW w:w="796" w:type="pct"/>
            <w:tcBorders>
              <w:top w:val="nil"/>
              <w:bottom w:val="nil"/>
            </w:tcBorders>
          </w:tcPr>
          <w:p w14:paraId="6F8F0DD3" w14:textId="77777777" w:rsidR="00E073E8" w:rsidRPr="00DF1914" w:rsidRDefault="00E073E8">
            <w:pPr>
              <w:pStyle w:val="TableText0"/>
            </w:pPr>
          </w:p>
        </w:tc>
        <w:tc>
          <w:tcPr>
            <w:tcW w:w="3027" w:type="pct"/>
            <w:tcBorders>
              <w:top w:val="nil"/>
              <w:bottom w:val="nil"/>
            </w:tcBorders>
          </w:tcPr>
          <w:p w14:paraId="5E125AC6" w14:textId="77777777" w:rsidR="00E073E8" w:rsidRPr="00DF1914" w:rsidRDefault="00E073E8">
            <w:pPr>
              <w:pStyle w:val="TableText0"/>
              <w:rPr>
                <w:szCs w:val="18"/>
              </w:rPr>
            </w:pPr>
            <w:r w:rsidRPr="00DF1914">
              <w:t>Clinical Study Protocol v5: June 1, 2021</w:t>
            </w:r>
          </w:p>
        </w:tc>
        <w:tc>
          <w:tcPr>
            <w:tcW w:w="1177" w:type="pct"/>
            <w:tcBorders>
              <w:top w:val="nil"/>
              <w:bottom w:val="nil"/>
            </w:tcBorders>
          </w:tcPr>
          <w:p w14:paraId="01315957" w14:textId="77777777" w:rsidR="00E073E8" w:rsidRPr="00DF1914" w:rsidRDefault="00E073E8">
            <w:pPr>
              <w:pStyle w:val="TableText0"/>
              <w:rPr>
                <w:szCs w:val="18"/>
              </w:rPr>
            </w:pPr>
          </w:p>
        </w:tc>
      </w:tr>
      <w:tr w:rsidR="00E073E8" w:rsidRPr="00DF1914" w14:paraId="24D1A1BE" w14:textId="77777777">
        <w:tc>
          <w:tcPr>
            <w:tcW w:w="796" w:type="pct"/>
            <w:tcBorders>
              <w:top w:val="nil"/>
              <w:bottom w:val="nil"/>
            </w:tcBorders>
          </w:tcPr>
          <w:p w14:paraId="0BDA1692" w14:textId="77777777" w:rsidR="00E073E8" w:rsidRPr="00DF1914" w:rsidRDefault="00E073E8">
            <w:pPr>
              <w:pStyle w:val="TableText0"/>
            </w:pPr>
          </w:p>
        </w:tc>
        <w:tc>
          <w:tcPr>
            <w:tcW w:w="3027" w:type="pct"/>
            <w:tcBorders>
              <w:top w:val="nil"/>
              <w:bottom w:val="nil"/>
            </w:tcBorders>
          </w:tcPr>
          <w:p w14:paraId="48A0A0C0" w14:textId="77777777" w:rsidR="00E073E8" w:rsidRPr="00DF1914" w:rsidRDefault="00E073E8">
            <w:pPr>
              <w:pStyle w:val="TableText0"/>
              <w:spacing w:after="120"/>
              <w:rPr>
                <w:szCs w:val="18"/>
              </w:rPr>
            </w:pPr>
            <w:r w:rsidRPr="00DF1914">
              <w:t>Statistical analysis plan v2: November 30, 2021</w:t>
            </w:r>
          </w:p>
        </w:tc>
        <w:tc>
          <w:tcPr>
            <w:tcW w:w="1177" w:type="pct"/>
            <w:tcBorders>
              <w:top w:val="nil"/>
              <w:bottom w:val="nil"/>
            </w:tcBorders>
          </w:tcPr>
          <w:p w14:paraId="5543CB0D" w14:textId="77777777" w:rsidR="00E073E8" w:rsidRPr="00DF1914" w:rsidRDefault="00E073E8">
            <w:pPr>
              <w:pStyle w:val="TableText0"/>
              <w:rPr>
                <w:i/>
                <w:szCs w:val="18"/>
              </w:rPr>
            </w:pPr>
          </w:p>
        </w:tc>
      </w:tr>
      <w:tr w:rsidR="00E073E8" w:rsidRPr="00DF1914" w14:paraId="6287347B" w14:textId="77777777">
        <w:tc>
          <w:tcPr>
            <w:tcW w:w="796" w:type="pct"/>
            <w:tcBorders>
              <w:top w:val="nil"/>
              <w:bottom w:val="nil"/>
            </w:tcBorders>
          </w:tcPr>
          <w:p w14:paraId="1936BEB5" w14:textId="77777777" w:rsidR="00E073E8" w:rsidRPr="00DF1914" w:rsidRDefault="00E073E8">
            <w:pPr>
              <w:pStyle w:val="TableText0"/>
            </w:pPr>
          </w:p>
        </w:tc>
        <w:tc>
          <w:tcPr>
            <w:tcW w:w="3027" w:type="pct"/>
            <w:tcBorders>
              <w:top w:val="nil"/>
              <w:bottom w:val="nil"/>
            </w:tcBorders>
          </w:tcPr>
          <w:p w14:paraId="643EE092" w14:textId="77777777" w:rsidR="00E073E8" w:rsidRPr="00DF1914" w:rsidRDefault="00E073E8">
            <w:pPr>
              <w:pStyle w:val="TableText0"/>
              <w:spacing w:after="120"/>
            </w:pPr>
            <w:r w:rsidRPr="00DF1914">
              <w:t>Powles, T., Catto, J. W. F., Galsky, M. D., et al. Perioperative durvalumab with neoadjuvant chemotherapy in operable bladder cancer</w:t>
            </w:r>
          </w:p>
        </w:tc>
        <w:tc>
          <w:tcPr>
            <w:tcW w:w="1177" w:type="pct"/>
            <w:tcBorders>
              <w:top w:val="nil"/>
              <w:bottom w:val="nil"/>
            </w:tcBorders>
          </w:tcPr>
          <w:p w14:paraId="5B3A316E" w14:textId="77777777" w:rsidR="00E073E8" w:rsidRPr="004E055B" w:rsidRDefault="00E073E8">
            <w:pPr>
              <w:pStyle w:val="TableText0"/>
              <w:rPr>
                <w:szCs w:val="18"/>
              </w:rPr>
            </w:pPr>
            <w:r w:rsidRPr="004E055B">
              <w:t>NEJM 2024; 391(19), 1773</w:t>
            </w:r>
            <w:r w:rsidRPr="004E055B">
              <w:rPr>
                <w:rFonts w:ascii="Cambria Math" w:hAnsi="Cambria Math" w:cs="Cambria Math"/>
              </w:rPr>
              <w:t>‐</w:t>
            </w:r>
            <w:r w:rsidRPr="004E055B">
              <w:t>1786.</w:t>
            </w:r>
          </w:p>
        </w:tc>
      </w:tr>
      <w:tr w:rsidR="00E073E8" w:rsidRPr="00DF1914" w14:paraId="04119E05" w14:textId="77777777">
        <w:tc>
          <w:tcPr>
            <w:tcW w:w="796" w:type="pct"/>
            <w:tcBorders>
              <w:top w:val="nil"/>
              <w:bottom w:val="nil"/>
            </w:tcBorders>
          </w:tcPr>
          <w:p w14:paraId="77F5459F" w14:textId="77777777" w:rsidR="00E073E8" w:rsidRPr="00DF1914" w:rsidRDefault="00E073E8">
            <w:pPr>
              <w:pStyle w:val="TableText0"/>
            </w:pPr>
          </w:p>
        </w:tc>
        <w:tc>
          <w:tcPr>
            <w:tcW w:w="3027" w:type="pct"/>
            <w:tcBorders>
              <w:top w:val="nil"/>
              <w:bottom w:val="nil"/>
            </w:tcBorders>
          </w:tcPr>
          <w:p w14:paraId="177CD708" w14:textId="77777777" w:rsidR="00E073E8" w:rsidRPr="00DF1914" w:rsidRDefault="00E073E8">
            <w:pPr>
              <w:pStyle w:val="TableText0"/>
              <w:spacing w:after="120"/>
            </w:pPr>
            <w:r w:rsidRPr="00DF1914">
              <w:t xml:space="preserve">Galsky, M. D., Van Der Heijden, M. S., Catto, et al. Additional efficacy and safety outcomes and an exploratory analysis of the impact of pathological complete response (pCR) on long-term outcomes from NIAGARA. </w:t>
            </w:r>
          </w:p>
        </w:tc>
        <w:tc>
          <w:tcPr>
            <w:tcW w:w="1177" w:type="pct"/>
            <w:tcBorders>
              <w:top w:val="nil"/>
              <w:bottom w:val="nil"/>
            </w:tcBorders>
          </w:tcPr>
          <w:p w14:paraId="2B520189" w14:textId="77777777" w:rsidR="00E073E8" w:rsidRPr="004E055B" w:rsidRDefault="00E073E8">
            <w:pPr>
              <w:pStyle w:val="TableText0"/>
            </w:pPr>
            <w:r w:rsidRPr="004E055B">
              <w:t>Journal of Clinical Oncology 2025; 43.</w:t>
            </w:r>
          </w:p>
        </w:tc>
      </w:tr>
      <w:tr w:rsidR="00E073E8" w:rsidRPr="00DF1914" w14:paraId="14B3BA8D" w14:textId="77777777">
        <w:tc>
          <w:tcPr>
            <w:tcW w:w="796" w:type="pct"/>
            <w:tcBorders>
              <w:top w:val="nil"/>
              <w:bottom w:val="nil"/>
            </w:tcBorders>
          </w:tcPr>
          <w:p w14:paraId="32E7D09A" w14:textId="77777777" w:rsidR="00E073E8" w:rsidRPr="00DF1914" w:rsidRDefault="00E073E8">
            <w:pPr>
              <w:pStyle w:val="TableText0"/>
            </w:pPr>
          </w:p>
        </w:tc>
        <w:tc>
          <w:tcPr>
            <w:tcW w:w="3027" w:type="pct"/>
            <w:tcBorders>
              <w:top w:val="nil"/>
              <w:bottom w:val="nil"/>
            </w:tcBorders>
          </w:tcPr>
          <w:p w14:paraId="023A72ED" w14:textId="77777777" w:rsidR="00E073E8" w:rsidRPr="00DF1914" w:rsidRDefault="00E073E8">
            <w:pPr>
              <w:pStyle w:val="TableText0"/>
              <w:spacing w:after="120"/>
            </w:pPr>
            <w:r w:rsidRPr="00DF1914">
              <w:t xml:space="preserve">Powles, T. B., van der Heijden, M. S., Galsky, M. D., et al. LBA5 A randomized phase III trial of neoadjuvant durvalumab plus chemotherapy followed by radical cystectomy and adjuvant durvalumab in muscle-invasive bladder cancer (NIAGARA). </w:t>
            </w:r>
          </w:p>
        </w:tc>
        <w:tc>
          <w:tcPr>
            <w:tcW w:w="1177" w:type="pct"/>
            <w:tcBorders>
              <w:top w:val="nil"/>
              <w:bottom w:val="nil"/>
            </w:tcBorders>
          </w:tcPr>
          <w:p w14:paraId="17578C72" w14:textId="77777777" w:rsidR="00E073E8" w:rsidRPr="004E055B" w:rsidRDefault="00E073E8">
            <w:pPr>
              <w:pStyle w:val="TableText0"/>
            </w:pPr>
            <w:r w:rsidRPr="004E055B">
              <w:t>Annals of Oncology 2024; 35, S1271.</w:t>
            </w:r>
          </w:p>
        </w:tc>
      </w:tr>
      <w:tr w:rsidR="00E073E8" w:rsidRPr="00DF1914" w14:paraId="1A0EDA54" w14:textId="77777777">
        <w:tc>
          <w:tcPr>
            <w:tcW w:w="796" w:type="pct"/>
            <w:tcBorders>
              <w:top w:val="nil"/>
              <w:bottom w:val="nil"/>
            </w:tcBorders>
          </w:tcPr>
          <w:p w14:paraId="4E086221" w14:textId="77777777" w:rsidR="00E073E8" w:rsidRPr="00DF1914" w:rsidRDefault="00E073E8">
            <w:pPr>
              <w:pStyle w:val="TableText0"/>
            </w:pPr>
            <w:r w:rsidRPr="00DF1914">
              <w:t>NIAGARA</w:t>
            </w:r>
          </w:p>
          <w:p w14:paraId="32A95A97" w14:textId="77777777" w:rsidR="00E073E8" w:rsidRPr="00DF1914" w:rsidRDefault="00E073E8">
            <w:pPr>
              <w:pStyle w:val="TableText0"/>
            </w:pPr>
            <w:r w:rsidRPr="00DF1914">
              <w:t>NCT03732677</w:t>
            </w:r>
          </w:p>
        </w:tc>
        <w:tc>
          <w:tcPr>
            <w:tcW w:w="3027" w:type="pct"/>
            <w:tcBorders>
              <w:top w:val="nil"/>
              <w:bottom w:val="nil"/>
            </w:tcBorders>
          </w:tcPr>
          <w:p w14:paraId="26051B17" w14:textId="77777777" w:rsidR="00E073E8" w:rsidRPr="00DF1914" w:rsidRDefault="00E073E8">
            <w:pPr>
              <w:pStyle w:val="TableText0"/>
              <w:spacing w:after="120"/>
            </w:pPr>
            <w:r w:rsidRPr="00DF1914">
              <w:t>Powles, T., Meeks, J. J., Galsky, M. D., et al. A phase III, randomized, open-label, multicenter, global study of efficacy and safety of durvalumab in combination with gemcitabine+cisplatin (GC) for neoadjuvant treatment followed by durvalumab alone for adjuvant treatment in muscle-invasive bladder cancer (MIBC) (NIAGARA).</w:t>
            </w:r>
          </w:p>
        </w:tc>
        <w:tc>
          <w:tcPr>
            <w:tcW w:w="1177" w:type="pct"/>
            <w:tcBorders>
              <w:top w:val="nil"/>
              <w:bottom w:val="nil"/>
            </w:tcBorders>
          </w:tcPr>
          <w:p w14:paraId="2CECF8BB" w14:textId="77777777" w:rsidR="00E073E8" w:rsidRPr="004E055B" w:rsidRDefault="00E073E8">
            <w:pPr>
              <w:pStyle w:val="TableText0"/>
            </w:pPr>
            <w:r w:rsidRPr="004E055B">
              <w:t>Journal of Clinical Oncology 2019; 37.</w:t>
            </w:r>
          </w:p>
        </w:tc>
      </w:tr>
      <w:tr w:rsidR="00E073E8" w:rsidRPr="00DF1914" w14:paraId="2B12A155" w14:textId="77777777">
        <w:tc>
          <w:tcPr>
            <w:tcW w:w="796" w:type="pct"/>
            <w:tcBorders>
              <w:top w:val="nil"/>
              <w:bottom w:val="nil"/>
            </w:tcBorders>
          </w:tcPr>
          <w:p w14:paraId="46DA8B6D" w14:textId="77777777" w:rsidR="00E073E8" w:rsidRPr="00DF1914" w:rsidRDefault="00E073E8">
            <w:pPr>
              <w:pStyle w:val="TableText0"/>
            </w:pPr>
          </w:p>
        </w:tc>
        <w:tc>
          <w:tcPr>
            <w:tcW w:w="3027" w:type="pct"/>
            <w:tcBorders>
              <w:top w:val="nil"/>
              <w:bottom w:val="nil"/>
            </w:tcBorders>
          </w:tcPr>
          <w:p w14:paraId="4923B64E" w14:textId="77777777" w:rsidR="00E073E8" w:rsidRPr="00DF1914" w:rsidRDefault="00E073E8">
            <w:pPr>
              <w:pStyle w:val="TableText0"/>
              <w:spacing w:after="120"/>
            </w:pPr>
            <w:r w:rsidRPr="00DF1914">
              <w:t xml:space="preserve">Powles, T., Meeks, J. J., Galsky, M. D., et al. A phase III, randomized, open-label, multicenter, global study of efficacy and safety of durvalumab in combination with gemcitabine plus cisplatin for neoadjuvant treatment followed by durvalumab alone for adjuvant treatment in muscle-invasive bladder cancer (NIAGARA). </w:t>
            </w:r>
          </w:p>
        </w:tc>
        <w:tc>
          <w:tcPr>
            <w:tcW w:w="1177" w:type="pct"/>
            <w:tcBorders>
              <w:top w:val="nil"/>
              <w:bottom w:val="nil"/>
            </w:tcBorders>
          </w:tcPr>
          <w:p w14:paraId="7A15A2C7" w14:textId="77777777" w:rsidR="00E073E8" w:rsidRPr="004E055B" w:rsidRDefault="00E073E8">
            <w:pPr>
              <w:pStyle w:val="TableText0"/>
            </w:pPr>
            <w:r w:rsidRPr="004E055B">
              <w:t>Journal of Clinical Oncology 2021; 39(6 SUPPL).</w:t>
            </w:r>
          </w:p>
        </w:tc>
      </w:tr>
      <w:tr w:rsidR="00E073E8" w:rsidRPr="00DF1914" w14:paraId="305581E2" w14:textId="77777777">
        <w:tc>
          <w:tcPr>
            <w:tcW w:w="796" w:type="pct"/>
            <w:tcBorders>
              <w:top w:val="nil"/>
              <w:bottom w:val="nil"/>
            </w:tcBorders>
          </w:tcPr>
          <w:p w14:paraId="04C4093B" w14:textId="77777777" w:rsidR="00E073E8" w:rsidRPr="00DF1914" w:rsidRDefault="00E073E8">
            <w:pPr>
              <w:pStyle w:val="TableText0"/>
            </w:pPr>
          </w:p>
        </w:tc>
        <w:tc>
          <w:tcPr>
            <w:tcW w:w="3027" w:type="pct"/>
            <w:tcBorders>
              <w:top w:val="nil"/>
              <w:bottom w:val="nil"/>
            </w:tcBorders>
          </w:tcPr>
          <w:p w14:paraId="6FA2DD9E" w14:textId="77777777" w:rsidR="00E073E8" w:rsidRPr="00DF1914" w:rsidRDefault="00E073E8">
            <w:pPr>
              <w:pStyle w:val="TableText0"/>
              <w:spacing w:after="120"/>
            </w:pPr>
            <w:r w:rsidRPr="00DF1914">
              <w:t>Kubler, H. R., Powles, T., Meeks, J. J., et al. A Phase 3, randomized, open-label, multicenter, global study of efficacy and safety of durvalumab in combination with gemcitabine+cisplatin (GC) for neoadjuvant treatment followed by durvalumab alone for adjuvant treatment in muscle-invasive bladder cancer (MIBC) (NIAGARA)</w:t>
            </w:r>
            <w:r w:rsidRPr="00DF1914">
              <w:rPr>
                <w:rFonts w:ascii="Calibri" w:eastAsiaTheme="minorHAnsi" w:hAnsi="Calibri" w:cs="Calibri"/>
                <w:sz w:val="22"/>
                <w:szCs w:val="22"/>
              </w:rPr>
              <w:t xml:space="preserve"> </w:t>
            </w:r>
          </w:p>
        </w:tc>
        <w:tc>
          <w:tcPr>
            <w:tcW w:w="1177" w:type="pct"/>
            <w:tcBorders>
              <w:top w:val="nil"/>
              <w:bottom w:val="nil"/>
            </w:tcBorders>
          </w:tcPr>
          <w:p w14:paraId="561CF7A6" w14:textId="77777777" w:rsidR="00E073E8" w:rsidRPr="004E055B" w:rsidRDefault="00E073E8">
            <w:pPr>
              <w:pStyle w:val="TableText0"/>
            </w:pPr>
            <w:r w:rsidRPr="004E055B">
              <w:t>Oncology Research and Treatment 2020; 43</w:t>
            </w:r>
            <w:r w:rsidRPr="004E055B">
              <w:rPr>
                <w:rFonts w:ascii="Open Sans" w:eastAsiaTheme="minorHAnsi" w:hAnsi="Open Sans" w:cs="Open Sans"/>
                <w:color w:val="333333"/>
                <w:sz w:val="22"/>
                <w:szCs w:val="22"/>
                <w:shd w:val="clear" w:color="auto" w:fill="FFFFFF"/>
              </w:rPr>
              <w:t xml:space="preserve"> </w:t>
            </w:r>
            <w:r w:rsidRPr="004E055B">
              <w:t>(Suppl. 1): 82.</w:t>
            </w:r>
          </w:p>
        </w:tc>
      </w:tr>
      <w:tr w:rsidR="00E073E8" w:rsidRPr="00DF1914" w14:paraId="768F025A" w14:textId="77777777">
        <w:tc>
          <w:tcPr>
            <w:tcW w:w="796" w:type="pct"/>
            <w:tcBorders>
              <w:top w:val="single" w:sz="4" w:space="0" w:color="auto"/>
              <w:bottom w:val="single" w:sz="4" w:space="0" w:color="auto"/>
            </w:tcBorders>
          </w:tcPr>
          <w:p w14:paraId="5B648820" w14:textId="77777777" w:rsidR="00E073E8" w:rsidRDefault="00E073E8">
            <w:pPr>
              <w:pStyle w:val="TableText0"/>
            </w:pPr>
            <w:r>
              <w:t>Checkmate 274</w:t>
            </w:r>
          </w:p>
          <w:p w14:paraId="3AC72957" w14:textId="77777777" w:rsidR="00E073E8" w:rsidRPr="00DF1914" w:rsidRDefault="00E073E8">
            <w:pPr>
              <w:pStyle w:val="TableText0"/>
            </w:pPr>
            <w:r w:rsidRPr="00B371E1">
              <w:t>NCT02632409</w:t>
            </w:r>
          </w:p>
        </w:tc>
        <w:tc>
          <w:tcPr>
            <w:tcW w:w="3027" w:type="pct"/>
            <w:tcBorders>
              <w:top w:val="single" w:sz="4" w:space="0" w:color="auto"/>
              <w:bottom w:val="single" w:sz="4" w:space="0" w:color="auto"/>
            </w:tcBorders>
          </w:tcPr>
          <w:p w14:paraId="0589AFCC" w14:textId="77777777" w:rsidR="00E073E8" w:rsidRPr="00DF1914" w:rsidRDefault="00E073E8">
            <w:pPr>
              <w:pStyle w:val="TableText0"/>
            </w:pPr>
            <w:r>
              <w:t xml:space="preserve">Bajorin, D.F., Witjes, J. A., Gschwend, J.E., et al. Adjuvant nivolumab versus placebo in muscle-invasive urothelial carcinoma. </w:t>
            </w:r>
          </w:p>
        </w:tc>
        <w:tc>
          <w:tcPr>
            <w:tcW w:w="1177" w:type="pct"/>
            <w:tcBorders>
              <w:bottom w:val="single" w:sz="4" w:space="0" w:color="auto"/>
            </w:tcBorders>
          </w:tcPr>
          <w:p w14:paraId="0E29D9A3" w14:textId="77777777" w:rsidR="00E073E8" w:rsidRPr="004E055B" w:rsidRDefault="00E073E8">
            <w:pPr>
              <w:pStyle w:val="TableText0"/>
            </w:pPr>
            <w:r w:rsidRPr="004E055B">
              <w:t>NEJM 2021; 384 (22), 2102-2114.</w:t>
            </w:r>
          </w:p>
        </w:tc>
      </w:tr>
    </w:tbl>
    <w:p w14:paraId="675A231D" w14:textId="77777777" w:rsidR="00E073E8" w:rsidRDefault="00E073E8" w:rsidP="00E073E8">
      <w:pPr>
        <w:pStyle w:val="TableFigureFooter"/>
        <w:keepNext/>
      </w:pPr>
      <w:r w:rsidRPr="00DF1914">
        <w:t>Source: Table 2-3, pp38-39 of the submission</w:t>
      </w:r>
    </w:p>
    <w:p w14:paraId="08020972" w14:textId="77777777" w:rsidR="00E073E8" w:rsidRPr="001814AA" w:rsidRDefault="00E073E8" w:rsidP="00E073E8">
      <w:pPr>
        <w:pStyle w:val="TableFigureFooter"/>
        <w:keepNext/>
        <w:rPr>
          <w:szCs w:val="18"/>
        </w:rPr>
      </w:pPr>
      <w:r w:rsidRPr="001814AA">
        <w:rPr>
          <w:szCs w:val="18"/>
        </w:rPr>
        <w:t>CSR = Clinical study report; DCO = Data cut-off; EUCTR = EU Clinical Trials Register; GC = Gemcitabine plus cisplatin; MIBC = Muscle-invasive bladder cancer</w:t>
      </w:r>
    </w:p>
    <w:p w14:paraId="51312232" w14:textId="77777777" w:rsidR="00E073E8" w:rsidRPr="00305019" w:rsidRDefault="00E073E8" w:rsidP="00EA16B4">
      <w:pPr>
        <w:pStyle w:val="3-BodyText"/>
        <w:keepNext/>
        <w:keepLines/>
        <w:numPr>
          <w:ilvl w:val="0"/>
          <w:numId w:val="0"/>
        </w:numPr>
        <w:ind w:hanging="11"/>
        <w:rPr>
          <w:b/>
          <w:bCs/>
        </w:rPr>
      </w:pPr>
      <w:r w:rsidRPr="00305019">
        <w:rPr>
          <w:b/>
          <w:bCs/>
        </w:rPr>
        <w:t>Head-to-head</w:t>
      </w:r>
      <w:r>
        <w:rPr>
          <w:b/>
          <w:bCs/>
        </w:rPr>
        <w:t xml:space="preserve"> trial</w:t>
      </w:r>
      <w:r w:rsidRPr="00305019">
        <w:rPr>
          <w:b/>
          <w:bCs/>
        </w:rPr>
        <w:t xml:space="preserve"> </w:t>
      </w:r>
      <w:r>
        <w:rPr>
          <w:b/>
          <w:bCs/>
        </w:rPr>
        <w:t>(</w:t>
      </w:r>
      <w:r w:rsidRPr="00305019">
        <w:rPr>
          <w:b/>
          <w:bCs/>
        </w:rPr>
        <w:t>NIAGARA</w:t>
      </w:r>
      <w:r>
        <w:rPr>
          <w:b/>
          <w:bCs/>
        </w:rPr>
        <w:t>)</w:t>
      </w:r>
      <w:r w:rsidRPr="00305019">
        <w:rPr>
          <w:b/>
          <w:bCs/>
        </w:rPr>
        <w:t xml:space="preserve"> of </w:t>
      </w:r>
      <w:r w:rsidRPr="001631BE">
        <w:rPr>
          <w:b/>
          <w:bCs/>
        </w:rPr>
        <w:t xml:space="preserve">perioperative </w:t>
      </w:r>
      <w:r>
        <w:rPr>
          <w:b/>
          <w:bCs/>
        </w:rPr>
        <w:t>durvalumab</w:t>
      </w:r>
      <w:r w:rsidRPr="00305019">
        <w:rPr>
          <w:b/>
          <w:bCs/>
        </w:rPr>
        <w:t xml:space="preserve"> versus </w:t>
      </w:r>
      <w:r>
        <w:rPr>
          <w:b/>
          <w:bCs/>
        </w:rPr>
        <w:t>neoadjuvant chemotherapy</w:t>
      </w:r>
    </w:p>
    <w:p w14:paraId="64F9B273" w14:textId="318CB2A1" w:rsidR="00E073E8" w:rsidRPr="009D3A21" w:rsidRDefault="00E073E8" w:rsidP="006553A3">
      <w:pPr>
        <w:pStyle w:val="3-BodyText"/>
        <w:keepNext/>
        <w:keepLines/>
      </w:pPr>
      <w:r w:rsidRPr="00DF1914">
        <w:t>The key features of</w:t>
      </w:r>
      <w:r w:rsidR="00DA3497">
        <w:t xml:space="preserve"> </w:t>
      </w:r>
      <w:r w:rsidR="00DA3497" w:rsidRPr="00367355">
        <w:rPr>
          <w:iCs/>
        </w:rPr>
        <w:t>the</w:t>
      </w:r>
      <w:r w:rsidRPr="00DF1914">
        <w:t xml:space="preserve"> NIAGARA</w:t>
      </w:r>
      <w:r>
        <w:t xml:space="preserve"> and CM274</w:t>
      </w:r>
      <w:r w:rsidR="00DA3497">
        <w:t xml:space="preserve"> </w:t>
      </w:r>
      <w:r w:rsidR="00DA3497" w:rsidRPr="00367355">
        <w:rPr>
          <w:iCs/>
        </w:rPr>
        <w:t>trials</w:t>
      </w:r>
      <w:r w:rsidRPr="00DF1914">
        <w:t xml:space="preserve"> are summarised in </w:t>
      </w:r>
      <w:r>
        <w:fldChar w:fldCharType="begin"/>
      </w:r>
      <w:r>
        <w:instrText xml:space="preserve"> REF _Ref208172250 \h </w:instrText>
      </w:r>
      <w:r>
        <w:fldChar w:fldCharType="separate"/>
      </w:r>
      <w:r w:rsidR="005731FF" w:rsidRPr="00DF1914">
        <w:t xml:space="preserve">Table </w:t>
      </w:r>
      <w:r w:rsidR="005731FF">
        <w:rPr>
          <w:noProof/>
        </w:rPr>
        <w:t>3</w:t>
      </w:r>
      <w:r>
        <w:fldChar w:fldCharType="end"/>
      </w:r>
      <w:r>
        <w:t>.</w:t>
      </w:r>
      <w:r w:rsidR="004C03A2">
        <w:t xml:space="preserve"> </w:t>
      </w:r>
      <w:r w:rsidR="004C03A2" w:rsidRPr="00367355">
        <w:rPr>
          <w:iCs/>
        </w:rPr>
        <w:t>For brevity</w:t>
      </w:r>
      <w:r w:rsidR="00C91325" w:rsidRPr="00367355">
        <w:rPr>
          <w:iCs/>
        </w:rPr>
        <w:t xml:space="preserve"> in the tables below, </w:t>
      </w:r>
      <w:r w:rsidR="00B9179C" w:rsidRPr="00367355">
        <w:rPr>
          <w:iCs/>
        </w:rPr>
        <w:t>“</w:t>
      </w:r>
      <w:r w:rsidR="0050042A" w:rsidRPr="00367355">
        <w:rPr>
          <w:iCs/>
        </w:rPr>
        <w:t>DURVA</w:t>
      </w:r>
      <w:r w:rsidR="008B66F2" w:rsidRPr="00367355">
        <w:rPr>
          <w:iCs/>
        </w:rPr>
        <w:t xml:space="preserve"> + GC</w:t>
      </w:r>
      <w:r w:rsidR="00B9179C" w:rsidRPr="00367355">
        <w:rPr>
          <w:iCs/>
        </w:rPr>
        <w:t>”</w:t>
      </w:r>
      <w:r w:rsidR="008B66F2" w:rsidRPr="00367355">
        <w:rPr>
          <w:iCs/>
        </w:rPr>
        <w:t xml:space="preserve"> refers to </w:t>
      </w:r>
      <w:r w:rsidR="00C91325" w:rsidRPr="00367355">
        <w:rPr>
          <w:iCs/>
        </w:rPr>
        <w:t>neoadjuvant durvalumab in combination with GC followed by RC and adjuvant durvalumab as a monotherapy</w:t>
      </w:r>
      <w:r w:rsidR="008B66F2" w:rsidRPr="00367355">
        <w:rPr>
          <w:iCs/>
        </w:rPr>
        <w:t xml:space="preserve">, and </w:t>
      </w:r>
      <w:r w:rsidR="00B9179C" w:rsidRPr="00367355">
        <w:rPr>
          <w:iCs/>
        </w:rPr>
        <w:t>“</w:t>
      </w:r>
      <w:r w:rsidR="004E3492" w:rsidRPr="00367355">
        <w:rPr>
          <w:iCs/>
        </w:rPr>
        <w:t>GC</w:t>
      </w:r>
      <w:r w:rsidR="00B9179C" w:rsidRPr="00367355">
        <w:rPr>
          <w:iCs/>
        </w:rPr>
        <w:t>”</w:t>
      </w:r>
      <w:r w:rsidR="004E3492" w:rsidRPr="00367355">
        <w:rPr>
          <w:iCs/>
        </w:rPr>
        <w:t xml:space="preserve"> refers to </w:t>
      </w:r>
      <w:r w:rsidR="00C91325" w:rsidRPr="00367355">
        <w:rPr>
          <w:iCs/>
        </w:rPr>
        <w:t>cisplatin-based NAC followed by RC and post-surgery active surveillance</w:t>
      </w:r>
      <w:r w:rsidR="004E3492" w:rsidRPr="00367355">
        <w:rPr>
          <w:iCs/>
        </w:rPr>
        <w:t>.</w:t>
      </w:r>
    </w:p>
    <w:p w14:paraId="58FEB2BE" w14:textId="77777777" w:rsidR="009D3A21" w:rsidRDefault="009D3A21" w:rsidP="00E76DC1">
      <w:pPr>
        <w:pStyle w:val="3-BodyText"/>
        <w:numPr>
          <w:ilvl w:val="0"/>
          <w:numId w:val="0"/>
        </w:numPr>
        <w:ind w:left="720"/>
      </w:pPr>
    </w:p>
    <w:p w14:paraId="7C696763" w14:textId="77777777" w:rsidR="009D3A21" w:rsidRPr="009D3A21" w:rsidRDefault="009D3A21" w:rsidP="009D3A21">
      <w:pPr>
        <w:pStyle w:val="3-BodyText"/>
        <w:numPr>
          <w:ilvl w:val="0"/>
          <w:numId w:val="0"/>
        </w:numPr>
        <w:ind w:left="720"/>
      </w:pPr>
    </w:p>
    <w:p w14:paraId="5A3FE142" w14:textId="23DC925B" w:rsidR="00E073E8" w:rsidRPr="00DF1914" w:rsidRDefault="00E073E8" w:rsidP="00782F3F">
      <w:pPr>
        <w:pStyle w:val="Caption"/>
      </w:pPr>
      <w:bookmarkStart w:id="41" w:name="_Ref208172250"/>
      <w:r w:rsidRPr="00DF1914">
        <w:lastRenderedPageBreak/>
        <w:t xml:space="preserve">Table </w:t>
      </w:r>
      <w:r w:rsidR="0077772B">
        <w:fldChar w:fldCharType="begin"/>
      </w:r>
      <w:r w:rsidR="0077772B">
        <w:instrText xml:space="preserve"> SEQ Table \* ARABIC </w:instrText>
      </w:r>
      <w:r w:rsidR="0077772B">
        <w:fldChar w:fldCharType="separate"/>
      </w:r>
      <w:r w:rsidR="005731FF">
        <w:rPr>
          <w:noProof/>
        </w:rPr>
        <w:t>3</w:t>
      </w:r>
      <w:r w:rsidR="0077772B">
        <w:rPr>
          <w:noProof/>
        </w:rPr>
        <w:fldChar w:fldCharType="end"/>
      </w:r>
      <w:bookmarkEnd w:id="41"/>
      <w:r w:rsidRPr="00DF1914">
        <w:t xml:space="preserve">: </w:t>
      </w:r>
      <w:r w:rsidRPr="00782F3F">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59"/>
        <w:gridCol w:w="784"/>
        <w:gridCol w:w="1360"/>
        <w:gridCol w:w="1004"/>
        <w:gridCol w:w="1432"/>
        <w:gridCol w:w="2025"/>
        <w:gridCol w:w="1553"/>
      </w:tblGrid>
      <w:tr w:rsidR="00E073E8" w:rsidRPr="00DF1914" w14:paraId="1DD05649" w14:textId="77777777" w:rsidTr="002538F4">
        <w:trPr>
          <w:cantSplit/>
          <w:tblHeader/>
        </w:trPr>
        <w:tc>
          <w:tcPr>
            <w:tcW w:w="476" w:type="pct"/>
            <w:vAlign w:val="center"/>
          </w:tcPr>
          <w:p w14:paraId="5FB18800" w14:textId="77777777" w:rsidR="00E073E8" w:rsidRPr="00DF1914" w:rsidRDefault="00E073E8" w:rsidP="00782F3F">
            <w:pPr>
              <w:pStyle w:val="In-tableHeading"/>
              <w:keepLines w:val="0"/>
              <w:widowControl w:val="0"/>
              <w:rPr>
                <w:lang w:val="en-AU"/>
              </w:rPr>
            </w:pPr>
            <w:r w:rsidRPr="00DF1914">
              <w:rPr>
                <w:lang w:val="en-AU"/>
              </w:rPr>
              <w:t>Trial</w:t>
            </w:r>
          </w:p>
        </w:tc>
        <w:tc>
          <w:tcPr>
            <w:tcW w:w="435" w:type="pct"/>
            <w:vAlign w:val="center"/>
          </w:tcPr>
          <w:p w14:paraId="38BB5ED6" w14:textId="77777777" w:rsidR="00E073E8" w:rsidRPr="00DF1914" w:rsidRDefault="00E073E8" w:rsidP="00782F3F">
            <w:pPr>
              <w:pStyle w:val="In-tableHeading"/>
              <w:keepLines w:val="0"/>
              <w:widowControl w:val="0"/>
              <w:jc w:val="center"/>
              <w:rPr>
                <w:lang w:val="en-AU"/>
              </w:rPr>
            </w:pPr>
            <w:r w:rsidRPr="00DF1914">
              <w:rPr>
                <w:lang w:val="en-AU"/>
              </w:rPr>
              <w:t>N</w:t>
            </w:r>
          </w:p>
        </w:tc>
        <w:tc>
          <w:tcPr>
            <w:tcW w:w="754" w:type="pct"/>
            <w:vAlign w:val="center"/>
          </w:tcPr>
          <w:p w14:paraId="073214BB" w14:textId="77777777" w:rsidR="00E073E8" w:rsidRPr="00DF1914" w:rsidRDefault="00E073E8" w:rsidP="00782F3F">
            <w:pPr>
              <w:pStyle w:val="In-tableHeading"/>
              <w:keepLines w:val="0"/>
              <w:widowControl w:val="0"/>
              <w:jc w:val="center"/>
              <w:rPr>
                <w:lang w:val="en-AU"/>
              </w:rPr>
            </w:pPr>
            <w:r w:rsidRPr="00DF1914">
              <w:rPr>
                <w:lang w:val="en-AU"/>
              </w:rPr>
              <w:t xml:space="preserve">Design/ </w:t>
            </w:r>
          </w:p>
          <w:p w14:paraId="27520D5F" w14:textId="77777777" w:rsidR="00E073E8" w:rsidRPr="00DF1914" w:rsidRDefault="00E073E8" w:rsidP="00782F3F">
            <w:pPr>
              <w:pStyle w:val="In-tableHeading"/>
              <w:keepLines w:val="0"/>
              <w:widowControl w:val="0"/>
              <w:jc w:val="center"/>
              <w:rPr>
                <w:lang w:val="en-AU"/>
              </w:rPr>
            </w:pPr>
            <w:r w:rsidRPr="00DF1914">
              <w:rPr>
                <w:lang w:val="en-AU"/>
              </w:rPr>
              <w:t>duration</w:t>
            </w:r>
          </w:p>
        </w:tc>
        <w:tc>
          <w:tcPr>
            <w:tcW w:w="557" w:type="pct"/>
            <w:vAlign w:val="center"/>
          </w:tcPr>
          <w:p w14:paraId="11D7BB46" w14:textId="77777777" w:rsidR="00E073E8" w:rsidRPr="00DF1914" w:rsidRDefault="00E073E8" w:rsidP="00782F3F">
            <w:pPr>
              <w:pStyle w:val="In-tableHeading"/>
              <w:keepLines w:val="0"/>
              <w:widowControl w:val="0"/>
              <w:jc w:val="center"/>
              <w:rPr>
                <w:lang w:val="en-AU"/>
              </w:rPr>
            </w:pPr>
            <w:r w:rsidRPr="00DF1914">
              <w:rPr>
                <w:lang w:val="en-AU"/>
              </w:rPr>
              <w:t>Risk of bias</w:t>
            </w:r>
          </w:p>
        </w:tc>
        <w:tc>
          <w:tcPr>
            <w:tcW w:w="794" w:type="pct"/>
            <w:vAlign w:val="center"/>
          </w:tcPr>
          <w:p w14:paraId="1C382407" w14:textId="77777777" w:rsidR="00E073E8" w:rsidRPr="00DF1914" w:rsidRDefault="00E073E8" w:rsidP="00782F3F">
            <w:pPr>
              <w:pStyle w:val="In-tableHeading"/>
              <w:keepLines w:val="0"/>
              <w:widowControl w:val="0"/>
              <w:jc w:val="center"/>
              <w:rPr>
                <w:lang w:val="en-AU"/>
              </w:rPr>
            </w:pPr>
            <w:r w:rsidRPr="00DF1914">
              <w:rPr>
                <w:lang w:val="en-AU"/>
              </w:rPr>
              <w:t>Patient population</w:t>
            </w:r>
          </w:p>
        </w:tc>
        <w:tc>
          <w:tcPr>
            <w:tcW w:w="1123" w:type="pct"/>
            <w:vAlign w:val="center"/>
          </w:tcPr>
          <w:p w14:paraId="30CAF1D7" w14:textId="77777777" w:rsidR="00E073E8" w:rsidRPr="00DF1914" w:rsidRDefault="00E073E8" w:rsidP="00782F3F">
            <w:pPr>
              <w:pStyle w:val="In-tableHeading"/>
              <w:keepLines w:val="0"/>
              <w:widowControl w:val="0"/>
              <w:jc w:val="center"/>
              <w:rPr>
                <w:lang w:val="en-AU"/>
              </w:rPr>
            </w:pPr>
            <w:r w:rsidRPr="00DF1914">
              <w:rPr>
                <w:lang w:val="en-AU"/>
              </w:rPr>
              <w:t>Outcomes</w:t>
            </w:r>
          </w:p>
        </w:tc>
        <w:tc>
          <w:tcPr>
            <w:tcW w:w="861" w:type="pct"/>
            <w:vAlign w:val="center"/>
          </w:tcPr>
          <w:p w14:paraId="74ACA203" w14:textId="77777777" w:rsidR="00E073E8" w:rsidRPr="00DF1914" w:rsidRDefault="00E073E8" w:rsidP="00782F3F">
            <w:pPr>
              <w:pStyle w:val="In-tableHeading"/>
              <w:keepLines w:val="0"/>
              <w:widowControl w:val="0"/>
              <w:jc w:val="center"/>
              <w:rPr>
                <w:lang w:val="en-AU"/>
              </w:rPr>
            </w:pPr>
            <w:r w:rsidRPr="00DF1914">
              <w:rPr>
                <w:lang w:val="en-AU"/>
              </w:rPr>
              <w:t>Use in modelled evaluation</w:t>
            </w:r>
          </w:p>
        </w:tc>
      </w:tr>
      <w:tr w:rsidR="00E073E8" w:rsidRPr="00DF1914" w14:paraId="5A6B1E82" w14:textId="77777777" w:rsidTr="002538F4">
        <w:trPr>
          <w:cantSplit/>
        </w:trPr>
        <w:tc>
          <w:tcPr>
            <w:tcW w:w="5000" w:type="pct"/>
            <w:gridSpan w:val="7"/>
            <w:vAlign w:val="center"/>
          </w:tcPr>
          <w:p w14:paraId="5C8AF879" w14:textId="3D8FCE90" w:rsidR="00E073E8" w:rsidRPr="00DF1914" w:rsidRDefault="00E073E8" w:rsidP="00782F3F">
            <w:pPr>
              <w:pStyle w:val="In-tableHeading"/>
              <w:keepLines w:val="0"/>
              <w:widowControl w:val="0"/>
              <w:rPr>
                <w:lang w:val="en-AU"/>
              </w:rPr>
            </w:pPr>
            <w:r w:rsidRPr="0076353C">
              <w:rPr>
                <w:lang w:val="en-AU"/>
              </w:rPr>
              <w:t>D</w:t>
            </w:r>
            <w:r>
              <w:rPr>
                <w:lang w:val="en-AU"/>
              </w:rPr>
              <w:t>URVA + GC vs GC (SoC)</w:t>
            </w:r>
            <w:r w:rsidR="00333117">
              <w:rPr>
                <w:lang w:val="en-AU"/>
              </w:rPr>
              <w:t xml:space="preserve"> (</w:t>
            </w:r>
            <w:r w:rsidR="00333117" w:rsidRPr="00367355">
              <w:rPr>
                <w:iCs/>
                <w:lang w:val="en-AU"/>
              </w:rPr>
              <w:t>perioperative treatment setting)</w:t>
            </w:r>
          </w:p>
        </w:tc>
      </w:tr>
      <w:tr w:rsidR="00E073E8" w:rsidRPr="00DF1914" w14:paraId="45440116" w14:textId="77777777" w:rsidTr="002538F4">
        <w:trPr>
          <w:cantSplit/>
        </w:trPr>
        <w:tc>
          <w:tcPr>
            <w:tcW w:w="476" w:type="pct"/>
            <w:vAlign w:val="center"/>
          </w:tcPr>
          <w:p w14:paraId="5A7E5849" w14:textId="77777777" w:rsidR="00E073E8" w:rsidRPr="0076353C" w:rsidRDefault="00E073E8" w:rsidP="00782F3F">
            <w:pPr>
              <w:pStyle w:val="TableText0"/>
              <w:keepLines w:val="0"/>
              <w:widowControl w:val="0"/>
            </w:pPr>
            <w:r w:rsidRPr="0076353C">
              <w:t>NIAGARA</w:t>
            </w:r>
          </w:p>
        </w:tc>
        <w:tc>
          <w:tcPr>
            <w:tcW w:w="435" w:type="pct"/>
            <w:vAlign w:val="center"/>
          </w:tcPr>
          <w:p w14:paraId="3C0DDA69" w14:textId="77777777" w:rsidR="00E073E8" w:rsidRPr="0076353C" w:rsidRDefault="00E073E8" w:rsidP="00782F3F">
            <w:pPr>
              <w:pStyle w:val="TableText0"/>
              <w:keepLines w:val="0"/>
              <w:widowControl w:val="0"/>
              <w:jc w:val="center"/>
            </w:pPr>
            <w:r w:rsidRPr="0076353C">
              <w:t>1,063</w:t>
            </w:r>
          </w:p>
        </w:tc>
        <w:tc>
          <w:tcPr>
            <w:tcW w:w="754" w:type="pct"/>
            <w:vAlign w:val="center"/>
          </w:tcPr>
          <w:p w14:paraId="7A80CB94" w14:textId="77777777" w:rsidR="00E073E8" w:rsidRPr="0076353C" w:rsidRDefault="00E073E8" w:rsidP="00782F3F">
            <w:pPr>
              <w:pStyle w:val="TableText0"/>
              <w:keepLines w:val="0"/>
              <w:widowControl w:val="0"/>
              <w:jc w:val="center"/>
            </w:pPr>
            <w:r w:rsidRPr="0076353C">
              <w:t>R, MC, OL</w:t>
            </w:r>
          </w:p>
          <w:p w14:paraId="3A0EDA03" w14:textId="015EB582" w:rsidR="00E073E8" w:rsidRDefault="00E073E8" w:rsidP="00782F3F">
            <w:pPr>
              <w:pStyle w:val="TableText0"/>
              <w:keepLines w:val="0"/>
              <w:widowControl w:val="0"/>
              <w:jc w:val="center"/>
            </w:pPr>
            <w:r>
              <w:t xml:space="preserve">Median follow-up: DURVA + GC: 42.3 </w:t>
            </w:r>
            <w:r w:rsidRPr="0076353C">
              <w:t>mths</w:t>
            </w:r>
          </w:p>
          <w:p w14:paraId="66CE78A2" w14:textId="77777777" w:rsidR="00E073E8" w:rsidRPr="0076353C" w:rsidRDefault="00E073E8" w:rsidP="00782F3F">
            <w:pPr>
              <w:pStyle w:val="TableText0"/>
              <w:keepLines w:val="0"/>
              <w:widowControl w:val="0"/>
              <w:jc w:val="center"/>
            </w:pPr>
            <w:r>
              <w:t>GC: 39.6 mths</w:t>
            </w:r>
          </w:p>
        </w:tc>
        <w:tc>
          <w:tcPr>
            <w:tcW w:w="557" w:type="pct"/>
            <w:vAlign w:val="center"/>
          </w:tcPr>
          <w:p w14:paraId="19F6CD00" w14:textId="77777777" w:rsidR="00E073E8" w:rsidRPr="0076353C" w:rsidRDefault="00E073E8" w:rsidP="00782F3F">
            <w:pPr>
              <w:pStyle w:val="TableText0"/>
              <w:keepLines w:val="0"/>
              <w:widowControl w:val="0"/>
              <w:jc w:val="center"/>
              <w:rPr>
                <w:iCs/>
                <w:vertAlign w:val="superscript"/>
              </w:rPr>
            </w:pPr>
            <w:r w:rsidRPr="0076353C">
              <w:rPr>
                <w:iCs/>
              </w:rPr>
              <w:t>Varied depending on the subjectivity of the outcome</w:t>
            </w:r>
            <w:r>
              <w:rPr>
                <w:iCs/>
                <w:vertAlign w:val="superscript"/>
              </w:rPr>
              <w:t>c</w:t>
            </w:r>
          </w:p>
        </w:tc>
        <w:tc>
          <w:tcPr>
            <w:tcW w:w="794" w:type="pct"/>
            <w:vAlign w:val="center"/>
          </w:tcPr>
          <w:p w14:paraId="2C232CED" w14:textId="77777777" w:rsidR="00E073E8" w:rsidRPr="0076353C" w:rsidRDefault="00E073E8" w:rsidP="00782F3F">
            <w:pPr>
              <w:pStyle w:val="TableText0"/>
              <w:keepLines w:val="0"/>
              <w:widowControl w:val="0"/>
            </w:pPr>
            <w:r w:rsidRPr="0076353C">
              <w:t>Patients with Stage T2-T4a, N0 or N1, M0 MIBC</w:t>
            </w:r>
          </w:p>
        </w:tc>
        <w:tc>
          <w:tcPr>
            <w:tcW w:w="1123" w:type="pct"/>
            <w:vAlign w:val="center"/>
          </w:tcPr>
          <w:p w14:paraId="5C7F5537" w14:textId="77777777" w:rsidR="00E073E8" w:rsidRPr="0076353C" w:rsidRDefault="00E073E8" w:rsidP="00782F3F">
            <w:pPr>
              <w:pStyle w:val="TableText0"/>
              <w:keepLines w:val="0"/>
              <w:widowControl w:val="0"/>
            </w:pPr>
            <w:r w:rsidRPr="0076353C">
              <w:t xml:space="preserve">Primary (dual): </w:t>
            </w:r>
          </w:p>
          <w:p w14:paraId="1BF50602" w14:textId="77777777" w:rsidR="00E073E8" w:rsidRPr="0076353C" w:rsidRDefault="00E073E8" w:rsidP="00782F3F">
            <w:pPr>
              <w:pStyle w:val="TableText0"/>
              <w:keepLines w:val="0"/>
              <w:widowControl w:val="0"/>
              <w:ind w:left="91"/>
            </w:pPr>
            <w:r w:rsidRPr="0076353C">
              <w:t>EFS by BICR, pCR by CPR</w:t>
            </w:r>
          </w:p>
          <w:p w14:paraId="21F44B34" w14:textId="77777777" w:rsidR="00E073E8" w:rsidRPr="0076353C" w:rsidRDefault="00E073E8" w:rsidP="00782F3F">
            <w:pPr>
              <w:pStyle w:val="TableText0"/>
              <w:keepLines w:val="0"/>
              <w:widowControl w:val="0"/>
            </w:pPr>
            <w:r w:rsidRPr="0076353C">
              <w:t xml:space="preserve">Secondary: </w:t>
            </w:r>
          </w:p>
          <w:p w14:paraId="33F5C084" w14:textId="77777777" w:rsidR="00E073E8" w:rsidRPr="0076353C" w:rsidRDefault="00E073E8" w:rsidP="00782F3F">
            <w:pPr>
              <w:pStyle w:val="TableText0"/>
              <w:keepLines w:val="0"/>
              <w:widowControl w:val="0"/>
              <w:ind w:left="91"/>
            </w:pPr>
            <w:r w:rsidRPr="0076353C">
              <w:t>OS, DFS (by BICR)</w:t>
            </w:r>
            <w:r>
              <w:rPr>
                <w:vertAlign w:val="superscript"/>
              </w:rPr>
              <w:t>e</w:t>
            </w:r>
            <w:r w:rsidRPr="0076353C">
              <w:t>, MFS, % of patients who achieved &lt; P2</w:t>
            </w:r>
            <w:r>
              <w:rPr>
                <w:vertAlign w:val="superscript"/>
              </w:rPr>
              <w:t>f</w:t>
            </w:r>
            <w:r w:rsidRPr="0076353C">
              <w:t>, % of patients who underwent cystectomy, HRQoL, and AEs</w:t>
            </w:r>
          </w:p>
        </w:tc>
        <w:tc>
          <w:tcPr>
            <w:tcW w:w="861" w:type="pct"/>
            <w:vAlign w:val="center"/>
          </w:tcPr>
          <w:p w14:paraId="75E74B63" w14:textId="77777777" w:rsidR="00E073E8" w:rsidRPr="0076353C" w:rsidRDefault="00E073E8" w:rsidP="00782F3F">
            <w:pPr>
              <w:pStyle w:val="TableText0"/>
              <w:keepLines w:val="0"/>
              <w:widowControl w:val="0"/>
              <w:jc w:val="center"/>
            </w:pPr>
            <w:r w:rsidRPr="0076353C">
              <w:t>EFS, DFS</w:t>
            </w:r>
          </w:p>
        </w:tc>
      </w:tr>
      <w:tr w:rsidR="00E073E8" w:rsidRPr="00DF1914" w14:paraId="2C4AEFCF" w14:textId="77777777" w:rsidTr="002538F4">
        <w:trPr>
          <w:cantSplit/>
        </w:trPr>
        <w:tc>
          <w:tcPr>
            <w:tcW w:w="5000" w:type="pct"/>
            <w:gridSpan w:val="7"/>
            <w:vAlign w:val="center"/>
          </w:tcPr>
          <w:p w14:paraId="5CEA8707" w14:textId="654945F3" w:rsidR="00E073E8" w:rsidRPr="00094DF3" w:rsidRDefault="00E073E8" w:rsidP="00782F3F">
            <w:pPr>
              <w:pStyle w:val="TableText0"/>
              <w:keepLines w:val="0"/>
              <w:widowControl w:val="0"/>
              <w:rPr>
                <w:b/>
                <w:bCs w:val="0"/>
              </w:rPr>
            </w:pPr>
            <w:r w:rsidRPr="00094DF3">
              <w:rPr>
                <w:b/>
                <w:bCs w:val="0"/>
              </w:rPr>
              <w:t>Nivolumab vs placebo (proxy for watchful waiting)</w:t>
            </w:r>
            <w:r w:rsidR="00333117">
              <w:rPr>
                <w:b/>
                <w:bCs w:val="0"/>
              </w:rPr>
              <w:t xml:space="preserve"> </w:t>
            </w:r>
            <w:r w:rsidR="00333117" w:rsidRPr="00367355">
              <w:rPr>
                <w:b/>
                <w:bCs w:val="0"/>
                <w:iCs/>
              </w:rPr>
              <w:t>(adjuvant treatment setting)</w:t>
            </w:r>
          </w:p>
        </w:tc>
      </w:tr>
      <w:tr w:rsidR="00E073E8" w:rsidRPr="00DF1914" w14:paraId="538133C2" w14:textId="77777777" w:rsidTr="002538F4">
        <w:trPr>
          <w:cantSplit/>
        </w:trPr>
        <w:tc>
          <w:tcPr>
            <w:tcW w:w="476" w:type="pct"/>
            <w:vAlign w:val="center"/>
          </w:tcPr>
          <w:p w14:paraId="51DEB0FD" w14:textId="77777777" w:rsidR="00E073E8" w:rsidRPr="0076353C" w:rsidRDefault="00E073E8" w:rsidP="00782F3F">
            <w:pPr>
              <w:pStyle w:val="TableText0"/>
              <w:keepLines w:val="0"/>
              <w:widowControl w:val="0"/>
            </w:pPr>
            <w:r>
              <w:t>CM274</w:t>
            </w:r>
          </w:p>
        </w:tc>
        <w:tc>
          <w:tcPr>
            <w:tcW w:w="435" w:type="pct"/>
            <w:vAlign w:val="center"/>
          </w:tcPr>
          <w:p w14:paraId="6738BD1D" w14:textId="77777777" w:rsidR="00E073E8" w:rsidRPr="0076353C" w:rsidRDefault="00E073E8" w:rsidP="00782F3F">
            <w:pPr>
              <w:pStyle w:val="TableText0"/>
              <w:keepLines w:val="0"/>
              <w:widowControl w:val="0"/>
              <w:jc w:val="center"/>
            </w:pPr>
            <w:r>
              <w:t>709</w:t>
            </w:r>
            <w:r w:rsidRPr="00094DF3">
              <w:rPr>
                <w:vertAlign w:val="superscript"/>
              </w:rPr>
              <w:t>a</w:t>
            </w:r>
          </w:p>
        </w:tc>
        <w:tc>
          <w:tcPr>
            <w:tcW w:w="754" w:type="pct"/>
            <w:vAlign w:val="center"/>
          </w:tcPr>
          <w:p w14:paraId="06BBEE43" w14:textId="77777777" w:rsidR="00E073E8" w:rsidRDefault="00E073E8" w:rsidP="00782F3F">
            <w:pPr>
              <w:pStyle w:val="TableText0"/>
              <w:keepLines w:val="0"/>
              <w:widowControl w:val="0"/>
              <w:jc w:val="center"/>
            </w:pPr>
            <w:r>
              <w:t>R, MC, DB</w:t>
            </w:r>
          </w:p>
          <w:p w14:paraId="72B022F4" w14:textId="77777777" w:rsidR="00E073E8" w:rsidRPr="0076353C" w:rsidRDefault="00E073E8" w:rsidP="00782F3F">
            <w:pPr>
              <w:pStyle w:val="TableText0"/>
              <w:keepLines w:val="0"/>
              <w:widowControl w:val="0"/>
              <w:jc w:val="center"/>
            </w:pPr>
            <w:r>
              <w:t>36.1 mths</w:t>
            </w:r>
            <w:r w:rsidRPr="00094DF3">
              <w:rPr>
                <w:vertAlign w:val="superscript"/>
              </w:rPr>
              <w:t>b</w:t>
            </w:r>
          </w:p>
        </w:tc>
        <w:tc>
          <w:tcPr>
            <w:tcW w:w="557" w:type="pct"/>
            <w:vAlign w:val="center"/>
          </w:tcPr>
          <w:p w14:paraId="6A39E7B2" w14:textId="77777777" w:rsidR="00E073E8" w:rsidRPr="0076353C" w:rsidRDefault="00E073E8" w:rsidP="00782F3F">
            <w:pPr>
              <w:pStyle w:val="TableText0"/>
              <w:keepLines w:val="0"/>
              <w:widowControl w:val="0"/>
              <w:jc w:val="center"/>
              <w:rPr>
                <w:iCs/>
              </w:rPr>
            </w:pPr>
            <w:r>
              <w:rPr>
                <w:iCs/>
              </w:rPr>
              <w:t>Low</w:t>
            </w:r>
            <w:r>
              <w:rPr>
                <w:iCs/>
                <w:vertAlign w:val="superscript"/>
              </w:rPr>
              <w:t>d</w:t>
            </w:r>
          </w:p>
        </w:tc>
        <w:tc>
          <w:tcPr>
            <w:tcW w:w="794" w:type="pct"/>
            <w:vAlign w:val="center"/>
          </w:tcPr>
          <w:p w14:paraId="4A7A77A6" w14:textId="77777777" w:rsidR="00E073E8" w:rsidRPr="0076353C" w:rsidRDefault="00E073E8" w:rsidP="00782F3F">
            <w:pPr>
              <w:pStyle w:val="TableText0"/>
              <w:keepLines w:val="0"/>
              <w:widowControl w:val="0"/>
            </w:pPr>
            <w:r>
              <w:t>Patients with MIUC who had undergone radical surgical resection</w:t>
            </w:r>
          </w:p>
        </w:tc>
        <w:tc>
          <w:tcPr>
            <w:tcW w:w="1123" w:type="pct"/>
            <w:vAlign w:val="center"/>
          </w:tcPr>
          <w:p w14:paraId="574CE8EE" w14:textId="77777777" w:rsidR="00E073E8" w:rsidRDefault="00E073E8" w:rsidP="00782F3F">
            <w:pPr>
              <w:pStyle w:val="TableText0"/>
              <w:keepLines w:val="0"/>
              <w:widowControl w:val="0"/>
            </w:pPr>
            <w:r>
              <w:t>Primary: DFS</w:t>
            </w:r>
          </w:p>
          <w:p w14:paraId="3C90D332" w14:textId="77777777" w:rsidR="00E073E8" w:rsidRDefault="00E073E8" w:rsidP="00782F3F">
            <w:pPr>
              <w:pStyle w:val="TableText0"/>
              <w:keepLines w:val="0"/>
              <w:widowControl w:val="0"/>
            </w:pPr>
            <w:r>
              <w:t>Secondary: NUTRFS, OS, and DSS</w:t>
            </w:r>
          </w:p>
          <w:p w14:paraId="1B02EBC0" w14:textId="77777777" w:rsidR="00E073E8" w:rsidRPr="0076353C" w:rsidRDefault="00E073E8" w:rsidP="00782F3F">
            <w:pPr>
              <w:pStyle w:val="TableText0"/>
              <w:keepLines w:val="0"/>
              <w:widowControl w:val="0"/>
            </w:pPr>
            <w:r>
              <w:t>Exploratory: DMFS</w:t>
            </w:r>
          </w:p>
        </w:tc>
        <w:tc>
          <w:tcPr>
            <w:tcW w:w="861" w:type="pct"/>
            <w:vAlign w:val="center"/>
          </w:tcPr>
          <w:p w14:paraId="5A1ADC45" w14:textId="7138B079" w:rsidR="00E073E8" w:rsidRPr="0076353C" w:rsidRDefault="0097424C" w:rsidP="00782F3F">
            <w:pPr>
              <w:pStyle w:val="TableText0"/>
              <w:keepLines w:val="0"/>
              <w:widowControl w:val="0"/>
              <w:jc w:val="center"/>
            </w:pPr>
            <w:r>
              <w:t>HR for DFS with nivolumab versus active surveillance</w:t>
            </w:r>
          </w:p>
        </w:tc>
      </w:tr>
    </w:tbl>
    <w:p w14:paraId="1EAB7A83" w14:textId="77777777" w:rsidR="00E073E8" w:rsidRDefault="00E073E8" w:rsidP="00782F3F">
      <w:pPr>
        <w:pStyle w:val="TableFigureFooter"/>
        <w:keepNext/>
        <w:keepLines w:val="0"/>
        <w:widowControl w:val="0"/>
      </w:pPr>
      <w:r w:rsidRPr="0076353C">
        <w:t>Source: Information provided in Section 2.3, pp31-43 of the submission.</w:t>
      </w:r>
    </w:p>
    <w:p w14:paraId="3387AFAF" w14:textId="7FC9434C" w:rsidR="00E073E8" w:rsidRPr="0076353C" w:rsidRDefault="00E073E8" w:rsidP="00782F3F">
      <w:pPr>
        <w:pStyle w:val="TableFigureFooter"/>
        <w:keepNext/>
        <w:keepLines w:val="0"/>
        <w:widowControl w:val="0"/>
      </w:pPr>
      <w:r w:rsidRPr="003443E1">
        <w:t>AEs = Adverse Events; BICR = Blinded independent central review;</w:t>
      </w:r>
      <w:r>
        <w:t xml:space="preserve"> DB = double-blind;</w:t>
      </w:r>
      <w:r w:rsidRPr="003443E1">
        <w:t xml:space="preserve"> DFS = Disease-free survival;</w:t>
      </w:r>
      <w:r>
        <w:t xml:space="preserve"> </w:t>
      </w:r>
      <w:r w:rsidRPr="006916E4">
        <w:t>DMFS = distant metastasis-free survival</w:t>
      </w:r>
      <w:r>
        <w:t>;</w:t>
      </w:r>
      <w:r w:rsidRPr="006916E4">
        <w:t xml:space="preserve"> </w:t>
      </w:r>
      <w:r>
        <w:t>DSS = disease-specific survival; DURVA = durvalumab;</w:t>
      </w:r>
      <w:r w:rsidRPr="003443E1">
        <w:t xml:space="preserve"> EFS = Event free survival; </w:t>
      </w:r>
      <w:r w:rsidR="00C75823">
        <w:t xml:space="preserve">HR = hazard ratio; </w:t>
      </w:r>
      <w:r w:rsidRPr="003443E1">
        <w:t xml:space="preserve">HRQoL = Health related quality of life; </w:t>
      </w:r>
      <w:r>
        <w:t xml:space="preserve">M = stage of metastasis; </w:t>
      </w:r>
      <w:r w:rsidRPr="003443E1">
        <w:t xml:space="preserve">MC = Multicentre; MFS = Metastasis-free survival; MIBC = Muscle-invasive bladder cancer; </w:t>
      </w:r>
      <w:r>
        <w:t xml:space="preserve">MIUC = muscle-invasive urothelial carcinoma; mths = months; N = stage of lymph node involvement; </w:t>
      </w:r>
      <w:r w:rsidRPr="006916E4">
        <w:t>NUTRFS = non upper tract recurrence free survival</w:t>
      </w:r>
      <w:r>
        <w:t>;</w:t>
      </w:r>
      <w:r w:rsidRPr="006916E4">
        <w:t xml:space="preserve"> </w:t>
      </w:r>
      <w:r w:rsidRPr="003443E1">
        <w:t xml:space="preserve">OL = </w:t>
      </w:r>
      <w:r>
        <w:t>o</w:t>
      </w:r>
      <w:r w:rsidRPr="003443E1">
        <w:t xml:space="preserve">pen label; OS = </w:t>
      </w:r>
      <w:r>
        <w:t>o</w:t>
      </w:r>
      <w:r w:rsidRPr="003443E1">
        <w:t xml:space="preserve">verall survival; </w:t>
      </w:r>
      <w:r w:rsidRPr="0076353C">
        <w:t xml:space="preserve">R = randomised; </w:t>
      </w:r>
      <w:r w:rsidRPr="003443E1">
        <w:t xml:space="preserve">SoC = </w:t>
      </w:r>
      <w:r>
        <w:t>s</w:t>
      </w:r>
      <w:r w:rsidRPr="003443E1">
        <w:t>tandard of care</w:t>
      </w:r>
      <w:r>
        <w:t>; T = tumour.</w:t>
      </w:r>
    </w:p>
    <w:p w14:paraId="776B99F9" w14:textId="77777777" w:rsidR="00E073E8" w:rsidRPr="0076353C" w:rsidRDefault="00E073E8" w:rsidP="00782F3F">
      <w:pPr>
        <w:pStyle w:val="TableFigureFooter"/>
        <w:keepNext/>
        <w:keepLines w:val="0"/>
        <w:widowControl w:val="0"/>
      </w:pPr>
      <w:r w:rsidRPr="0076353C">
        <w:rPr>
          <w:vertAlign w:val="superscript"/>
        </w:rPr>
        <w:t>a</w:t>
      </w:r>
      <w:r>
        <w:rPr>
          <w:vertAlign w:val="superscript"/>
        </w:rPr>
        <w:t xml:space="preserve"> </w:t>
      </w:r>
      <w:r>
        <w:t>In the CM274 trial, 353 patients were randomly assigned</w:t>
      </w:r>
      <w:r w:rsidRPr="0076353C">
        <w:t xml:space="preserve"> </w:t>
      </w:r>
      <w:r>
        <w:t xml:space="preserve">to the nivolumab arm and 356 to the placebo arm. In the trial, 560 patients (279 in the nivolumab arm and 281 in the placebo arm) had the original tumour in the bladder. </w:t>
      </w:r>
    </w:p>
    <w:p w14:paraId="75FED7A5" w14:textId="77777777" w:rsidR="00E073E8" w:rsidRPr="0076353C" w:rsidRDefault="00E073E8" w:rsidP="00782F3F">
      <w:pPr>
        <w:pStyle w:val="TableFigureFooter"/>
        <w:keepNext/>
        <w:keepLines w:val="0"/>
        <w:widowControl w:val="0"/>
      </w:pPr>
      <w:r w:rsidRPr="0076353C">
        <w:rPr>
          <w:vertAlign w:val="superscript"/>
        </w:rPr>
        <w:t>b</w:t>
      </w:r>
      <w:r w:rsidRPr="0076353C">
        <w:t xml:space="preserve"> </w:t>
      </w:r>
      <w:r>
        <w:t>According to the extended follow-up results from the CM274 trial (Galsky MD et al.), duration of median follow-up for the nivolumab arm was 37.4 months and 33.9 months for the placebo arm.</w:t>
      </w:r>
    </w:p>
    <w:p w14:paraId="4CA3CE40" w14:textId="77777777" w:rsidR="00E073E8" w:rsidRDefault="00E073E8" w:rsidP="00782F3F">
      <w:pPr>
        <w:pStyle w:val="TableFigureFooter"/>
        <w:keepNext/>
        <w:keepLines w:val="0"/>
        <w:widowControl w:val="0"/>
        <w:rPr>
          <w:vertAlign w:val="superscript"/>
        </w:rPr>
      </w:pPr>
      <w:r w:rsidRPr="0076353C">
        <w:rPr>
          <w:vertAlign w:val="superscript"/>
        </w:rPr>
        <w:t>c</w:t>
      </w:r>
      <w:r w:rsidRPr="006916E4">
        <w:t xml:space="preserve"> </w:t>
      </w:r>
      <w:r w:rsidRPr="0076353C">
        <w:t>Low risk of bias for assessment of EFS, pCR, OS, DFS, and MFS. Moderate-to-high risk of bias for assessment of patient-reported outcomes and AE outcomes</w:t>
      </w:r>
    </w:p>
    <w:p w14:paraId="432C4A16" w14:textId="77777777" w:rsidR="00E073E8" w:rsidRPr="00094DF3" w:rsidRDefault="00E073E8" w:rsidP="00782F3F">
      <w:pPr>
        <w:pStyle w:val="TableFigureFooter"/>
        <w:keepNext/>
        <w:keepLines w:val="0"/>
        <w:widowControl w:val="0"/>
      </w:pPr>
      <w:r>
        <w:rPr>
          <w:vertAlign w:val="superscript"/>
        </w:rPr>
        <w:t>d</w:t>
      </w:r>
      <w:r w:rsidRPr="00094DF3">
        <w:t xml:space="preserve"> </w:t>
      </w:r>
      <w:r>
        <w:t>Based on Table 5 of the nivolumab Public Summary Document, November 2023 PBAC Meeting with March 2024 Addendum.</w:t>
      </w:r>
    </w:p>
    <w:p w14:paraId="152309DB" w14:textId="22AA1105" w:rsidR="00E073E8" w:rsidRDefault="00E073E8" w:rsidP="00782F3F">
      <w:pPr>
        <w:pStyle w:val="TableFigureFooter"/>
        <w:keepNext/>
        <w:keepLines w:val="0"/>
        <w:widowControl w:val="0"/>
      </w:pPr>
      <w:r>
        <w:rPr>
          <w:vertAlign w:val="superscript"/>
        </w:rPr>
        <w:t>e</w:t>
      </w:r>
      <w:r w:rsidRPr="00094DF3">
        <w:t xml:space="preserve"> </w:t>
      </w:r>
      <w:r w:rsidRPr="0076353C">
        <w:t>DFS data was reported for patients who underwent radical cystectomy which included 64.8% of randomised patients</w:t>
      </w:r>
      <w:r w:rsidR="00355C6E">
        <w:t>.</w:t>
      </w:r>
    </w:p>
    <w:p w14:paraId="7C3DE48E" w14:textId="522D5204" w:rsidR="00E073E8" w:rsidRPr="00094DF3" w:rsidRDefault="00E073E8" w:rsidP="00782F3F">
      <w:pPr>
        <w:pStyle w:val="TableFigureFooter"/>
        <w:keepNext/>
        <w:keepLines w:val="0"/>
        <w:widowControl w:val="0"/>
        <w:rPr>
          <w:vertAlign w:val="superscript"/>
        </w:rPr>
      </w:pPr>
      <w:r w:rsidRPr="00094DF3">
        <w:rPr>
          <w:vertAlign w:val="superscript"/>
        </w:rPr>
        <w:t>f</w:t>
      </w:r>
      <w:r>
        <w:rPr>
          <w:vertAlign w:val="superscript"/>
        </w:rPr>
        <w:t xml:space="preserve"> </w:t>
      </w:r>
      <w:r w:rsidRPr="0076353C">
        <w:t>Assessed by local pathology review</w:t>
      </w:r>
      <w:r w:rsidR="00355C6E">
        <w:t>.</w:t>
      </w:r>
    </w:p>
    <w:p w14:paraId="6D761F28" w14:textId="4CDBFDD6" w:rsidR="00E073E8" w:rsidRPr="004E055B" w:rsidRDefault="00E073E8" w:rsidP="00E073E8">
      <w:pPr>
        <w:pStyle w:val="3-BodyText"/>
      </w:pPr>
      <w:r w:rsidRPr="004E055B">
        <w:t>Blinded independent central review (BICR) and central pathological review (CPR) were used to reduce the risk of bias for the assessment of event-free survival (EFS) and pathological complete response (pCR) in the NIAGARA trial. However, due to the open-label study design, the assessment of health-related quality of life (HRQoL) and safety outcomes was subject to a moderate-to-high risk of bias.</w:t>
      </w:r>
    </w:p>
    <w:p w14:paraId="008E48DA" w14:textId="350F028F" w:rsidR="00AF325D" w:rsidRPr="00AF325D" w:rsidRDefault="00E073E8" w:rsidP="00E073E8">
      <w:pPr>
        <w:pStyle w:val="3-BodyText"/>
        <w:rPr>
          <w:color w:val="0066FF"/>
        </w:rPr>
      </w:pPr>
      <w:r w:rsidRPr="004E055B">
        <w:t xml:space="preserve">In the NIAGARA trial, patients in the </w:t>
      </w:r>
      <w:r w:rsidR="00430804" w:rsidRPr="004E055B">
        <w:t>durvalumab</w:t>
      </w:r>
      <w:r w:rsidRPr="004E055B">
        <w:t xml:space="preserve"> + GC arm received both neoadjuvant and adjuvant durvalumab</w:t>
      </w:r>
      <w:r w:rsidR="00CF6852">
        <w:t>, regardless of individual risk profiles</w:t>
      </w:r>
      <w:r w:rsidRPr="004E055B">
        <w:t>. The design of the trial did not allow the effect of the neoadjuvant and adjuvant durvalumab to be distinguished from each other</w:t>
      </w:r>
      <w:r w:rsidR="00FD1DB6">
        <w:t xml:space="preserve"> and therefore </w:t>
      </w:r>
      <w:r w:rsidRPr="004E055B">
        <w:t>the most effective use of the immunotherapy (neoadjuvant vs adjuvant setting) in treating MIBC</w:t>
      </w:r>
      <w:r w:rsidR="009D04C3">
        <w:t xml:space="preserve"> could not be determined</w:t>
      </w:r>
      <w:r w:rsidRPr="004E055B">
        <w:t>.</w:t>
      </w:r>
      <w:r w:rsidR="008B5CD5">
        <w:t xml:space="preserve"> </w:t>
      </w:r>
      <w:r w:rsidR="008B5CD5" w:rsidRPr="00367355">
        <w:rPr>
          <w:iCs/>
        </w:rPr>
        <w:t xml:space="preserve">The </w:t>
      </w:r>
      <w:r w:rsidR="00366D50" w:rsidRPr="00367355">
        <w:rPr>
          <w:iCs/>
        </w:rPr>
        <w:t>PSCR</w:t>
      </w:r>
      <w:r w:rsidR="008B5CD5" w:rsidRPr="00367355">
        <w:rPr>
          <w:iCs/>
        </w:rPr>
        <w:t xml:space="preserve"> </w:t>
      </w:r>
      <w:r w:rsidR="00F24F7A" w:rsidRPr="00367355">
        <w:rPr>
          <w:iCs/>
        </w:rPr>
        <w:t xml:space="preserve">acknowledged </w:t>
      </w:r>
      <w:r w:rsidR="005E2058" w:rsidRPr="00367355">
        <w:rPr>
          <w:iCs/>
        </w:rPr>
        <w:t xml:space="preserve">that the NIAGARA trial was not designed to demonstrate contribution by phase of treatment </w:t>
      </w:r>
      <w:r w:rsidR="00456A5E">
        <w:rPr>
          <w:iCs/>
        </w:rPr>
        <w:t>but</w:t>
      </w:r>
      <w:r w:rsidR="00251BCE" w:rsidRPr="00367355">
        <w:rPr>
          <w:iCs/>
        </w:rPr>
        <w:t xml:space="preserve"> noted </w:t>
      </w:r>
      <w:r w:rsidR="008B5CD5" w:rsidRPr="00367355">
        <w:rPr>
          <w:iCs/>
        </w:rPr>
        <w:t>that</w:t>
      </w:r>
      <w:r w:rsidR="001105E9" w:rsidRPr="00367355">
        <w:rPr>
          <w:iCs/>
        </w:rPr>
        <w:t xml:space="preserve"> the exposure of patients to perioperative durvalumab</w:t>
      </w:r>
      <w:r w:rsidR="00F47BAD" w:rsidRPr="00367355">
        <w:rPr>
          <w:iCs/>
        </w:rPr>
        <w:t xml:space="preserve"> (in the </w:t>
      </w:r>
      <w:r w:rsidR="00772E4A" w:rsidRPr="00367355">
        <w:rPr>
          <w:iCs/>
        </w:rPr>
        <w:t>NIAGARA trial</w:t>
      </w:r>
      <w:r w:rsidR="00F47BAD" w:rsidRPr="00367355">
        <w:rPr>
          <w:iCs/>
        </w:rPr>
        <w:t>)</w:t>
      </w:r>
      <w:r w:rsidR="001105E9" w:rsidRPr="00367355">
        <w:rPr>
          <w:iCs/>
        </w:rPr>
        <w:t xml:space="preserve"> is</w:t>
      </w:r>
      <w:r w:rsidR="00FB1C83" w:rsidRPr="00367355">
        <w:rPr>
          <w:iCs/>
        </w:rPr>
        <w:t xml:space="preserve"> similar to exposure to adjuvant nivolumab</w:t>
      </w:r>
      <w:r w:rsidR="00772E4A" w:rsidRPr="00367355">
        <w:rPr>
          <w:iCs/>
        </w:rPr>
        <w:t xml:space="preserve"> (in the CM274 trial)</w:t>
      </w:r>
      <w:r w:rsidR="00FB1C83" w:rsidRPr="00367355">
        <w:rPr>
          <w:iCs/>
        </w:rPr>
        <w:t xml:space="preserve"> in terms of total number of cycles</w:t>
      </w:r>
      <w:r w:rsidR="001B4C93" w:rsidRPr="00367355">
        <w:rPr>
          <w:iCs/>
        </w:rPr>
        <w:t>, indicating no difference in overall exposure to immunotherapy with either regimen</w:t>
      </w:r>
      <w:r w:rsidR="0067285A">
        <w:rPr>
          <w:iCs/>
        </w:rPr>
        <w:t>.</w:t>
      </w:r>
      <w:r w:rsidR="00AD6767" w:rsidRPr="00367355">
        <w:rPr>
          <w:iCs/>
        </w:rPr>
        <w:t xml:space="preserve"> </w:t>
      </w:r>
      <w:r w:rsidR="0067285A">
        <w:rPr>
          <w:iCs/>
        </w:rPr>
        <w:t>The PSCR noted</w:t>
      </w:r>
      <w:r w:rsidR="0067285A" w:rsidRPr="00367355">
        <w:rPr>
          <w:iCs/>
        </w:rPr>
        <w:t xml:space="preserve"> </w:t>
      </w:r>
      <w:r w:rsidR="00AD6767" w:rsidRPr="00367355">
        <w:rPr>
          <w:iCs/>
        </w:rPr>
        <w:t>that</w:t>
      </w:r>
      <w:r w:rsidR="008B5CD5" w:rsidRPr="00367355">
        <w:rPr>
          <w:iCs/>
        </w:rPr>
        <w:t xml:space="preserve"> perioperative </w:t>
      </w:r>
      <w:r w:rsidR="00D87144" w:rsidRPr="00367355">
        <w:rPr>
          <w:iCs/>
        </w:rPr>
        <w:t>durvalumab</w:t>
      </w:r>
      <w:r w:rsidR="00366D50" w:rsidRPr="00367355">
        <w:rPr>
          <w:iCs/>
        </w:rPr>
        <w:t xml:space="preserve"> </w:t>
      </w:r>
      <w:r w:rsidR="007363C7" w:rsidRPr="00367355">
        <w:rPr>
          <w:iCs/>
        </w:rPr>
        <w:t xml:space="preserve">has been shown to provide statistically </w:t>
      </w:r>
      <w:r w:rsidR="007363C7" w:rsidRPr="00367355">
        <w:rPr>
          <w:iCs/>
        </w:rPr>
        <w:lastRenderedPageBreak/>
        <w:t xml:space="preserve">significant </w:t>
      </w:r>
      <w:r w:rsidR="00714A88" w:rsidRPr="00367355">
        <w:rPr>
          <w:iCs/>
        </w:rPr>
        <w:t>OS</w:t>
      </w:r>
      <w:r w:rsidR="007363C7" w:rsidRPr="00367355">
        <w:rPr>
          <w:iCs/>
        </w:rPr>
        <w:t xml:space="preserve"> benefits in MIBC, while adjuvant nivolumab is yet to demonstrate statistical significance for OS</w:t>
      </w:r>
      <w:r w:rsidR="00AD6767" w:rsidRPr="00367355">
        <w:rPr>
          <w:iCs/>
        </w:rPr>
        <w:t xml:space="preserve">. </w:t>
      </w:r>
    </w:p>
    <w:p w14:paraId="4C6458E3" w14:textId="469D33D3" w:rsidR="00AE6F48" w:rsidRPr="00997100" w:rsidRDefault="00E073E8" w:rsidP="00997100">
      <w:pPr>
        <w:pStyle w:val="3-BodyText"/>
        <w:rPr>
          <w:color w:val="0066FF"/>
        </w:rPr>
      </w:pPr>
      <w:r w:rsidRPr="00FC1733">
        <w:t xml:space="preserve">NIAGARA is an ongoing trial. The results presented in the submission were from the Interim Analysis-2 (IA-2). At the data cutoff (DCO) of IA-2, </w:t>
      </w:r>
      <w:r w:rsidR="00F10AB6" w:rsidRPr="00367355">
        <w:rPr>
          <w:iCs/>
          <w:color w:val="000000" w:themeColor="text1"/>
        </w:rPr>
        <w:t>among</w:t>
      </w:r>
      <w:r w:rsidR="00F10AB6" w:rsidRPr="00367355" w:rsidDel="00564730">
        <w:rPr>
          <w:iCs/>
          <w:color w:val="000000" w:themeColor="text1"/>
        </w:rPr>
        <w:t xml:space="preserve"> </w:t>
      </w:r>
      <w:r w:rsidR="00F10AB6" w:rsidRPr="00367355">
        <w:rPr>
          <w:iCs/>
          <w:color w:val="000000" w:themeColor="text1"/>
        </w:rPr>
        <w:t>patients who received post-discontinuation anti-cancer therapies (including radiotherapy, immunotherapy, chemotherapy, targeted therapy and others) in the SoC arm, 62</w:t>
      </w:r>
      <w:r w:rsidR="00E02978" w:rsidRPr="00367355">
        <w:rPr>
          <w:iCs/>
          <w:color w:val="000000" w:themeColor="text1"/>
        </w:rPr>
        <w:t>/93</w:t>
      </w:r>
      <w:r w:rsidR="00F10AB6" w:rsidRPr="00367355">
        <w:rPr>
          <w:iCs/>
          <w:color w:val="000000" w:themeColor="text1"/>
        </w:rPr>
        <w:t xml:space="preserve"> (6</w:t>
      </w:r>
      <w:r w:rsidR="006667B1" w:rsidRPr="00367355">
        <w:rPr>
          <w:iCs/>
          <w:color w:val="000000" w:themeColor="text1"/>
        </w:rPr>
        <w:t>6.7</w:t>
      </w:r>
      <w:r w:rsidR="00F10AB6" w:rsidRPr="00367355">
        <w:rPr>
          <w:iCs/>
          <w:color w:val="000000" w:themeColor="text1"/>
        </w:rPr>
        <w:t>%) of patients received subsequent immunotherapy</w:t>
      </w:r>
      <w:r w:rsidR="003544DD" w:rsidRPr="00367355">
        <w:rPr>
          <w:rStyle w:val="FootnoteReference"/>
          <w:iCs/>
          <w:color w:val="000000" w:themeColor="text1"/>
        </w:rPr>
        <w:footnoteReference w:id="13"/>
      </w:r>
      <w:r w:rsidR="00F10AB6" w:rsidRPr="00367355">
        <w:rPr>
          <w:iCs/>
          <w:color w:val="000000" w:themeColor="text1"/>
        </w:rPr>
        <w:t xml:space="preserve">. </w:t>
      </w:r>
      <w:r w:rsidR="00892D7C">
        <w:rPr>
          <w:iCs/>
          <w:color w:val="000000" w:themeColor="text1"/>
        </w:rPr>
        <w:t xml:space="preserve">While </w:t>
      </w:r>
      <w:r w:rsidR="00892D7C">
        <w:rPr>
          <w:iCs/>
        </w:rPr>
        <w:t>t</w:t>
      </w:r>
      <w:r w:rsidR="00E52173" w:rsidRPr="00367355">
        <w:rPr>
          <w:iCs/>
        </w:rPr>
        <w:t xml:space="preserve">he evaluation </w:t>
      </w:r>
      <w:r w:rsidR="00435712">
        <w:rPr>
          <w:iCs/>
        </w:rPr>
        <w:t>noted</w:t>
      </w:r>
      <w:r w:rsidR="00435712" w:rsidRPr="00367355">
        <w:rPr>
          <w:iCs/>
        </w:rPr>
        <w:t xml:space="preserve"> </w:t>
      </w:r>
      <w:r w:rsidR="00E52173" w:rsidRPr="00367355">
        <w:rPr>
          <w:iCs/>
        </w:rPr>
        <w:t>that</w:t>
      </w:r>
      <w:r w:rsidRPr="004E055B">
        <w:t xml:space="preserve"> this proportion</w:t>
      </w:r>
      <w:r w:rsidR="008268E9">
        <w:t xml:space="preserve"> </w:t>
      </w:r>
      <w:r w:rsidR="00E52173">
        <w:t xml:space="preserve">may </w:t>
      </w:r>
      <w:r w:rsidRPr="004E055B">
        <w:t xml:space="preserve">be </w:t>
      </w:r>
      <w:r w:rsidR="00764B00" w:rsidRPr="00367355">
        <w:t>different</w:t>
      </w:r>
      <w:r w:rsidR="00B66550">
        <w:t xml:space="preserve"> in Australia</w:t>
      </w:r>
      <w:r w:rsidRPr="004E055B">
        <w:t xml:space="preserve"> given the availability of multiple options of immunotherapy in the subsequent</w:t>
      </w:r>
      <w:r w:rsidR="00323FF1">
        <w:t xml:space="preserve"> </w:t>
      </w:r>
      <w:r w:rsidRPr="004E055B">
        <w:t>line setting</w:t>
      </w:r>
      <w:r w:rsidRPr="004E055B">
        <w:rPr>
          <w:color w:val="000000" w:themeColor="text1"/>
        </w:rPr>
        <w:t xml:space="preserve"> for MIBC treatment</w:t>
      </w:r>
      <w:r w:rsidR="00892D7C">
        <w:rPr>
          <w:color w:val="000000" w:themeColor="text1"/>
        </w:rPr>
        <w:t>,</w:t>
      </w:r>
      <w:r w:rsidR="00521C70">
        <w:rPr>
          <w:color w:val="000000" w:themeColor="text1"/>
        </w:rPr>
        <w:t xml:space="preserve"> </w:t>
      </w:r>
      <w:r w:rsidR="00892D7C">
        <w:rPr>
          <w:iCs/>
          <w:color w:val="000000" w:themeColor="text1"/>
        </w:rPr>
        <w:t>t</w:t>
      </w:r>
      <w:r w:rsidR="00521C70" w:rsidRPr="00367355">
        <w:rPr>
          <w:iCs/>
          <w:color w:val="000000" w:themeColor="text1"/>
        </w:rPr>
        <w:t>he ESC considered th</w:t>
      </w:r>
      <w:r w:rsidR="00BA2D60" w:rsidRPr="00367355">
        <w:rPr>
          <w:iCs/>
          <w:color w:val="000000" w:themeColor="text1"/>
        </w:rPr>
        <w:t xml:space="preserve">e proportion was unlikely to be significantly higher in clinical practice given </w:t>
      </w:r>
      <w:r w:rsidR="001A5274" w:rsidRPr="00367355">
        <w:rPr>
          <w:iCs/>
          <w:color w:val="000000" w:themeColor="text1"/>
        </w:rPr>
        <w:t xml:space="preserve">the </w:t>
      </w:r>
      <w:r w:rsidR="00BA2D60" w:rsidRPr="00367355">
        <w:rPr>
          <w:iCs/>
          <w:color w:val="000000" w:themeColor="text1"/>
        </w:rPr>
        <w:t>age</w:t>
      </w:r>
      <w:r w:rsidR="001A5274" w:rsidRPr="00367355">
        <w:rPr>
          <w:iCs/>
          <w:color w:val="000000" w:themeColor="text1"/>
        </w:rPr>
        <w:t xml:space="preserve"> of patients and </w:t>
      </w:r>
      <w:r w:rsidR="00BA2D60" w:rsidRPr="00367355">
        <w:rPr>
          <w:iCs/>
          <w:color w:val="000000" w:themeColor="text1"/>
        </w:rPr>
        <w:t>comorbi</w:t>
      </w:r>
      <w:r w:rsidR="00D25522" w:rsidRPr="00367355">
        <w:rPr>
          <w:iCs/>
          <w:color w:val="000000" w:themeColor="text1"/>
        </w:rPr>
        <w:t>di</w:t>
      </w:r>
      <w:r w:rsidR="00BA2D60" w:rsidRPr="00367355">
        <w:rPr>
          <w:iCs/>
          <w:color w:val="000000" w:themeColor="text1"/>
        </w:rPr>
        <w:t>t</w:t>
      </w:r>
      <w:r w:rsidR="001A5274" w:rsidRPr="00367355">
        <w:rPr>
          <w:iCs/>
          <w:color w:val="000000" w:themeColor="text1"/>
        </w:rPr>
        <w:t>ies.</w:t>
      </w:r>
    </w:p>
    <w:p w14:paraId="5AAE1A01" w14:textId="33F9551D" w:rsidR="00E073E8" w:rsidRPr="001631BE" w:rsidRDefault="00E073E8" w:rsidP="006A3640">
      <w:pPr>
        <w:pStyle w:val="3-BodyText"/>
        <w:numPr>
          <w:ilvl w:val="0"/>
          <w:numId w:val="0"/>
        </w:numPr>
        <w:rPr>
          <w:b/>
          <w:color w:val="000000" w:themeColor="text1"/>
        </w:rPr>
      </w:pPr>
      <w:r w:rsidRPr="001631BE">
        <w:rPr>
          <w:b/>
          <w:bCs/>
        </w:rPr>
        <w:t xml:space="preserve">Indirect </w:t>
      </w:r>
      <w:r w:rsidR="00ED7A5E">
        <w:rPr>
          <w:b/>
          <w:bCs/>
        </w:rPr>
        <w:t>treatment</w:t>
      </w:r>
      <w:r w:rsidRPr="001631BE">
        <w:rPr>
          <w:b/>
          <w:bCs/>
        </w:rPr>
        <w:t xml:space="preserve"> comparison </w:t>
      </w:r>
      <w:r w:rsidR="00515137">
        <w:rPr>
          <w:b/>
          <w:bCs/>
        </w:rPr>
        <w:t>based on NIAGARA and CM274 subgroups</w:t>
      </w:r>
      <w:r w:rsidRPr="001631BE">
        <w:rPr>
          <w:b/>
          <w:bCs/>
        </w:rPr>
        <w:t xml:space="preserve"> </w:t>
      </w:r>
      <w:r w:rsidR="000950C4">
        <w:rPr>
          <w:b/>
          <w:bCs/>
        </w:rPr>
        <w:t xml:space="preserve">and </w:t>
      </w:r>
      <w:r w:rsidR="003277A1">
        <w:rPr>
          <w:b/>
          <w:bCs/>
        </w:rPr>
        <w:t>construction of</w:t>
      </w:r>
      <w:r w:rsidR="000950C4">
        <w:rPr>
          <w:b/>
          <w:bCs/>
        </w:rPr>
        <w:t xml:space="preserve"> </w:t>
      </w:r>
      <w:r w:rsidR="00F812B6">
        <w:rPr>
          <w:b/>
          <w:bCs/>
        </w:rPr>
        <w:t>a counterfactual arm</w:t>
      </w:r>
    </w:p>
    <w:p w14:paraId="4C30575E" w14:textId="05F6C530" w:rsidR="0027750F" w:rsidRPr="00367355" w:rsidRDefault="00F56960" w:rsidP="001D3031">
      <w:pPr>
        <w:pStyle w:val="3-BodyText"/>
        <w:rPr>
          <w:color w:val="000000" w:themeColor="text1"/>
        </w:rPr>
      </w:pPr>
      <w:bookmarkStart w:id="42" w:name="_Ref214375003"/>
      <w:r w:rsidRPr="715C3CB5">
        <w:rPr>
          <w:color w:val="000000" w:themeColor="text1"/>
        </w:rPr>
        <w:t xml:space="preserve">As </w:t>
      </w:r>
      <w:r w:rsidR="00D648B0" w:rsidRPr="715C3CB5">
        <w:rPr>
          <w:color w:val="000000" w:themeColor="text1"/>
        </w:rPr>
        <w:t>part of the ITC, the</w:t>
      </w:r>
      <w:r w:rsidR="00720C25" w:rsidRPr="715C3CB5">
        <w:rPr>
          <w:color w:val="000000" w:themeColor="text1"/>
        </w:rPr>
        <w:t xml:space="preserve"> subm</w:t>
      </w:r>
      <w:r w:rsidR="002D3CF4" w:rsidRPr="715C3CB5">
        <w:rPr>
          <w:color w:val="000000" w:themeColor="text1"/>
        </w:rPr>
        <w:t>ission estimated</w:t>
      </w:r>
      <w:r w:rsidR="00041342" w:rsidRPr="715C3CB5">
        <w:rPr>
          <w:color w:val="000000" w:themeColor="text1"/>
        </w:rPr>
        <w:t xml:space="preserve"> </w:t>
      </w:r>
      <w:r w:rsidR="00D648B0" w:rsidRPr="715C3CB5">
        <w:rPr>
          <w:color w:val="000000" w:themeColor="text1"/>
        </w:rPr>
        <w:t>‘</w:t>
      </w:r>
      <w:r w:rsidR="002D3CF4" w:rsidRPr="715C3CB5">
        <w:rPr>
          <w:color w:val="000000" w:themeColor="text1"/>
        </w:rPr>
        <w:t>counterfactual</w:t>
      </w:r>
      <w:r w:rsidR="00D648B0" w:rsidRPr="715C3CB5">
        <w:rPr>
          <w:color w:val="000000" w:themeColor="text1"/>
        </w:rPr>
        <w:t>’</w:t>
      </w:r>
      <w:r w:rsidR="002D3CF4" w:rsidRPr="00367355">
        <w:rPr>
          <w:color w:val="000000" w:themeColor="text1"/>
        </w:rPr>
        <w:t xml:space="preserve"> survival </w:t>
      </w:r>
      <w:r w:rsidR="002D3CF4" w:rsidRPr="715C3CB5">
        <w:rPr>
          <w:color w:val="000000" w:themeColor="text1"/>
        </w:rPr>
        <w:t>time</w:t>
      </w:r>
      <w:r w:rsidR="00B472BA" w:rsidRPr="715C3CB5">
        <w:rPr>
          <w:color w:val="000000" w:themeColor="text1"/>
        </w:rPr>
        <w:t>s</w:t>
      </w:r>
      <w:r w:rsidR="002D3CF4" w:rsidRPr="00367355">
        <w:rPr>
          <w:color w:val="000000" w:themeColor="text1"/>
        </w:rPr>
        <w:t xml:space="preserve"> for the control arm of the NIAGARA trial</w:t>
      </w:r>
      <w:r w:rsidR="002D0566" w:rsidRPr="715C3CB5">
        <w:rPr>
          <w:color w:val="000000" w:themeColor="text1"/>
        </w:rPr>
        <w:t xml:space="preserve">. </w:t>
      </w:r>
      <w:r w:rsidR="004E79F0" w:rsidRPr="715C3CB5">
        <w:rPr>
          <w:color w:val="000000" w:themeColor="text1"/>
        </w:rPr>
        <w:t xml:space="preserve">Its </w:t>
      </w:r>
      <w:r w:rsidR="00B50A60" w:rsidRPr="715C3CB5">
        <w:rPr>
          <w:color w:val="000000" w:themeColor="text1"/>
        </w:rPr>
        <w:t>purpose was to adjust the outcomes in the control arm to account for patients</w:t>
      </w:r>
      <w:r w:rsidR="00E37956" w:rsidRPr="715C3CB5">
        <w:rPr>
          <w:color w:val="000000" w:themeColor="text1"/>
        </w:rPr>
        <w:t xml:space="preserve"> at high risk of recurrence</w:t>
      </w:r>
      <w:r w:rsidR="00B50A60" w:rsidRPr="715C3CB5">
        <w:rPr>
          <w:color w:val="000000" w:themeColor="text1"/>
        </w:rPr>
        <w:t xml:space="preserve"> receiving adjuvant nivolumab</w:t>
      </w:r>
      <w:r w:rsidR="0000368D" w:rsidRPr="715C3CB5">
        <w:rPr>
          <w:color w:val="000000" w:themeColor="text1"/>
        </w:rPr>
        <w:t xml:space="preserve"> after RC</w:t>
      </w:r>
      <w:r w:rsidR="00571131" w:rsidRPr="715C3CB5">
        <w:rPr>
          <w:color w:val="000000" w:themeColor="text1"/>
        </w:rPr>
        <w:t xml:space="preserve"> </w:t>
      </w:r>
      <w:r w:rsidR="00571131" w:rsidRPr="715C3CB5">
        <w:rPr>
          <w:color w:val="000000" w:themeColor="text1"/>
          <w:lang w:val="en-US"/>
        </w:rPr>
        <w:t>(as per the CM274 trial)</w:t>
      </w:r>
      <w:r w:rsidR="00571131" w:rsidRPr="715C3CB5">
        <w:rPr>
          <w:color w:val="000000" w:themeColor="text1"/>
        </w:rPr>
        <w:t xml:space="preserve">, </w:t>
      </w:r>
      <w:r w:rsidR="007C409A" w:rsidRPr="00367355">
        <w:rPr>
          <w:color w:val="000000" w:themeColor="text1"/>
          <w:lang w:val="en-US"/>
        </w:rPr>
        <w:t xml:space="preserve">instead of </w:t>
      </w:r>
      <w:r w:rsidR="00B73912" w:rsidRPr="715C3CB5">
        <w:rPr>
          <w:color w:val="000000" w:themeColor="text1"/>
          <w:lang w:val="en-US"/>
        </w:rPr>
        <w:t xml:space="preserve">active surveillance </w:t>
      </w:r>
      <w:r w:rsidR="00AF69F8" w:rsidRPr="715C3CB5">
        <w:rPr>
          <w:color w:val="000000" w:themeColor="text1"/>
          <w:lang w:val="en-US"/>
        </w:rPr>
        <w:t>(as per</w:t>
      </w:r>
      <w:r w:rsidR="0036134F" w:rsidRPr="715C3CB5">
        <w:rPr>
          <w:color w:val="000000" w:themeColor="text1"/>
          <w:lang w:val="en-US"/>
        </w:rPr>
        <w:t xml:space="preserve"> </w:t>
      </w:r>
      <w:r w:rsidR="007A3075" w:rsidRPr="715C3CB5">
        <w:rPr>
          <w:color w:val="000000" w:themeColor="text1"/>
          <w:lang w:val="en-US"/>
        </w:rPr>
        <w:t>the NIAGARA trial)</w:t>
      </w:r>
      <w:r w:rsidR="007C409A" w:rsidRPr="00367355">
        <w:rPr>
          <w:color w:val="000000" w:themeColor="text1"/>
          <w:lang w:val="en-US"/>
        </w:rPr>
        <w:t>.</w:t>
      </w:r>
      <w:r w:rsidR="000751E6" w:rsidRPr="715C3CB5">
        <w:rPr>
          <w:color w:val="000000" w:themeColor="text1"/>
          <w:lang w:val="en-US"/>
        </w:rPr>
        <w:t xml:space="preserve"> </w:t>
      </w:r>
      <w:r w:rsidR="00A874FF">
        <w:t xml:space="preserve">The creation of the counterfactual arm was to represent </w:t>
      </w:r>
      <w:r w:rsidR="00A874FF" w:rsidRPr="715C3CB5">
        <w:rPr>
          <w:color w:val="000000" w:themeColor="text1"/>
          <w:lang w:val="en-US"/>
        </w:rPr>
        <w:t xml:space="preserve">the mixed SoC comparator </w:t>
      </w:r>
      <w:r w:rsidR="00BE1793" w:rsidRPr="715C3CB5">
        <w:rPr>
          <w:color w:val="000000" w:themeColor="text1"/>
          <w:lang w:val="en-US"/>
        </w:rPr>
        <w:t xml:space="preserve">as outlined in paragraph </w:t>
      </w:r>
      <w:r w:rsidR="00BE1793" w:rsidRPr="715C3CB5">
        <w:rPr>
          <w:color w:val="000000" w:themeColor="text1"/>
          <w:lang w:val="en-US"/>
        </w:rPr>
        <w:fldChar w:fldCharType="begin"/>
      </w:r>
      <w:r w:rsidR="00BE1793" w:rsidRPr="715C3CB5">
        <w:rPr>
          <w:color w:val="000000" w:themeColor="text1"/>
          <w:lang w:val="en-US"/>
        </w:rPr>
        <w:instrText xml:space="preserve"> REF _Ref209015319 \r \h </w:instrText>
      </w:r>
      <w:r w:rsidR="00BE1793" w:rsidRPr="715C3CB5">
        <w:rPr>
          <w:color w:val="000000" w:themeColor="text1"/>
          <w:lang w:val="en-US"/>
        </w:rPr>
      </w:r>
      <w:r w:rsidR="00BE1793" w:rsidRPr="715C3CB5">
        <w:rPr>
          <w:color w:val="000000" w:themeColor="text1"/>
          <w:lang w:val="en-US"/>
        </w:rPr>
        <w:fldChar w:fldCharType="separate"/>
      </w:r>
      <w:r w:rsidR="005731FF">
        <w:rPr>
          <w:color w:val="000000" w:themeColor="text1"/>
          <w:lang w:val="en-US"/>
        </w:rPr>
        <w:t>5.3</w:t>
      </w:r>
      <w:r w:rsidR="00BE1793" w:rsidRPr="715C3CB5">
        <w:rPr>
          <w:color w:val="000000" w:themeColor="text1"/>
          <w:lang w:val="en-US"/>
        </w:rPr>
        <w:fldChar w:fldCharType="end"/>
      </w:r>
      <w:r w:rsidR="00BE1793" w:rsidRPr="715C3CB5">
        <w:rPr>
          <w:color w:val="000000" w:themeColor="text1"/>
          <w:lang w:val="en-US"/>
        </w:rPr>
        <w:t xml:space="preserve"> </w:t>
      </w:r>
      <w:r w:rsidR="00653D4C" w:rsidRPr="00D77F63">
        <w:rPr>
          <w:color w:val="000000" w:themeColor="text1"/>
          <w:lang w:val="en-US"/>
        </w:rPr>
        <w:t>(</w:t>
      </w:r>
      <w:r w:rsidR="001B4A19" w:rsidRPr="00D77F63">
        <w:rPr>
          <w:color w:val="000000" w:themeColor="text1"/>
          <w:lang w:val="en-US"/>
        </w:rPr>
        <w:t>27.6</w:t>
      </w:r>
      <w:r w:rsidR="005475EA" w:rsidRPr="00D77F63">
        <w:rPr>
          <w:color w:val="000000" w:themeColor="text1"/>
          <w:lang w:val="en-US"/>
        </w:rPr>
        <w:t>% of</w:t>
      </w:r>
      <w:r w:rsidR="001B4A19" w:rsidRPr="00D77F63">
        <w:rPr>
          <w:color w:val="000000" w:themeColor="text1"/>
          <w:lang w:val="en-US"/>
        </w:rPr>
        <w:t xml:space="preserve"> patients at high risk of recurrence</w:t>
      </w:r>
      <w:r w:rsidR="00564327" w:rsidRPr="00D77F63">
        <w:rPr>
          <w:color w:val="000000" w:themeColor="text1"/>
          <w:lang w:val="en-US"/>
        </w:rPr>
        <w:t xml:space="preserve"> and</w:t>
      </w:r>
      <w:r w:rsidR="000F6716" w:rsidRPr="00D77F63">
        <w:rPr>
          <w:color w:val="000000" w:themeColor="text1"/>
          <w:lang w:val="en-US"/>
        </w:rPr>
        <w:t>, inversely,</w:t>
      </w:r>
      <w:r w:rsidR="00564327" w:rsidRPr="00D77F63">
        <w:rPr>
          <w:color w:val="000000" w:themeColor="text1"/>
          <w:lang w:val="en-US"/>
        </w:rPr>
        <w:t xml:space="preserve"> </w:t>
      </w:r>
      <w:r w:rsidR="005475EA" w:rsidRPr="00D77F63">
        <w:rPr>
          <w:color w:val="000000" w:themeColor="text1"/>
          <w:lang w:val="en-US"/>
        </w:rPr>
        <w:t>72.4% of patients not at high risk)</w:t>
      </w:r>
      <w:r w:rsidR="00A874FF" w:rsidRPr="00D77F63">
        <w:rPr>
          <w:color w:val="000000" w:themeColor="text1"/>
          <w:lang w:val="en-US"/>
        </w:rPr>
        <w:t>.</w:t>
      </w:r>
      <w:bookmarkEnd w:id="42"/>
    </w:p>
    <w:p w14:paraId="3137170E" w14:textId="702605E6" w:rsidR="00B170DE" w:rsidRDefault="00E073E8" w:rsidP="00880D6F">
      <w:pPr>
        <w:pStyle w:val="3-BodyText"/>
        <w:keepNext/>
        <w:keepLines/>
        <w:rPr>
          <w:color w:val="000000" w:themeColor="text1"/>
        </w:rPr>
      </w:pPr>
      <w:r w:rsidRPr="001341D7">
        <w:rPr>
          <w:color w:val="000000" w:themeColor="text1"/>
        </w:rPr>
        <w:t>The ITC w</w:t>
      </w:r>
      <w:r w:rsidR="001C7868">
        <w:rPr>
          <w:color w:val="000000" w:themeColor="text1"/>
        </w:rPr>
        <w:t>as</w:t>
      </w:r>
      <w:r w:rsidRPr="001341D7">
        <w:rPr>
          <w:color w:val="000000" w:themeColor="text1"/>
        </w:rPr>
        <w:t xml:space="preserve"> performed using </w:t>
      </w:r>
      <w:r w:rsidR="00900DCE">
        <w:rPr>
          <w:color w:val="000000" w:themeColor="text1"/>
        </w:rPr>
        <w:t>a</w:t>
      </w:r>
      <w:r w:rsidR="00900DCE" w:rsidRPr="001341D7">
        <w:rPr>
          <w:color w:val="000000" w:themeColor="text1"/>
        </w:rPr>
        <w:t xml:space="preserve"> </w:t>
      </w:r>
      <w:r w:rsidRPr="001341D7">
        <w:rPr>
          <w:color w:val="000000" w:themeColor="text1"/>
        </w:rPr>
        <w:t xml:space="preserve">method </w:t>
      </w:r>
      <w:r>
        <w:rPr>
          <w:color w:val="000000" w:themeColor="text1"/>
        </w:rPr>
        <w:t xml:space="preserve">that consisted of three stages: </w:t>
      </w:r>
    </w:p>
    <w:p w14:paraId="434FED37" w14:textId="482F7424" w:rsidR="004C7E61" w:rsidRDefault="000D613F" w:rsidP="00880D6F">
      <w:pPr>
        <w:pStyle w:val="ListParagraph"/>
        <w:keepNext/>
        <w:keepLines/>
        <w:ind w:left="1134" w:hanging="425"/>
        <w:jc w:val="both"/>
      </w:pPr>
      <w:r>
        <w:t>An</w:t>
      </w:r>
      <w:r w:rsidR="00E073E8" w:rsidRPr="00074D3C">
        <w:t xml:space="preserve"> acceleration factor (AF</w:t>
      </w:r>
      <w:r w:rsidR="00B20C28">
        <w:t xml:space="preserve">; </w:t>
      </w:r>
      <w:r w:rsidR="00E073E8" w:rsidRPr="00074D3C">
        <w:t>the amount by which an individual’s expected survival time is increased by treatment</w:t>
      </w:r>
      <w:r w:rsidR="0078183E">
        <w:t>)</w:t>
      </w:r>
      <w:r w:rsidR="00E073E8" w:rsidRPr="00074D3C">
        <w:t xml:space="preserve"> </w:t>
      </w:r>
      <w:r w:rsidR="00B20C28">
        <w:t xml:space="preserve">was estimated </w:t>
      </w:r>
      <w:r w:rsidR="00E073E8" w:rsidRPr="00074D3C">
        <w:t xml:space="preserve">for adjuvant </w:t>
      </w:r>
      <w:r w:rsidR="00E073E8">
        <w:t>nivolumab</w:t>
      </w:r>
      <w:r w:rsidR="00E073E8" w:rsidRPr="00074D3C">
        <w:t xml:space="preserve"> v</w:t>
      </w:r>
      <w:r w:rsidR="00E073E8">
        <w:t>s</w:t>
      </w:r>
      <w:r w:rsidR="00E073E8" w:rsidRPr="00074D3C">
        <w:t xml:space="preserve"> placebo from</w:t>
      </w:r>
      <w:r w:rsidR="004803D6">
        <w:t xml:space="preserve"> the</w:t>
      </w:r>
      <w:r w:rsidR="00E073E8" w:rsidRPr="00074D3C">
        <w:t xml:space="preserve"> CM274</w:t>
      </w:r>
      <w:r w:rsidR="004803D6">
        <w:t xml:space="preserve"> trial</w:t>
      </w:r>
      <w:r w:rsidR="00685507">
        <w:t>.</w:t>
      </w:r>
      <w:r w:rsidR="00E073E8" w:rsidRPr="00074D3C">
        <w:t xml:space="preserve"> </w:t>
      </w:r>
    </w:p>
    <w:p w14:paraId="17B2A4B4" w14:textId="7B67E618" w:rsidR="00181409" w:rsidRDefault="000D613F" w:rsidP="001D3031">
      <w:pPr>
        <w:pStyle w:val="ListParagraph"/>
        <w:ind w:left="1134" w:hanging="425"/>
        <w:jc w:val="both"/>
      </w:pPr>
      <w:r>
        <w:t>A</w:t>
      </w:r>
      <w:r w:rsidR="00E073E8" w:rsidRPr="00074D3C">
        <w:t xml:space="preserve"> counterfactual arm</w:t>
      </w:r>
      <w:r w:rsidR="00B7254A">
        <w:t xml:space="preserve"> was constructed</w:t>
      </w:r>
      <w:r w:rsidR="00E073E8" w:rsidRPr="00074D3C">
        <w:t xml:space="preserve"> by applying the AF from stage one to the </w:t>
      </w:r>
      <w:r w:rsidR="00E073E8">
        <w:t>comparator</w:t>
      </w:r>
      <w:r w:rsidR="00E073E8" w:rsidRPr="00074D3C">
        <w:t xml:space="preserve"> arm of NIAGARA. The AF was applied to the ‘adjuvant phase’ survival times of patients who were eligible for adjuvant </w:t>
      </w:r>
      <w:r w:rsidR="00E073E8">
        <w:t>nivolumab</w:t>
      </w:r>
      <w:r w:rsidR="00E073E8" w:rsidRPr="00074D3C">
        <w:t xml:space="preserve">. The aim was to estimate their ‘counterfactual survival times’ if they had received treatment. The survival times of eligible patients up to the adjuvant phase, as well as the total survival times of patients who were ineligible for adjuvant </w:t>
      </w:r>
      <w:r w:rsidR="00E073E8">
        <w:t>nivolumab</w:t>
      </w:r>
      <w:r w:rsidR="00E073E8" w:rsidRPr="00074D3C">
        <w:t>, remained unchanged from their observed outcomes</w:t>
      </w:r>
      <w:r w:rsidR="00B83334">
        <w:t>.</w:t>
      </w:r>
      <w:r w:rsidR="00E073E8" w:rsidRPr="00074D3C">
        <w:t xml:space="preserve"> </w:t>
      </w:r>
    </w:p>
    <w:p w14:paraId="1A362F09" w14:textId="0E3D44E4" w:rsidR="00DA0423" w:rsidRDefault="00073197" w:rsidP="00DA5D39">
      <w:pPr>
        <w:pStyle w:val="ListParagraph"/>
        <w:numPr>
          <w:ilvl w:val="0"/>
          <w:numId w:val="22"/>
        </w:numPr>
        <w:ind w:left="1134" w:hanging="425"/>
        <w:jc w:val="both"/>
      </w:pPr>
      <w:r>
        <w:t>T</w:t>
      </w:r>
      <w:r w:rsidR="00E073E8" w:rsidRPr="00074D3C">
        <w:t>he ITC comparing perioperative durvalumab vs the counterfactual arm created in stage two</w:t>
      </w:r>
      <w:r w:rsidR="00425904">
        <w:t xml:space="preserve"> was conducted</w:t>
      </w:r>
      <w:r w:rsidR="00E073E8">
        <w:t>.</w:t>
      </w:r>
    </w:p>
    <w:p w14:paraId="64287D4A" w14:textId="6342F176" w:rsidR="00E073E8" w:rsidRDefault="00E073E8" w:rsidP="001D3031">
      <w:pPr>
        <w:pStyle w:val="3-BodyText"/>
        <w:numPr>
          <w:ilvl w:val="0"/>
          <w:numId w:val="0"/>
        </w:numPr>
        <w:ind w:left="1080" w:hanging="371"/>
        <w:rPr>
          <w:color w:val="000000" w:themeColor="text1"/>
        </w:rPr>
      </w:pPr>
      <w:r w:rsidRPr="001341D7">
        <w:rPr>
          <w:color w:val="000000" w:themeColor="text1"/>
        </w:rPr>
        <w:t xml:space="preserve">For </w:t>
      </w:r>
      <w:r>
        <w:rPr>
          <w:color w:val="000000" w:themeColor="text1"/>
        </w:rPr>
        <w:t>safety, an unanchored unadjusted ITC was presented in the submission.</w:t>
      </w:r>
    </w:p>
    <w:p w14:paraId="005B736D" w14:textId="3DE83411" w:rsidR="00E073E8" w:rsidRDefault="0062710B" w:rsidP="001D3031">
      <w:pPr>
        <w:pStyle w:val="3-BodyText"/>
        <w:rPr>
          <w:color w:val="000000" w:themeColor="text1"/>
        </w:rPr>
      </w:pPr>
      <w:bookmarkStart w:id="43" w:name="_Ref214375012"/>
      <w:r w:rsidRPr="00367355">
        <w:rPr>
          <w:iCs/>
          <w:color w:val="000000" w:themeColor="text1"/>
        </w:rPr>
        <w:t>The ESC noted</w:t>
      </w:r>
      <w:r w:rsidR="004F2C63" w:rsidRPr="00367355">
        <w:rPr>
          <w:iCs/>
          <w:color w:val="000000" w:themeColor="text1"/>
        </w:rPr>
        <w:t xml:space="preserve"> a</w:t>
      </w:r>
      <w:r w:rsidR="00E073E8">
        <w:rPr>
          <w:color w:val="000000" w:themeColor="text1"/>
        </w:rPr>
        <w:t xml:space="preserve"> technical report of the ITC </w:t>
      </w:r>
      <w:r w:rsidR="004F2C63">
        <w:rPr>
          <w:color w:val="000000" w:themeColor="text1"/>
        </w:rPr>
        <w:t xml:space="preserve">was </w:t>
      </w:r>
      <w:r w:rsidR="00E073E8">
        <w:rPr>
          <w:color w:val="000000" w:themeColor="text1"/>
        </w:rPr>
        <w:t>attached to the submission</w:t>
      </w:r>
      <w:r w:rsidR="004F2C63">
        <w:rPr>
          <w:color w:val="000000" w:themeColor="text1"/>
        </w:rPr>
        <w:t xml:space="preserve"> and </w:t>
      </w:r>
      <w:r w:rsidR="00A178B6" w:rsidRPr="00367355">
        <w:rPr>
          <w:iCs/>
          <w:color w:val="000000" w:themeColor="text1"/>
        </w:rPr>
        <w:t>that</w:t>
      </w:r>
      <w:r w:rsidR="00342FD1" w:rsidRPr="00367355">
        <w:rPr>
          <w:iCs/>
          <w:color w:val="000000" w:themeColor="text1"/>
        </w:rPr>
        <w:t xml:space="preserve"> the methodology described in the report uses established techniques originally developed for adjusting survival times for the impact of crossover or treatment </w:t>
      </w:r>
      <w:r w:rsidR="00342FD1" w:rsidRPr="00367355">
        <w:rPr>
          <w:iCs/>
          <w:color w:val="000000" w:themeColor="text1"/>
        </w:rPr>
        <w:lastRenderedPageBreak/>
        <w:t xml:space="preserve">switching </w:t>
      </w:r>
      <w:r w:rsidR="00C57768" w:rsidRPr="00367355">
        <w:rPr>
          <w:iCs/>
          <w:color w:val="000000" w:themeColor="text1"/>
        </w:rPr>
        <w:t>(</w:t>
      </w:r>
      <w:r w:rsidR="00342FD1" w:rsidRPr="00367355">
        <w:rPr>
          <w:iCs/>
          <w:color w:val="000000" w:themeColor="text1"/>
        </w:rPr>
        <w:t>Latimer et al 2016</w:t>
      </w:r>
      <w:r w:rsidR="00C57768" w:rsidRPr="00367355">
        <w:rPr>
          <w:rStyle w:val="FootnoteReference"/>
          <w:iCs/>
          <w:color w:val="000000" w:themeColor="text1"/>
        </w:rPr>
        <w:footnoteReference w:id="14"/>
      </w:r>
      <w:r w:rsidR="00C57768" w:rsidRPr="00367355">
        <w:rPr>
          <w:iCs/>
          <w:color w:val="000000" w:themeColor="text1"/>
        </w:rPr>
        <w:t>)</w:t>
      </w:r>
      <w:r w:rsidR="00342FD1" w:rsidRPr="00367355">
        <w:rPr>
          <w:iCs/>
          <w:color w:val="000000" w:themeColor="text1"/>
        </w:rPr>
        <w:t>. The</w:t>
      </w:r>
      <w:r w:rsidR="009535BB" w:rsidRPr="00367355">
        <w:rPr>
          <w:iCs/>
          <w:color w:val="000000" w:themeColor="text1"/>
        </w:rPr>
        <w:t xml:space="preserve"> ESC noted these </w:t>
      </w:r>
      <w:r w:rsidR="00342FD1" w:rsidRPr="00367355">
        <w:rPr>
          <w:iCs/>
          <w:color w:val="000000" w:themeColor="text1"/>
        </w:rPr>
        <w:t xml:space="preserve">existing methods </w:t>
      </w:r>
      <w:r w:rsidR="009535BB" w:rsidRPr="00367355">
        <w:rPr>
          <w:iCs/>
          <w:color w:val="000000" w:themeColor="text1"/>
        </w:rPr>
        <w:t>were</w:t>
      </w:r>
      <w:r w:rsidR="00342FD1" w:rsidRPr="00367355">
        <w:rPr>
          <w:iCs/>
          <w:color w:val="000000" w:themeColor="text1"/>
        </w:rPr>
        <w:t xml:space="preserve"> adapted to capture the effect of including a new therapy (i.e., adjuvant nivolumab) in the pathway</w:t>
      </w:r>
      <w:r w:rsidR="002A500C" w:rsidRPr="00367355">
        <w:rPr>
          <w:iCs/>
          <w:color w:val="000000" w:themeColor="text1"/>
        </w:rPr>
        <w:t>.</w:t>
      </w:r>
      <w:r w:rsidR="004F2C63" w:rsidRPr="00367355">
        <w:rPr>
          <w:iCs/>
          <w:color w:val="000000" w:themeColor="text1"/>
        </w:rPr>
        <w:t xml:space="preserve"> </w:t>
      </w:r>
      <w:r w:rsidR="002A500C" w:rsidRPr="00367355">
        <w:rPr>
          <w:iCs/>
          <w:color w:val="000000" w:themeColor="text1"/>
        </w:rPr>
        <w:t>T</w:t>
      </w:r>
      <w:r w:rsidR="004F2C63" w:rsidRPr="00367355">
        <w:rPr>
          <w:iCs/>
          <w:color w:val="000000" w:themeColor="text1"/>
        </w:rPr>
        <w:t>he ESC noted and agreed with</w:t>
      </w:r>
      <w:r w:rsidR="00E073E8">
        <w:rPr>
          <w:color w:val="000000" w:themeColor="text1"/>
        </w:rPr>
        <w:t xml:space="preserve"> the</w:t>
      </w:r>
      <w:r w:rsidR="00D10775">
        <w:rPr>
          <w:color w:val="000000" w:themeColor="text1"/>
        </w:rPr>
        <w:t xml:space="preserve"> following</w:t>
      </w:r>
      <w:r w:rsidR="00E073E8">
        <w:rPr>
          <w:color w:val="000000" w:themeColor="text1"/>
        </w:rPr>
        <w:t xml:space="preserve"> </w:t>
      </w:r>
      <w:r w:rsidR="009535BB">
        <w:rPr>
          <w:color w:val="000000" w:themeColor="text1"/>
        </w:rPr>
        <w:t xml:space="preserve">limitations </w:t>
      </w:r>
      <w:r w:rsidR="00D10775" w:rsidRPr="00367355">
        <w:rPr>
          <w:iCs/>
          <w:color w:val="000000" w:themeColor="text1"/>
        </w:rPr>
        <w:t>summarised in the report</w:t>
      </w:r>
      <w:r w:rsidR="00E073E8">
        <w:rPr>
          <w:color w:val="000000" w:themeColor="text1"/>
        </w:rPr>
        <w:t>:</w:t>
      </w:r>
      <w:bookmarkEnd w:id="43"/>
    </w:p>
    <w:p w14:paraId="4F67D385" w14:textId="77777777" w:rsidR="00E073E8" w:rsidRDefault="00E073E8" w:rsidP="00DA5D39">
      <w:pPr>
        <w:pStyle w:val="3-BodyText"/>
        <w:numPr>
          <w:ilvl w:val="0"/>
          <w:numId w:val="13"/>
        </w:numPr>
        <w:ind w:left="1134"/>
        <w:rPr>
          <w:color w:val="000000" w:themeColor="text1"/>
        </w:rPr>
      </w:pPr>
      <w:r w:rsidRPr="00031FAA">
        <w:rPr>
          <w:color w:val="000000" w:themeColor="text1"/>
        </w:rPr>
        <w:t xml:space="preserve">Assumption of </w:t>
      </w:r>
      <w:r>
        <w:rPr>
          <w:color w:val="000000" w:themeColor="text1"/>
        </w:rPr>
        <w:t>g</w:t>
      </w:r>
      <w:r w:rsidRPr="00031FAA">
        <w:rPr>
          <w:color w:val="000000" w:themeColor="text1"/>
        </w:rPr>
        <w:t>enerali</w:t>
      </w:r>
      <w:r>
        <w:rPr>
          <w:color w:val="000000" w:themeColor="text1"/>
        </w:rPr>
        <w:t>s</w:t>
      </w:r>
      <w:r w:rsidRPr="00031FAA">
        <w:rPr>
          <w:color w:val="000000" w:themeColor="text1"/>
        </w:rPr>
        <w:t xml:space="preserve">ability of </w:t>
      </w:r>
      <w:r>
        <w:rPr>
          <w:color w:val="000000" w:themeColor="text1"/>
        </w:rPr>
        <w:t>e</w:t>
      </w:r>
      <w:r w:rsidRPr="00031FAA">
        <w:rPr>
          <w:color w:val="000000" w:themeColor="text1"/>
        </w:rPr>
        <w:t xml:space="preserve">ffect: </w:t>
      </w:r>
    </w:p>
    <w:p w14:paraId="5D2A74A0" w14:textId="004E154B" w:rsidR="00E073E8" w:rsidRDefault="00E073E8" w:rsidP="00E073E8">
      <w:pPr>
        <w:pStyle w:val="3-BodyText"/>
        <w:numPr>
          <w:ilvl w:val="0"/>
          <w:numId w:val="0"/>
        </w:numPr>
        <w:ind w:left="1134"/>
        <w:rPr>
          <w:color w:val="000000" w:themeColor="text1"/>
        </w:rPr>
      </w:pPr>
      <w:r w:rsidRPr="009F631B">
        <w:rPr>
          <w:color w:val="000000" w:themeColor="text1"/>
        </w:rPr>
        <w:t xml:space="preserve">It was necessary to assume that the relative effects of </w:t>
      </w:r>
      <w:r>
        <w:rPr>
          <w:color w:val="000000" w:themeColor="text1"/>
        </w:rPr>
        <w:t>nivolumab</w:t>
      </w:r>
      <w:r w:rsidRPr="009F631B">
        <w:rPr>
          <w:color w:val="000000" w:themeColor="text1"/>
        </w:rPr>
        <w:t xml:space="preserve"> in the MIBC subgroups of CM274 are generalisable to the corresponding NIAGARA population. Where possible, data that closely resembled the NIAGARA cohort were used. </w:t>
      </w:r>
    </w:p>
    <w:p w14:paraId="40C90826" w14:textId="77777777" w:rsidR="00E073E8" w:rsidRDefault="00E073E8" w:rsidP="00DA5D39">
      <w:pPr>
        <w:pStyle w:val="3-BodyText"/>
        <w:numPr>
          <w:ilvl w:val="0"/>
          <w:numId w:val="13"/>
        </w:numPr>
        <w:ind w:left="1134"/>
        <w:rPr>
          <w:color w:val="000000" w:themeColor="text1"/>
        </w:rPr>
      </w:pPr>
      <w:r w:rsidRPr="00031FAA">
        <w:rPr>
          <w:color w:val="000000" w:themeColor="text1"/>
        </w:rPr>
        <w:t xml:space="preserve">Double </w:t>
      </w:r>
      <w:r>
        <w:rPr>
          <w:color w:val="000000" w:themeColor="text1"/>
        </w:rPr>
        <w:t>c</w:t>
      </w:r>
      <w:r w:rsidRPr="00031FAA">
        <w:rPr>
          <w:color w:val="000000" w:themeColor="text1"/>
        </w:rPr>
        <w:t xml:space="preserve">ounting: </w:t>
      </w:r>
    </w:p>
    <w:p w14:paraId="7B4A7477" w14:textId="19A94693" w:rsidR="00E073E8" w:rsidRPr="00596E87" w:rsidRDefault="00E073E8" w:rsidP="00E073E8">
      <w:pPr>
        <w:pStyle w:val="ListParagraph"/>
        <w:numPr>
          <w:ilvl w:val="0"/>
          <w:numId w:val="0"/>
        </w:numPr>
        <w:ind w:left="1134"/>
        <w:jc w:val="both"/>
        <w:rPr>
          <w:rFonts w:eastAsiaTheme="minorHAnsi" w:cstheme="minorBidi"/>
          <w:snapToGrid/>
          <w:color w:val="000000" w:themeColor="text1"/>
          <w:szCs w:val="22"/>
        </w:rPr>
      </w:pPr>
      <w:r w:rsidRPr="006F0ADC">
        <w:rPr>
          <w:rFonts w:eastAsiaTheme="minorHAnsi" w:cstheme="minorBidi"/>
          <w:snapToGrid/>
          <w:color w:val="000000" w:themeColor="text1"/>
          <w:szCs w:val="22"/>
        </w:rPr>
        <w:t>Four patients in</w:t>
      </w:r>
      <w:r w:rsidR="000667F8">
        <w:rPr>
          <w:rFonts w:eastAsiaTheme="minorHAnsi" w:cstheme="minorBidi"/>
          <w:snapToGrid/>
          <w:color w:val="000000" w:themeColor="text1"/>
          <w:szCs w:val="22"/>
        </w:rPr>
        <w:t xml:space="preserve"> the</w:t>
      </w:r>
      <w:r w:rsidRPr="006F0ADC">
        <w:rPr>
          <w:rFonts w:eastAsiaTheme="minorHAnsi" w:cstheme="minorBidi"/>
          <w:snapToGrid/>
          <w:color w:val="000000" w:themeColor="text1"/>
          <w:szCs w:val="22"/>
        </w:rPr>
        <w:t xml:space="preserve"> NIAGARA</w:t>
      </w:r>
      <w:r w:rsidR="000667F8">
        <w:rPr>
          <w:rFonts w:eastAsiaTheme="minorHAnsi" w:cstheme="minorBidi"/>
          <w:snapToGrid/>
          <w:color w:val="000000" w:themeColor="text1"/>
          <w:szCs w:val="22"/>
        </w:rPr>
        <w:t xml:space="preserve"> trial</w:t>
      </w:r>
      <w:r w:rsidRPr="006F0ADC">
        <w:rPr>
          <w:rFonts w:eastAsiaTheme="minorHAnsi" w:cstheme="minorBidi"/>
          <w:snapToGrid/>
          <w:color w:val="000000" w:themeColor="text1"/>
          <w:szCs w:val="22"/>
        </w:rPr>
        <w:t xml:space="preserve"> received adjuvant nivolumab during study follow-up. The effect of </w:t>
      </w:r>
      <w:r>
        <w:rPr>
          <w:rFonts w:eastAsiaTheme="minorHAnsi" w:cstheme="minorBidi"/>
          <w:snapToGrid/>
          <w:color w:val="000000" w:themeColor="text1"/>
          <w:szCs w:val="22"/>
        </w:rPr>
        <w:t xml:space="preserve">nivolumab </w:t>
      </w:r>
      <w:r w:rsidRPr="006F0ADC">
        <w:rPr>
          <w:rFonts w:eastAsiaTheme="minorHAnsi" w:cstheme="minorBidi"/>
          <w:snapToGrid/>
          <w:color w:val="000000" w:themeColor="text1"/>
          <w:szCs w:val="22"/>
        </w:rPr>
        <w:t>was applied to the entire eligible population, including those treated during follow-up, leading to double counting and overestimating the impact</w:t>
      </w:r>
      <w:r w:rsidR="00974B7C">
        <w:rPr>
          <w:rFonts w:eastAsiaTheme="minorHAnsi" w:cstheme="minorBidi"/>
          <w:snapToGrid/>
          <w:color w:val="000000" w:themeColor="text1"/>
          <w:szCs w:val="22"/>
        </w:rPr>
        <w:t xml:space="preserve"> of nivolumab</w:t>
      </w:r>
      <w:r w:rsidRPr="006F0ADC">
        <w:rPr>
          <w:rFonts w:eastAsiaTheme="minorHAnsi" w:cstheme="minorBidi"/>
          <w:snapToGrid/>
          <w:color w:val="000000" w:themeColor="text1"/>
          <w:szCs w:val="22"/>
        </w:rPr>
        <w:t xml:space="preserve">. Since </w:t>
      </w:r>
      <w:r w:rsidR="000820F2">
        <w:rPr>
          <w:rFonts w:eastAsiaTheme="minorHAnsi" w:cstheme="minorBidi"/>
          <w:snapToGrid/>
          <w:color w:val="000000" w:themeColor="text1"/>
          <w:szCs w:val="22"/>
        </w:rPr>
        <w:t xml:space="preserve">the </w:t>
      </w:r>
      <w:r w:rsidR="00AC5E99">
        <w:rPr>
          <w:rFonts w:eastAsiaTheme="minorHAnsi" w:cstheme="minorBidi"/>
          <w:snapToGrid/>
          <w:color w:val="000000" w:themeColor="text1"/>
          <w:szCs w:val="22"/>
        </w:rPr>
        <w:t xml:space="preserve">double counting </w:t>
      </w:r>
      <w:r w:rsidRPr="006F0ADC">
        <w:rPr>
          <w:rFonts w:eastAsiaTheme="minorHAnsi" w:cstheme="minorBidi"/>
          <w:snapToGrid/>
          <w:color w:val="000000" w:themeColor="text1"/>
          <w:szCs w:val="22"/>
        </w:rPr>
        <w:t>favour</w:t>
      </w:r>
      <w:r w:rsidR="00AC5E99">
        <w:rPr>
          <w:rFonts w:eastAsiaTheme="minorHAnsi" w:cstheme="minorBidi"/>
          <w:snapToGrid/>
          <w:color w:val="000000" w:themeColor="text1"/>
          <w:szCs w:val="22"/>
        </w:rPr>
        <w:t>ed</w:t>
      </w:r>
      <w:r w:rsidRPr="006F0ADC">
        <w:rPr>
          <w:rFonts w:eastAsiaTheme="minorHAnsi" w:cstheme="minorBidi"/>
          <w:snapToGrid/>
          <w:color w:val="000000" w:themeColor="text1"/>
          <w:szCs w:val="22"/>
        </w:rPr>
        <w:t xml:space="preserve"> </w:t>
      </w:r>
      <w:r>
        <w:rPr>
          <w:rFonts w:eastAsiaTheme="minorHAnsi" w:cstheme="minorBidi"/>
          <w:snapToGrid/>
          <w:color w:val="000000" w:themeColor="text1"/>
          <w:szCs w:val="22"/>
        </w:rPr>
        <w:t>nivolumab</w:t>
      </w:r>
      <w:r w:rsidR="008272BF">
        <w:rPr>
          <w:rFonts w:eastAsiaTheme="minorHAnsi" w:cstheme="minorBidi"/>
          <w:snapToGrid/>
          <w:color w:val="000000" w:themeColor="text1"/>
          <w:szCs w:val="22"/>
        </w:rPr>
        <w:t xml:space="preserve"> over durvalumab</w:t>
      </w:r>
      <w:r w:rsidRPr="006F0ADC">
        <w:rPr>
          <w:rFonts w:eastAsiaTheme="minorHAnsi" w:cstheme="minorBidi"/>
          <w:snapToGrid/>
          <w:color w:val="000000" w:themeColor="text1"/>
          <w:szCs w:val="22"/>
        </w:rPr>
        <w:t>, no further adjustment was made.</w:t>
      </w:r>
    </w:p>
    <w:p w14:paraId="7262F130" w14:textId="6446CADF" w:rsidR="00E073E8" w:rsidRPr="004E055B" w:rsidRDefault="006639B3" w:rsidP="00E073E8">
      <w:pPr>
        <w:pStyle w:val="3-BodyText"/>
        <w:rPr>
          <w:color w:val="000000" w:themeColor="text1"/>
        </w:rPr>
      </w:pPr>
      <w:bookmarkStart w:id="44" w:name="_Ref211441572"/>
      <w:r w:rsidRPr="00367355">
        <w:rPr>
          <w:iCs/>
          <w:color w:val="000000" w:themeColor="text1"/>
        </w:rPr>
        <w:t>The ESC noted there</w:t>
      </w:r>
      <w:r>
        <w:rPr>
          <w:color w:val="000000" w:themeColor="text1"/>
        </w:rPr>
        <w:t xml:space="preserve"> </w:t>
      </w:r>
      <w:r w:rsidR="00C53295">
        <w:rPr>
          <w:color w:val="000000" w:themeColor="text1"/>
        </w:rPr>
        <w:t>were</w:t>
      </w:r>
      <w:r w:rsidR="00E073E8" w:rsidRPr="004E055B">
        <w:rPr>
          <w:color w:val="000000" w:themeColor="text1"/>
        </w:rPr>
        <w:t xml:space="preserve"> a number of key differences identified across the NIAGARA and CM274 trials</w:t>
      </w:r>
      <w:r w:rsidR="00C471A7">
        <w:rPr>
          <w:color w:val="000000" w:themeColor="text1"/>
        </w:rPr>
        <w:t xml:space="preserve"> by the evaluation</w:t>
      </w:r>
      <w:r w:rsidR="00E073E8" w:rsidRPr="004E055B">
        <w:rPr>
          <w:color w:val="000000" w:themeColor="text1"/>
        </w:rPr>
        <w:t>:</w:t>
      </w:r>
      <w:bookmarkEnd w:id="44"/>
    </w:p>
    <w:p w14:paraId="58CBB74C" w14:textId="18A1603C" w:rsidR="00E073E8" w:rsidRPr="004E055B" w:rsidRDefault="00E073E8" w:rsidP="00702407">
      <w:pPr>
        <w:pStyle w:val="ListParagraph"/>
        <w:numPr>
          <w:ilvl w:val="0"/>
          <w:numId w:val="8"/>
        </w:numPr>
        <w:spacing w:before="120"/>
        <w:ind w:left="1134" w:hanging="357"/>
      </w:pPr>
      <w:r w:rsidRPr="004E055B">
        <w:t>Regarding study populations:</w:t>
      </w:r>
    </w:p>
    <w:p w14:paraId="1A43B800" w14:textId="1BE1F979" w:rsidR="00E073E8" w:rsidRPr="004E055B" w:rsidRDefault="00E073E8" w:rsidP="005067C7">
      <w:pPr>
        <w:pStyle w:val="ListParagraph"/>
        <w:numPr>
          <w:ilvl w:val="1"/>
          <w:numId w:val="8"/>
        </w:numPr>
        <w:ind w:left="1418"/>
        <w:jc w:val="both"/>
      </w:pPr>
      <w:r w:rsidRPr="004E055B">
        <w:t>The majority of the NIAGARA population (94.5%) had stage N0 at baseline. However, in the CM274 population, 24.7% of patients had stage N0, 20.2% had stage N1, 21.3% had stage N2, and 5.6% had stage N3 disease.</w:t>
      </w:r>
      <w:r w:rsidR="004426C6">
        <w:t xml:space="preserve"> The Pre-PBAC response noted that the </w:t>
      </w:r>
      <w:r w:rsidR="00D04DBA" w:rsidRPr="00D04DBA">
        <w:t xml:space="preserve">nivolumab benefit is applied only to the subgroup of patients in the NIAGARA control arm </w:t>
      </w:r>
      <w:r w:rsidR="00D04DBA" w:rsidRPr="00D04DBA">
        <w:rPr>
          <w:u w:val="single"/>
        </w:rPr>
        <w:t>known</w:t>
      </w:r>
      <w:r w:rsidR="00D04DBA" w:rsidRPr="00D04DBA">
        <w:t xml:space="preserve"> to meet the PBS</w:t>
      </w:r>
      <w:r w:rsidR="00D04DBA" w:rsidRPr="00D04DBA">
        <w:noBreakHyphen/>
        <w:t>specified eligibility criteria for adjuvant nivolumab</w:t>
      </w:r>
      <w:r w:rsidR="00A11144">
        <w:t xml:space="preserve"> (those at high risk of recurrence, i.e. </w:t>
      </w:r>
      <w:r w:rsidR="00970288" w:rsidRPr="004E055B">
        <w:t>pathological stage of ypT2 to ypT4a or ypN+</w:t>
      </w:r>
      <w:r w:rsidR="00A11144" w:rsidRPr="00367355">
        <w:rPr>
          <w:iCs/>
        </w:rPr>
        <w:t xml:space="preserve"> after </w:t>
      </w:r>
      <w:r w:rsidR="00970288">
        <w:rPr>
          <w:iCs/>
        </w:rPr>
        <w:t>NAC</w:t>
      </w:r>
      <w:r w:rsidR="00A11144" w:rsidRPr="00367355">
        <w:rPr>
          <w:iCs/>
        </w:rPr>
        <w:t xml:space="preserve"> and RC</w:t>
      </w:r>
      <w:r w:rsidR="00A11144">
        <w:rPr>
          <w:iCs/>
        </w:rPr>
        <w:t>)</w:t>
      </w:r>
      <w:r w:rsidR="00D04DBA" w:rsidRPr="00D04DBA">
        <w:t>.</w:t>
      </w:r>
      <w:r w:rsidR="00DC2F2E">
        <w:t xml:space="preserve"> Thus, the Pre-PBAC response stated that </w:t>
      </w:r>
      <w:r w:rsidR="000946E2">
        <w:t xml:space="preserve">the differences across the </w:t>
      </w:r>
      <w:r w:rsidR="009E07BB">
        <w:t xml:space="preserve">CM274 and NIAGARA trials do not affect the </w:t>
      </w:r>
      <w:r w:rsidR="00F16ED8">
        <w:t xml:space="preserve">transitivity assumption </w:t>
      </w:r>
      <w:r w:rsidR="00274605">
        <w:t xml:space="preserve">of the ITC with respect to baseline clinical staging. </w:t>
      </w:r>
    </w:p>
    <w:p w14:paraId="32F6A63A" w14:textId="3A5BBD39" w:rsidR="00E073E8" w:rsidRPr="004E055B" w:rsidRDefault="00E073E8" w:rsidP="00702407">
      <w:pPr>
        <w:pStyle w:val="ListParagraph"/>
        <w:numPr>
          <w:ilvl w:val="1"/>
          <w:numId w:val="8"/>
        </w:numPr>
        <w:ind w:left="1418"/>
        <w:jc w:val="both"/>
      </w:pPr>
      <w:r w:rsidRPr="004E055B">
        <w:t xml:space="preserve">The NIAGARA population had a higher proportion of patients with high PD-L1 expression (53.8% of study population had tumour cell [TC] </w:t>
      </w:r>
      <w:r w:rsidRPr="004E055B">
        <w:rPr>
          <w:rFonts w:cstheme="minorHAnsi"/>
        </w:rPr>
        <w:t>≥1% and 73% had high expression</w:t>
      </w:r>
      <w:r w:rsidRPr="004E055B">
        <w:rPr>
          <w:rStyle w:val="FootnoteReference"/>
          <w:rFonts w:cstheme="minorHAnsi"/>
        </w:rPr>
        <w:footnoteReference w:id="15"/>
      </w:r>
      <w:r w:rsidRPr="004E055B">
        <w:rPr>
          <w:rFonts w:cstheme="minorHAnsi"/>
        </w:rPr>
        <w:t>) compared to the CM274</w:t>
      </w:r>
      <w:r w:rsidRPr="004E055B">
        <w:t xml:space="preserve"> population (approximately 40% had TC </w:t>
      </w:r>
      <w:r w:rsidRPr="004E055B">
        <w:rPr>
          <w:rFonts w:cstheme="minorHAnsi"/>
        </w:rPr>
        <w:t>≥1%)</w:t>
      </w:r>
    </w:p>
    <w:p w14:paraId="3B53CAD3" w14:textId="77777777" w:rsidR="00E073E8" w:rsidRPr="004E055B" w:rsidRDefault="00E073E8" w:rsidP="006D4676">
      <w:pPr>
        <w:pStyle w:val="ListParagraph"/>
        <w:numPr>
          <w:ilvl w:val="0"/>
          <w:numId w:val="8"/>
        </w:numPr>
        <w:ind w:left="1134"/>
        <w:jc w:val="both"/>
      </w:pPr>
      <w:r w:rsidRPr="004E055B">
        <w:t>At the adjuvant baseline in the trials:</w:t>
      </w:r>
    </w:p>
    <w:p w14:paraId="38EF1D5F" w14:textId="472C6269" w:rsidR="00E073E8" w:rsidRPr="004E055B" w:rsidRDefault="00E073E8" w:rsidP="00100A96">
      <w:pPr>
        <w:pStyle w:val="ListParagraph"/>
        <w:numPr>
          <w:ilvl w:val="1"/>
          <w:numId w:val="8"/>
        </w:numPr>
        <w:ind w:left="1418"/>
        <w:jc w:val="both"/>
      </w:pPr>
      <w:r w:rsidRPr="004E055B">
        <w:t>100% of patients in NIAGARA received GC NAC vs approximately 43% in CM274.</w:t>
      </w:r>
      <w:r w:rsidR="005919E8">
        <w:t xml:space="preserve"> The Pre-PBAC response </w:t>
      </w:r>
      <w:r w:rsidR="008D34C0">
        <w:t>noted</w:t>
      </w:r>
      <w:r w:rsidR="005919E8">
        <w:t xml:space="preserve"> that </w:t>
      </w:r>
      <w:r w:rsidR="00C2496B" w:rsidRPr="00C2496B">
        <w:t xml:space="preserve">only data from CM274’s </w:t>
      </w:r>
      <w:r w:rsidR="00C2496B" w:rsidRPr="00100A96">
        <w:t>prior</w:t>
      </w:r>
      <w:r w:rsidR="00C2496B" w:rsidRPr="00100A96">
        <w:noBreakHyphen/>
        <w:t>NAC</w:t>
      </w:r>
      <w:r w:rsidR="00C2496B" w:rsidRPr="00C2496B">
        <w:t xml:space="preserve"> subgroup are used to inform the ITC</w:t>
      </w:r>
      <w:r w:rsidR="000B4FE5">
        <w:t xml:space="preserve"> and thus the applied benefit from adjuvant </w:t>
      </w:r>
      <w:r w:rsidR="000B4FE5">
        <w:lastRenderedPageBreak/>
        <w:t>nivolumab reflects</w:t>
      </w:r>
      <w:r w:rsidR="00486FB3">
        <w:t xml:space="preserve"> prior NAC use in 100% of patients, consistent with</w:t>
      </w:r>
      <w:r w:rsidR="007766BE">
        <w:t xml:space="preserve"> both</w:t>
      </w:r>
      <w:r w:rsidR="00486FB3">
        <w:t xml:space="preserve"> </w:t>
      </w:r>
      <w:r w:rsidR="007766BE">
        <w:t>the NIAGARA trial and the nivolumab PBS restriction</w:t>
      </w:r>
      <w:r w:rsidR="00C2496B" w:rsidRPr="00C2496B">
        <w:t>.</w:t>
      </w:r>
      <w:r w:rsidR="009F12A6">
        <w:t xml:space="preserve"> Therefore, the Pre-PBAC response stated that the differences across the CM274 and NIAGARA trials do not affect the transitivity assumption of the ITC with respect to prior NAC.</w:t>
      </w:r>
    </w:p>
    <w:p w14:paraId="48469A08" w14:textId="76644E09" w:rsidR="00E073E8" w:rsidRPr="004E055B" w:rsidRDefault="00E073E8" w:rsidP="715C3CB5">
      <w:pPr>
        <w:pStyle w:val="ListParagraph"/>
        <w:ind w:left="1418"/>
        <w:jc w:val="both"/>
      </w:pPr>
      <w:r>
        <w:t xml:space="preserve">100% of patients in CM274 were at high-risk for disease recurrence (i.e., tumour with pathological stage of ypT2 to ypT4a or ypN+) versus </w:t>
      </w:r>
      <w:r w:rsidR="003E15CC" w:rsidRPr="00793C34">
        <w:t>27.6%</w:t>
      </w:r>
      <w:r>
        <w:t xml:space="preserve"> of high-risk patients in NIAGARA. </w:t>
      </w:r>
      <w:r w:rsidR="00012FA2">
        <w:t>T</w:t>
      </w:r>
      <w:r w:rsidR="00031404">
        <w:t>he Pre-PBAC response stated</w:t>
      </w:r>
      <w:r w:rsidR="00012FA2">
        <w:t xml:space="preserve"> </w:t>
      </w:r>
      <w:r w:rsidR="00031404">
        <w:t>that the differences across the CM274 and NIAGARA trials do not affect the transitivity assumption of the ITC</w:t>
      </w:r>
      <w:r w:rsidR="004E30CB">
        <w:t xml:space="preserve"> with respect to clinical staging</w:t>
      </w:r>
      <w:r w:rsidR="00C14CC8">
        <w:t xml:space="preserve"> because </w:t>
      </w:r>
      <w:r w:rsidR="002C5062">
        <w:t xml:space="preserve">only the subgroup of patients in the NIAGARA control arm known to </w:t>
      </w:r>
      <w:r w:rsidR="007925EC">
        <w:t>be</w:t>
      </w:r>
      <w:r w:rsidR="002C5062">
        <w:t xml:space="preserve"> at high risk of recurrence</w:t>
      </w:r>
      <w:r w:rsidR="007925EC">
        <w:t xml:space="preserve"> was included in the ITC</w:t>
      </w:r>
      <w:r w:rsidR="001B209A">
        <w:t xml:space="preserve"> (as described in the dot point above)</w:t>
      </w:r>
      <w:r w:rsidR="00E565E1">
        <w:t xml:space="preserve">, and it is applied only at the time they become eligible (i.e., following </w:t>
      </w:r>
      <w:r w:rsidR="004E30CB">
        <w:t>RC</w:t>
      </w:r>
      <w:r w:rsidR="00E565E1">
        <w:t xml:space="preserve"> at the adjuvant baseline)</w:t>
      </w:r>
      <w:r w:rsidR="007925EC">
        <w:t>.</w:t>
      </w:r>
    </w:p>
    <w:p w14:paraId="578FFA8C" w14:textId="77777777" w:rsidR="00E073E8" w:rsidRPr="004E055B" w:rsidRDefault="00E073E8" w:rsidP="00702407">
      <w:pPr>
        <w:pStyle w:val="ListParagraph"/>
        <w:numPr>
          <w:ilvl w:val="0"/>
          <w:numId w:val="8"/>
        </w:numPr>
        <w:spacing w:before="120"/>
        <w:ind w:left="1134" w:hanging="357"/>
      </w:pPr>
      <w:r w:rsidRPr="004E055B">
        <w:t>Regarding endpoint definitions:</w:t>
      </w:r>
    </w:p>
    <w:p w14:paraId="498BBE4D" w14:textId="0112A8A8" w:rsidR="00E073E8" w:rsidRPr="004E055B" w:rsidRDefault="00E073E8" w:rsidP="00100A96">
      <w:pPr>
        <w:pStyle w:val="ListParagraph"/>
        <w:numPr>
          <w:ilvl w:val="1"/>
          <w:numId w:val="8"/>
        </w:numPr>
        <w:ind w:left="1418"/>
        <w:jc w:val="both"/>
      </w:pPr>
      <w:r w:rsidRPr="004E055B">
        <w:t xml:space="preserve">In NIAGARA, EFS was defined as time from randomisation to the first recurrence of disease after RC, the time of first documented progression in patients who were medically precluded from a RC, or time of expected surgery in patients who refused to undergo a RC or failure to undergo a RC in participants with residual disease, or the time of death due to any cause, whichever occurred first. In CM274, </w:t>
      </w:r>
      <w:r w:rsidR="00A0532B">
        <w:t>disease-free survival (</w:t>
      </w:r>
      <w:r w:rsidRPr="004E055B">
        <w:t>DFS</w:t>
      </w:r>
      <w:r w:rsidR="00A0532B">
        <w:t>)</w:t>
      </w:r>
      <w:r w:rsidRPr="004E055B">
        <w:t xml:space="preserve"> was defined as the time between the date of randomisation and the date of first recurrence (local recurrence in the urothelial tract, local recurrence outside the urothelial tract, or distant recurrence), or death.</w:t>
      </w:r>
      <w:r w:rsidR="005D2CCA">
        <w:t xml:space="preserve"> The Pre-PBAC response stated that </w:t>
      </w:r>
      <w:r w:rsidR="00F7525F" w:rsidRPr="00F7525F">
        <w:t>the definition of an EFS event</w:t>
      </w:r>
      <w:r w:rsidR="00F7525F">
        <w:t xml:space="preserve"> in NIAGARA</w:t>
      </w:r>
      <w:r w:rsidR="00F7525F" w:rsidRPr="00F7525F">
        <w:t xml:space="preserve"> (recurrence or death) is identical to the definition of DFS in CM274. Consequently, applying the DFS benefit for nivolumab to the EFS curve from adjuvant baseline</w:t>
      </w:r>
      <w:r w:rsidR="009D6803">
        <w:t xml:space="preserve"> does not affect the transitivity assumption of the ITC with respect to</w:t>
      </w:r>
      <w:r w:rsidR="00B024F0">
        <w:t xml:space="preserve"> EFS/DFS.</w:t>
      </w:r>
    </w:p>
    <w:p w14:paraId="111069F7" w14:textId="77777777" w:rsidR="00E073E8" w:rsidRPr="004E055B" w:rsidRDefault="00E073E8" w:rsidP="00702407">
      <w:pPr>
        <w:pStyle w:val="ListParagraph"/>
        <w:numPr>
          <w:ilvl w:val="0"/>
          <w:numId w:val="8"/>
        </w:numPr>
        <w:spacing w:before="120"/>
        <w:ind w:left="1134" w:hanging="357"/>
      </w:pPr>
      <w:r w:rsidRPr="004E055B">
        <w:t>Regarding duration of follow-up:</w:t>
      </w:r>
    </w:p>
    <w:p w14:paraId="389304F8" w14:textId="64B8540D" w:rsidR="00E073E8" w:rsidRPr="00270200" w:rsidRDefault="00E073E8" w:rsidP="00100A96">
      <w:pPr>
        <w:pStyle w:val="ListParagraph"/>
        <w:numPr>
          <w:ilvl w:val="1"/>
          <w:numId w:val="8"/>
        </w:numPr>
        <w:ind w:left="1418"/>
        <w:jc w:val="both"/>
      </w:pPr>
      <w:r w:rsidRPr="004E055B">
        <w:t xml:space="preserve">NIAGARA had a longer median duration of follow-up compared to CM274. In NIAGARA, the median duration of follow-up for EFS was 34.7 months for the </w:t>
      </w:r>
      <w:r w:rsidR="00430804" w:rsidRPr="004E055B">
        <w:t>durvalumab</w:t>
      </w:r>
      <w:r w:rsidRPr="004E055B">
        <w:t xml:space="preserve"> + GC arm and 27.7 months for the GC arm. </w:t>
      </w:r>
      <w:r w:rsidR="00DD5711">
        <w:t>In</w:t>
      </w:r>
      <w:r w:rsidRPr="004E055B">
        <w:t xml:space="preserve"> CM274, the median duration of follow-up for DFS was 20.9 months for the nivolumab arm and 19.5 months for the placebo arm.</w:t>
      </w:r>
      <w:r w:rsidRPr="004E055B" w:rsidDel="00233C95">
        <w:t xml:space="preserve"> </w:t>
      </w:r>
      <w:r w:rsidR="00233C95" w:rsidRPr="00100A96">
        <w:t>The ESC noted it is difficult to compare median follow up between the two trials given patients were randomised at different stages of treatment.</w:t>
      </w:r>
    </w:p>
    <w:p w14:paraId="7B326D11" w14:textId="35370523" w:rsidR="00E073E8" w:rsidRPr="00DF1914" w:rsidRDefault="00E073E8" w:rsidP="00E073E8">
      <w:pPr>
        <w:pStyle w:val="4-SubsectionHeading"/>
      </w:pPr>
      <w:bookmarkStart w:id="45" w:name="_Toc209021283"/>
      <w:bookmarkStart w:id="46" w:name="_Toc209023179"/>
      <w:r w:rsidRPr="00DF1914">
        <w:t>Comparative effectiveness</w:t>
      </w:r>
      <w:bookmarkEnd w:id="37"/>
      <w:bookmarkEnd w:id="45"/>
      <w:bookmarkEnd w:id="46"/>
    </w:p>
    <w:p w14:paraId="588F103F" w14:textId="77777777" w:rsidR="00E073E8" w:rsidRDefault="00E073E8" w:rsidP="00E073E8">
      <w:pPr>
        <w:pStyle w:val="3-BodyText"/>
        <w:numPr>
          <w:ilvl w:val="0"/>
          <w:numId w:val="0"/>
        </w:numPr>
        <w:ind w:left="720" w:hanging="720"/>
        <w:rPr>
          <w:color w:val="000000" w:themeColor="text1"/>
        </w:rPr>
      </w:pPr>
      <w:r w:rsidRPr="00305019">
        <w:rPr>
          <w:b/>
          <w:bCs/>
        </w:rPr>
        <w:t>Head-to-head</w:t>
      </w:r>
      <w:r>
        <w:rPr>
          <w:b/>
          <w:bCs/>
        </w:rPr>
        <w:t xml:space="preserve"> trial</w:t>
      </w:r>
      <w:r w:rsidRPr="00305019">
        <w:rPr>
          <w:b/>
          <w:bCs/>
        </w:rPr>
        <w:t xml:space="preserve"> </w:t>
      </w:r>
      <w:r>
        <w:rPr>
          <w:b/>
          <w:bCs/>
        </w:rPr>
        <w:t>(</w:t>
      </w:r>
      <w:r w:rsidRPr="00305019">
        <w:rPr>
          <w:b/>
          <w:bCs/>
        </w:rPr>
        <w:t>NIAGARA</w:t>
      </w:r>
      <w:r>
        <w:rPr>
          <w:b/>
          <w:bCs/>
        </w:rPr>
        <w:t>)</w:t>
      </w:r>
      <w:r w:rsidRPr="00305019">
        <w:rPr>
          <w:b/>
          <w:bCs/>
        </w:rPr>
        <w:t xml:space="preserve"> of </w:t>
      </w:r>
      <w:r w:rsidRPr="001631BE">
        <w:rPr>
          <w:b/>
          <w:bCs/>
        </w:rPr>
        <w:t xml:space="preserve">perioperative </w:t>
      </w:r>
      <w:r>
        <w:rPr>
          <w:b/>
          <w:bCs/>
        </w:rPr>
        <w:t>durvalumab vs</w:t>
      </w:r>
      <w:r w:rsidRPr="00305019">
        <w:rPr>
          <w:b/>
          <w:bCs/>
        </w:rPr>
        <w:t xml:space="preserve"> </w:t>
      </w:r>
      <w:r>
        <w:rPr>
          <w:b/>
          <w:bCs/>
        </w:rPr>
        <w:t>neoadjuvant chemotherapy</w:t>
      </w:r>
    </w:p>
    <w:p w14:paraId="036F3075" w14:textId="25416C72" w:rsidR="00E073E8" w:rsidRDefault="00E073E8" w:rsidP="00E073E8">
      <w:pPr>
        <w:pStyle w:val="3-BodyText"/>
        <w:rPr>
          <w:color w:val="000000" w:themeColor="text1"/>
        </w:rPr>
      </w:pPr>
      <w:r w:rsidRPr="00CF6AFD">
        <w:rPr>
          <w:color w:val="000000" w:themeColor="text1"/>
        </w:rPr>
        <w:t>Results of the</w:t>
      </w:r>
      <w:r>
        <w:rPr>
          <w:color w:val="000000" w:themeColor="text1"/>
        </w:rPr>
        <w:t xml:space="preserve"> dual</w:t>
      </w:r>
      <w:r w:rsidRPr="00CF6AFD">
        <w:rPr>
          <w:color w:val="000000" w:themeColor="text1"/>
        </w:rPr>
        <w:t xml:space="preserve"> primary endpoint of EFS by BICR as per Response Evaluation Criteria in Solid Tumours version 1.1 (RECIST 1.1) </w:t>
      </w:r>
      <w:r>
        <w:rPr>
          <w:color w:val="000000" w:themeColor="text1"/>
        </w:rPr>
        <w:t xml:space="preserve">and pCR (based on central pathology review) </w:t>
      </w:r>
      <w:r w:rsidRPr="00CF6AFD">
        <w:rPr>
          <w:color w:val="000000" w:themeColor="text1"/>
        </w:rPr>
        <w:lastRenderedPageBreak/>
        <w:t xml:space="preserve">in the </w:t>
      </w:r>
      <w:r>
        <w:rPr>
          <w:color w:val="000000" w:themeColor="text1"/>
        </w:rPr>
        <w:t>FAS</w:t>
      </w:r>
      <w:r>
        <w:rPr>
          <w:rStyle w:val="FootnoteReference"/>
          <w:color w:val="000000" w:themeColor="text1"/>
        </w:rPr>
        <w:footnoteReference w:id="16"/>
      </w:r>
      <w:r w:rsidRPr="00CF6AFD">
        <w:rPr>
          <w:color w:val="000000" w:themeColor="text1"/>
        </w:rPr>
        <w:t xml:space="preserve"> population of </w:t>
      </w:r>
      <w:r>
        <w:rPr>
          <w:color w:val="000000" w:themeColor="text1"/>
        </w:rPr>
        <w:t>NIAGARA</w:t>
      </w:r>
      <w:r w:rsidRPr="00CF6AFD">
        <w:rPr>
          <w:color w:val="000000" w:themeColor="text1"/>
        </w:rPr>
        <w:t xml:space="preserve"> are presented in</w:t>
      </w:r>
      <w:r>
        <w:rPr>
          <w:color w:val="000000" w:themeColor="text1"/>
        </w:rPr>
        <w:t xml:space="preserve"> </w:t>
      </w:r>
      <w:r>
        <w:rPr>
          <w:color w:val="000000" w:themeColor="text1"/>
        </w:rPr>
        <w:fldChar w:fldCharType="begin"/>
      </w:r>
      <w:r>
        <w:rPr>
          <w:color w:val="000000" w:themeColor="text1"/>
        </w:rPr>
        <w:instrText xml:space="preserve"> REF _Ref207442735 \h </w:instrText>
      </w:r>
      <w:r>
        <w:rPr>
          <w:color w:val="000000" w:themeColor="text1"/>
        </w:rPr>
      </w:r>
      <w:r>
        <w:rPr>
          <w:color w:val="000000" w:themeColor="text1"/>
        </w:rPr>
        <w:fldChar w:fldCharType="separate"/>
      </w:r>
      <w:r w:rsidR="005731FF">
        <w:t xml:space="preserve">Table </w:t>
      </w:r>
      <w:r w:rsidR="005731FF">
        <w:rPr>
          <w:noProof/>
        </w:rPr>
        <w:t>4</w:t>
      </w:r>
      <w:r>
        <w:rPr>
          <w:color w:val="000000" w:themeColor="text1"/>
        </w:rPr>
        <w:fldChar w:fldCharType="end"/>
      </w:r>
      <w:r>
        <w:rPr>
          <w:color w:val="000000" w:themeColor="text1"/>
        </w:rPr>
        <w:t xml:space="preserve"> and </w:t>
      </w:r>
      <w:r>
        <w:rPr>
          <w:color w:val="000000" w:themeColor="text1"/>
        </w:rPr>
        <w:fldChar w:fldCharType="begin"/>
      </w:r>
      <w:r>
        <w:rPr>
          <w:color w:val="000000" w:themeColor="text1"/>
        </w:rPr>
        <w:instrText xml:space="preserve"> REF _Ref207442737 \h </w:instrText>
      </w:r>
      <w:r>
        <w:rPr>
          <w:color w:val="000000" w:themeColor="text1"/>
        </w:rPr>
      </w:r>
      <w:r>
        <w:rPr>
          <w:color w:val="000000" w:themeColor="text1"/>
        </w:rPr>
        <w:fldChar w:fldCharType="separate"/>
      </w:r>
      <w:r w:rsidR="005731FF">
        <w:t xml:space="preserve">Table </w:t>
      </w:r>
      <w:r w:rsidR="005731FF">
        <w:rPr>
          <w:noProof/>
        </w:rPr>
        <w:t>5</w:t>
      </w:r>
      <w:r>
        <w:rPr>
          <w:color w:val="000000" w:themeColor="text1"/>
        </w:rPr>
        <w:fldChar w:fldCharType="end"/>
      </w:r>
      <w:r w:rsidR="00CC0EBE">
        <w:rPr>
          <w:color w:val="000000" w:themeColor="text1"/>
        </w:rPr>
        <w:t>, respectively</w:t>
      </w:r>
      <w:r>
        <w:rPr>
          <w:color w:val="000000" w:themeColor="text1"/>
        </w:rPr>
        <w:t xml:space="preserve">. </w:t>
      </w:r>
      <w:r w:rsidRPr="00164BC3">
        <w:t xml:space="preserve">The EFS Kaplan-Meier (KM) curves are presented in </w:t>
      </w:r>
      <w:r>
        <w:rPr>
          <w:color w:val="000000" w:themeColor="text1"/>
        </w:rPr>
        <w:fldChar w:fldCharType="begin"/>
      </w:r>
      <w:r>
        <w:rPr>
          <w:color w:val="000000" w:themeColor="text1"/>
        </w:rPr>
        <w:instrText xml:space="preserve"> REF _Ref207442745 \h </w:instrText>
      </w:r>
      <w:r>
        <w:rPr>
          <w:color w:val="000000" w:themeColor="text1"/>
        </w:rPr>
      </w:r>
      <w:r>
        <w:rPr>
          <w:color w:val="000000" w:themeColor="text1"/>
        </w:rPr>
        <w:fldChar w:fldCharType="separate"/>
      </w:r>
      <w:r w:rsidR="005731FF">
        <w:t xml:space="preserve">Figure </w:t>
      </w:r>
      <w:r w:rsidR="005731FF">
        <w:rPr>
          <w:noProof/>
        </w:rPr>
        <w:t>1</w:t>
      </w:r>
      <w:r>
        <w:rPr>
          <w:color w:val="000000" w:themeColor="text1"/>
        </w:rPr>
        <w:fldChar w:fldCharType="end"/>
      </w:r>
      <w:r>
        <w:rPr>
          <w:color w:val="000000" w:themeColor="text1"/>
        </w:rPr>
        <w:t>.</w:t>
      </w:r>
    </w:p>
    <w:p w14:paraId="5BA2BDBC" w14:textId="1D8E3DA2" w:rsidR="00E073E8" w:rsidRDefault="00E073E8" w:rsidP="00E073E8">
      <w:pPr>
        <w:pStyle w:val="Caption"/>
      </w:pPr>
      <w:bookmarkStart w:id="47" w:name="_Ref207442735"/>
      <w:r>
        <w:t xml:space="preserve">Table </w:t>
      </w:r>
      <w:r w:rsidR="0077772B">
        <w:fldChar w:fldCharType="begin"/>
      </w:r>
      <w:r w:rsidR="0077772B">
        <w:instrText xml:space="preserve"> SEQ Table \* ARABIC </w:instrText>
      </w:r>
      <w:r w:rsidR="0077772B">
        <w:fldChar w:fldCharType="separate"/>
      </w:r>
      <w:r w:rsidR="005731FF">
        <w:rPr>
          <w:noProof/>
        </w:rPr>
        <w:t>4</w:t>
      </w:r>
      <w:r w:rsidR="0077772B">
        <w:rPr>
          <w:noProof/>
        </w:rPr>
        <w:fldChar w:fldCharType="end"/>
      </w:r>
      <w:bookmarkEnd w:id="47"/>
      <w:r>
        <w:t xml:space="preserve">: </w:t>
      </w:r>
      <w:r w:rsidRPr="00085ACE">
        <w:t>Results of EFS by BICR</w:t>
      </w:r>
      <w:r>
        <w:t xml:space="preserve"> or by Central Pathology </w:t>
      </w:r>
      <w:r w:rsidRPr="00085ACE">
        <w:t xml:space="preserve">in </w:t>
      </w:r>
      <w:r>
        <w:t>NIAGARA</w:t>
      </w:r>
      <w:r w:rsidRPr="00085ACE">
        <w:t xml:space="preserve"> (</w:t>
      </w:r>
      <w:r>
        <w:t>IA-2, FAS</w:t>
      </w:r>
      <w:r w:rsidRPr="00085ACE">
        <w:t>)</w:t>
      </w:r>
    </w:p>
    <w:tbl>
      <w:tblPr>
        <w:tblStyle w:val="TableGrid"/>
        <w:tblW w:w="0" w:type="auto"/>
        <w:jc w:val="center"/>
        <w:tblLook w:val="04A0" w:firstRow="1" w:lastRow="0" w:firstColumn="1" w:lastColumn="0" w:noHBand="0" w:noVBand="1"/>
        <w:tblCaption w:val="Table 4: Results of EFS by BICR or by Central Pathology in NIAGARA (IA-2, FAS)"/>
      </w:tblPr>
      <w:tblGrid>
        <w:gridCol w:w="4390"/>
        <w:gridCol w:w="2409"/>
        <w:gridCol w:w="2218"/>
      </w:tblGrid>
      <w:tr w:rsidR="00E073E8" w:rsidRPr="00164BC3" w14:paraId="1A0EA85E" w14:textId="77777777" w:rsidTr="00CC0EBE">
        <w:trPr>
          <w:jc w:val="center"/>
        </w:trPr>
        <w:tc>
          <w:tcPr>
            <w:tcW w:w="4390" w:type="dxa"/>
            <w:tcBorders>
              <w:top w:val="single" w:sz="4" w:space="0" w:color="auto"/>
              <w:left w:val="single" w:sz="4" w:space="0" w:color="auto"/>
              <w:bottom w:val="single" w:sz="4" w:space="0" w:color="auto"/>
              <w:right w:val="single" w:sz="4" w:space="0" w:color="auto"/>
            </w:tcBorders>
          </w:tcPr>
          <w:p w14:paraId="0D55CF35" w14:textId="77777777" w:rsidR="00E073E8" w:rsidRPr="00164BC3" w:rsidRDefault="00E073E8" w:rsidP="002538F4">
            <w:pPr>
              <w:pStyle w:val="TableText1"/>
              <w:keepNext/>
              <w:keepLines/>
              <w:spacing w:after="0"/>
            </w:pPr>
          </w:p>
        </w:tc>
        <w:tc>
          <w:tcPr>
            <w:tcW w:w="2409" w:type="dxa"/>
            <w:tcBorders>
              <w:top w:val="single" w:sz="4" w:space="0" w:color="auto"/>
              <w:left w:val="single" w:sz="4" w:space="0" w:color="auto"/>
              <w:bottom w:val="single" w:sz="4" w:space="0" w:color="auto"/>
              <w:right w:val="single" w:sz="4" w:space="0" w:color="auto"/>
            </w:tcBorders>
          </w:tcPr>
          <w:p w14:paraId="2FFAEC09" w14:textId="4E768D87" w:rsidR="00E073E8" w:rsidRDefault="00E073E8" w:rsidP="002538F4">
            <w:pPr>
              <w:pStyle w:val="TableText1"/>
              <w:keepNext/>
              <w:keepLines/>
              <w:spacing w:after="0"/>
              <w:jc w:val="center"/>
              <w:rPr>
                <w:b/>
                <w:bCs/>
              </w:rPr>
            </w:pPr>
            <w:r>
              <w:rPr>
                <w:b/>
                <w:bCs/>
              </w:rPr>
              <w:t>DURVA + GC</w:t>
            </w:r>
          </w:p>
          <w:p w14:paraId="483DEF8F" w14:textId="77777777" w:rsidR="00E073E8" w:rsidRPr="00164BC3" w:rsidRDefault="00E073E8" w:rsidP="002538F4">
            <w:pPr>
              <w:pStyle w:val="TableText1"/>
              <w:keepNext/>
              <w:keepLines/>
              <w:spacing w:after="0"/>
              <w:jc w:val="center"/>
              <w:rPr>
                <w:b/>
                <w:bCs/>
              </w:rPr>
            </w:pPr>
            <w:r>
              <w:rPr>
                <w:b/>
                <w:bCs/>
              </w:rPr>
              <w:t>N = 533</w:t>
            </w:r>
          </w:p>
        </w:tc>
        <w:tc>
          <w:tcPr>
            <w:tcW w:w="2218" w:type="dxa"/>
            <w:tcBorders>
              <w:top w:val="single" w:sz="4" w:space="0" w:color="auto"/>
              <w:left w:val="single" w:sz="4" w:space="0" w:color="auto"/>
              <w:bottom w:val="single" w:sz="4" w:space="0" w:color="auto"/>
              <w:right w:val="single" w:sz="4" w:space="0" w:color="auto"/>
            </w:tcBorders>
          </w:tcPr>
          <w:p w14:paraId="0B1C1612" w14:textId="77777777" w:rsidR="00E073E8" w:rsidRDefault="00E073E8" w:rsidP="002538F4">
            <w:pPr>
              <w:pStyle w:val="TableText1"/>
              <w:keepNext/>
              <w:keepLines/>
              <w:spacing w:after="0"/>
              <w:jc w:val="center"/>
              <w:rPr>
                <w:b/>
                <w:bCs/>
              </w:rPr>
            </w:pPr>
            <w:r>
              <w:rPr>
                <w:b/>
                <w:bCs/>
              </w:rPr>
              <w:t>GC</w:t>
            </w:r>
          </w:p>
          <w:p w14:paraId="4F877134" w14:textId="285CBD54" w:rsidR="00E073E8" w:rsidRPr="00164BC3" w:rsidRDefault="00E073E8" w:rsidP="002538F4">
            <w:pPr>
              <w:pStyle w:val="TableText1"/>
              <w:keepNext/>
              <w:keepLines/>
              <w:spacing w:after="0"/>
              <w:jc w:val="center"/>
              <w:rPr>
                <w:b/>
                <w:bCs/>
              </w:rPr>
            </w:pPr>
            <w:r>
              <w:rPr>
                <w:b/>
                <w:bCs/>
              </w:rPr>
              <w:t>N = 530</w:t>
            </w:r>
          </w:p>
        </w:tc>
      </w:tr>
      <w:tr w:rsidR="00E073E8" w:rsidRPr="00164BC3" w14:paraId="302C7C3E" w14:textId="77777777" w:rsidTr="00CC0EBE">
        <w:trPr>
          <w:jc w:val="center"/>
        </w:trPr>
        <w:tc>
          <w:tcPr>
            <w:tcW w:w="4390" w:type="dxa"/>
            <w:tcBorders>
              <w:left w:val="single" w:sz="4" w:space="0" w:color="auto"/>
              <w:bottom w:val="nil"/>
              <w:right w:val="single" w:sz="4" w:space="0" w:color="auto"/>
            </w:tcBorders>
          </w:tcPr>
          <w:p w14:paraId="3F5DD4C6" w14:textId="77777777" w:rsidR="00E073E8" w:rsidRPr="00164BC3" w:rsidRDefault="00E073E8" w:rsidP="002538F4">
            <w:pPr>
              <w:pStyle w:val="TableText1"/>
              <w:keepNext/>
              <w:keepLines/>
              <w:spacing w:after="0"/>
            </w:pPr>
            <w:r w:rsidRPr="00164BC3">
              <w:t>Number of events (%)</w:t>
            </w:r>
          </w:p>
        </w:tc>
        <w:tc>
          <w:tcPr>
            <w:tcW w:w="2409" w:type="dxa"/>
            <w:tcBorders>
              <w:left w:val="single" w:sz="4" w:space="0" w:color="auto"/>
              <w:bottom w:val="nil"/>
              <w:right w:val="single" w:sz="4" w:space="0" w:color="auto"/>
            </w:tcBorders>
          </w:tcPr>
          <w:p w14:paraId="0DB8735E" w14:textId="77777777" w:rsidR="00E073E8" w:rsidRPr="00164BC3" w:rsidRDefault="00E073E8" w:rsidP="002538F4">
            <w:pPr>
              <w:pStyle w:val="TableText1"/>
              <w:keepNext/>
              <w:keepLines/>
              <w:spacing w:after="0"/>
              <w:jc w:val="center"/>
            </w:pPr>
            <w:r w:rsidRPr="00C11E7D">
              <w:t>187 (35.1)</w:t>
            </w:r>
          </w:p>
        </w:tc>
        <w:tc>
          <w:tcPr>
            <w:tcW w:w="2218" w:type="dxa"/>
            <w:tcBorders>
              <w:left w:val="single" w:sz="4" w:space="0" w:color="auto"/>
              <w:bottom w:val="nil"/>
              <w:right w:val="single" w:sz="4" w:space="0" w:color="auto"/>
            </w:tcBorders>
          </w:tcPr>
          <w:p w14:paraId="782EA2E7" w14:textId="77777777" w:rsidR="00E073E8" w:rsidRPr="00164BC3" w:rsidRDefault="00E073E8" w:rsidP="002538F4">
            <w:pPr>
              <w:pStyle w:val="TableText1"/>
              <w:keepNext/>
              <w:keepLines/>
              <w:spacing w:after="0"/>
              <w:jc w:val="center"/>
            </w:pPr>
            <w:r w:rsidRPr="00C11E7D">
              <w:t>246 (46.4)</w:t>
            </w:r>
          </w:p>
        </w:tc>
      </w:tr>
      <w:tr w:rsidR="00E073E8" w:rsidRPr="00164BC3" w14:paraId="477DBEB5" w14:textId="77777777" w:rsidTr="00CC0EBE">
        <w:trPr>
          <w:jc w:val="center"/>
        </w:trPr>
        <w:tc>
          <w:tcPr>
            <w:tcW w:w="4390" w:type="dxa"/>
            <w:tcBorders>
              <w:top w:val="nil"/>
              <w:left w:val="single" w:sz="4" w:space="0" w:color="auto"/>
              <w:bottom w:val="nil"/>
              <w:right w:val="single" w:sz="4" w:space="0" w:color="auto"/>
            </w:tcBorders>
          </w:tcPr>
          <w:p w14:paraId="35A727F9" w14:textId="4C9C4125" w:rsidR="00E073E8" w:rsidRPr="00164BC3" w:rsidRDefault="00E073E8" w:rsidP="002538F4">
            <w:pPr>
              <w:pStyle w:val="TableText1"/>
              <w:keepNext/>
              <w:keepLines/>
              <w:spacing w:after="0"/>
              <w:ind w:left="169"/>
              <w:rPr>
                <w:b/>
              </w:rPr>
            </w:pPr>
            <w:r w:rsidRPr="00C11E7D">
              <w:rPr>
                <w:lang w:val="en-US"/>
              </w:rPr>
              <w:t xml:space="preserve">Progression in patients precluding </w:t>
            </w:r>
            <w:r w:rsidR="000A65E1">
              <w:rPr>
                <w:lang w:val="en-US"/>
              </w:rPr>
              <w:t>RC</w:t>
            </w:r>
            <w:r w:rsidRPr="00C11E7D">
              <w:rPr>
                <w:lang w:val="en-US"/>
              </w:rPr>
              <w:t xml:space="preserve"> </w:t>
            </w:r>
          </w:p>
        </w:tc>
        <w:tc>
          <w:tcPr>
            <w:tcW w:w="2409" w:type="dxa"/>
            <w:tcBorders>
              <w:top w:val="nil"/>
              <w:left w:val="single" w:sz="4" w:space="0" w:color="auto"/>
              <w:bottom w:val="nil"/>
              <w:right w:val="single" w:sz="4" w:space="0" w:color="auto"/>
            </w:tcBorders>
          </w:tcPr>
          <w:p w14:paraId="68B53FF0" w14:textId="77777777" w:rsidR="00E073E8" w:rsidRPr="00164BC3" w:rsidRDefault="00E073E8" w:rsidP="002538F4">
            <w:pPr>
              <w:pStyle w:val="TableText1"/>
              <w:keepNext/>
              <w:keepLines/>
              <w:spacing w:after="0"/>
              <w:jc w:val="center"/>
            </w:pPr>
            <w:r w:rsidRPr="00C11E7D">
              <w:t>9 (1.7)</w:t>
            </w:r>
          </w:p>
        </w:tc>
        <w:tc>
          <w:tcPr>
            <w:tcW w:w="2218" w:type="dxa"/>
            <w:tcBorders>
              <w:top w:val="nil"/>
              <w:left w:val="single" w:sz="4" w:space="0" w:color="auto"/>
              <w:bottom w:val="nil"/>
              <w:right w:val="single" w:sz="4" w:space="0" w:color="auto"/>
            </w:tcBorders>
          </w:tcPr>
          <w:p w14:paraId="0C62DB24" w14:textId="77777777" w:rsidR="00E073E8" w:rsidRPr="00164BC3" w:rsidRDefault="00E073E8" w:rsidP="002538F4">
            <w:pPr>
              <w:pStyle w:val="TableText1"/>
              <w:keepNext/>
              <w:keepLines/>
              <w:spacing w:after="0"/>
              <w:jc w:val="center"/>
            </w:pPr>
            <w:r w:rsidRPr="00C11E7D">
              <w:t>9 (1.7)</w:t>
            </w:r>
          </w:p>
        </w:tc>
      </w:tr>
      <w:tr w:rsidR="00E073E8" w:rsidRPr="00164BC3" w14:paraId="153830A6" w14:textId="77777777" w:rsidTr="00CC0EBE">
        <w:trPr>
          <w:jc w:val="center"/>
        </w:trPr>
        <w:tc>
          <w:tcPr>
            <w:tcW w:w="4390" w:type="dxa"/>
            <w:tcBorders>
              <w:top w:val="nil"/>
              <w:left w:val="single" w:sz="4" w:space="0" w:color="auto"/>
              <w:bottom w:val="nil"/>
              <w:right w:val="single" w:sz="4" w:space="0" w:color="auto"/>
            </w:tcBorders>
          </w:tcPr>
          <w:p w14:paraId="3E09FC4C" w14:textId="217C0CC6" w:rsidR="00E073E8" w:rsidRPr="00164BC3" w:rsidRDefault="00E073E8" w:rsidP="002538F4">
            <w:pPr>
              <w:pStyle w:val="TableText1"/>
              <w:keepNext/>
              <w:keepLines/>
              <w:spacing w:after="0"/>
              <w:ind w:left="169"/>
              <w:rPr>
                <w:b/>
              </w:rPr>
            </w:pPr>
            <w:r w:rsidRPr="00C11E7D">
              <w:rPr>
                <w:lang w:val="en-US"/>
              </w:rPr>
              <w:t>Refused or fail</w:t>
            </w:r>
            <w:r>
              <w:rPr>
                <w:lang w:val="en-US"/>
              </w:rPr>
              <w:t>ed</w:t>
            </w:r>
            <w:r w:rsidRPr="00C11E7D">
              <w:rPr>
                <w:lang w:val="en-US"/>
              </w:rPr>
              <w:t xml:space="preserve"> to undergo </w:t>
            </w:r>
            <w:r w:rsidR="00884F12">
              <w:rPr>
                <w:lang w:val="en-US"/>
              </w:rPr>
              <w:t>RC</w:t>
            </w:r>
            <w:r w:rsidRPr="00C11E7D">
              <w:rPr>
                <w:lang w:val="en-US"/>
              </w:rPr>
              <w:t xml:space="preserve"> in patients with residual disease </w:t>
            </w:r>
          </w:p>
        </w:tc>
        <w:tc>
          <w:tcPr>
            <w:tcW w:w="2409" w:type="dxa"/>
            <w:tcBorders>
              <w:top w:val="nil"/>
              <w:left w:val="single" w:sz="4" w:space="0" w:color="auto"/>
              <w:bottom w:val="nil"/>
              <w:right w:val="single" w:sz="4" w:space="0" w:color="auto"/>
            </w:tcBorders>
          </w:tcPr>
          <w:p w14:paraId="2020C195" w14:textId="77777777" w:rsidR="00E073E8" w:rsidRPr="00164BC3" w:rsidRDefault="00E073E8" w:rsidP="002538F4">
            <w:pPr>
              <w:pStyle w:val="TableText1"/>
              <w:keepNext/>
              <w:keepLines/>
              <w:spacing w:after="0"/>
              <w:jc w:val="center"/>
            </w:pPr>
            <w:r w:rsidRPr="00C11E7D">
              <w:t>40 (7.5)</w:t>
            </w:r>
          </w:p>
        </w:tc>
        <w:tc>
          <w:tcPr>
            <w:tcW w:w="2218" w:type="dxa"/>
            <w:tcBorders>
              <w:top w:val="nil"/>
              <w:left w:val="single" w:sz="4" w:space="0" w:color="auto"/>
              <w:bottom w:val="nil"/>
              <w:right w:val="single" w:sz="4" w:space="0" w:color="auto"/>
            </w:tcBorders>
          </w:tcPr>
          <w:p w14:paraId="23AF4008" w14:textId="77777777" w:rsidR="00E073E8" w:rsidRPr="00164BC3" w:rsidRDefault="00E073E8" w:rsidP="002538F4">
            <w:pPr>
              <w:pStyle w:val="TableText1"/>
              <w:keepNext/>
              <w:keepLines/>
              <w:spacing w:after="0"/>
              <w:jc w:val="center"/>
            </w:pPr>
            <w:r w:rsidRPr="00C11E7D">
              <w:t>60 (11.3)</w:t>
            </w:r>
          </w:p>
        </w:tc>
      </w:tr>
      <w:tr w:rsidR="00E073E8" w:rsidRPr="00164BC3" w14:paraId="43F05442" w14:textId="77777777" w:rsidTr="00CC0EBE">
        <w:trPr>
          <w:jc w:val="center"/>
        </w:trPr>
        <w:tc>
          <w:tcPr>
            <w:tcW w:w="4390" w:type="dxa"/>
            <w:tcBorders>
              <w:top w:val="nil"/>
              <w:left w:val="single" w:sz="4" w:space="0" w:color="auto"/>
              <w:bottom w:val="nil"/>
              <w:right w:val="single" w:sz="4" w:space="0" w:color="auto"/>
            </w:tcBorders>
          </w:tcPr>
          <w:p w14:paraId="27AF1D8F" w14:textId="2F02C3B9" w:rsidR="00E073E8" w:rsidRPr="00F93B0B" w:rsidRDefault="00E073E8" w:rsidP="002538F4">
            <w:pPr>
              <w:pStyle w:val="TableText1"/>
              <w:keepNext/>
              <w:keepLines/>
              <w:spacing w:after="0"/>
              <w:ind w:left="169"/>
              <w:rPr>
                <w:lang w:val="en-US"/>
              </w:rPr>
            </w:pPr>
            <w:r w:rsidRPr="00C11E7D">
              <w:rPr>
                <w:lang w:val="en-US"/>
              </w:rPr>
              <w:t xml:space="preserve">Recurrence of disease after </w:t>
            </w:r>
            <w:r w:rsidR="00884F12">
              <w:rPr>
                <w:lang w:val="en-US"/>
              </w:rPr>
              <w:t>RC</w:t>
            </w:r>
            <w:r w:rsidRPr="00C11E7D">
              <w:rPr>
                <w:lang w:val="en-US"/>
              </w:rPr>
              <w:t xml:space="preserve"> </w:t>
            </w:r>
          </w:p>
        </w:tc>
        <w:tc>
          <w:tcPr>
            <w:tcW w:w="2409" w:type="dxa"/>
            <w:tcBorders>
              <w:top w:val="nil"/>
              <w:left w:val="single" w:sz="4" w:space="0" w:color="auto"/>
              <w:bottom w:val="nil"/>
              <w:right w:val="single" w:sz="4" w:space="0" w:color="auto"/>
            </w:tcBorders>
          </w:tcPr>
          <w:p w14:paraId="040DB4D8" w14:textId="77777777" w:rsidR="00E073E8" w:rsidRPr="00164BC3" w:rsidRDefault="00E073E8" w:rsidP="002538F4">
            <w:pPr>
              <w:pStyle w:val="TableText1"/>
              <w:keepNext/>
              <w:keepLines/>
              <w:spacing w:after="0"/>
              <w:jc w:val="center"/>
            </w:pPr>
            <w:r w:rsidRPr="00C11E7D">
              <w:t>69 (12.9)</w:t>
            </w:r>
          </w:p>
        </w:tc>
        <w:tc>
          <w:tcPr>
            <w:tcW w:w="2218" w:type="dxa"/>
            <w:tcBorders>
              <w:top w:val="nil"/>
              <w:left w:val="single" w:sz="4" w:space="0" w:color="auto"/>
              <w:bottom w:val="nil"/>
              <w:right w:val="single" w:sz="4" w:space="0" w:color="auto"/>
            </w:tcBorders>
          </w:tcPr>
          <w:p w14:paraId="1CDF774C" w14:textId="77777777" w:rsidR="00E073E8" w:rsidRPr="00164BC3" w:rsidRDefault="00E073E8" w:rsidP="002538F4">
            <w:pPr>
              <w:pStyle w:val="TableText1"/>
              <w:keepNext/>
              <w:keepLines/>
              <w:spacing w:after="0"/>
              <w:jc w:val="center"/>
            </w:pPr>
            <w:r w:rsidRPr="00C11E7D">
              <w:t>87 (16.4)</w:t>
            </w:r>
          </w:p>
        </w:tc>
      </w:tr>
      <w:tr w:rsidR="00E073E8" w:rsidRPr="00164BC3" w14:paraId="668C5219" w14:textId="77777777" w:rsidTr="00CC0EBE">
        <w:trPr>
          <w:jc w:val="center"/>
        </w:trPr>
        <w:tc>
          <w:tcPr>
            <w:tcW w:w="4390" w:type="dxa"/>
            <w:tcBorders>
              <w:top w:val="nil"/>
              <w:left w:val="single" w:sz="4" w:space="0" w:color="auto"/>
              <w:bottom w:val="nil"/>
              <w:right w:val="single" w:sz="4" w:space="0" w:color="auto"/>
            </w:tcBorders>
          </w:tcPr>
          <w:p w14:paraId="75DD43E9" w14:textId="77777777" w:rsidR="00E073E8" w:rsidRPr="00C11E7D" w:rsidRDefault="00E073E8" w:rsidP="002538F4">
            <w:pPr>
              <w:pStyle w:val="TableText1"/>
              <w:keepNext/>
              <w:keepLines/>
              <w:spacing w:after="0"/>
              <w:ind w:left="169"/>
              <w:rPr>
                <w:lang w:val="en-US"/>
              </w:rPr>
            </w:pPr>
            <w:r w:rsidRPr="00C11E7D">
              <w:rPr>
                <w:lang w:val="en-US"/>
              </w:rPr>
              <w:t>Death in the absence of other EFS events</w:t>
            </w:r>
          </w:p>
        </w:tc>
        <w:tc>
          <w:tcPr>
            <w:tcW w:w="2409" w:type="dxa"/>
            <w:tcBorders>
              <w:top w:val="nil"/>
              <w:left w:val="single" w:sz="4" w:space="0" w:color="auto"/>
              <w:bottom w:val="nil"/>
              <w:right w:val="single" w:sz="4" w:space="0" w:color="auto"/>
            </w:tcBorders>
          </w:tcPr>
          <w:p w14:paraId="44833CFA" w14:textId="77777777" w:rsidR="00E073E8" w:rsidRPr="00C11E7D" w:rsidRDefault="00E073E8" w:rsidP="002538F4">
            <w:pPr>
              <w:pStyle w:val="TableText1"/>
              <w:keepNext/>
              <w:keepLines/>
              <w:spacing w:after="0"/>
              <w:jc w:val="center"/>
            </w:pPr>
            <w:r w:rsidRPr="00C11E7D">
              <w:t>67 (12.6)</w:t>
            </w:r>
          </w:p>
        </w:tc>
        <w:tc>
          <w:tcPr>
            <w:tcW w:w="2218" w:type="dxa"/>
            <w:tcBorders>
              <w:top w:val="nil"/>
              <w:left w:val="single" w:sz="4" w:space="0" w:color="auto"/>
              <w:bottom w:val="nil"/>
              <w:right w:val="single" w:sz="4" w:space="0" w:color="auto"/>
            </w:tcBorders>
          </w:tcPr>
          <w:p w14:paraId="79C71C0F" w14:textId="77777777" w:rsidR="00E073E8" w:rsidRPr="00C11E7D" w:rsidRDefault="00E073E8" w:rsidP="002538F4">
            <w:pPr>
              <w:pStyle w:val="TableText1"/>
              <w:keepNext/>
              <w:keepLines/>
              <w:spacing w:after="0"/>
              <w:jc w:val="center"/>
            </w:pPr>
            <w:r w:rsidRPr="00C11E7D">
              <w:t>85 (16.0)</w:t>
            </w:r>
          </w:p>
        </w:tc>
      </w:tr>
      <w:tr w:rsidR="00E073E8" w:rsidRPr="00164BC3" w14:paraId="7B02229D" w14:textId="77777777" w:rsidTr="00CC0EBE">
        <w:trPr>
          <w:jc w:val="center"/>
        </w:trPr>
        <w:tc>
          <w:tcPr>
            <w:tcW w:w="4390" w:type="dxa"/>
            <w:tcBorders>
              <w:top w:val="nil"/>
              <w:left w:val="single" w:sz="4" w:space="0" w:color="auto"/>
              <w:bottom w:val="nil"/>
              <w:right w:val="single" w:sz="4" w:space="0" w:color="auto"/>
            </w:tcBorders>
          </w:tcPr>
          <w:p w14:paraId="30368397" w14:textId="77777777" w:rsidR="00E073E8" w:rsidRPr="00C11E7D" w:rsidRDefault="00E073E8" w:rsidP="002538F4">
            <w:pPr>
              <w:pStyle w:val="TableText1"/>
              <w:keepNext/>
              <w:keepLines/>
              <w:spacing w:after="0"/>
              <w:rPr>
                <w:lang w:val="en-US"/>
              </w:rPr>
            </w:pPr>
            <w:r w:rsidRPr="00C11E7D">
              <w:rPr>
                <w:lang w:val="en-US"/>
              </w:rPr>
              <w:t xml:space="preserve"> </w:t>
            </w:r>
            <w:r>
              <w:rPr>
                <w:lang w:val="en-US"/>
              </w:rPr>
              <w:t xml:space="preserve">   </w:t>
            </w:r>
            <w:r w:rsidRPr="00C11E7D">
              <w:rPr>
                <w:lang w:val="en-US"/>
              </w:rPr>
              <w:t>Partial cystectomy medically not justified</w:t>
            </w:r>
          </w:p>
        </w:tc>
        <w:tc>
          <w:tcPr>
            <w:tcW w:w="2409" w:type="dxa"/>
            <w:tcBorders>
              <w:top w:val="nil"/>
              <w:left w:val="single" w:sz="4" w:space="0" w:color="auto"/>
              <w:bottom w:val="nil"/>
              <w:right w:val="single" w:sz="4" w:space="0" w:color="auto"/>
            </w:tcBorders>
          </w:tcPr>
          <w:p w14:paraId="36631105" w14:textId="77777777" w:rsidR="00E073E8" w:rsidRPr="00C11E7D" w:rsidRDefault="00E073E8" w:rsidP="002538F4">
            <w:pPr>
              <w:pStyle w:val="TableText1"/>
              <w:keepNext/>
              <w:keepLines/>
              <w:spacing w:after="0"/>
              <w:jc w:val="center"/>
            </w:pPr>
            <w:r w:rsidRPr="00C11E7D">
              <w:t>1 (0.2)</w:t>
            </w:r>
          </w:p>
        </w:tc>
        <w:tc>
          <w:tcPr>
            <w:tcW w:w="2218" w:type="dxa"/>
            <w:tcBorders>
              <w:top w:val="nil"/>
              <w:left w:val="single" w:sz="4" w:space="0" w:color="auto"/>
              <w:bottom w:val="nil"/>
              <w:right w:val="single" w:sz="4" w:space="0" w:color="auto"/>
            </w:tcBorders>
          </w:tcPr>
          <w:p w14:paraId="1190CC81" w14:textId="77777777" w:rsidR="00E073E8" w:rsidRPr="00C11E7D" w:rsidRDefault="00E073E8" w:rsidP="002538F4">
            <w:pPr>
              <w:pStyle w:val="TableText1"/>
              <w:keepNext/>
              <w:keepLines/>
              <w:spacing w:after="0"/>
              <w:jc w:val="center"/>
            </w:pPr>
            <w:r w:rsidRPr="00C11E7D">
              <w:t>5 (0.9)</w:t>
            </w:r>
          </w:p>
        </w:tc>
      </w:tr>
      <w:tr w:rsidR="00E073E8" w:rsidRPr="00164BC3" w14:paraId="1DE60B22" w14:textId="77777777" w:rsidTr="00CC0EBE">
        <w:trPr>
          <w:jc w:val="center"/>
        </w:trPr>
        <w:tc>
          <w:tcPr>
            <w:tcW w:w="4390" w:type="dxa"/>
            <w:tcBorders>
              <w:top w:val="nil"/>
              <w:left w:val="single" w:sz="4" w:space="0" w:color="auto"/>
              <w:bottom w:val="single" w:sz="4" w:space="0" w:color="auto"/>
              <w:right w:val="single" w:sz="4" w:space="0" w:color="auto"/>
            </w:tcBorders>
          </w:tcPr>
          <w:p w14:paraId="1BF6D241" w14:textId="77777777" w:rsidR="00E073E8" w:rsidRPr="00F93B0B" w:rsidRDefault="00E073E8" w:rsidP="002538F4">
            <w:pPr>
              <w:pStyle w:val="TableText1"/>
              <w:keepNext/>
              <w:keepLines/>
              <w:spacing w:after="0"/>
              <w:ind w:left="169"/>
              <w:rPr>
                <w:lang w:val="en-US"/>
              </w:rPr>
            </w:pPr>
            <w:r w:rsidRPr="00C11E7D">
              <w:rPr>
                <w:lang w:val="en-US"/>
              </w:rPr>
              <w:t>Failure to undergo delayed cystectomy</w:t>
            </w:r>
          </w:p>
        </w:tc>
        <w:tc>
          <w:tcPr>
            <w:tcW w:w="2409" w:type="dxa"/>
            <w:tcBorders>
              <w:top w:val="nil"/>
              <w:left w:val="single" w:sz="4" w:space="0" w:color="auto"/>
              <w:bottom w:val="single" w:sz="4" w:space="0" w:color="auto"/>
              <w:right w:val="single" w:sz="4" w:space="0" w:color="auto"/>
            </w:tcBorders>
          </w:tcPr>
          <w:p w14:paraId="66ECCCC5" w14:textId="77777777" w:rsidR="00E073E8" w:rsidRPr="00164BC3" w:rsidRDefault="00E073E8" w:rsidP="002538F4">
            <w:pPr>
              <w:pStyle w:val="TableText1"/>
              <w:keepNext/>
              <w:keepLines/>
              <w:spacing w:after="0"/>
              <w:jc w:val="center"/>
            </w:pPr>
            <w:r w:rsidRPr="00C11E7D">
              <w:t>1 (0.2)</w:t>
            </w:r>
          </w:p>
        </w:tc>
        <w:tc>
          <w:tcPr>
            <w:tcW w:w="2218" w:type="dxa"/>
            <w:tcBorders>
              <w:top w:val="nil"/>
              <w:left w:val="single" w:sz="4" w:space="0" w:color="auto"/>
              <w:bottom w:val="single" w:sz="4" w:space="0" w:color="auto"/>
              <w:right w:val="single" w:sz="4" w:space="0" w:color="auto"/>
            </w:tcBorders>
          </w:tcPr>
          <w:p w14:paraId="25789482" w14:textId="77777777" w:rsidR="00E073E8" w:rsidRPr="00164BC3" w:rsidRDefault="00E073E8" w:rsidP="002538F4">
            <w:pPr>
              <w:pStyle w:val="TableText1"/>
              <w:keepNext/>
              <w:keepLines/>
              <w:spacing w:after="0"/>
              <w:jc w:val="center"/>
            </w:pPr>
            <w:r w:rsidRPr="00C11E7D">
              <w:t>0</w:t>
            </w:r>
          </w:p>
        </w:tc>
      </w:tr>
      <w:tr w:rsidR="00E073E8" w:rsidRPr="00164BC3" w14:paraId="0F0821F2" w14:textId="77777777" w:rsidTr="00CC0EBE">
        <w:trPr>
          <w:jc w:val="center"/>
        </w:trPr>
        <w:tc>
          <w:tcPr>
            <w:tcW w:w="4390" w:type="dxa"/>
            <w:tcBorders>
              <w:left w:val="single" w:sz="4" w:space="0" w:color="auto"/>
              <w:bottom w:val="nil"/>
              <w:right w:val="single" w:sz="4" w:space="0" w:color="auto"/>
            </w:tcBorders>
          </w:tcPr>
          <w:p w14:paraId="1D45CAE8" w14:textId="77777777" w:rsidR="00E073E8" w:rsidRPr="00164BC3" w:rsidRDefault="00E073E8" w:rsidP="002538F4">
            <w:pPr>
              <w:pStyle w:val="TableText1"/>
              <w:keepNext/>
              <w:keepLines/>
              <w:spacing w:after="0"/>
            </w:pPr>
            <w:r w:rsidRPr="00164BC3">
              <w:t>Number censored (%)</w:t>
            </w:r>
          </w:p>
        </w:tc>
        <w:tc>
          <w:tcPr>
            <w:tcW w:w="2409" w:type="dxa"/>
            <w:tcBorders>
              <w:left w:val="single" w:sz="4" w:space="0" w:color="auto"/>
              <w:bottom w:val="nil"/>
              <w:right w:val="single" w:sz="4" w:space="0" w:color="auto"/>
            </w:tcBorders>
          </w:tcPr>
          <w:p w14:paraId="1985D890" w14:textId="77777777" w:rsidR="00E073E8" w:rsidRPr="00164BC3" w:rsidRDefault="00E073E8" w:rsidP="002538F4">
            <w:pPr>
              <w:pStyle w:val="TableText1"/>
              <w:keepNext/>
              <w:keepLines/>
              <w:spacing w:after="0"/>
              <w:jc w:val="center"/>
            </w:pPr>
            <w:r w:rsidRPr="00CF4C91">
              <w:t xml:space="preserve">346 (64.9) </w:t>
            </w:r>
          </w:p>
        </w:tc>
        <w:tc>
          <w:tcPr>
            <w:tcW w:w="2218" w:type="dxa"/>
            <w:tcBorders>
              <w:left w:val="single" w:sz="4" w:space="0" w:color="auto"/>
              <w:bottom w:val="nil"/>
              <w:right w:val="single" w:sz="4" w:space="0" w:color="auto"/>
            </w:tcBorders>
          </w:tcPr>
          <w:p w14:paraId="3ED1BB38" w14:textId="77777777" w:rsidR="00E073E8" w:rsidRPr="00164BC3" w:rsidRDefault="00E073E8" w:rsidP="002538F4">
            <w:pPr>
              <w:pStyle w:val="TableText1"/>
              <w:keepNext/>
              <w:keepLines/>
              <w:spacing w:after="0"/>
              <w:jc w:val="center"/>
            </w:pPr>
            <w:r w:rsidRPr="00CF4C91">
              <w:t xml:space="preserve">284 (53.6) </w:t>
            </w:r>
          </w:p>
        </w:tc>
      </w:tr>
      <w:tr w:rsidR="00E073E8" w:rsidRPr="00164BC3" w14:paraId="7350E9B7" w14:textId="77777777" w:rsidTr="00CC0EBE">
        <w:trPr>
          <w:jc w:val="center"/>
        </w:trPr>
        <w:tc>
          <w:tcPr>
            <w:tcW w:w="4390" w:type="dxa"/>
            <w:tcBorders>
              <w:top w:val="nil"/>
              <w:left w:val="single" w:sz="4" w:space="0" w:color="auto"/>
              <w:bottom w:val="nil"/>
              <w:right w:val="single" w:sz="4" w:space="0" w:color="auto"/>
            </w:tcBorders>
          </w:tcPr>
          <w:p w14:paraId="460B0925" w14:textId="77777777" w:rsidR="00E073E8" w:rsidRPr="00164BC3" w:rsidRDefault="00E073E8" w:rsidP="002538F4">
            <w:pPr>
              <w:pStyle w:val="TableText1"/>
              <w:keepNext/>
              <w:keepLines/>
              <w:spacing w:after="0"/>
              <w:ind w:left="169"/>
              <w:rPr>
                <w:b/>
              </w:rPr>
            </w:pPr>
            <w:r w:rsidRPr="00F93B0B">
              <w:rPr>
                <w:lang w:val="en-US"/>
              </w:rPr>
              <w:t>Event-free at time of analysis</w:t>
            </w:r>
          </w:p>
        </w:tc>
        <w:tc>
          <w:tcPr>
            <w:tcW w:w="2409" w:type="dxa"/>
            <w:tcBorders>
              <w:top w:val="nil"/>
              <w:left w:val="single" w:sz="4" w:space="0" w:color="auto"/>
              <w:bottom w:val="nil"/>
              <w:right w:val="single" w:sz="4" w:space="0" w:color="auto"/>
            </w:tcBorders>
          </w:tcPr>
          <w:p w14:paraId="306AAE2E" w14:textId="77777777" w:rsidR="00E073E8" w:rsidRPr="00164BC3" w:rsidRDefault="00E073E8" w:rsidP="002538F4">
            <w:pPr>
              <w:pStyle w:val="TableText1"/>
              <w:keepNext/>
              <w:keepLines/>
              <w:spacing w:after="0"/>
              <w:jc w:val="center"/>
            </w:pPr>
            <w:r w:rsidRPr="00E65855">
              <w:t xml:space="preserve">337 (63.2) </w:t>
            </w:r>
          </w:p>
        </w:tc>
        <w:tc>
          <w:tcPr>
            <w:tcW w:w="2218" w:type="dxa"/>
            <w:tcBorders>
              <w:top w:val="nil"/>
              <w:left w:val="single" w:sz="4" w:space="0" w:color="auto"/>
              <w:bottom w:val="nil"/>
              <w:right w:val="single" w:sz="4" w:space="0" w:color="auto"/>
            </w:tcBorders>
          </w:tcPr>
          <w:p w14:paraId="07A8D71B" w14:textId="77777777" w:rsidR="00E073E8" w:rsidRPr="00164BC3" w:rsidRDefault="00E073E8" w:rsidP="002538F4">
            <w:pPr>
              <w:pStyle w:val="TableText1"/>
              <w:keepNext/>
              <w:keepLines/>
              <w:spacing w:after="0"/>
              <w:jc w:val="center"/>
            </w:pPr>
            <w:r w:rsidRPr="00E65855">
              <w:t xml:space="preserve">265 (50.0) </w:t>
            </w:r>
          </w:p>
        </w:tc>
      </w:tr>
      <w:tr w:rsidR="00E073E8" w:rsidRPr="00164BC3" w14:paraId="6837484F" w14:textId="77777777" w:rsidTr="00CC0EBE">
        <w:trPr>
          <w:jc w:val="center"/>
        </w:trPr>
        <w:tc>
          <w:tcPr>
            <w:tcW w:w="4390" w:type="dxa"/>
            <w:tcBorders>
              <w:top w:val="nil"/>
              <w:left w:val="single" w:sz="4" w:space="0" w:color="auto"/>
              <w:bottom w:val="nil"/>
              <w:right w:val="single" w:sz="4" w:space="0" w:color="auto"/>
            </w:tcBorders>
          </w:tcPr>
          <w:p w14:paraId="0223198E" w14:textId="77777777" w:rsidR="00E073E8" w:rsidRPr="00F93B0B" w:rsidRDefault="00E073E8" w:rsidP="002538F4">
            <w:pPr>
              <w:pStyle w:val="TableText1"/>
              <w:keepNext/>
              <w:keepLines/>
              <w:spacing w:after="0"/>
              <w:ind w:left="169"/>
              <w:rPr>
                <w:lang w:val="en-US"/>
              </w:rPr>
            </w:pPr>
            <w:r w:rsidRPr="0025654F">
              <w:t>Withdrawal by patient</w:t>
            </w:r>
          </w:p>
        </w:tc>
        <w:tc>
          <w:tcPr>
            <w:tcW w:w="2409" w:type="dxa"/>
            <w:tcBorders>
              <w:top w:val="nil"/>
              <w:left w:val="single" w:sz="4" w:space="0" w:color="auto"/>
              <w:bottom w:val="nil"/>
              <w:right w:val="single" w:sz="4" w:space="0" w:color="auto"/>
            </w:tcBorders>
          </w:tcPr>
          <w:p w14:paraId="17980AAB" w14:textId="77777777" w:rsidR="00E073E8" w:rsidRPr="00E65855" w:rsidRDefault="00E073E8" w:rsidP="002538F4">
            <w:pPr>
              <w:pStyle w:val="TableText1"/>
              <w:keepNext/>
              <w:keepLines/>
              <w:spacing w:after="0"/>
              <w:jc w:val="center"/>
            </w:pPr>
            <w:r w:rsidRPr="0025654F">
              <w:t xml:space="preserve">6 (1.1) </w:t>
            </w:r>
          </w:p>
        </w:tc>
        <w:tc>
          <w:tcPr>
            <w:tcW w:w="2218" w:type="dxa"/>
            <w:tcBorders>
              <w:top w:val="nil"/>
              <w:left w:val="single" w:sz="4" w:space="0" w:color="auto"/>
              <w:bottom w:val="nil"/>
              <w:right w:val="single" w:sz="4" w:space="0" w:color="auto"/>
            </w:tcBorders>
          </w:tcPr>
          <w:p w14:paraId="3EDE10CC" w14:textId="77777777" w:rsidR="00E073E8" w:rsidRPr="00E65855" w:rsidRDefault="00E073E8" w:rsidP="002538F4">
            <w:pPr>
              <w:pStyle w:val="TableText1"/>
              <w:keepNext/>
              <w:keepLines/>
              <w:spacing w:after="0"/>
              <w:jc w:val="center"/>
            </w:pPr>
            <w:r w:rsidRPr="0025654F">
              <w:t xml:space="preserve">16 (3.0) </w:t>
            </w:r>
          </w:p>
        </w:tc>
      </w:tr>
      <w:tr w:rsidR="00E073E8" w:rsidRPr="00164BC3" w14:paraId="7415D50A" w14:textId="77777777" w:rsidTr="00CC0EBE">
        <w:trPr>
          <w:jc w:val="center"/>
        </w:trPr>
        <w:tc>
          <w:tcPr>
            <w:tcW w:w="4390" w:type="dxa"/>
            <w:tcBorders>
              <w:top w:val="nil"/>
              <w:left w:val="single" w:sz="4" w:space="0" w:color="auto"/>
              <w:bottom w:val="nil"/>
              <w:right w:val="single" w:sz="4" w:space="0" w:color="auto"/>
            </w:tcBorders>
          </w:tcPr>
          <w:p w14:paraId="2BDDF59D" w14:textId="77777777" w:rsidR="00E073E8" w:rsidRPr="00F93B0B" w:rsidRDefault="00E073E8" w:rsidP="002538F4">
            <w:pPr>
              <w:pStyle w:val="TableText1"/>
              <w:keepNext/>
              <w:keepLines/>
              <w:spacing w:after="0"/>
              <w:ind w:left="169"/>
              <w:rPr>
                <w:lang w:val="en-US"/>
              </w:rPr>
            </w:pPr>
            <w:r w:rsidRPr="00410F01">
              <w:t xml:space="preserve">No neo-adjuvant baseline data </w:t>
            </w:r>
          </w:p>
        </w:tc>
        <w:tc>
          <w:tcPr>
            <w:tcW w:w="2409" w:type="dxa"/>
            <w:tcBorders>
              <w:top w:val="nil"/>
              <w:left w:val="single" w:sz="4" w:space="0" w:color="auto"/>
              <w:bottom w:val="nil"/>
              <w:right w:val="single" w:sz="4" w:space="0" w:color="auto"/>
            </w:tcBorders>
          </w:tcPr>
          <w:p w14:paraId="7D24459F" w14:textId="77777777" w:rsidR="00E073E8" w:rsidRPr="00E65855" w:rsidRDefault="00E073E8" w:rsidP="002538F4">
            <w:pPr>
              <w:pStyle w:val="TableText1"/>
              <w:keepNext/>
              <w:keepLines/>
              <w:spacing w:after="0"/>
              <w:jc w:val="center"/>
            </w:pPr>
            <w:r w:rsidRPr="00410F01">
              <w:t xml:space="preserve">3 (0.6) </w:t>
            </w:r>
          </w:p>
        </w:tc>
        <w:tc>
          <w:tcPr>
            <w:tcW w:w="2218" w:type="dxa"/>
            <w:tcBorders>
              <w:top w:val="nil"/>
              <w:left w:val="single" w:sz="4" w:space="0" w:color="auto"/>
              <w:bottom w:val="nil"/>
              <w:right w:val="single" w:sz="4" w:space="0" w:color="auto"/>
            </w:tcBorders>
          </w:tcPr>
          <w:p w14:paraId="738FF0CD" w14:textId="77777777" w:rsidR="00E073E8" w:rsidRPr="00E65855" w:rsidRDefault="00E073E8" w:rsidP="002538F4">
            <w:pPr>
              <w:pStyle w:val="TableText1"/>
              <w:keepNext/>
              <w:keepLines/>
              <w:spacing w:after="0"/>
              <w:jc w:val="center"/>
            </w:pPr>
            <w:r w:rsidRPr="00410F01">
              <w:t xml:space="preserve">3 (0.6) </w:t>
            </w:r>
          </w:p>
        </w:tc>
      </w:tr>
      <w:tr w:rsidR="00E073E8" w:rsidRPr="00164BC3" w14:paraId="03EB2E5B" w14:textId="77777777" w:rsidTr="00CC0EBE">
        <w:trPr>
          <w:jc w:val="center"/>
        </w:trPr>
        <w:tc>
          <w:tcPr>
            <w:tcW w:w="4390" w:type="dxa"/>
            <w:tcBorders>
              <w:top w:val="nil"/>
              <w:left w:val="single" w:sz="4" w:space="0" w:color="auto"/>
              <w:bottom w:val="nil"/>
              <w:right w:val="single" w:sz="4" w:space="0" w:color="auto"/>
            </w:tcBorders>
          </w:tcPr>
          <w:p w14:paraId="049AE87B" w14:textId="77777777" w:rsidR="00E073E8" w:rsidRPr="00F93B0B" w:rsidRDefault="00E073E8" w:rsidP="002538F4">
            <w:pPr>
              <w:pStyle w:val="TableText1"/>
              <w:keepNext/>
              <w:keepLines/>
              <w:spacing w:after="0"/>
              <w:ind w:left="169"/>
              <w:rPr>
                <w:lang w:val="en-US"/>
              </w:rPr>
            </w:pPr>
            <w:r w:rsidRPr="00E34C29">
              <w:t>Lost to follow-up</w:t>
            </w:r>
          </w:p>
        </w:tc>
        <w:tc>
          <w:tcPr>
            <w:tcW w:w="2409" w:type="dxa"/>
            <w:tcBorders>
              <w:top w:val="nil"/>
              <w:left w:val="single" w:sz="4" w:space="0" w:color="auto"/>
              <w:bottom w:val="nil"/>
              <w:right w:val="single" w:sz="4" w:space="0" w:color="auto"/>
            </w:tcBorders>
          </w:tcPr>
          <w:p w14:paraId="45D5764C" w14:textId="77777777" w:rsidR="00E073E8" w:rsidRPr="00E65855" w:rsidRDefault="00E073E8" w:rsidP="002538F4">
            <w:pPr>
              <w:pStyle w:val="TableText1"/>
              <w:keepNext/>
              <w:keepLines/>
              <w:spacing w:after="0"/>
              <w:jc w:val="center"/>
            </w:pPr>
            <w:r w:rsidRPr="00E34C29">
              <w:t>0</w:t>
            </w:r>
          </w:p>
        </w:tc>
        <w:tc>
          <w:tcPr>
            <w:tcW w:w="2218" w:type="dxa"/>
            <w:tcBorders>
              <w:top w:val="nil"/>
              <w:left w:val="single" w:sz="4" w:space="0" w:color="auto"/>
              <w:bottom w:val="nil"/>
              <w:right w:val="single" w:sz="4" w:space="0" w:color="auto"/>
            </w:tcBorders>
          </w:tcPr>
          <w:p w14:paraId="2928239E" w14:textId="77777777" w:rsidR="00E073E8" w:rsidRPr="00E65855" w:rsidRDefault="00E073E8" w:rsidP="002538F4">
            <w:pPr>
              <w:pStyle w:val="TableText1"/>
              <w:keepNext/>
              <w:keepLines/>
              <w:spacing w:after="0"/>
              <w:jc w:val="center"/>
            </w:pPr>
            <w:r w:rsidRPr="00E34C29">
              <w:t>0</w:t>
            </w:r>
          </w:p>
        </w:tc>
      </w:tr>
      <w:tr w:rsidR="00E073E8" w:rsidRPr="00164BC3" w14:paraId="1A5D2F25" w14:textId="77777777" w:rsidTr="00CC0EBE">
        <w:trPr>
          <w:jc w:val="center"/>
        </w:trPr>
        <w:tc>
          <w:tcPr>
            <w:tcW w:w="4390" w:type="dxa"/>
            <w:tcBorders>
              <w:top w:val="single" w:sz="4" w:space="0" w:color="auto"/>
              <w:left w:val="single" w:sz="4" w:space="0" w:color="auto"/>
              <w:bottom w:val="single" w:sz="4" w:space="0" w:color="auto"/>
              <w:right w:val="single" w:sz="4" w:space="0" w:color="auto"/>
            </w:tcBorders>
          </w:tcPr>
          <w:p w14:paraId="705E173F" w14:textId="77777777" w:rsidR="00E073E8" w:rsidRPr="00164BC3" w:rsidRDefault="00E073E8" w:rsidP="002538F4">
            <w:pPr>
              <w:pStyle w:val="TableText1"/>
              <w:keepNext/>
              <w:keepLines/>
              <w:spacing w:after="0"/>
            </w:pPr>
            <w:r>
              <w:t>Median EFS (months)</w:t>
            </w:r>
          </w:p>
        </w:tc>
        <w:tc>
          <w:tcPr>
            <w:tcW w:w="2409" w:type="dxa"/>
            <w:tcBorders>
              <w:top w:val="single" w:sz="4" w:space="0" w:color="auto"/>
              <w:left w:val="single" w:sz="4" w:space="0" w:color="auto"/>
              <w:bottom w:val="single" w:sz="4" w:space="0" w:color="auto"/>
              <w:right w:val="single" w:sz="4" w:space="0" w:color="auto"/>
            </w:tcBorders>
          </w:tcPr>
          <w:p w14:paraId="64AEC2F2" w14:textId="77777777" w:rsidR="00E073E8" w:rsidRPr="00164BC3" w:rsidRDefault="00E073E8" w:rsidP="002538F4">
            <w:pPr>
              <w:pStyle w:val="TableText1"/>
              <w:keepNext/>
              <w:keepLines/>
              <w:spacing w:after="0"/>
              <w:jc w:val="center"/>
            </w:pPr>
            <w:r w:rsidRPr="00C11E7D">
              <w:t>NR</w:t>
            </w:r>
          </w:p>
        </w:tc>
        <w:tc>
          <w:tcPr>
            <w:tcW w:w="2218" w:type="dxa"/>
            <w:tcBorders>
              <w:top w:val="single" w:sz="4" w:space="0" w:color="auto"/>
              <w:left w:val="single" w:sz="4" w:space="0" w:color="auto"/>
              <w:bottom w:val="single" w:sz="4" w:space="0" w:color="auto"/>
              <w:right w:val="single" w:sz="4" w:space="0" w:color="auto"/>
            </w:tcBorders>
          </w:tcPr>
          <w:p w14:paraId="1F79AFE2" w14:textId="77777777" w:rsidR="00E073E8" w:rsidRPr="00164BC3" w:rsidRDefault="00E073E8" w:rsidP="002538F4">
            <w:pPr>
              <w:pStyle w:val="TableText1"/>
              <w:keepNext/>
              <w:keepLines/>
              <w:spacing w:after="0"/>
              <w:jc w:val="center"/>
            </w:pPr>
            <w:r w:rsidRPr="00C11E7D">
              <w:t>46.1</w:t>
            </w:r>
          </w:p>
        </w:tc>
      </w:tr>
      <w:tr w:rsidR="00E073E8" w:rsidRPr="00164BC3" w14:paraId="0596BF16" w14:textId="77777777" w:rsidTr="00CC0EBE">
        <w:trPr>
          <w:jc w:val="center"/>
        </w:trPr>
        <w:tc>
          <w:tcPr>
            <w:tcW w:w="4390" w:type="dxa"/>
            <w:tcBorders>
              <w:left w:val="single" w:sz="4" w:space="0" w:color="auto"/>
              <w:right w:val="single" w:sz="4" w:space="0" w:color="auto"/>
            </w:tcBorders>
          </w:tcPr>
          <w:p w14:paraId="03E66135" w14:textId="77777777" w:rsidR="00E073E8" w:rsidRPr="00F65751" w:rsidRDefault="00E073E8" w:rsidP="002538F4">
            <w:pPr>
              <w:pStyle w:val="TableText1"/>
              <w:keepNext/>
              <w:keepLines/>
              <w:spacing w:after="0"/>
              <w:rPr>
                <w:vertAlign w:val="superscript"/>
              </w:rPr>
            </w:pPr>
            <w:r w:rsidRPr="00F65751">
              <w:t>Hazard ratio (95% CI)</w:t>
            </w:r>
            <w:r w:rsidRPr="00F65751">
              <w:rPr>
                <w:vertAlign w:val="superscript"/>
              </w:rPr>
              <w:t>a,b</w:t>
            </w:r>
          </w:p>
        </w:tc>
        <w:tc>
          <w:tcPr>
            <w:tcW w:w="4627" w:type="dxa"/>
            <w:gridSpan w:val="2"/>
            <w:tcBorders>
              <w:left w:val="single" w:sz="4" w:space="0" w:color="auto"/>
              <w:right w:val="single" w:sz="4" w:space="0" w:color="auto"/>
            </w:tcBorders>
          </w:tcPr>
          <w:p w14:paraId="382BDBA9" w14:textId="77777777" w:rsidR="00E073E8" w:rsidRPr="00F65751" w:rsidRDefault="00E073E8" w:rsidP="002538F4">
            <w:pPr>
              <w:pStyle w:val="TableText1"/>
              <w:keepNext/>
              <w:keepLines/>
              <w:spacing w:after="0"/>
              <w:jc w:val="center"/>
              <w:rPr>
                <w:b/>
                <w:bCs/>
              </w:rPr>
            </w:pPr>
            <w:r w:rsidRPr="00F65751">
              <w:rPr>
                <w:b/>
                <w:bCs/>
              </w:rPr>
              <w:t>0.68 (0.558 - 0.817)</w:t>
            </w:r>
          </w:p>
        </w:tc>
      </w:tr>
      <w:tr w:rsidR="00E073E8" w:rsidRPr="00164BC3" w14:paraId="27F5B07B" w14:textId="77777777" w:rsidTr="00CC0EBE">
        <w:trPr>
          <w:jc w:val="center"/>
        </w:trPr>
        <w:tc>
          <w:tcPr>
            <w:tcW w:w="4390" w:type="dxa"/>
            <w:tcBorders>
              <w:left w:val="single" w:sz="4" w:space="0" w:color="auto"/>
              <w:bottom w:val="single" w:sz="4" w:space="0" w:color="auto"/>
              <w:right w:val="single" w:sz="4" w:space="0" w:color="auto"/>
            </w:tcBorders>
          </w:tcPr>
          <w:p w14:paraId="032D568F" w14:textId="77777777" w:rsidR="00E073E8" w:rsidRPr="00F65751" w:rsidRDefault="00E073E8" w:rsidP="002538F4">
            <w:pPr>
              <w:pStyle w:val="TableText1"/>
              <w:keepNext/>
              <w:keepLines/>
              <w:spacing w:after="0"/>
              <w:rPr>
                <w:vertAlign w:val="superscript"/>
              </w:rPr>
            </w:pPr>
            <w:r w:rsidRPr="00F65751">
              <w:t>p-value</w:t>
            </w:r>
            <w:r w:rsidRPr="00F65751">
              <w:rPr>
                <w:vertAlign w:val="superscript"/>
              </w:rPr>
              <w:t>c</w:t>
            </w:r>
          </w:p>
        </w:tc>
        <w:tc>
          <w:tcPr>
            <w:tcW w:w="4627" w:type="dxa"/>
            <w:gridSpan w:val="2"/>
            <w:tcBorders>
              <w:left w:val="single" w:sz="4" w:space="0" w:color="auto"/>
              <w:bottom w:val="single" w:sz="4" w:space="0" w:color="auto"/>
              <w:right w:val="single" w:sz="4" w:space="0" w:color="auto"/>
            </w:tcBorders>
          </w:tcPr>
          <w:p w14:paraId="7D5E5BD3" w14:textId="77777777" w:rsidR="00E073E8" w:rsidRPr="00F65751" w:rsidRDefault="00E073E8" w:rsidP="002538F4">
            <w:pPr>
              <w:pStyle w:val="TableText1"/>
              <w:keepNext/>
              <w:keepLines/>
              <w:spacing w:after="0"/>
              <w:jc w:val="center"/>
              <w:rPr>
                <w:b/>
                <w:bCs/>
              </w:rPr>
            </w:pPr>
            <w:r w:rsidRPr="00F65751">
              <w:rPr>
                <w:b/>
                <w:bCs/>
              </w:rPr>
              <w:t>&lt; 0.0001</w:t>
            </w:r>
          </w:p>
        </w:tc>
      </w:tr>
      <w:tr w:rsidR="00E073E8" w:rsidRPr="00164BC3" w14:paraId="29884BDC" w14:textId="77777777" w:rsidTr="00CC0EBE">
        <w:trPr>
          <w:jc w:val="center"/>
        </w:trPr>
        <w:tc>
          <w:tcPr>
            <w:tcW w:w="4390" w:type="dxa"/>
            <w:tcBorders>
              <w:left w:val="single" w:sz="4" w:space="0" w:color="auto"/>
              <w:bottom w:val="nil"/>
              <w:right w:val="single" w:sz="4" w:space="0" w:color="auto"/>
            </w:tcBorders>
          </w:tcPr>
          <w:p w14:paraId="17802EC9" w14:textId="77777777" w:rsidR="00E073E8" w:rsidRPr="00164BC3" w:rsidRDefault="00E073E8" w:rsidP="002538F4">
            <w:pPr>
              <w:pStyle w:val="TableText1"/>
              <w:keepNext/>
              <w:keepLines/>
              <w:spacing w:after="0"/>
            </w:pPr>
            <w:r w:rsidRPr="00164BC3">
              <w:t>EFS rate, % (95% CI)</w:t>
            </w:r>
            <w:r w:rsidRPr="00F65751">
              <w:rPr>
                <w:vertAlign w:val="superscript"/>
              </w:rPr>
              <w:t>d</w:t>
            </w:r>
          </w:p>
        </w:tc>
        <w:tc>
          <w:tcPr>
            <w:tcW w:w="2409" w:type="dxa"/>
            <w:tcBorders>
              <w:left w:val="single" w:sz="4" w:space="0" w:color="auto"/>
              <w:bottom w:val="nil"/>
              <w:right w:val="single" w:sz="4" w:space="0" w:color="auto"/>
            </w:tcBorders>
          </w:tcPr>
          <w:p w14:paraId="2B8F8F2A" w14:textId="77777777" w:rsidR="00E073E8" w:rsidRPr="00164BC3" w:rsidRDefault="00E073E8" w:rsidP="002538F4">
            <w:pPr>
              <w:pStyle w:val="TableText1"/>
              <w:keepNext/>
              <w:keepLines/>
              <w:spacing w:after="0"/>
              <w:jc w:val="center"/>
            </w:pPr>
          </w:p>
        </w:tc>
        <w:tc>
          <w:tcPr>
            <w:tcW w:w="2218" w:type="dxa"/>
            <w:tcBorders>
              <w:left w:val="single" w:sz="4" w:space="0" w:color="auto"/>
              <w:bottom w:val="nil"/>
              <w:right w:val="single" w:sz="4" w:space="0" w:color="auto"/>
            </w:tcBorders>
          </w:tcPr>
          <w:p w14:paraId="3D74164D" w14:textId="77777777" w:rsidR="00E073E8" w:rsidRPr="00164BC3" w:rsidRDefault="00E073E8" w:rsidP="002538F4">
            <w:pPr>
              <w:pStyle w:val="TableText1"/>
              <w:keepNext/>
              <w:keepLines/>
              <w:spacing w:after="0"/>
              <w:jc w:val="center"/>
            </w:pPr>
          </w:p>
        </w:tc>
      </w:tr>
      <w:tr w:rsidR="00E073E8" w:rsidRPr="00164BC3" w14:paraId="73F05A77" w14:textId="77777777" w:rsidTr="00CC0EBE">
        <w:trPr>
          <w:jc w:val="center"/>
        </w:trPr>
        <w:tc>
          <w:tcPr>
            <w:tcW w:w="4390" w:type="dxa"/>
            <w:tcBorders>
              <w:top w:val="nil"/>
              <w:left w:val="single" w:sz="4" w:space="0" w:color="auto"/>
              <w:bottom w:val="nil"/>
              <w:right w:val="single" w:sz="4" w:space="0" w:color="auto"/>
            </w:tcBorders>
          </w:tcPr>
          <w:p w14:paraId="6CD30020" w14:textId="77777777" w:rsidR="00E073E8" w:rsidRPr="00164BC3" w:rsidRDefault="00E073E8" w:rsidP="002538F4">
            <w:pPr>
              <w:pStyle w:val="TableText1"/>
              <w:keepNext/>
              <w:keepLines/>
              <w:spacing w:after="0"/>
              <w:ind w:left="308"/>
              <w:rPr>
                <w:b/>
              </w:rPr>
            </w:pPr>
            <w:r w:rsidRPr="00164BC3">
              <w:t xml:space="preserve">At month </w:t>
            </w:r>
            <w:r>
              <w:t>6</w:t>
            </w:r>
            <w:r w:rsidRPr="00164BC3">
              <w:t xml:space="preserve"> </w:t>
            </w:r>
          </w:p>
        </w:tc>
        <w:tc>
          <w:tcPr>
            <w:tcW w:w="2409" w:type="dxa"/>
            <w:tcBorders>
              <w:top w:val="nil"/>
              <w:left w:val="single" w:sz="4" w:space="0" w:color="auto"/>
              <w:bottom w:val="nil"/>
              <w:right w:val="single" w:sz="4" w:space="0" w:color="auto"/>
            </w:tcBorders>
          </w:tcPr>
          <w:p w14:paraId="75B8B738" w14:textId="77777777" w:rsidR="00E073E8" w:rsidRPr="00164BC3" w:rsidRDefault="00E073E8" w:rsidP="002538F4">
            <w:pPr>
              <w:pStyle w:val="TableText1"/>
              <w:keepNext/>
              <w:keepLines/>
              <w:spacing w:after="0"/>
              <w:jc w:val="center"/>
            </w:pPr>
            <w:r w:rsidRPr="009E29DE">
              <w:t>87.7 (84.5 - 90.2)</w:t>
            </w:r>
          </w:p>
        </w:tc>
        <w:tc>
          <w:tcPr>
            <w:tcW w:w="2218" w:type="dxa"/>
            <w:tcBorders>
              <w:top w:val="nil"/>
              <w:left w:val="single" w:sz="4" w:space="0" w:color="auto"/>
              <w:bottom w:val="nil"/>
              <w:right w:val="single" w:sz="4" w:space="0" w:color="auto"/>
            </w:tcBorders>
          </w:tcPr>
          <w:p w14:paraId="4A59D940" w14:textId="77777777" w:rsidR="00E073E8" w:rsidRPr="00164BC3" w:rsidRDefault="00E073E8" w:rsidP="002538F4">
            <w:pPr>
              <w:pStyle w:val="TableText1"/>
              <w:keepNext/>
              <w:keepLines/>
              <w:spacing w:after="0"/>
              <w:jc w:val="center"/>
            </w:pPr>
            <w:r w:rsidRPr="009E29DE">
              <w:t xml:space="preserve">82.4 (78.8 - 85.4) </w:t>
            </w:r>
          </w:p>
        </w:tc>
      </w:tr>
      <w:tr w:rsidR="00E073E8" w:rsidRPr="00164BC3" w14:paraId="5182709F" w14:textId="77777777" w:rsidTr="00CC0EBE">
        <w:trPr>
          <w:jc w:val="center"/>
        </w:trPr>
        <w:tc>
          <w:tcPr>
            <w:tcW w:w="4390" w:type="dxa"/>
            <w:tcBorders>
              <w:top w:val="nil"/>
              <w:left w:val="single" w:sz="4" w:space="0" w:color="auto"/>
              <w:bottom w:val="nil"/>
              <w:right w:val="single" w:sz="4" w:space="0" w:color="auto"/>
            </w:tcBorders>
          </w:tcPr>
          <w:p w14:paraId="66CB8ED9" w14:textId="77777777" w:rsidR="00E073E8" w:rsidRPr="00164BC3" w:rsidRDefault="00E073E8" w:rsidP="002538F4">
            <w:pPr>
              <w:pStyle w:val="TableText1"/>
              <w:keepNext/>
              <w:keepLines/>
              <w:spacing w:after="0"/>
              <w:ind w:left="308"/>
            </w:pPr>
            <w:r w:rsidRPr="00164BC3">
              <w:t xml:space="preserve">At month </w:t>
            </w:r>
            <w:r>
              <w:t>12</w:t>
            </w:r>
          </w:p>
        </w:tc>
        <w:tc>
          <w:tcPr>
            <w:tcW w:w="2409" w:type="dxa"/>
            <w:tcBorders>
              <w:top w:val="nil"/>
              <w:left w:val="single" w:sz="4" w:space="0" w:color="auto"/>
              <w:bottom w:val="nil"/>
              <w:right w:val="single" w:sz="4" w:space="0" w:color="auto"/>
            </w:tcBorders>
          </w:tcPr>
          <w:p w14:paraId="2A341258" w14:textId="77777777" w:rsidR="00E073E8" w:rsidRPr="00164BC3" w:rsidRDefault="00E073E8" w:rsidP="002538F4">
            <w:pPr>
              <w:pStyle w:val="TableText1"/>
              <w:keepNext/>
              <w:keepLines/>
              <w:spacing w:after="0"/>
              <w:jc w:val="center"/>
            </w:pPr>
            <w:r w:rsidRPr="009E29DE">
              <w:t>76.0 (72.0 - 79.4)</w:t>
            </w:r>
          </w:p>
        </w:tc>
        <w:tc>
          <w:tcPr>
            <w:tcW w:w="2218" w:type="dxa"/>
            <w:tcBorders>
              <w:top w:val="nil"/>
              <w:left w:val="single" w:sz="4" w:space="0" w:color="auto"/>
              <w:bottom w:val="nil"/>
              <w:right w:val="single" w:sz="4" w:space="0" w:color="auto"/>
            </w:tcBorders>
          </w:tcPr>
          <w:p w14:paraId="2AB088F2" w14:textId="77777777" w:rsidR="00E073E8" w:rsidRPr="00164BC3" w:rsidRDefault="00E073E8" w:rsidP="002538F4">
            <w:pPr>
              <w:pStyle w:val="TableText1"/>
              <w:keepNext/>
              <w:keepLines/>
              <w:spacing w:after="0"/>
              <w:jc w:val="center"/>
            </w:pPr>
            <w:r w:rsidRPr="009E29DE">
              <w:t>69.9 (65.7 - 73.7)</w:t>
            </w:r>
          </w:p>
        </w:tc>
      </w:tr>
      <w:tr w:rsidR="00E073E8" w:rsidRPr="00164BC3" w14:paraId="1326EA36" w14:textId="77777777" w:rsidTr="00CC0EBE">
        <w:trPr>
          <w:jc w:val="center"/>
        </w:trPr>
        <w:tc>
          <w:tcPr>
            <w:tcW w:w="4390" w:type="dxa"/>
            <w:tcBorders>
              <w:top w:val="nil"/>
              <w:left w:val="single" w:sz="4" w:space="0" w:color="auto"/>
              <w:bottom w:val="nil"/>
              <w:right w:val="single" w:sz="4" w:space="0" w:color="auto"/>
            </w:tcBorders>
          </w:tcPr>
          <w:p w14:paraId="14277342" w14:textId="77777777" w:rsidR="00E073E8" w:rsidRPr="00164BC3" w:rsidRDefault="00E073E8" w:rsidP="002538F4">
            <w:pPr>
              <w:pStyle w:val="TableText1"/>
              <w:keepNext/>
              <w:keepLines/>
              <w:spacing w:after="0"/>
              <w:ind w:left="308"/>
            </w:pPr>
            <w:r w:rsidRPr="00164BC3">
              <w:t xml:space="preserve">At month </w:t>
            </w:r>
            <w:r>
              <w:t>24</w:t>
            </w:r>
            <w:r w:rsidRPr="00164BC3">
              <w:t xml:space="preserve"> </w:t>
            </w:r>
          </w:p>
        </w:tc>
        <w:tc>
          <w:tcPr>
            <w:tcW w:w="2409" w:type="dxa"/>
            <w:tcBorders>
              <w:top w:val="nil"/>
              <w:left w:val="single" w:sz="4" w:space="0" w:color="auto"/>
              <w:bottom w:val="nil"/>
              <w:right w:val="single" w:sz="4" w:space="0" w:color="auto"/>
            </w:tcBorders>
          </w:tcPr>
          <w:p w14:paraId="487D693E" w14:textId="77777777" w:rsidR="00E073E8" w:rsidRPr="00164BC3" w:rsidRDefault="00E073E8" w:rsidP="002538F4">
            <w:pPr>
              <w:pStyle w:val="TableText1"/>
              <w:keepNext/>
              <w:keepLines/>
              <w:spacing w:after="0"/>
              <w:jc w:val="center"/>
            </w:pPr>
            <w:r w:rsidRPr="009E29DE">
              <w:t>67.8 (63.6 - 71.7)</w:t>
            </w:r>
          </w:p>
        </w:tc>
        <w:tc>
          <w:tcPr>
            <w:tcW w:w="2218" w:type="dxa"/>
            <w:tcBorders>
              <w:top w:val="nil"/>
              <w:left w:val="single" w:sz="4" w:space="0" w:color="auto"/>
              <w:bottom w:val="nil"/>
              <w:right w:val="single" w:sz="4" w:space="0" w:color="auto"/>
            </w:tcBorders>
          </w:tcPr>
          <w:p w14:paraId="0E3B4731" w14:textId="77777777" w:rsidR="00E073E8" w:rsidRPr="00164BC3" w:rsidRDefault="00E073E8" w:rsidP="002538F4">
            <w:pPr>
              <w:pStyle w:val="TableText1"/>
              <w:keepNext/>
              <w:keepLines/>
              <w:spacing w:after="0"/>
              <w:jc w:val="center"/>
            </w:pPr>
            <w:r w:rsidRPr="009E29DE">
              <w:t>59.8 (55.4 - 64.0)</w:t>
            </w:r>
          </w:p>
        </w:tc>
      </w:tr>
      <w:tr w:rsidR="00E073E8" w:rsidRPr="00164BC3" w14:paraId="5ABF97D0" w14:textId="77777777" w:rsidTr="00CC0EBE">
        <w:trPr>
          <w:jc w:val="center"/>
        </w:trPr>
        <w:tc>
          <w:tcPr>
            <w:tcW w:w="4390" w:type="dxa"/>
            <w:tcBorders>
              <w:top w:val="nil"/>
              <w:left w:val="single" w:sz="4" w:space="0" w:color="auto"/>
              <w:bottom w:val="single" w:sz="4" w:space="0" w:color="auto"/>
              <w:right w:val="single" w:sz="4" w:space="0" w:color="auto"/>
            </w:tcBorders>
          </w:tcPr>
          <w:p w14:paraId="56F3D110" w14:textId="77777777" w:rsidR="00E073E8" w:rsidRPr="00164BC3" w:rsidRDefault="00E073E8" w:rsidP="002538F4">
            <w:pPr>
              <w:pStyle w:val="TableText1"/>
              <w:keepNext/>
              <w:keepLines/>
              <w:spacing w:after="0"/>
              <w:ind w:left="308"/>
            </w:pPr>
            <w:r w:rsidRPr="00164BC3">
              <w:t xml:space="preserve">At month </w:t>
            </w:r>
            <w:r>
              <w:t>36</w:t>
            </w:r>
            <w:r w:rsidRPr="00164BC3">
              <w:t xml:space="preserve"> </w:t>
            </w:r>
          </w:p>
        </w:tc>
        <w:tc>
          <w:tcPr>
            <w:tcW w:w="2409" w:type="dxa"/>
            <w:tcBorders>
              <w:top w:val="nil"/>
              <w:left w:val="single" w:sz="4" w:space="0" w:color="auto"/>
              <w:bottom w:val="single" w:sz="4" w:space="0" w:color="auto"/>
              <w:right w:val="single" w:sz="4" w:space="0" w:color="auto"/>
            </w:tcBorders>
          </w:tcPr>
          <w:p w14:paraId="62A83C89" w14:textId="77777777" w:rsidR="00E073E8" w:rsidRPr="00164BC3" w:rsidRDefault="00E073E8" w:rsidP="002538F4">
            <w:pPr>
              <w:pStyle w:val="TableText1"/>
              <w:keepNext/>
              <w:keepLines/>
              <w:spacing w:after="0"/>
              <w:jc w:val="center"/>
            </w:pPr>
            <w:r w:rsidRPr="009E29DE">
              <w:t>63.7 (59.3 - 67.7)</w:t>
            </w:r>
          </w:p>
        </w:tc>
        <w:tc>
          <w:tcPr>
            <w:tcW w:w="2218" w:type="dxa"/>
            <w:tcBorders>
              <w:top w:val="nil"/>
              <w:left w:val="single" w:sz="4" w:space="0" w:color="auto"/>
              <w:bottom w:val="single" w:sz="4" w:space="0" w:color="auto"/>
              <w:right w:val="single" w:sz="4" w:space="0" w:color="auto"/>
            </w:tcBorders>
          </w:tcPr>
          <w:p w14:paraId="6B2738EC" w14:textId="77777777" w:rsidR="00E073E8" w:rsidRPr="00164BC3" w:rsidRDefault="00E073E8" w:rsidP="002538F4">
            <w:pPr>
              <w:pStyle w:val="TableText1"/>
              <w:keepNext/>
              <w:keepLines/>
              <w:spacing w:after="0"/>
              <w:jc w:val="center"/>
            </w:pPr>
            <w:r w:rsidRPr="009E29DE">
              <w:t>53.6 (49.0 - 57.9)</w:t>
            </w:r>
          </w:p>
        </w:tc>
      </w:tr>
    </w:tbl>
    <w:p w14:paraId="032FFDED" w14:textId="77777777" w:rsidR="00E073E8" w:rsidRDefault="00E073E8" w:rsidP="002538F4">
      <w:pPr>
        <w:pStyle w:val="TableFigureFooter"/>
        <w:keepNext/>
      </w:pPr>
      <w:r w:rsidRPr="00D34C4F">
        <w:t>Source: Table 2-16, p60 of the submission; Table 21, pp97-98 of the NIAGARA Clinical Study Report</w:t>
      </w:r>
    </w:p>
    <w:p w14:paraId="632D2E22" w14:textId="6BA4BA07" w:rsidR="00E073E8" w:rsidRDefault="00E073E8" w:rsidP="002538F4">
      <w:pPr>
        <w:pStyle w:val="TableFigureFooter"/>
        <w:keepNext/>
      </w:pPr>
      <w:r w:rsidRPr="00085ACE">
        <w:t>BICR = blinded independent central review; CI = confidence interval;</w:t>
      </w:r>
      <w:r>
        <w:t xml:space="preserve"> DURVA = durvalumab; EFS = event-free survival;</w:t>
      </w:r>
      <w:r w:rsidRPr="00085ACE">
        <w:t xml:space="preserve"> FAS = full analysis set;</w:t>
      </w:r>
      <w:r>
        <w:t xml:space="preserve"> IA = interim analysis; NR = not reached</w:t>
      </w:r>
      <w:r w:rsidR="00884F12">
        <w:t>; RC = radical cystectomy</w:t>
      </w:r>
      <w:r w:rsidR="00AE0A3A">
        <w:t>.</w:t>
      </w:r>
    </w:p>
    <w:p w14:paraId="574FC1AB" w14:textId="77777777" w:rsidR="00E073E8" w:rsidRDefault="00E073E8" w:rsidP="002538F4">
      <w:pPr>
        <w:pStyle w:val="TableFigureFooter"/>
        <w:keepNext/>
        <w:rPr>
          <w:lang w:val="en-US"/>
        </w:rPr>
      </w:pPr>
      <w:r w:rsidRPr="00F65751">
        <w:rPr>
          <w:vertAlign w:val="superscript"/>
        </w:rPr>
        <w:t>a</w:t>
      </w:r>
      <w:r>
        <w:t xml:space="preserve"> </w:t>
      </w:r>
      <w:r w:rsidRPr="00F65751">
        <w:rPr>
          <w:lang w:val="en-US"/>
        </w:rPr>
        <w:t>Based on stratified Cox PH model; the stratification factors are tumo</w:t>
      </w:r>
      <w:r>
        <w:rPr>
          <w:lang w:val="en-US"/>
        </w:rPr>
        <w:t>u</w:t>
      </w:r>
      <w:r w:rsidRPr="00F65751">
        <w:rPr>
          <w:lang w:val="en-US"/>
        </w:rPr>
        <w:t xml:space="preserve">r stage (T2N0 vs &gt; T2N0), renal function (adequate vs borderline) and PD-L1 status (high vs low/negative) per </w:t>
      </w:r>
      <w:r w:rsidRPr="00DF1914">
        <w:t>interactive voice response</w:t>
      </w:r>
      <w:r w:rsidRPr="00F65751">
        <w:rPr>
          <w:lang w:val="en-US"/>
        </w:rPr>
        <w:t xml:space="preserve"> </w:t>
      </w:r>
      <w:r>
        <w:rPr>
          <w:lang w:val="en-US"/>
        </w:rPr>
        <w:t>system</w:t>
      </w:r>
      <w:r w:rsidRPr="00F65751">
        <w:rPr>
          <w:lang w:val="en-US"/>
        </w:rPr>
        <w:t>, with ties handled by the Efron approach.</w:t>
      </w:r>
    </w:p>
    <w:p w14:paraId="29C59C82" w14:textId="351634BB" w:rsidR="00E073E8" w:rsidRDefault="00E073E8" w:rsidP="002538F4">
      <w:pPr>
        <w:pStyle w:val="TableFigureFooter"/>
        <w:keepNext/>
        <w:rPr>
          <w:lang w:val="en-US"/>
        </w:rPr>
      </w:pPr>
      <w:r w:rsidRPr="00F65751">
        <w:rPr>
          <w:vertAlign w:val="superscript"/>
          <w:lang w:val="en-US"/>
        </w:rPr>
        <w:t>b</w:t>
      </w:r>
      <w:r w:rsidRPr="00F65751">
        <w:rPr>
          <w:rFonts w:ascii="Times New Roman" w:hAnsi="Times New Roman" w:cs="Times New Roman"/>
          <w:sz w:val="20"/>
          <w:szCs w:val="20"/>
          <w:lang w:val="en-US" w:eastAsia="en-US"/>
        </w:rPr>
        <w:t xml:space="preserve"> </w:t>
      </w:r>
      <w:r w:rsidRPr="00F65751">
        <w:rPr>
          <w:lang w:val="en-US"/>
        </w:rPr>
        <w:t xml:space="preserve">A hazard ratio &lt; 1 favors </w:t>
      </w:r>
      <w:r>
        <w:rPr>
          <w:lang w:val="en-US"/>
        </w:rPr>
        <w:t xml:space="preserve">DURVA </w:t>
      </w:r>
      <w:r w:rsidRPr="00F65751">
        <w:rPr>
          <w:lang w:val="en-US"/>
        </w:rPr>
        <w:t xml:space="preserve">+ GC </w:t>
      </w:r>
      <w:r>
        <w:rPr>
          <w:lang w:val="en-US"/>
        </w:rPr>
        <w:t>and is</w:t>
      </w:r>
      <w:r w:rsidRPr="00F65751">
        <w:rPr>
          <w:lang w:val="en-US"/>
        </w:rPr>
        <w:t xml:space="preserve"> associated with a longer EFS than GC. </w:t>
      </w:r>
    </w:p>
    <w:p w14:paraId="1D11E379" w14:textId="77777777" w:rsidR="00E073E8" w:rsidRPr="00F65751" w:rsidRDefault="00E073E8" w:rsidP="002538F4">
      <w:pPr>
        <w:pStyle w:val="TableFigureFooter"/>
        <w:keepNext/>
        <w:rPr>
          <w:lang w:val="en-US"/>
        </w:rPr>
      </w:pPr>
      <w:r w:rsidRPr="00F65751">
        <w:rPr>
          <w:vertAlign w:val="superscript"/>
          <w:lang w:val="en-US"/>
        </w:rPr>
        <w:t>c</w:t>
      </w:r>
      <w:r w:rsidRPr="00F65751">
        <w:rPr>
          <w:rFonts w:ascii="Times New Roman" w:hAnsi="Times New Roman" w:cs="Times New Roman"/>
          <w:snapToGrid/>
          <w:sz w:val="24"/>
          <w:szCs w:val="24"/>
          <w:lang w:val="en-US" w:eastAsia="en-US"/>
        </w:rPr>
        <w:t xml:space="preserve"> </w:t>
      </w:r>
      <w:r>
        <w:rPr>
          <w:lang w:val="en-US"/>
        </w:rPr>
        <w:t>C</w:t>
      </w:r>
      <w:r w:rsidRPr="00F65751">
        <w:rPr>
          <w:lang w:val="en-US"/>
        </w:rPr>
        <w:t>alculated using a stratified log-rank test, and the stratification factors are the same as the ones indicated in</w:t>
      </w:r>
      <w:r>
        <w:rPr>
          <w:lang w:val="en-US"/>
        </w:rPr>
        <w:t xml:space="preserve"> </w:t>
      </w:r>
      <w:r w:rsidRPr="00F65751">
        <w:rPr>
          <w:vertAlign w:val="superscript"/>
          <w:lang w:val="en-US"/>
        </w:rPr>
        <w:t>a</w:t>
      </w:r>
    </w:p>
    <w:p w14:paraId="52504DEE" w14:textId="77777777" w:rsidR="00E073E8" w:rsidRDefault="00E073E8" w:rsidP="002538F4">
      <w:pPr>
        <w:pStyle w:val="TableFigureFooter"/>
        <w:keepNext/>
      </w:pPr>
      <w:r w:rsidRPr="00F65751">
        <w:rPr>
          <w:vertAlign w:val="superscript"/>
          <w:lang w:val="en-US"/>
        </w:rPr>
        <w:t>d</w:t>
      </w:r>
      <w:r>
        <w:rPr>
          <w:lang w:val="en-US"/>
        </w:rPr>
        <w:t xml:space="preserve"> </w:t>
      </w:r>
      <w:r w:rsidRPr="00F65751">
        <w:t>Calculated using the Kaplan-Meier technique.</w:t>
      </w:r>
    </w:p>
    <w:p w14:paraId="0E9FC8D8" w14:textId="29DDD0B5" w:rsidR="00E073E8" w:rsidRPr="00400EE5" w:rsidRDefault="00E073E8" w:rsidP="002538F4">
      <w:pPr>
        <w:pStyle w:val="TableFigureFooter"/>
        <w:keepNext/>
        <w:rPr>
          <w:lang w:val="en-US"/>
        </w:rPr>
      </w:pPr>
      <w:r>
        <w:t xml:space="preserve">Note: </w:t>
      </w:r>
      <w:r w:rsidRPr="00D3034E">
        <w:rPr>
          <w:lang w:val="en-US"/>
        </w:rPr>
        <w:t xml:space="preserve">Median EFS was not reached in the </w:t>
      </w:r>
      <w:r>
        <w:rPr>
          <w:lang w:val="en-US"/>
        </w:rPr>
        <w:t>DURVA</w:t>
      </w:r>
      <w:r w:rsidRPr="00D3034E">
        <w:rPr>
          <w:lang w:val="en-US"/>
        </w:rPr>
        <w:t> + GC arm</w:t>
      </w:r>
      <w:r w:rsidR="00400EE5">
        <w:rPr>
          <w:lang w:val="en-US"/>
        </w:rPr>
        <w:t xml:space="preserve">; </w:t>
      </w:r>
      <w:r w:rsidR="00400EE5">
        <w:t>d</w:t>
      </w:r>
      <w:r>
        <w:t>ata cutoff: 29 April 2024</w:t>
      </w:r>
      <w:r w:rsidR="00400EE5">
        <w:t>.</w:t>
      </w:r>
    </w:p>
    <w:p w14:paraId="22E8B5E7" w14:textId="77777777" w:rsidR="00E073E8" w:rsidRPr="00F65751" w:rsidRDefault="00E073E8" w:rsidP="00E073E8">
      <w:pPr>
        <w:pStyle w:val="TableFigureFooter"/>
      </w:pPr>
    </w:p>
    <w:p w14:paraId="54971192" w14:textId="53C8D575" w:rsidR="00E073E8" w:rsidRDefault="00E073E8" w:rsidP="00E073E8">
      <w:pPr>
        <w:pStyle w:val="Caption"/>
      </w:pPr>
      <w:bookmarkStart w:id="48" w:name="_Ref207442745"/>
      <w:r>
        <w:lastRenderedPageBreak/>
        <w:t xml:space="preserve">Figure </w:t>
      </w:r>
      <w:r w:rsidR="0077772B">
        <w:fldChar w:fldCharType="begin"/>
      </w:r>
      <w:r w:rsidR="0077772B">
        <w:instrText xml:space="preserve"> SEQ Figure \* ARABIC </w:instrText>
      </w:r>
      <w:r w:rsidR="0077772B">
        <w:fldChar w:fldCharType="separate"/>
      </w:r>
      <w:r w:rsidR="005731FF">
        <w:rPr>
          <w:noProof/>
        </w:rPr>
        <w:t>1</w:t>
      </w:r>
      <w:r w:rsidR="0077772B">
        <w:rPr>
          <w:noProof/>
        </w:rPr>
        <w:fldChar w:fldCharType="end"/>
      </w:r>
      <w:bookmarkEnd w:id="48"/>
      <w:r>
        <w:t>: Kaplan-Meier plot of EFS by BICR or by Central Pathology in NIAGARA (FAS, IA-2)</w:t>
      </w:r>
    </w:p>
    <w:p w14:paraId="4289DFC9" w14:textId="77777777" w:rsidR="00E073E8" w:rsidRPr="00F65751" w:rsidRDefault="00E073E8" w:rsidP="00E073E8">
      <w:pPr>
        <w:pStyle w:val="TableFigureFooter"/>
        <w:rPr>
          <w:lang w:val="en-US"/>
        </w:rPr>
      </w:pPr>
      <w:r>
        <w:rPr>
          <w:noProof/>
          <w:lang w:val="en-US"/>
        </w:rPr>
        <w:drawing>
          <wp:inline distT="0" distB="0" distL="0" distR="0" wp14:anchorId="32A06375" wp14:editId="22DC1F7D">
            <wp:extent cx="5852160" cy="3013295"/>
            <wp:effectExtent l="0" t="0" r="0" b="0"/>
            <wp:docPr id="733938767" name="Picture 1" descr="Figure 1: Kaplan-Meier plot of EFS by BICR or by Central Pathology in NIAGARA (FAS, 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38767" name="Picture 1" descr="Figure 1: Kaplan-Meier plot of EFS by BICR or by Central Pathology in NIAGARA (FAS, IA-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8049" cy="3016327"/>
                    </a:xfrm>
                    <a:prstGeom prst="rect">
                      <a:avLst/>
                    </a:prstGeom>
                    <a:noFill/>
                  </pic:spPr>
                </pic:pic>
              </a:graphicData>
            </a:graphic>
          </wp:inline>
        </w:drawing>
      </w:r>
    </w:p>
    <w:p w14:paraId="3E5B0261" w14:textId="77777777" w:rsidR="00E073E8" w:rsidRDefault="00E073E8" w:rsidP="00E073E8">
      <w:pPr>
        <w:pStyle w:val="TableFigureFooter"/>
      </w:pPr>
      <w:r w:rsidRPr="00D34C4F">
        <w:t>Source: Figure 2-3, p61 of the submission; Figure 6, p98 of the NIAGARA Clinical Study Report</w:t>
      </w:r>
    </w:p>
    <w:p w14:paraId="44770D58" w14:textId="77777777" w:rsidR="00E073E8" w:rsidRDefault="00E073E8" w:rsidP="00E073E8">
      <w:pPr>
        <w:pStyle w:val="TableFigureFooter"/>
      </w:pPr>
      <w:r>
        <w:t>BICR = blinded independent central review; CI = confidence interval; EFS = event-free survival; FAS = full analysis set; HR = hazard ratio; IA = interim analysis; NR = not reached</w:t>
      </w:r>
    </w:p>
    <w:p w14:paraId="2647B519" w14:textId="77777777" w:rsidR="00E073E8" w:rsidRDefault="00E073E8" w:rsidP="00E073E8">
      <w:pPr>
        <w:pStyle w:val="TableFigureFooter"/>
      </w:pPr>
      <w:r>
        <w:t>Data cutoff: 29 April 2024</w:t>
      </w:r>
    </w:p>
    <w:p w14:paraId="400FEC48" w14:textId="459556C4" w:rsidR="00EE1E14" w:rsidRPr="004E055B" w:rsidRDefault="00E073E8" w:rsidP="000436B6">
      <w:pPr>
        <w:pStyle w:val="3-BodyText"/>
      </w:pPr>
      <w:r w:rsidRPr="004E055B">
        <w:t xml:space="preserve">The median duration of </w:t>
      </w:r>
      <w:r w:rsidRPr="004E055B">
        <w:rPr>
          <w:lang w:val="en-US"/>
        </w:rPr>
        <w:t xml:space="preserve">follow-up for all patients for EFS in the </w:t>
      </w:r>
      <w:r w:rsidR="00430804" w:rsidRPr="004E055B">
        <w:rPr>
          <w:lang w:val="en-US"/>
        </w:rPr>
        <w:t>durvalumab</w:t>
      </w:r>
      <w:r w:rsidRPr="004E055B">
        <w:rPr>
          <w:lang w:val="en-US"/>
        </w:rPr>
        <w:t xml:space="preserve"> + GC arm was 34.7 months and 27.7 months in the GC arm. At IA-2, </w:t>
      </w:r>
      <w:bookmarkStart w:id="49" w:name="_Hlk206501219"/>
      <w:r w:rsidRPr="004E055B">
        <w:rPr>
          <w:lang w:val="en-US"/>
        </w:rPr>
        <w:t>there was a</w:t>
      </w:r>
      <w:r w:rsidR="005B61CE">
        <w:rPr>
          <w:lang w:val="en-US"/>
        </w:rPr>
        <w:t xml:space="preserve"> statistically significant reduction </w:t>
      </w:r>
      <w:r w:rsidRPr="004E055B">
        <w:rPr>
          <w:lang w:val="en-US"/>
        </w:rPr>
        <w:t xml:space="preserve">in the risk of an EFS event </w:t>
      </w:r>
      <w:bookmarkEnd w:id="49"/>
      <w:r w:rsidRPr="004E055B">
        <w:rPr>
          <w:lang w:val="en-US"/>
        </w:rPr>
        <w:t xml:space="preserve">for patients in the </w:t>
      </w:r>
      <w:r w:rsidR="00430804" w:rsidRPr="004E055B">
        <w:rPr>
          <w:lang w:val="en-US"/>
        </w:rPr>
        <w:t>durvalumab</w:t>
      </w:r>
      <w:r w:rsidRPr="004E055B">
        <w:rPr>
          <w:lang w:val="en-US"/>
        </w:rPr>
        <w:t xml:space="preserve"> + GC </w:t>
      </w:r>
      <w:r w:rsidR="00F7609A">
        <w:rPr>
          <w:lang w:val="en-US"/>
        </w:rPr>
        <w:t xml:space="preserve">arm </w:t>
      </w:r>
      <w:r w:rsidRPr="004E055B">
        <w:rPr>
          <w:lang w:val="en-US"/>
        </w:rPr>
        <w:t>compared with</w:t>
      </w:r>
      <w:r w:rsidR="00F7609A">
        <w:rPr>
          <w:lang w:val="en-US"/>
        </w:rPr>
        <w:t xml:space="preserve"> the</w:t>
      </w:r>
      <w:r w:rsidRPr="004E055B">
        <w:rPr>
          <w:lang w:val="en-US"/>
        </w:rPr>
        <w:t xml:space="preserve"> GC</w:t>
      </w:r>
      <w:r w:rsidR="00F7609A">
        <w:rPr>
          <w:lang w:val="en-US"/>
        </w:rPr>
        <w:t xml:space="preserve"> arm</w:t>
      </w:r>
      <w:r w:rsidRPr="004E055B">
        <w:rPr>
          <w:lang w:val="en-US"/>
        </w:rPr>
        <w:t xml:space="preserve"> (</w:t>
      </w:r>
      <w:bookmarkStart w:id="50" w:name="_Hlk206501733"/>
      <w:r w:rsidRPr="004E055B">
        <w:rPr>
          <w:lang w:val="en-US"/>
        </w:rPr>
        <w:t>HR 0.68 [95% CI: 0.558, 0.817], p &lt;0.0001</w:t>
      </w:r>
      <w:bookmarkEnd w:id="50"/>
      <w:r w:rsidRPr="004E055B">
        <w:rPr>
          <w:lang w:val="en-US"/>
        </w:rPr>
        <w:t xml:space="preserve">). </w:t>
      </w:r>
      <w:bookmarkStart w:id="51" w:name="_Hlk206501776"/>
      <w:r w:rsidRPr="004E055B">
        <w:rPr>
          <w:lang w:val="en-US"/>
        </w:rPr>
        <w:t xml:space="preserve">Median EFS was not reached in the </w:t>
      </w:r>
      <w:r w:rsidR="00430804" w:rsidRPr="004E055B">
        <w:rPr>
          <w:lang w:val="en-US"/>
        </w:rPr>
        <w:t>durvalumab</w:t>
      </w:r>
      <w:r w:rsidRPr="004E055B">
        <w:rPr>
          <w:lang w:val="en-US"/>
        </w:rPr>
        <w:t> + GC</w:t>
      </w:r>
      <w:r w:rsidR="00AA7356">
        <w:rPr>
          <w:lang w:val="en-US"/>
        </w:rPr>
        <w:t xml:space="preserve"> arm</w:t>
      </w:r>
      <w:r w:rsidRPr="004E055B">
        <w:rPr>
          <w:lang w:val="en-US"/>
        </w:rPr>
        <w:t xml:space="preserve"> </w:t>
      </w:r>
      <w:bookmarkEnd w:id="51"/>
      <w:r w:rsidRPr="004E055B">
        <w:rPr>
          <w:lang w:val="en-US"/>
        </w:rPr>
        <w:t>compared with 46.1 months in the GC</w:t>
      </w:r>
      <w:r w:rsidR="00AA7356">
        <w:rPr>
          <w:lang w:val="en-US"/>
        </w:rPr>
        <w:t xml:space="preserve"> arm</w:t>
      </w:r>
      <w:r w:rsidRPr="004E055B">
        <w:rPr>
          <w:lang w:val="en-US"/>
        </w:rPr>
        <w:t xml:space="preserve">. </w:t>
      </w:r>
      <w:r w:rsidRPr="004E055B">
        <w:t>The EFS KM curves of the two treatment arms separated from approximately Month 2 and remained separated throughout the evaluation period when there were reasonable number</w:t>
      </w:r>
      <w:r w:rsidR="00B3114F">
        <w:t>s</w:t>
      </w:r>
      <w:r w:rsidRPr="004E055B">
        <w:t xml:space="preserve"> of patients remaining at risk.</w:t>
      </w:r>
    </w:p>
    <w:p w14:paraId="6E1AA268" w14:textId="6F41420B" w:rsidR="00E073E8" w:rsidRDefault="00E073E8" w:rsidP="00E073E8">
      <w:pPr>
        <w:pStyle w:val="Caption"/>
      </w:pPr>
      <w:bookmarkStart w:id="52" w:name="_Ref207442737"/>
      <w:r>
        <w:lastRenderedPageBreak/>
        <w:t xml:space="preserve">Table </w:t>
      </w:r>
      <w:r w:rsidR="0077772B">
        <w:fldChar w:fldCharType="begin"/>
      </w:r>
      <w:r w:rsidR="0077772B">
        <w:instrText xml:space="preserve"> SEQ Table \* ARABIC </w:instrText>
      </w:r>
      <w:r w:rsidR="0077772B">
        <w:fldChar w:fldCharType="separate"/>
      </w:r>
      <w:r w:rsidR="005731FF">
        <w:rPr>
          <w:noProof/>
        </w:rPr>
        <w:t>5</w:t>
      </w:r>
      <w:r w:rsidR="0077772B">
        <w:rPr>
          <w:noProof/>
        </w:rPr>
        <w:fldChar w:fldCharType="end"/>
      </w:r>
      <w:bookmarkEnd w:id="52"/>
      <w:r>
        <w:t>: pCR based on central pathology review in NIAGARA (FAS)</w:t>
      </w:r>
    </w:p>
    <w:tbl>
      <w:tblPr>
        <w:tblStyle w:val="AZTable"/>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Caption w:val="Table 5: pCR based on central pathology review in NIAGARA (FAS)"/>
      </w:tblPr>
      <w:tblGrid>
        <w:gridCol w:w="2310"/>
        <w:gridCol w:w="1865"/>
        <w:gridCol w:w="1616"/>
        <w:gridCol w:w="1614"/>
        <w:gridCol w:w="1612"/>
      </w:tblGrid>
      <w:tr w:rsidR="00F07753" w:rsidRPr="00C07E16" w14:paraId="53194C16" w14:textId="77777777" w:rsidTr="007E1499">
        <w:trPr>
          <w:cnfStyle w:val="100000000000" w:firstRow="1" w:lastRow="0" w:firstColumn="0" w:lastColumn="0" w:oddVBand="0" w:evenVBand="0" w:oddHBand="0" w:evenHBand="0" w:firstRowFirstColumn="0" w:firstRowLastColumn="0" w:lastRowFirstColumn="0" w:lastRowLastColumn="0"/>
          <w:trHeight w:val="64"/>
        </w:trPr>
        <w:tc>
          <w:tcPr>
            <w:tcW w:w="1281" w:type="pct"/>
            <w:tcBorders>
              <w:top w:val="single" w:sz="4" w:space="0" w:color="auto"/>
              <w:bottom w:val="single" w:sz="4" w:space="0" w:color="auto"/>
              <w:right w:val="single" w:sz="4" w:space="0" w:color="auto"/>
            </w:tcBorders>
            <w:noWrap/>
            <w:hideMark/>
          </w:tcPr>
          <w:p w14:paraId="0ED56C8A" w14:textId="77777777" w:rsidR="00E073E8" w:rsidRPr="00CD1537" w:rsidRDefault="00E073E8">
            <w:pPr>
              <w:pStyle w:val="TableHeading0"/>
              <w:spacing w:before="100" w:beforeAutospacing="1" w:after="100" w:afterAutospacing="1"/>
              <w:jc w:val="center"/>
              <w:rPr>
                <w:rFonts w:eastAsia="Times New Roman"/>
                <w:sz w:val="20"/>
                <w:lang w:val="en-US" w:eastAsia="en-GB"/>
              </w:rPr>
            </w:pPr>
          </w:p>
        </w:tc>
        <w:tc>
          <w:tcPr>
            <w:tcW w:w="1930" w:type="pct"/>
            <w:gridSpan w:val="2"/>
            <w:tcBorders>
              <w:top w:val="single" w:sz="4" w:space="0" w:color="auto"/>
              <w:left w:val="single" w:sz="4" w:space="0" w:color="auto"/>
              <w:bottom w:val="single" w:sz="4" w:space="0" w:color="auto"/>
              <w:right w:val="single" w:sz="4" w:space="0" w:color="auto"/>
            </w:tcBorders>
            <w:noWrap/>
          </w:tcPr>
          <w:p w14:paraId="2CB1AE3E" w14:textId="77777777" w:rsidR="00E073E8" w:rsidRPr="00CD1537" w:rsidRDefault="00E073E8">
            <w:pPr>
              <w:pStyle w:val="TableHeading0"/>
              <w:spacing w:before="100" w:beforeAutospacing="1" w:after="100" w:afterAutospacing="1"/>
              <w:jc w:val="center"/>
              <w:rPr>
                <w:rFonts w:eastAsia="Times New Roman"/>
                <w:b/>
                <w:bCs/>
                <w:sz w:val="20"/>
                <w:lang w:val="en-US"/>
              </w:rPr>
            </w:pPr>
            <w:r w:rsidRPr="00CD1537">
              <w:rPr>
                <w:rFonts w:eastAsia="Times New Roman"/>
                <w:b/>
                <w:bCs/>
                <w:sz w:val="20"/>
                <w:lang w:val="en-US"/>
              </w:rPr>
              <w:t>Primary analysis</w:t>
            </w:r>
          </w:p>
        </w:tc>
        <w:tc>
          <w:tcPr>
            <w:tcW w:w="1789" w:type="pct"/>
            <w:gridSpan w:val="2"/>
            <w:tcBorders>
              <w:top w:val="single" w:sz="4" w:space="0" w:color="auto"/>
              <w:left w:val="single" w:sz="4" w:space="0" w:color="auto"/>
              <w:bottom w:val="single" w:sz="4" w:space="0" w:color="auto"/>
            </w:tcBorders>
          </w:tcPr>
          <w:p w14:paraId="37765EA2" w14:textId="77777777" w:rsidR="00E073E8" w:rsidRPr="00CD1537" w:rsidRDefault="00E073E8">
            <w:pPr>
              <w:pStyle w:val="TableHeading0"/>
              <w:spacing w:before="100" w:beforeAutospacing="1" w:after="100" w:afterAutospacing="1"/>
              <w:jc w:val="center"/>
              <w:rPr>
                <w:rFonts w:eastAsia="Times New Roman"/>
                <w:b/>
                <w:bCs/>
                <w:sz w:val="20"/>
                <w:lang w:val="en-US"/>
              </w:rPr>
            </w:pPr>
            <w:r w:rsidRPr="00CD1537">
              <w:rPr>
                <w:rFonts w:eastAsia="Times New Roman"/>
                <w:b/>
                <w:bCs/>
                <w:sz w:val="20"/>
                <w:lang w:val="en-US"/>
              </w:rPr>
              <w:t>Updated analysis</w:t>
            </w:r>
            <w:r>
              <w:rPr>
                <w:rFonts w:eastAsia="Times New Roman"/>
                <w:b/>
                <w:bCs/>
                <w:sz w:val="20"/>
                <w:lang w:val="en-US"/>
              </w:rPr>
              <w:t xml:space="preserve"> (Jan 2022)</w:t>
            </w:r>
          </w:p>
        </w:tc>
      </w:tr>
      <w:tr w:rsidR="00E073E8" w:rsidRPr="00C07E16" w14:paraId="76A454E0" w14:textId="77777777" w:rsidTr="007E1499">
        <w:trPr>
          <w:trHeight w:val="63"/>
        </w:trPr>
        <w:tc>
          <w:tcPr>
            <w:tcW w:w="1281" w:type="pct"/>
            <w:tcBorders>
              <w:top w:val="single" w:sz="4" w:space="0" w:color="auto"/>
              <w:bottom w:val="nil"/>
              <w:right w:val="single" w:sz="4" w:space="0" w:color="auto"/>
            </w:tcBorders>
            <w:noWrap/>
          </w:tcPr>
          <w:p w14:paraId="0C88BCAA" w14:textId="77777777" w:rsidR="00E073E8" w:rsidRPr="00CD1537" w:rsidRDefault="00E073E8">
            <w:pPr>
              <w:pStyle w:val="TableHeading0"/>
              <w:spacing w:before="100" w:beforeAutospacing="1" w:after="100" w:afterAutospacing="1"/>
              <w:rPr>
                <w:rFonts w:eastAsia="Times New Roman"/>
                <w:lang w:val="en-US"/>
              </w:rPr>
            </w:pPr>
          </w:p>
        </w:tc>
        <w:tc>
          <w:tcPr>
            <w:tcW w:w="1034" w:type="pct"/>
            <w:tcBorders>
              <w:top w:val="single" w:sz="4" w:space="0" w:color="auto"/>
              <w:left w:val="single" w:sz="4" w:space="0" w:color="auto"/>
              <w:bottom w:val="nil"/>
              <w:right w:val="single" w:sz="4" w:space="0" w:color="auto"/>
            </w:tcBorders>
            <w:noWrap/>
          </w:tcPr>
          <w:p w14:paraId="74BA82F9" w14:textId="7AFA8A64" w:rsidR="00E073E8" w:rsidRPr="00CD1537" w:rsidRDefault="00E073E8" w:rsidP="002538F4">
            <w:pPr>
              <w:pStyle w:val="TableText1"/>
              <w:keepNext/>
              <w:keepLines/>
              <w:spacing w:after="0"/>
              <w:jc w:val="center"/>
              <w:rPr>
                <w:b/>
                <w:bCs/>
              </w:rPr>
            </w:pPr>
            <w:r>
              <w:rPr>
                <w:b/>
                <w:bCs/>
              </w:rPr>
              <w:t>DURVA</w:t>
            </w:r>
            <w:r w:rsidRPr="00CD1537">
              <w:rPr>
                <w:b/>
                <w:bCs/>
              </w:rPr>
              <w:t xml:space="preserve"> + GC </w:t>
            </w:r>
          </w:p>
          <w:p w14:paraId="323F73A8" w14:textId="77777777" w:rsidR="00E073E8" w:rsidRPr="00CD1537" w:rsidRDefault="00E073E8" w:rsidP="002538F4">
            <w:pPr>
              <w:pStyle w:val="TableText1"/>
              <w:keepNext/>
              <w:keepLines/>
              <w:spacing w:after="0"/>
              <w:jc w:val="center"/>
              <w:rPr>
                <w:rFonts w:eastAsia="Times New Roman"/>
                <w:bCs/>
                <w:lang w:val="en-US"/>
              </w:rPr>
            </w:pPr>
            <w:r w:rsidRPr="00CD1537">
              <w:rPr>
                <w:b/>
                <w:bCs/>
              </w:rPr>
              <w:t>N = 533</w:t>
            </w:r>
          </w:p>
        </w:tc>
        <w:tc>
          <w:tcPr>
            <w:tcW w:w="896" w:type="pct"/>
            <w:tcBorders>
              <w:top w:val="single" w:sz="4" w:space="0" w:color="auto"/>
              <w:left w:val="single" w:sz="4" w:space="0" w:color="auto"/>
              <w:bottom w:val="nil"/>
              <w:right w:val="single" w:sz="4" w:space="0" w:color="auto"/>
            </w:tcBorders>
            <w:noWrap/>
          </w:tcPr>
          <w:p w14:paraId="4744CEC5" w14:textId="77777777" w:rsidR="00E073E8" w:rsidRPr="00CD1537" w:rsidRDefault="00E073E8" w:rsidP="002538F4">
            <w:pPr>
              <w:pStyle w:val="TableText1"/>
              <w:keepNext/>
              <w:keepLines/>
              <w:spacing w:after="0"/>
              <w:jc w:val="center"/>
              <w:rPr>
                <w:b/>
                <w:bCs/>
              </w:rPr>
            </w:pPr>
            <w:r w:rsidRPr="00CD1537">
              <w:rPr>
                <w:b/>
                <w:bCs/>
              </w:rPr>
              <w:t xml:space="preserve">GC </w:t>
            </w:r>
          </w:p>
          <w:p w14:paraId="35BD3422" w14:textId="77777777" w:rsidR="00E073E8" w:rsidRPr="00CD1537" w:rsidRDefault="00E073E8" w:rsidP="002538F4">
            <w:pPr>
              <w:pStyle w:val="TableText1"/>
              <w:keepNext/>
              <w:keepLines/>
              <w:spacing w:after="0"/>
              <w:jc w:val="center"/>
              <w:rPr>
                <w:rFonts w:eastAsia="Times New Roman"/>
                <w:bCs/>
                <w:lang w:val="en-US"/>
              </w:rPr>
            </w:pPr>
            <w:r w:rsidRPr="00CD1537">
              <w:rPr>
                <w:b/>
                <w:bCs/>
              </w:rPr>
              <w:t>N = 530</w:t>
            </w:r>
          </w:p>
        </w:tc>
        <w:tc>
          <w:tcPr>
            <w:tcW w:w="895" w:type="pct"/>
            <w:tcBorders>
              <w:top w:val="single" w:sz="4" w:space="0" w:color="auto"/>
              <w:left w:val="single" w:sz="4" w:space="0" w:color="auto"/>
              <w:bottom w:val="nil"/>
            </w:tcBorders>
          </w:tcPr>
          <w:p w14:paraId="3685CAA7" w14:textId="789C2186" w:rsidR="00E073E8" w:rsidRPr="00CD1537" w:rsidRDefault="00E073E8" w:rsidP="002538F4">
            <w:pPr>
              <w:pStyle w:val="TableText1"/>
              <w:keepNext/>
              <w:keepLines/>
              <w:spacing w:after="0"/>
              <w:jc w:val="center"/>
              <w:rPr>
                <w:b/>
                <w:bCs/>
              </w:rPr>
            </w:pPr>
            <w:r>
              <w:rPr>
                <w:b/>
                <w:bCs/>
              </w:rPr>
              <w:t>DURVA +</w:t>
            </w:r>
            <w:r w:rsidRPr="00CD1537">
              <w:rPr>
                <w:b/>
                <w:bCs/>
              </w:rPr>
              <w:t xml:space="preserve"> GC </w:t>
            </w:r>
          </w:p>
          <w:p w14:paraId="45BC3B64" w14:textId="77777777" w:rsidR="00E073E8" w:rsidRPr="00CD1537" w:rsidRDefault="00E073E8" w:rsidP="002538F4">
            <w:pPr>
              <w:pStyle w:val="TableText1"/>
              <w:keepNext/>
              <w:keepLines/>
              <w:spacing w:after="0"/>
              <w:jc w:val="center"/>
              <w:rPr>
                <w:rFonts w:eastAsia="Times New Roman"/>
                <w:bCs/>
                <w:lang w:val="en-US"/>
              </w:rPr>
            </w:pPr>
            <w:r w:rsidRPr="00CD1537">
              <w:rPr>
                <w:b/>
                <w:bCs/>
              </w:rPr>
              <w:t>N = 533</w:t>
            </w:r>
          </w:p>
        </w:tc>
        <w:tc>
          <w:tcPr>
            <w:tcW w:w="894" w:type="pct"/>
            <w:tcBorders>
              <w:top w:val="single" w:sz="4" w:space="0" w:color="auto"/>
              <w:bottom w:val="nil"/>
            </w:tcBorders>
          </w:tcPr>
          <w:p w14:paraId="613F332F" w14:textId="77777777" w:rsidR="00E073E8" w:rsidRPr="00CD1537" w:rsidRDefault="00E073E8" w:rsidP="002538F4">
            <w:pPr>
              <w:pStyle w:val="TableText1"/>
              <w:keepNext/>
              <w:keepLines/>
              <w:spacing w:after="0"/>
              <w:jc w:val="center"/>
              <w:rPr>
                <w:b/>
                <w:bCs/>
              </w:rPr>
            </w:pPr>
            <w:r w:rsidRPr="00CD1537">
              <w:rPr>
                <w:b/>
                <w:bCs/>
              </w:rPr>
              <w:t xml:space="preserve">GC </w:t>
            </w:r>
          </w:p>
          <w:p w14:paraId="509B7355" w14:textId="77777777" w:rsidR="00E073E8" w:rsidRPr="00CD1537" w:rsidRDefault="00E073E8" w:rsidP="002538F4">
            <w:pPr>
              <w:pStyle w:val="TableText1"/>
              <w:keepNext/>
              <w:keepLines/>
              <w:spacing w:after="0"/>
              <w:jc w:val="center"/>
              <w:rPr>
                <w:rFonts w:eastAsia="Times New Roman"/>
                <w:bCs/>
                <w:lang w:val="en-US"/>
              </w:rPr>
            </w:pPr>
            <w:r w:rsidRPr="00CD1537">
              <w:rPr>
                <w:b/>
                <w:bCs/>
              </w:rPr>
              <w:t>N = 530</w:t>
            </w:r>
          </w:p>
        </w:tc>
      </w:tr>
      <w:tr w:rsidR="00E073E8" w:rsidRPr="002327BC" w14:paraId="630D1CFD" w14:textId="77777777" w:rsidTr="007E1499">
        <w:trPr>
          <w:trHeight w:val="293"/>
        </w:trPr>
        <w:tc>
          <w:tcPr>
            <w:tcW w:w="1281" w:type="pct"/>
            <w:tcBorders>
              <w:top w:val="nil"/>
              <w:bottom w:val="nil"/>
              <w:right w:val="single" w:sz="4" w:space="0" w:color="auto"/>
            </w:tcBorders>
            <w:noWrap/>
            <w:vAlign w:val="center"/>
            <w:hideMark/>
          </w:tcPr>
          <w:p w14:paraId="1958FCC7" w14:textId="77777777" w:rsidR="00E073E8" w:rsidRPr="00CD1537" w:rsidRDefault="00E073E8">
            <w:pPr>
              <w:pStyle w:val="TableText0"/>
              <w:spacing w:before="100" w:beforeAutospacing="1" w:after="100" w:afterAutospacing="1"/>
              <w:rPr>
                <w:rFonts w:eastAsia="Times New Roman"/>
                <w:szCs w:val="20"/>
                <w:lang w:val="en-US"/>
              </w:rPr>
            </w:pPr>
            <w:r w:rsidRPr="00CD1537">
              <w:rPr>
                <w:rFonts w:eastAsia="Times New Roman"/>
                <w:szCs w:val="20"/>
                <w:lang w:val="en-US"/>
              </w:rPr>
              <w:t>Patients with pCR, n (%)</w:t>
            </w:r>
          </w:p>
        </w:tc>
        <w:tc>
          <w:tcPr>
            <w:tcW w:w="1034" w:type="pct"/>
            <w:tcBorders>
              <w:top w:val="nil"/>
              <w:left w:val="single" w:sz="4" w:space="0" w:color="auto"/>
              <w:bottom w:val="nil"/>
              <w:right w:val="single" w:sz="4" w:space="0" w:color="auto"/>
            </w:tcBorders>
            <w:noWrap/>
            <w:vAlign w:val="center"/>
          </w:tcPr>
          <w:p w14:paraId="05E62B40" w14:textId="77777777" w:rsidR="00E073E8" w:rsidRPr="00CD1537" w:rsidRDefault="00E073E8">
            <w:pPr>
              <w:pStyle w:val="TableText0"/>
              <w:spacing w:before="100" w:beforeAutospacing="1" w:after="100" w:afterAutospacing="1"/>
              <w:jc w:val="center"/>
              <w:rPr>
                <w:rFonts w:eastAsia="Times New Roman" w:cs="Times New Roman"/>
                <w:szCs w:val="20"/>
                <w:lang w:val="en-US"/>
              </w:rPr>
            </w:pPr>
            <w:r w:rsidRPr="00CD1537">
              <w:rPr>
                <w:szCs w:val="20"/>
              </w:rPr>
              <w:t>180 (33.8)</w:t>
            </w:r>
          </w:p>
        </w:tc>
        <w:tc>
          <w:tcPr>
            <w:tcW w:w="896" w:type="pct"/>
            <w:tcBorders>
              <w:top w:val="nil"/>
              <w:left w:val="single" w:sz="4" w:space="0" w:color="auto"/>
              <w:bottom w:val="nil"/>
              <w:right w:val="single" w:sz="4" w:space="0" w:color="auto"/>
            </w:tcBorders>
            <w:noWrap/>
            <w:vAlign w:val="center"/>
          </w:tcPr>
          <w:p w14:paraId="6A15D844" w14:textId="77777777" w:rsidR="00E073E8" w:rsidRPr="00CD1537" w:rsidRDefault="00E073E8">
            <w:pPr>
              <w:pStyle w:val="TableText0"/>
              <w:spacing w:before="100" w:beforeAutospacing="1" w:after="100" w:afterAutospacing="1"/>
              <w:jc w:val="center"/>
              <w:rPr>
                <w:rFonts w:eastAsia="Times New Roman" w:cs="Times New Roman"/>
                <w:szCs w:val="20"/>
                <w:lang w:val="en-US"/>
              </w:rPr>
            </w:pPr>
            <w:r w:rsidRPr="00CD1537">
              <w:rPr>
                <w:szCs w:val="20"/>
              </w:rPr>
              <w:t>137 (25.8)</w:t>
            </w:r>
          </w:p>
        </w:tc>
        <w:tc>
          <w:tcPr>
            <w:tcW w:w="895" w:type="pct"/>
            <w:tcBorders>
              <w:top w:val="nil"/>
              <w:left w:val="single" w:sz="4" w:space="0" w:color="auto"/>
              <w:bottom w:val="nil"/>
            </w:tcBorders>
            <w:vAlign w:val="center"/>
          </w:tcPr>
          <w:p w14:paraId="63169460" w14:textId="77777777" w:rsidR="00E073E8" w:rsidRPr="00CD1537" w:rsidRDefault="00E073E8">
            <w:pPr>
              <w:pStyle w:val="TableText0"/>
              <w:spacing w:before="100" w:beforeAutospacing="1" w:after="100" w:afterAutospacing="1"/>
              <w:jc w:val="center"/>
              <w:rPr>
                <w:szCs w:val="20"/>
              </w:rPr>
            </w:pPr>
            <w:r w:rsidRPr="00CD1537">
              <w:rPr>
                <w:szCs w:val="20"/>
              </w:rPr>
              <w:t>199 (37.3)</w:t>
            </w:r>
          </w:p>
        </w:tc>
        <w:tc>
          <w:tcPr>
            <w:tcW w:w="894" w:type="pct"/>
            <w:tcBorders>
              <w:top w:val="nil"/>
              <w:bottom w:val="nil"/>
            </w:tcBorders>
            <w:vAlign w:val="center"/>
          </w:tcPr>
          <w:p w14:paraId="74470163" w14:textId="77777777" w:rsidR="00E073E8" w:rsidRPr="00CD1537" w:rsidRDefault="00E073E8">
            <w:pPr>
              <w:pStyle w:val="TableText0"/>
              <w:spacing w:before="100" w:beforeAutospacing="1" w:after="100" w:afterAutospacing="1"/>
              <w:jc w:val="center"/>
              <w:rPr>
                <w:szCs w:val="20"/>
              </w:rPr>
            </w:pPr>
            <w:r w:rsidRPr="00CD1537">
              <w:rPr>
                <w:szCs w:val="20"/>
              </w:rPr>
              <w:t>146 (27.5)</w:t>
            </w:r>
          </w:p>
        </w:tc>
      </w:tr>
      <w:tr w:rsidR="00E073E8" w:rsidRPr="002327BC" w14:paraId="636F0CA1" w14:textId="77777777" w:rsidTr="007E1499">
        <w:trPr>
          <w:trHeight w:val="293"/>
        </w:trPr>
        <w:tc>
          <w:tcPr>
            <w:tcW w:w="1281" w:type="pct"/>
            <w:tcBorders>
              <w:top w:val="nil"/>
              <w:bottom w:val="nil"/>
              <w:right w:val="single" w:sz="4" w:space="0" w:color="auto"/>
            </w:tcBorders>
            <w:noWrap/>
            <w:vAlign w:val="center"/>
            <w:hideMark/>
          </w:tcPr>
          <w:p w14:paraId="091DF0A7" w14:textId="77777777" w:rsidR="00E073E8" w:rsidRPr="00CD1537" w:rsidRDefault="00E073E8">
            <w:pPr>
              <w:pStyle w:val="TableText0"/>
              <w:spacing w:before="100" w:beforeAutospacing="1" w:after="100" w:afterAutospacing="1"/>
              <w:rPr>
                <w:rFonts w:eastAsia="Times New Roman"/>
                <w:szCs w:val="20"/>
                <w:lang w:val="en-US"/>
              </w:rPr>
            </w:pPr>
            <w:r w:rsidRPr="00CD1537">
              <w:rPr>
                <w:rFonts w:eastAsia="Times New Roman"/>
                <w:szCs w:val="20"/>
                <w:lang w:val="en-US"/>
              </w:rPr>
              <w:t xml:space="preserve">  95% CI (%)</w:t>
            </w:r>
            <w:r w:rsidRPr="00005107">
              <w:rPr>
                <w:rFonts w:eastAsia="Times New Roman"/>
                <w:szCs w:val="20"/>
                <w:vertAlign w:val="superscript"/>
                <w:lang w:val="en-US"/>
              </w:rPr>
              <w:t>a</w:t>
            </w:r>
          </w:p>
        </w:tc>
        <w:tc>
          <w:tcPr>
            <w:tcW w:w="1034" w:type="pct"/>
            <w:tcBorders>
              <w:top w:val="nil"/>
              <w:left w:val="single" w:sz="4" w:space="0" w:color="auto"/>
              <w:bottom w:val="single" w:sz="4" w:space="0" w:color="auto"/>
              <w:right w:val="single" w:sz="4" w:space="0" w:color="auto"/>
            </w:tcBorders>
            <w:noWrap/>
            <w:vAlign w:val="center"/>
          </w:tcPr>
          <w:p w14:paraId="5CA5E8DE" w14:textId="77777777" w:rsidR="00E073E8" w:rsidRPr="00CD1537" w:rsidRDefault="00E073E8">
            <w:pPr>
              <w:pStyle w:val="TableText0"/>
              <w:spacing w:before="100" w:beforeAutospacing="1" w:after="100" w:afterAutospacing="1"/>
              <w:jc w:val="center"/>
              <w:rPr>
                <w:rFonts w:eastAsia="Times New Roman" w:cs="Times New Roman"/>
                <w:szCs w:val="20"/>
                <w:lang w:val="en-US"/>
              </w:rPr>
            </w:pPr>
            <w:r w:rsidRPr="00CD1537">
              <w:rPr>
                <w:szCs w:val="20"/>
              </w:rPr>
              <w:t>29.8, 38.0</w:t>
            </w:r>
          </w:p>
        </w:tc>
        <w:tc>
          <w:tcPr>
            <w:tcW w:w="896" w:type="pct"/>
            <w:tcBorders>
              <w:top w:val="nil"/>
              <w:left w:val="single" w:sz="4" w:space="0" w:color="auto"/>
              <w:bottom w:val="single" w:sz="4" w:space="0" w:color="auto"/>
              <w:right w:val="single" w:sz="4" w:space="0" w:color="auto"/>
            </w:tcBorders>
            <w:noWrap/>
            <w:vAlign w:val="center"/>
          </w:tcPr>
          <w:p w14:paraId="63E3814F" w14:textId="77777777" w:rsidR="00E073E8" w:rsidRPr="00CD1537" w:rsidRDefault="00E073E8">
            <w:pPr>
              <w:pStyle w:val="TableText0"/>
              <w:spacing w:before="100" w:beforeAutospacing="1" w:after="100" w:afterAutospacing="1"/>
              <w:jc w:val="center"/>
              <w:rPr>
                <w:rFonts w:eastAsia="Times New Roman" w:cs="Times New Roman"/>
                <w:szCs w:val="20"/>
                <w:lang w:val="en-US"/>
              </w:rPr>
            </w:pPr>
            <w:r w:rsidRPr="00CD1537">
              <w:rPr>
                <w:szCs w:val="20"/>
              </w:rPr>
              <w:t>22.2, 29.8</w:t>
            </w:r>
          </w:p>
        </w:tc>
        <w:tc>
          <w:tcPr>
            <w:tcW w:w="895" w:type="pct"/>
            <w:tcBorders>
              <w:top w:val="nil"/>
              <w:left w:val="single" w:sz="4" w:space="0" w:color="auto"/>
              <w:bottom w:val="single" w:sz="4" w:space="0" w:color="auto"/>
            </w:tcBorders>
            <w:vAlign w:val="center"/>
          </w:tcPr>
          <w:p w14:paraId="29E4ACC9" w14:textId="77777777" w:rsidR="00E073E8" w:rsidRPr="00CD1537" w:rsidRDefault="00E073E8">
            <w:pPr>
              <w:pStyle w:val="TableText0"/>
              <w:spacing w:before="100" w:beforeAutospacing="1" w:after="100" w:afterAutospacing="1"/>
              <w:jc w:val="center"/>
              <w:rPr>
                <w:szCs w:val="20"/>
              </w:rPr>
            </w:pPr>
            <w:r w:rsidRPr="00CD1537">
              <w:rPr>
                <w:szCs w:val="20"/>
              </w:rPr>
              <w:t>33.2, 41.6</w:t>
            </w:r>
          </w:p>
        </w:tc>
        <w:tc>
          <w:tcPr>
            <w:tcW w:w="894" w:type="pct"/>
            <w:tcBorders>
              <w:top w:val="nil"/>
              <w:bottom w:val="single" w:sz="4" w:space="0" w:color="auto"/>
            </w:tcBorders>
            <w:vAlign w:val="center"/>
          </w:tcPr>
          <w:p w14:paraId="44C562E0" w14:textId="77777777" w:rsidR="00E073E8" w:rsidRPr="00CD1537" w:rsidRDefault="00E073E8">
            <w:pPr>
              <w:pStyle w:val="TableText0"/>
              <w:spacing w:before="100" w:beforeAutospacing="1" w:after="100" w:afterAutospacing="1"/>
              <w:jc w:val="center"/>
              <w:rPr>
                <w:szCs w:val="20"/>
              </w:rPr>
            </w:pPr>
            <w:r w:rsidRPr="00CD1537">
              <w:rPr>
                <w:szCs w:val="20"/>
              </w:rPr>
              <w:t>23.8, 31.6</w:t>
            </w:r>
          </w:p>
        </w:tc>
      </w:tr>
      <w:tr w:rsidR="00E073E8" w:rsidRPr="002327BC" w14:paraId="73A3FB34" w14:textId="77777777" w:rsidTr="007E1499">
        <w:trPr>
          <w:trHeight w:val="293"/>
        </w:trPr>
        <w:tc>
          <w:tcPr>
            <w:tcW w:w="1281" w:type="pct"/>
            <w:tcBorders>
              <w:top w:val="nil"/>
              <w:bottom w:val="nil"/>
              <w:right w:val="single" w:sz="4" w:space="0" w:color="auto"/>
            </w:tcBorders>
            <w:noWrap/>
            <w:vAlign w:val="center"/>
            <w:hideMark/>
          </w:tcPr>
          <w:p w14:paraId="364473DA" w14:textId="77777777" w:rsidR="00E073E8" w:rsidRPr="00CD1537" w:rsidRDefault="00E073E8">
            <w:pPr>
              <w:pStyle w:val="TableText0"/>
              <w:spacing w:before="100" w:beforeAutospacing="1" w:after="100" w:afterAutospacing="1"/>
              <w:rPr>
                <w:rFonts w:eastAsia="Times New Roman"/>
                <w:szCs w:val="20"/>
                <w:lang w:val="en-US"/>
              </w:rPr>
            </w:pPr>
            <w:r w:rsidRPr="00CD1537">
              <w:rPr>
                <w:rFonts w:eastAsia="Times New Roman"/>
                <w:szCs w:val="20"/>
                <w:lang w:val="en-US"/>
              </w:rPr>
              <w:t>Odds ratio</w:t>
            </w:r>
            <w:r w:rsidRPr="00CD1537">
              <w:rPr>
                <w:rFonts w:eastAsia="Times New Roman"/>
                <w:szCs w:val="20"/>
                <w:vertAlign w:val="superscript"/>
                <w:lang w:val="en-US"/>
              </w:rPr>
              <w:t>b</w:t>
            </w:r>
          </w:p>
        </w:tc>
        <w:tc>
          <w:tcPr>
            <w:tcW w:w="1930" w:type="pct"/>
            <w:gridSpan w:val="2"/>
            <w:tcBorders>
              <w:top w:val="single" w:sz="4" w:space="0" w:color="auto"/>
              <w:left w:val="single" w:sz="4" w:space="0" w:color="auto"/>
              <w:bottom w:val="nil"/>
              <w:right w:val="single" w:sz="4" w:space="0" w:color="auto"/>
            </w:tcBorders>
            <w:noWrap/>
            <w:vAlign w:val="center"/>
          </w:tcPr>
          <w:p w14:paraId="7B1D333B" w14:textId="77777777" w:rsidR="00E073E8" w:rsidRPr="00CD1537" w:rsidRDefault="00E073E8">
            <w:pPr>
              <w:pStyle w:val="TableText0"/>
              <w:spacing w:before="100" w:beforeAutospacing="1" w:after="100" w:afterAutospacing="1"/>
              <w:jc w:val="center"/>
              <w:rPr>
                <w:rFonts w:eastAsia="Times New Roman" w:cs="Times New Roman"/>
                <w:b/>
                <w:szCs w:val="20"/>
                <w:lang w:val="en-US"/>
              </w:rPr>
            </w:pPr>
            <w:r w:rsidRPr="00CD1537">
              <w:rPr>
                <w:szCs w:val="20"/>
              </w:rPr>
              <w:t>1.49</w:t>
            </w:r>
          </w:p>
        </w:tc>
        <w:tc>
          <w:tcPr>
            <w:tcW w:w="1789" w:type="pct"/>
            <w:gridSpan w:val="2"/>
            <w:tcBorders>
              <w:top w:val="single" w:sz="4" w:space="0" w:color="auto"/>
              <w:left w:val="single" w:sz="4" w:space="0" w:color="auto"/>
            </w:tcBorders>
            <w:vAlign w:val="center"/>
          </w:tcPr>
          <w:p w14:paraId="2A4351C0" w14:textId="77777777" w:rsidR="00E073E8" w:rsidRPr="00CD1537" w:rsidRDefault="00E073E8">
            <w:pPr>
              <w:pStyle w:val="TableText0"/>
              <w:spacing w:before="100" w:beforeAutospacing="1" w:after="100" w:afterAutospacing="1"/>
              <w:jc w:val="center"/>
              <w:rPr>
                <w:szCs w:val="20"/>
              </w:rPr>
            </w:pPr>
            <w:r w:rsidRPr="00CD1537">
              <w:rPr>
                <w:szCs w:val="20"/>
              </w:rPr>
              <w:t>1.60</w:t>
            </w:r>
          </w:p>
        </w:tc>
      </w:tr>
      <w:tr w:rsidR="00E073E8" w:rsidRPr="002327BC" w14:paraId="6B7FDD05" w14:textId="77777777" w:rsidTr="007E1499">
        <w:trPr>
          <w:trHeight w:val="293"/>
        </w:trPr>
        <w:tc>
          <w:tcPr>
            <w:tcW w:w="1281" w:type="pct"/>
            <w:tcBorders>
              <w:top w:val="nil"/>
              <w:bottom w:val="nil"/>
              <w:right w:val="single" w:sz="4" w:space="0" w:color="auto"/>
            </w:tcBorders>
            <w:noWrap/>
            <w:vAlign w:val="center"/>
            <w:hideMark/>
          </w:tcPr>
          <w:p w14:paraId="74E8EC87" w14:textId="77777777" w:rsidR="00E073E8" w:rsidRPr="00CD1537" w:rsidRDefault="00E073E8">
            <w:pPr>
              <w:pStyle w:val="TableText0"/>
              <w:spacing w:before="100" w:beforeAutospacing="1" w:after="100" w:afterAutospacing="1"/>
              <w:rPr>
                <w:rFonts w:eastAsia="Times New Roman"/>
                <w:szCs w:val="20"/>
                <w:lang w:val="en-US"/>
              </w:rPr>
            </w:pPr>
            <w:r w:rsidRPr="00CD1537">
              <w:rPr>
                <w:rFonts w:eastAsia="Times New Roman"/>
                <w:szCs w:val="20"/>
                <w:lang w:val="en-US"/>
              </w:rPr>
              <w:t xml:space="preserve">  95% CI for odds ratio</w:t>
            </w:r>
            <w:r w:rsidRPr="00CD1537">
              <w:rPr>
                <w:rFonts w:eastAsia="Times New Roman"/>
                <w:szCs w:val="20"/>
                <w:vertAlign w:val="superscript"/>
                <w:lang w:val="en-US"/>
              </w:rPr>
              <w:t>b</w:t>
            </w:r>
          </w:p>
        </w:tc>
        <w:tc>
          <w:tcPr>
            <w:tcW w:w="1930" w:type="pct"/>
            <w:gridSpan w:val="2"/>
            <w:tcBorders>
              <w:top w:val="nil"/>
              <w:left w:val="single" w:sz="4" w:space="0" w:color="auto"/>
              <w:bottom w:val="nil"/>
              <w:right w:val="single" w:sz="4" w:space="0" w:color="auto"/>
            </w:tcBorders>
            <w:noWrap/>
            <w:vAlign w:val="center"/>
          </w:tcPr>
          <w:p w14:paraId="26C6F3F3" w14:textId="77777777" w:rsidR="00E073E8" w:rsidRPr="00CD1537" w:rsidRDefault="00E073E8">
            <w:pPr>
              <w:pStyle w:val="TableText0"/>
              <w:spacing w:before="100" w:beforeAutospacing="1" w:after="100" w:afterAutospacing="1"/>
              <w:jc w:val="center"/>
              <w:rPr>
                <w:rFonts w:eastAsia="Times New Roman" w:cs="Times New Roman"/>
                <w:szCs w:val="20"/>
                <w:lang w:val="en-US"/>
              </w:rPr>
            </w:pPr>
            <w:r w:rsidRPr="00CD1537">
              <w:rPr>
                <w:szCs w:val="20"/>
              </w:rPr>
              <w:t>1.138, 1.958</w:t>
            </w:r>
          </w:p>
        </w:tc>
        <w:tc>
          <w:tcPr>
            <w:tcW w:w="1789" w:type="pct"/>
            <w:gridSpan w:val="2"/>
            <w:tcBorders>
              <w:left w:val="single" w:sz="4" w:space="0" w:color="auto"/>
            </w:tcBorders>
            <w:vAlign w:val="center"/>
          </w:tcPr>
          <w:p w14:paraId="39898353" w14:textId="77777777" w:rsidR="00E073E8" w:rsidRPr="00CD1537" w:rsidRDefault="00E073E8">
            <w:pPr>
              <w:pStyle w:val="TableText0"/>
              <w:spacing w:before="100" w:beforeAutospacing="1" w:after="100" w:afterAutospacing="1"/>
              <w:jc w:val="center"/>
              <w:rPr>
                <w:szCs w:val="20"/>
              </w:rPr>
            </w:pPr>
            <w:r w:rsidRPr="00CD1537">
              <w:rPr>
                <w:szCs w:val="20"/>
              </w:rPr>
              <w:t>1.227, 2.084</w:t>
            </w:r>
          </w:p>
        </w:tc>
      </w:tr>
      <w:tr w:rsidR="00E073E8" w:rsidRPr="002327BC" w14:paraId="54FB0366" w14:textId="77777777" w:rsidTr="007E1499">
        <w:trPr>
          <w:trHeight w:val="293"/>
        </w:trPr>
        <w:tc>
          <w:tcPr>
            <w:tcW w:w="1281" w:type="pct"/>
            <w:tcBorders>
              <w:top w:val="nil"/>
              <w:bottom w:val="single" w:sz="4" w:space="0" w:color="auto"/>
              <w:right w:val="single" w:sz="4" w:space="0" w:color="auto"/>
            </w:tcBorders>
            <w:noWrap/>
            <w:vAlign w:val="center"/>
            <w:hideMark/>
          </w:tcPr>
          <w:p w14:paraId="234EE8CD" w14:textId="77777777" w:rsidR="00E073E8" w:rsidRPr="00CD1537" w:rsidRDefault="00E073E8">
            <w:pPr>
              <w:pStyle w:val="TableText0"/>
              <w:spacing w:before="100" w:beforeAutospacing="1" w:after="100" w:afterAutospacing="1"/>
              <w:rPr>
                <w:rFonts w:eastAsia="Times New Roman"/>
                <w:szCs w:val="20"/>
                <w:lang w:val="en-US"/>
              </w:rPr>
            </w:pPr>
            <w:r w:rsidRPr="00CD1537">
              <w:rPr>
                <w:rFonts w:eastAsia="Times New Roman"/>
                <w:szCs w:val="20"/>
                <w:lang w:val="en-US"/>
              </w:rPr>
              <w:t xml:space="preserve">  2-sided p-value</w:t>
            </w:r>
            <w:r w:rsidRPr="00CD1537">
              <w:rPr>
                <w:rFonts w:eastAsia="Times New Roman"/>
                <w:szCs w:val="20"/>
                <w:vertAlign w:val="superscript"/>
                <w:lang w:val="en-US"/>
              </w:rPr>
              <w:t>b</w:t>
            </w:r>
          </w:p>
        </w:tc>
        <w:tc>
          <w:tcPr>
            <w:tcW w:w="1930" w:type="pct"/>
            <w:gridSpan w:val="2"/>
            <w:tcBorders>
              <w:top w:val="nil"/>
              <w:left w:val="single" w:sz="4" w:space="0" w:color="auto"/>
              <w:bottom w:val="single" w:sz="4" w:space="0" w:color="auto"/>
              <w:right w:val="single" w:sz="4" w:space="0" w:color="auto"/>
            </w:tcBorders>
            <w:noWrap/>
            <w:vAlign w:val="center"/>
          </w:tcPr>
          <w:p w14:paraId="2545CE2D" w14:textId="77777777" w:rsidR="00E073E8" w:rsidRPr="00F522ED" w:rsidRDefault="00E073E8">
            <w:pPr>
              <w:pStyle w:val="TableText0"/>
              <w:spacing w:before="100" w:beforeAutospacing="1" w:after="100" w:afterAutospacing="1"/>
              <w:jc w:val="center"/>
              <w:rPr>
                <w:rFonts w:eastAsia="Times New Roman" w:cs="Times New Roman"/>
                <w:color w:val="000000" w:themeColor="text1"/>
                <w:szCs w:val="20"/>
                <w:lang w:val="en-US"/>
              </w:rPr>
            </w:pPr>
            <w:r w:rsidRPr="00F522ED">
              <w:rPr>
                <w:color w:val="000000" w:themeColor="text1"/>
                <w:szCs w:val="20"/>
              </w:rPr>
              <w:t>0.0038</w:t>
            </w:r>
            <w:r w:rsidRPr="00F522ED">
              <w:rPr>
                <w:color w:val="000000" w:themeColor="text1"/>
                <w:szCs w:val="20"/>
                <w:vertAlign w:val="superscript"/>
              </w:rPr>
              <w:t>c</w:t>
            </w:r>
            <w:r w:rsidRPr="00F522ED">
              <w:rPr>
                <w:color w:val="000000" w:themeColor="text1"/>
                <w:szCs w:val="20"/>
              </w:rPr>
              <w:t xml:space="preserve"> </w:t>
            </w:r>
          </w:p>
        </w:tc>
        <w:tc>
          <w:tcPr>
            <w:tcW w:w="1789" w:type="pct"/>
            <w:gridSpan w:val="2"/>
            <w:tcBorders>
              <w:left w:val="single" w:sz="4" w:space="0" w:color="auto"/>
            </w:tcBorders>
            <w:vAlign w:val="center"/>
          </w:tcPr>
          <w:p w14:paraId="020355B0" w14:textId="77777777" w:rsidR="00E073E8" w:rsidRPr="00F522ED" w:rsidRDefault="00E073E8">
            <w:pPr>
              <w:pStyle w:val="TableText0"/>
              <w:spacing w:before="100" w:beforeAutospacing="1" w:after="100" w:afterAutospacing="1"/>
              <w:jc w:val="center"/>
              <w:rPr>
                <w:b/>
                <w:bCs w:val="0"/>
                <w:color w:val="000000" w:themeColor="text1"/>
                <w:szCs w:val="20"/>
              </w:rPr>
            </w:pPr>
            <w:r w:rsidRPr="00F522ED">
              <w:rPr>
                <w:b/>
                <w:bCs w:val="0"/>
                <w:color w:val="000000" w:themeColor="text1"/>
                <w:szCs w:val="20"/>
              </w:rPr>
              <w:t>0.0005</w:t>
            </w:r>
            <w:r w:rsidRPr="00F522ED">
              <w:rPr>
                <w:b/>
                <w:bCs w:val="0"/>
                <w:color w:val="000000" w:themeColor="text1"/>
                <w:szCs w:val="20"/>
                <w:vertAlign w:val="superscript"/>
              </w:rPr>
              <w:t>d</w:t>
            </w:r>
          </w:p>
        </w:tc>
      </w:tr>
    </w:tbl>
    <w:p w14:paraId="3CBE3E51" w14:textId="77777777" w:rsidR="00E073E8" w:rsidRDefault="00E073E8" w:rsidP="002538F4">
      <w:pPr>
        <w:keepNext/>
        <w:keepLines/>
        <w:rPr>
          <w:rFonts w:ascii="Arial Narrow" w:hAnsi="Arial Narrow"/>
          <w:sz w:val="18"/>
          <w:szCs w:val="18"/>
        </w:rPr>
      </w:pPr>
      <w:r w:rsidRPr="00005107">
        <w:rPr>
          <w:rFonts w:ascii="Arial Narrow" w:hAnsi="Arial Narrow"/>
          <w:sz w:val="18"/>
          <w:szCs w:val="18"/>
        </w:rPr>
        <w:t xml:space="preserve">Source: Table 2-15, p59 of the submission; Table 18 and Table 20, pp88 and 92 of the </w:t>
      </w:r>
      <w:r w:rsidRPr="00D34C4F">
        <w:rPr>
          <w:rFonts w:ascii="Arial Narrow" w:hAnsi="Arial Narrow"/>
          <w:sz w:val="18"/>
          <w:szCs w:val="18"/>
        </w:rPr>
        <w:t>NIAGARA Clinical Study Report</w:t>
      </w:r>
    </w:p>
    <w:p w14:paraId="6969873C" w14:textId="18BF13FC" w:rsidR="00E073E8" w:rsidRDefault="00E073E8" w:rsidP="002538F4">
      <w:pPr>
        <w:keepNext/>
        <w:keepLines/>
        <w:rPr>
          <w:rFonts w:ascii="Arial Narrow" w:hAnsi="Arial Narrow"/>
          <w:sz w:val="18"/>
          <w:szCs w:val="18"/>
        </w:rPr>
      </w:pPr>
      <w:r>
        <w:rPr>
          <w:rFonts w:ascii="Arial Narrow" w:hAnsi="Arial Narrow"/>
          <w:sz w:val="18"/>
          <w:szCs w:val="18"/>
        </w:rPr>
        <w:t xml:space="preserve">CI = confidence interval; DURVA = durvalumab; FAS = final analysis set; GC = gemcitabine + cisplatin; </w:t>
      </w:r>
      <w:r w:rsidRPr="00005107">
        <w:rPr>
          <w:rFonts w:ascii="Arial Narrow" w:hAnsi="Arial Narrow"/>
          <w:sz w:val="18"/>
          <w:szCs w:val="18"/>
        </w:rPr>
        <w:t>pCR, pathological complete response</w:t>
      </w:r>
      <w:r>
        <w:rPr>
          <w:rFonts w:ascii="Arial Narrow" w:hAnsi="Arial Narrow"/>
          <w:sz w:val="18"/>
          <w:szCs w:val="18"/>
        </w:rPr>
        <w:t xml:space="preserve">; N = number of patients. </w:t>
      </w:r>
    </w:p>
    <w:p w14:paraId="1075F286" w14:textId="77777777" w:rsidR="00E073E8" w:rsidRPr="00005107" w:rsidRDefault="00E073E8" w:rsidP="002538F4">
      <w:pPr>
        <w:keepNext/>
        <w:keepLines/>
        <w:rPr>
          <w:rFonts w:ascii="Arial Narrow" w:hAnsi="Arial Narrow"/>
          <w:sz w:val="18"/>
          <w:szCs w:val="18"/>
        </w:rPr>
      </w:pPr>
      <w:r w:rsidRPr="00005107">
        <w:rPr>
          <w:rFonts w:ascii="Arial Narrow" w:hAnsi="Arial Narrow"/>
          <w:sz w:val="18"/>
          <w:szCs w:val="18"/>
          <w:vertAlign w:val="superscript"/>
        </w:rPr>
        <w:t>a</w:t>
      </w:r>
      <w:r>
        <w:rPr>
          <w:rFonts w:ascii="Arial Narrow" w:hAnsi="Arial Narrow"/>
          <w:sz w:val="18"/>
          <w:szCs w:val="18"/>
        </w:rPr>
        <w:t xml:space="preserve"> </w:t>
      </w:r>
      <w:r w:rsidRPr="00005107">
        <w:rPr>
          <w:rFonts w:ascii="Arial Narrow" w:hAnsi="Arial Narrow"/>
          <w:sz w:val="18"/>
          <w:szCs w:val="18"/>
        </w:rPr>
        <w:t>95% CIs are calculated using the Clopper Pearson method.</w:t>
      </w:r>
    </w:p>
    <w:p w14:paraId="17E5BD79" w14:textId="77777777" w:rsidR="00E073E8" w:rsidRPr="00F21B0F" w:rsidRDefault="00E073E8" w:rsidP="002538F4">
      <w:pPr>
        <w:keepNext/>
        <w:keepLines/>
        <w:rPr>
          <w:rFonts w:ascii="Arial Narrow" w:hAnsi="Arial Narrow"/>
          <w:sz w:val="18"/>
          <w:szCs w:val="18"/>
        </w:rPr>
      </w:pPr>
      <w:r w:rsidRPr="00005107">
        <w:rPr>
          <w:rFonts w:ascii="Arial Narrow" w:hAnsi="Arial Narrow"/>
          <w:sz w:val="18"/>
          <w:szCs w:val="18"/>
          <w:vertAlign w:val="superscript"/>
        </w:rPr>
        <w:t>b</w:t>
      </w:r>
      <w:r>
        <w:rPr>
          <w:rFonts w:ascii="Arial Narrow" w:hAnsi="Arial Narrow"/>
          <w:sz w:val="18"/>
          <w:szCs w:val="18"/>
        </w:rPr>
        <w:t xml:space="preserve"> </w:t>
      </w:r>
      <w:r w:rsidRPr="00005107">
        <w:rPr>
          <w:rFonts w:ascii="Arial Narrow" w:hAnsi="Arial Narrow"/>
          <w:sz w:val="18"/>
          <w:szCs w:val="18"/>
        </w:rPr>
        <w:t xml:space="preserve">Odds ratio and the corresponding CI, and p-value are obtained using logistic regression adjusted for the stratification factors (renal function [adequate vs borderline], tumour stage [T2N0 vs &gt; T2N0] and PD-L1 status [high vs low/negative] per </w:t>
      </w:r>
      <w:r w:rsidRPr="00F21B0F">
        <w:rPr>
          <w:rFonts w:ascii="Arial Narrow" w:hAnsi="Arial Narrow"/>
          <w:sz w:val="18"/>
          <w:szCs w:val="18"/>
        </w:rPr>
        <w:t>interactive voice response system)</w:t>
      </w:r>
    </w:p>
    <w:p w14:paraId="63A286AC" w14:textId="77777777" w:rsidR="00E073E8" w:rsidRDefault="00E073E8" w:rsidP="002538F4">
      <w:pPr>
        <w:keepNext/>
        <w:keepLines/>
        <w:rPr>
          <w:rFonts w:ascii="Arial Narrow" w:hAnsi="Arial Narrow"/>
          <w:sz w:val="18"/>
          <w:szCs w:val="18"/>
        </w:rPr>
      </w:pPr>
      <w:r w:rsidRPr="00005107">
        <w:rPr>
          <w:rFonts w:ascii="Arial Narrow" w:hAnsi="Arial Narrow"/>
          <w:sz w:val="18"/>
          <w:szCs w:val="18"/>
          <w:vertAlign w:val="superscript"/>
        </w:rPr>
        <w:t>c</w:t>
      </w:r>
      <w:r>
        <w:rPr>
          <w:rFonts w:ascii="Arial Narrow" w:hAnsi="Arial Narrow"/>
          <w:sz w:val="18"/>
          <w:szCs w:val="18"/>
        </w:rPr>
        <w:t xml:space="preserve"> </w:t>
      </w:r>
      <w:r w:rsidRPr="00005107">
        <w:rPr>
          <w:rFonts w:ascii="Arial Narrow" w:hAnsi="Arial Narrow"/>
          <w:sz w:val="18"/>
          <w:szCs w:val="18"/>
        </w:rPr>
        <w:t>Threshold for significance, p = 0.001.</w:t>
      </w:r>
    </w:p>
    <w:p w14:paraId="6D156BC5" w14:textId="77777777" w:rsidR="00E073E8" w:rsidRDefault="00E073E8" w:rsidP="002538F4">
      <w:pPr>
        <w:keepNext/>
        <w:keepLines/>
        <w:rPr>
          <w:rFonts w:ascii="Arial Narrow" w:hAnsi="Arial Narrow"/>
          <w:sz w:val="18"/>
          <w:szCs w:val="18"/>
          <w:lang w:val="en-US"/>
        </w:rPr>
      </w:pPr>
      <w:r w:rsidRPr="007A6D51">
        <w:rPr>
          <w:rFonts w:ascii="Arial Narrow" w:hAnsi="Arial Narrow"/>
          <w:sz w:val="18"/>
          <w:szCs w:val="18"/>
          <w:vertAlign w:val="superscript"/>
        </w:rPr>
        <w:t>d</w:t>
      </w:r>
      <w:r>
        <w:rPr>
          <w:rFonts w:ascii="Arial Narrow" w:hAnsi="Arial Narrow"/>
          <w:sz w:val="18"/>
          <w:szCs w:val="18"/>
        </w:rPr>
        <w:t xml:space="preserve"> </w:t>
      </w:r>
      <w:r w:rsidRPr="007A6D51">
        <w:rPr>
          <w:rFonts w:ascii="Arial Narrow" w:hAnsi="Arial Narrow"/>
          <w:sz w:val="18"/>
          <w:szCs w:val="18"/>
          <w:lang w:val="en-US"/>
        </w:rPr>
        <w:t xml:space="preserve">This </w:t>
      </w:r>
      <w:r>
        <w:rPr>
          <w:rFonts w:ascii="Arial Narrow" w:hAnsi="Arial Narrow"/>
          <w:sz w:val="18"/>
          <w:szCs w:val="18"/>
          <w:lang w:val="en-US"/>
        </w:rPr>
        <w:t>was</w:t>
      </w:r>
      <w:r w:rsidRPr="007A6D51">
        <w:rPr>
          <w:rFonts w:ascii="Arial Narrow" w:hAnsi="Arial Narrow"/>
          <w:sz w:val="18"/>
          <w:szCs w:val="18"/>
          <w:lang w:val="en-US"/>
        </w:rPr>
        <w:t xml:space="preserve"> an updated analysis of the primary endpoint and as such </w:t>
      </w:r>
      <w:r>
        <w:rPr>
          <w:rFonts w:ascii="Arial Narrow" w:hAnsi="Arial Narrow"/>
          <w:sz w:val="18"/>
          <w:szCs w:val="18"/>
          <w:lang w:val="en-US"/>
        </w:rPr>
        <w:t xml:space="preserve">was </w:t>
      </w:r>
      <w:r w:rsidRPr="007A6D51">
        <w:rPr>
          <w:rFonts w:ascii="Arial Narrow" w:hAnsi="Arial Narrow"/>
          <w:sz w:val="18"/>
          <w:szCs w:val="18"/>
          <w:lang w:val="en-US"/>
        </w:rPr>
        <w:t xml:space="preserve">an exploratory analysis with a nominal p-value. </w:t>
      </w:r>
    </w:p>
    <w:p w14:paraId="0F67E227" w14:textId="4ACF381F" w:rsidR="00E073E8" w:rsidRDefault="00E073E8" w:rsidP="002538F4">
      <w:pPr>
        <w:pStyle w:val="TableFigureFooter"/>
        <w:keepNext/>
        <w:spacing w:after="0"/>
      </w:pPr>
      <w:r>
        <w:rPr>
          <w:szCs w:val="18"/>
        </w:rPr>
        <w:t>Note: an odds ratio &gt; 1 indicates a result favouring DURVA + GC</w:t>
      </w:r>
      <w:r w:rsidR="00ED134A">
        <w:rPr>
          <w:szCs w:val="18"/>
        </w:rPr>
        <w:t xml:space="preserve">; </w:t>
      </w:r>
      <w:r>
        <w:t>Data cutoff: 14 January 2022</w:t>
      </w:r>
      <w:r w:rsidR="00ED134A">
        <w:t>.</w:t>
      </w:r>
    </w:p>
    <w:p w14:paraId="1F5B9AC8" w14:textId="77777777" w:rsidR="00E073E8" w:rsidRDefault="00E073E8" w:rsidP="00E073E8">
      <w:pPr>
        <w:pStyle w:val="TableFigureFooter"/>
        <w:spacing w:after="0"/>
        <w:rPr>
          <w:color w:val="000000" w:themeColor="text1"/>
        </w:rPr>
      </w:pPr>
    </w:p>
    <w:p w14:paraId="184DAF5E" w14:textId="3FCF335D" w:rsidR="00E073E8" w:rsidRPr="005912BC" w:rsidRDefault="00E073E8" w:rsidP="00E073E8">
      <w:pPr>
        <w:pStyle w:val="3-BodyText"/>
        <w:rPr>
          <w:color w:val="000000" w:themeColor="text1"/>
        </w:rPr>
      </w:pPr>
      <w:r>
        <w:rPr>
          <w:color w:val="000000" w:themeColor="text1"/>
        </w:rPr>
        <w:t>OS results in the FAS population of NIAGARA</w:t>
      </w:r>
      <w:r w:rsidRPr="002028F8">
        <w:rPr>
          <w:color w:val="000000" w:themeColor="text1"/>
        </w:rPr>
        <w:t xml:space="preserve"> </w:t>
      </w:r>
      <w:r>
        <w:rPr>
          <w:color w:val="000000" w:themeColor="text1"/>
        </w:rPr>
        <w:t xml:space="preserve">are summarised in </w:t>
      </w:r>
      <w:r>
        <w:rPr>
          <w:color w:val="000000" w:themeColor="text1"/>
        </w:rPr>
        <w:fldChar w:fldCharType="begin"/>
      </w:r>
      <w:r>
        <w:rPr>
          <w:color w:val="000000" w:themeColor="text1"/>
        </w:rPr>
        <w:instrText xml:space="preserve"> REF _Ref207444529 \h </w:instrText>
      </w:r>
      <w:r>
        <w:rPr>
          <w:color w:val="000000" w:themeColor="text1"/>
        </w:rPr>
      </w:r>
      <w:r>
        <w:rPr>
          <w:color w:val="000000" w:themeColor="text1"/>
        </w:rPr>
        <w:fldChar w:fldCharType="separate"/>
      </w:r>
      <w:r w:rsidR="005731FF">
        <w:t xml:space="preserve">Table </w:t>
      </w:r>
      <w:r w:rsidR="005731FF">
        <w:rPr>
          <w:noProof/>
        </w:rPr>
        <w:t>6</w:t>
      </w:r>
      <w:r>
        <w:rPr>
          <w:color w:val="000000" w:themeColor="text1"/>
        </w:rPr>
        <w:fldChar w:fldCharType="end"/>
      </w:r>
      <w:r>
        <w:rPr>
          <w:color w:val="000000" w:themeColor="text1"/>
        </w:rPr>
        <w:t xml:space="preserve">, </w:t>
      </w:r>
      <w:r w:rsidRPr="00164BC3">
        <w:t xml:space="preserve">with </w:t>
      </w:r>
      <w:r>
        <w:t xml:space="preserve">the </w:t>
      </w:r>
      <w:r w:rsidRPr="00164BC3">
        <w:t>corresponding KM plot presented in</w:t>
      </w:r>
      <w:r>
        <w:t xml:space="preserve"> </w:t>
      </w:r>
      <w:r>
        <w:fldChar w:fldCharType="begin"/>
      </w:r>
      <w:r>
        <w:instrText xml:space="preserve"> REF _Ref207444569 \h </w:instrText>
      </w:r>
      <w:r>
        <w:fldChar w:fldCharType="separate"/>
      </w:r>
      <w:r w:rsidR="005731FF">
        <w:t xml:space="preserve">Figure </w:t>
      </w:r>
      <w:r w:rsidR="005731FF">
        <w:rPr>
          <w:noProof/>
        </w:rPr>
        <w:t>2</w:t>
      </w:r>
      <w:r>
        <w:fldChar w:fldCharType="end"/>
      </w:r>
      <w:r>
        <w:t>.</w:t>
      </w:r>
    </w:p>
    <w:p w14:paraId="774D7247" w14:textId="23F2734D" w:rsidR="00E073E8" w:rsidRDefault="00E073E8" w:rsidP="00E073E8">
      <w:pPr>
        <w:pStyle w:val="Caption"/>
        <w:spacing w:before="120"/>
      </w:pPr>
      <w:bookmarkStart w:id="53" w:name="_Ref207444529"/>
      <w:r>
        <w:t xml:space="preserve">Table </w:t>
      </w:r>
      <w:r w:rsidR="0077772B">
        <w:fldChar w:fldCharType="begin"/>
      </w:r>
      <w:r w:rsidR="0077772B">
        <w:instrText xml:space="preserve"> SEQ Table \* ARABIC </w:instrText>
      </w:r>
      <w:r w:rsidR="0077772B">
        <w:fldChar w:fldCharType="separate"/>
      </w:r>
      <w:r w:rsidR="005731FF">
        <w:rPr>
          <w:noProof/>
        </w:rPr>
        <w:t>6</w:t>
      </w:r>
      <w:r w:rsidR="0077772B">
        <w:rPr>
          <w:noProof/>
        </w:rPr>
        <w:fldChar w:fldCharType="end"/>
      </w:r>
      <w:bookmarkEnd w:id="53"/>
      <w:r>
        <w:t>:</w:t>
      </w:r>
      <w:r w:rsidRPr="005912BC">
        <w:t xml:space="preserve"> </w:t>
      </w:r>
      <w:r>
        <w:t>Results of OS in NIAGARA (IA-2, FAS)</w:t>
      </w:r>
    </w:p>
    <w:tbl>
      <w:tblPr>
        <w:tblStyle w:val="TableGrid"/>
        <w:tblW w:w="0" w:type="auto"/>
        <w:jc w:val="center"/>
        <w:tblLook w:val="04A0" w:firstRow="1" w:lastRow="0" w:firstColumn="1" w:lastColumn="0" w:noHBand="0" w:noVBand="1"/>
        <w:tblCaption w:val="Table 6: Results of OS in NIAGARA (IA-2, FAS)"/>
      </w:tblPr>
      <w:tblGrid>
        <w:gridCol w:w="3681"/>
        <w:gridCol w:w="2835"/>
        <w:gridCol w:w="2501"/>
      </w:tblGrid>
      <w:tr w:rsidR="00E073E8" w:rsidRPr="00164BC3" w14:paraId="491D2828" w14:textId="77777777" w:rsidTr="00B40285">
        <w:trPr>
          <w:jc w:val="center"/>
        </w:trPr>
        <w:tc>
          <w:tcPr>
            <w:tcW w:w="3681" w:type="dxa"/>
            <w:tcBorders>
              <w:top w:val="single" w:sz="4" w:space="0" w:color="auto"/>
              <w:left w:val="single" w:sz="4" w:space="0" w:color="auto"/>
              <w:bottom w:val="single" w:sz="4" w:space="0" w:color="auto"/>
              <w:right w:val="single" w:sz="4" w:space="0" w:color="auto"/>
            </w:tcBorders>
          </w:tcPr>
          <w:p w14:paraId="7125F26B" w14:textId="77777777" w:rsidR="00E073E8" w:rsidRPr="00164BC3" w:rsidRDefault="00E073E8">
            <w:pPr>
              <w:pStyle w:val="TableText1"/>
              <w:keepNext/>
              <w:spacing w:after="0"/>
            </w:pPr>
          </w:p>
        </w:tc>
        <w:tc>
          <w:tcPr>
            <w:tcW w:w="2835" w:type="dxa"/>
            <w:tcBorders>
              <w:top w:val="single" w:sz="4" w:space="0" w:color="auto"/>
              <w:left w:val="single" w:sz="4" w:space="0" w:color="auto"/>
              <w:bottom w:val="single" w:sz="4" w:space="0" w:color="auto"/>
              <w:right w:val="single" w:sz="4" w:space="0" w:color="auto"/>
            </w:tcBorders>
          </w:tcPr>
          <w:p w14:paraId="57D1F0F9" w14:textId="79837E14" w:rsidR="00E073E8" w:rsidRDefault="00E073E8">
            <w:pPr>
              <w:pStyle w:val="TableText1"/>
              <w:keepNext/>
              <w:spacing w:after="0"/>
              <w:jc w:val="center"/>
              <w:rPr>
                <w:b/>
                <w:bCs/>
              </w:rPr>
            </w:pPr>
            <w:r>
              <w:rPr>
                <w:b/>
                <w:bCs/>
              </w:rPr>
              <w:t>DURVA + GC</w:t>
            </w:r>
          </w:p>
          <w:p w14:paraId="2C167546" w14:textId="77777777" w:rsidR="00E073E8" w:rsidRPr="00164BC3" w:rsidRDefault="00E073E8">
            <w:pPr>
              <w:pStyle w:val="TableText1"/>
              <w:keepNext/>
              <w:spacing w:after="0"/>
              <w:jc w:val="center"/>
              <w:rPr>
                <w:b/>
                <w:bCs/>
              </w:rPr>
            </w:pPr>
            <w:r>
              <w:rPr>
                <w:b/>
                <w:bCs/>
              </w:rPr>
              <w:t>N = 533</w:t>
            </w:r>
          </w:p>
        </w:tc>
        <w:tc>
          <w:tcPr>
            <w:tcW w:w="2501" w:type="dxa"/>
            <w:tcBorders>
              <w:top w:val="single" w:sz="4" w:space="0" w:color="auto"/>
              <w:left w:val="single" w:sz="4" w:space="0" w:color="auto"/>
              <w:bottom w:val="single" w:sz="4" w:space="0" w:color="auto"/>
              <w:right w:val="single" w:sz="4" w:space="0" w:color="auto"/>
            </w:tcBorders>
          </w:tcPr>
          <w:p w14:paraId="749DB8B9" w14:textId="77777777" w:rsidR="00E073E8" w:rsidRDefault="00E073E8">
            <w:pPr>
              <w:pStyle w:val="TableText1"/>
              <w:keepNext/>
              <w:spacing w:after="0"/>
              <w:jc w:val="center"/>
              <w:rPr>
                <w:b/>
                <w:bCs/>
              </w:rPr>
            </w:pPr>
            <w:r>
              <w:rPr>
                <w:b/>
                <w:bCs/>
              </w:rPr>
              <w:t>GC</w:t>
            </w:r>
          </w:p>
          <w:p w14:paraId="61C4772F" w14:textId="77777777" w:rsidR="00E073E8" w:rsidRPr="00164BC3" w:rsidRDefault="00E073E8">
            <w:pPr>
              <w:pStyle w:val="TableText1"/>
              <w:keepNext/>
              <w:spacing w:after="0"/>
              <w:jc w:val="center"/>
              <w:rPr>
                <w:b/>
                <w:bCs/>
              </w:rPr>
            </w:pPr>
            <w:r>
              <w:rPr>
                <w:b/>
                <w:bCs/>
              </w:rPr>
              <w:t>N = 530</w:t>
            </w:r>
          </w:p>
        </w:tc>
      </w:tr>
      <w:tr w:rsidR="00E073E8" w:rsidRPr="00164BC3" w14:paraId="4451ED33" w14:textId="77777777" w:rsidTr="00B40285">
        <w:trPr>
          <w:jc w:val="center"/>
        </w:trPr>
        <w:tc>
          <w:tcPr>
            <w:tcW w:w="3681" w:type="dxa"/>
            <w:tcBorders>
              <w:left w:val="single" w:sz="4" w:space="0" w:color="auto"/>
              <w:bottom w:val="nil"/>
              <w:right w:val="single" w:sz="4" w:space="0" w:color="auto"/>
            </w:tcBorders>
          </w:tcPr>
          <w:p w14:paraId="7E9A5773" w14:textId="77777777" w:rsidR="00E073E8" w:rsidRPr="00164BC3" w:rsidRDefault="00E073E8">
            <w:pPr>
              <w:pStyle w:val="TableText1"/>
              <w:keepNext/>
              <w:spacing w:after="0"/>
            </w:pPr>
            <w:r w:rsidRPr="00164BC3">
              <w:t>Number of events</w:t>
            </w:r>
            <w:r>
              <w:t>, n</w:t>
            </w:r>
            <w:r w:rsidRPr="00164BC3">
              <w:t xml:space="preserve"> (%)</w:t>
            </w:r>
          </w:p>
        </w:tc>
        <w:tc>
          <w:tcPr>
            <w:tcW w:w="2835" w:type="dxa"/>
            <w:tcBorders>
              <w:left w:val="single" w:sz="4" w:space="0" w:color="auto"/>
              <w:bottom w:val="nil"/>
              <w:right w:val="single" w:sz="4" w:space="0" w:color="auto"/>
            </w:tcBorders>
          </w:tcPr>
          <w:p w14:paraId="0219DD94" w14:textId="77777777" w:rsidR="00E073E8" w:rsidRPr="00164BC3" w:rsidRDefault="00E073E8">
            <w:pPr>
              <w:pStyle w:val="TableText1"/>
              <w:keepNext/>
              <w:spacing w:after="0"/>
              <w:jc w:val="center"/>
            </w:pPr>
            <w:r w:rsidRPr="000C0F39">
              <w:t xml:space="preserve">136 (25.5) </w:t>
            </w:r>
          </w:p>
        </w:tc>
        <w:tc>
          <w:tcPr>
            <w:tcW w:w="2501" w:type="dxa"/>
            <w:tcBorders>
              <w:left w:val="single" w:sz="4" w:space="0" w:color="auto"/>
              <w:bottom w:val="nil"/>
              <w:right w:val="single" w:sz="4" w:space="0" w:color="auto"/>
            </w:tcBorders>
          </w:tcPr>
          <w:p w14:paraId="3556218D" w14:textId="77777777" w:rsidR="00E073E8" w:rsidRPr="00164BC3" w:rsidRDefault="00E073E8">
            <w:pPr>
              <w:pStyle w:val="TableText1"/>
              <w:keepNext/>
              <w:spacing w:after="0"/>
              <w:jc w:val="center"/>
            </w:pPr>
            <w:r w:rsidRPr="000C0F39">
              <w:t xml:space="preserve">169 (31.9) </w:t>
            </w:r>
          </w:p>
        </w:tc>
      </w:tr>
      <w:tr w:rsidR="00E073E8" w:rsidRPr="00164BC3" w14:paraId="1F7875A8" w14:textId="77777777" w:rsidTr="00B40285">
        <w:trPr>
          <w:jc w:val="center"/>
        </w:trPr>
        <w:tc>
          <w:tcPr>
            <w:tcW w:w="3681" w:type="dxa"/>
            <w:tcBorders>
              <w:left w:val="single" w:sz="4" w:space="0" w:color="auto"/>
              <w:bottom w:val="nil"/>
              <w:right w:val="single" w:sz="4" w:space="0" w:color="auto"/>
            </w:tcBorders>
          </w:tcPr>
          <w:p w14:paraId="1605993E" w14:textId="77777777" w:rsidR="00E073E8" w:rsidRPr="00164BC3" w:rsidRDefault="00E073E8">
            <w:pPr>
              <w:pStyle w:val="TableText1"/>
              <w:keepNext/>
              <w:spacing w:after="0"/>
            </w:pPr>
            <w:r>
              <w:t>Censored patients, n (%)</w:t>
            </w:r>
          </w:p>
        </w:tc>
        <w:tc>
          <w:tcPr>
            <w:tcW w:w="2835" w:type="dxa"/>
            <w:tcBorders>
              <w:left w:val="single" w:sz="4" w:space="0" w:color="auto"/>
              <w:bottom w:val="nil"/>
              <w:right w:val="single" w:sz="4" w:space="0" w:color="auto"/>
            </w:tcBorders>
          </w:tcPr>
          <w:p w14:paraId="6FD49F96" w14:textId="77777777" w:rsidR="00E073E8" w:rsidRPr="000C0F39" w:rsidRDefault="00E073E8">
            <w:pPr>
              <w:pStyle w:val="TableText1"/>
              <w:keepNext/>
              <w:spacing w:after="0"/>
              <w:jc w:val="center"/>
            </w:pPr>
            <w:r>
              <w:t>397 (74.5%)</w:t>
            </w:r>
          </w:p>
        </w:tc>
        <w:tc>
          <w:tcPr>
            <w:tcW w:w="2501" w:type="dxa"/>
            <w:tcBorders>
              <w:left w:val="single" w:sz="4" w:space="0" w:color="auto"/>
              <w:bottom w:val="nil"/>
              <w:right w:val="single" w:sz="4" w:space="0" w:color="auto"/>
            </w:tcBorders>
          </w:tcPr>
          <w:p w14:paraId="4AFB22F2" w14:textId="77777777" w:rsidR="00E073E8" w:rsidRPr="000C0F39" w:rsidRDefault="00E073E8">
            <w:pPr>
              <w:pStyle w:val="TableText1"/>
              <w:keepNext/>
              <w:spacing w:after="0"/>
              <w:jc w:val="center"/>
            </w:pPr>
            <w:r>
              <w:t>361 (68.1%)</w:t>
            </w:r>
          </w:p>
        </w:tc>
      </w:tr>
      <w:tr w:rsidR="00E073E8" w:rsidRPr="00164BC3" w14:paraId="00E80BCF" w14:textId="77777777" w:rsidTr="00B40285">
        <w:trPr>
          <w:jc w:val="center"/>
        </w:trPr>
        <w:tc>
          <w:tcPr>
            <w:tcW w:w="3681" w:type="dxa"/>
            <w:tcBorders>
              <w:top w:val="single" w:sz="4" w:space="0" w:color="auto"/>
              <w:left w:val="single" w:sz="4" w:space="0" w:color="auto"/>
              <w:bottom w:val="nil"/>
              <w:right w:val="single" w:sz="4" w:space="0" w:color="auto"/>
            </w:tcBorders>
          </w:tcPr>
          <w:p w14:paraId="6B467C67" w14:textId="77777777" w:rsidR="00E073E8" w:rsidRPr="00164BC3" w:rsidRDefault="00E073E8">
            <w:pPr>
              <w:pStyle w:val="TableText1"/>
              <w:keepNext/>
              <w:spacing w:after="0"/>
              <w:rPr>
                <w:vertAlign w:val="superscript"/>
              </w:rPr>
            </w:pPr>
            <w:r w:rsidRPr="00164BC3">
              <w:t>Kaplan-Meier estimates (months)</w:t>
            </w:r>
          </w:p>
        </w:tc>
        <w:tc>
          <w:tcPr>
            <w:tcW w:w="2835" w:type="dxa"/>
            <w:tcBorders>
              <w:top w:val="single" w:sz="4" w:space="0" w:color="auto"/>
              <w:left w:val="single" w:sz="4" w:space="0" w:color="auto"/>
              <w:bottom w:val="nil"/>
              <w:right w:val="single" w:sz="4" w:space="0" w:color="auto"/>
            </w:tcBorders>
          </w:tcPr>
          <w:p w14:paraId="0A1F7B79" w14:textId="77777777" w:rsidR="00E073E8" w:rsidRPr="00164BC3" w:rsidRDefault="00E073E8">
            <w:pPr>
              <w:pStyle w:val="TableText1"/>
              <w:keepNext/>
              <w:spacing w:after="0"/>
              <w:jc w:val="center"/>
            </w:pPr>
          </w:p>
        </w:tc>
        <w:tc>
          <w:tcPr>
            <w:tcW w:w="2501" w:type="dxa"/>
            <w:tcBorders>
              <w:top w:val="single" w:sz="4" w:space="0" w:color="auto"/>
              <w:left w:val="single" w:sz="4" w:space="0" w:color="auto"/>
              <w:bottom w:val="nil"/>
              <w:right w:val="single" w:sz="4" w:space="0" w:color="auto"/>
            </w:tcBorders>
          </w:tcPr>
          <w:p w14:paraId="74D094C4" w14:textId="77777777" w:rsidR="00E073E8" w:rsidRPr="00164BC3" w:rsidRDefault="00E073E8">
            <w:pPr>
              <w:pStyle w:val="TableText1"/>
              <w:keepNext/>
              <w:spacing w:after="0"/>
              <w:jc w:val="center"/>
            </w:pPr>
          </w:p>
        </w:tc>
      </w:tr>
      <w:tr w:rsidR="00E073E8" w:rsidRPr="00164BC3" w14:paraId="7EE6D994" w14:textId="77777777" w:rsidTr="00B40285">
        <w:trPr>
          <w:jc w:val="center"/>
        </w:trPr>
        <w:tc>
          <w:tcPr>
            <w:tcW w:w="3681" w:type="dxa"/>
            <w:tcBorders>
              <w:top w:val="nil"/>
              <w:left w:val="single" w:sz="4" w:space="0" w:color="auto"/>
              <w:bottom w:val="single" w:sz="4" w:space="0" w:color="auto"/>
              <w:right w:val="single" w:sz="4" w:space="0" w:color="auto"/>
            </w:tcBorders>
          </w:tcPr>
          <w:p w14:paraId="6119A730" w14:textId="77777777" w:rsidR="00E073E8" w:rsidRPr="00164BC3" w:rsidRDefault="00E073E8">
            <w:pPr>
              <w:pStyle w:val="TableText1"/>
              <w:keepNext/>
              <w:spacing w:after="0"/>
              <w:ind w:left="308"/>
            </w:pPr>
            <w:r w:rsidRPr="00164BC3">
              <w:t>Median (95% CI)</w:t>
            </w:r>
          </w:p>
        </w:tc>
        <w:tc>
          <w:tcPr>
            <w:tcW w:w="2835" w:type="dxa"/>
            <w:tcBorders>
              <w:top w:val="nil"/>
              <w:left w:val="single" w:sz="4" w:space="0" w:color="auto"/>
              <w:bottom w:val="single" w:sz="4" w:space="0" w:color="auto"/>
              <w:right w:val="single" w:sz="4" w:space="0" w:color="auto"/>
            </w:tcBorders>
          </w:tcPr>
          <w:p w14:paraId="302FD5F9" w14:textId="77777777" w:rsidR="00E073E8" w:rsidRPr="00164BC3" w:rsidRDefault="00E073E8">
            <w:pPr>
              <w:pStyle w:val="TableText1"/>
              <w:keepNext/>
              <w:spacing w:after="0"/>
              <w:jc w:val="center"/>
            </w:pPr>
            <w:r w:rsidRPr="00C11E7D">
              <w:t>NR</w:t>
            </w:r>
          </w:p>
        </w:tc>
        <w:tc>
          <w:tcPr>
            <w:tcW w:w="2501" w:type="dxa"/>
            <w:tcBorders>
              <w:top w:val="nil"/>
              <w:left w:val="single" w:sz="4" w:space="0" w:color="auto"/>
              <w:bottom w:val="single" w:sz="4" w:space="0" w:color="auto"/>
              <w:right w:val="single" w:sz="4" w:space="0" w:color="auto"/>
            </w:tcBorders>
          </w:tcPr>
          <w:p w14:paraId="3630883A" w14:textId="77777777" w:rsidR="00E073E8" w:rsidRPr="00164BC3" w:rsidRDefault="00E073E8">
            <w:pPr>
              <w:pStyle w:val="TableText1"/>
              <w:keepNext/>
              <w:spacing w:after="0"/>
              <w:jc w:val="center"/>
            </w:pPr>
            <w:r>
              <w:t>NR</w:t>
            </w:r>
            <w:r w:rsidRPr="00974B87">
              <w:rPr>
                <w:vertAlign w:val="superscript"/>
              </w:rPr>
              <w:t>a</w:t>
            </w:r>
          </w:p>
        </w:tc>
      </w:tr>
      <w:tr w:rsidR="00E073E8" w:rsidRPr="00164BC3" w14:paraId="05BF1DB2" w14:textId="77777777" w:rsidTr="00B40285">
        <w:trPr>
          <w:jc w:val="center"/>
        </w:trPr>
        <w:tc>
          <w:tcPr>
            <w:tcW w:w="3681" w:type="dxa"/>
            <w:tcBorders>
              <w:top w:val="single" w:sz="4" w:space="0" w:color="auto"/>
              <w:left w:val="single" w:sz="4" w:space="0" w:color="auto"/>
              <w:right w:val="single" w:sz="4" w:space="0" w:color="auto"/>
            </w:tcBorders>
          </w:tcPr>
          <w:p w14:paraId="79361206" w14:textId="77777777" w:rsidR="00E073E8" w:rsidRPr="00164BC3" w:rsidRDefault="00E073E8">
            <w:pPr>
              <w:pStyle w:val="TableText1"/>
              <w:keepNext/>
              <w:spacing w:after="0"/>
              <w:rPr>
                <w:vertAlign w:val="superscript"/>
              </w:rPr>
            </w:pPr>
            <w:r w:rsidRPr="00164BC3">
              <w:t>H</w:t>
            </w:r>
            <w:r>
              <w:t>azard ratio</w:t>
            </w:r>
            <w:r w:rsidRPr="00164BC3">
              <w:t xml:space="preserve"> (95% CI)</w:t>
            </w:r>
            <w:r w:rsidRPr="007F28E0">
              <w:rPr>
                <w:vertAlign w:val="superscript"/>
              </w:rPr>
              <w:t>b,c</w:t>
            </w:r>
          </w:p>
        </w:tc>
        <w:tc>
          <w:tcPr>
            <w:tcW w:w="5336" w:type="dxa"/>
            <w:gridSpan w:val="2"/>
            <w:tcBorders>
              <w:top w:val="single" w:sz="4" w:space="0" w:color="auto"/>
              <w:left w:val="single" w:sz="4" w:space="0" w:color="auto"/>
              <w:right w:val="single" w:sz="4" w:space="0" w:color="auto"/>
            </w:tcBorders>
          </w:tcPr>
          <w:p w14:paraId="2A5E7BC6" w14:textId="77777777" w:rsidR="00E073E8" w:rsidRPr="00C15C79" w:rsidRDefault="00E073E8">
            <w:pPr>
              <w:pStyle w:val="TableText1"/>
              <w:keepNext/>
              <w:spacing w:after="0"/>
              <w:jc w:val="center"/>
              <w:rPr>
                <w:b/>
                <w:bCs/>
              </w:rPr>
            </w:pPr>
            <w:r w:rsidRPr="00C15C79">
              <w:rPr>
                <w:b/>
                <w:bCs/>
              </w:rPr>
              <w:t>0.75 (0.594 - 0.934)</w:t>
            </w:r>
          </w:p>
        </w:tc>
      </w:tr>
      <w:tr w:rsidR="00E073E8" w:rsidRPr="00164BC3" w14:paraId="16B1AD00" w14:textId="77777777" w:rsidTr="00B40285">
        <w:trPr>
          <w:jc w:val="center"/>
        </w:trPr>
        <w:tc>
          <w:tcPr>
            <w:tcW w:w="3681" w:type="dxa"/>
            <w:tcBorders>
              <w:left w:val="single" w:sz="4" w:space="0" w:color="auto"/>
              <w:bottom w:val="single" w:sz="4" w:space="0" w:color="auto"/>
              <w:right w:val="single" w:sz="4" w:space="0" w:color="auto"/>
            </w:tcBorders>
          </w:tcPr>
          <w:p w14:paraId="0FE2E313" w14:textId="77777777" w:rsidR="00E073E8" w:rsidRPr="00164BC3" w:rsidRDefault="00E073E8">
            <w:pPr>
              <w:pStyle w:val="TableText1"/>
              <w:keepNext/>
              <w:spacing w:after="0"/>
              <w:rPr>
                <w:vertAlign w:val="superscript"/>
              </w:rPr>
            </w:pPr>
            <w:r>
              <w:t>2-sided</w:t>
            </w:r>
            <w:r w:rsidRPr="00164BC3">
              <w:t xml:space="preserve"> p-value</w:t>
            </w:r>
            <w:r w:rsidRPr="00C538C8">
              <w:rPr>
                <w:vertAlign w:val="superscript"/>
              </w:rPr>
              <w:t>d</w:t>
            </w:r>
          </w:p>
        </w:tc>
        <w:tc>
          <w:tcPr>
            <w:tcW w:w="5336" w:type="dxa"/>
            <w:gridSpan w:val="2"/>
            <w:tcBorders>
              <w:left w:val="single" w:sz="4" w:space="0" w:color="auto"/>
              <w:bottom w:val="single" w:sz="4" w:space="0" w:color="auto"/>
              <w:right w:val="single" w:sz="4" w:space="0" w:color="auto"/>
            </w:tcBorders>
          </w:tcPr>
          <w:p w14:paraId="0E2E063B" w14:textId="77777777" w:rsidR="00E073E8" w:rsidRPr="00C15C79" w:rsidRDefault="00E073E8">
            <w:pPr>
              <w:pStyle w:val="TableText1"/>
              <w:keepNext/>
              <w:spacing w:after="0"/>
              <w:jc w:val="center"/>
              <w:rPr>
                <w:b/>
                <w:bCs/>
              </w:rPr>
            </w:pPr>
            <w:r w:rsidRPr="00C15C79">
              <w:rPr>
                <w:b/>
                <w:bCs/>
              </w:rPr>
              <w:t>0.0106</w:t>
            </w:r>
          </w:p>
        </w:tc>
      </w:tr>
      <w:tr w:rsidR="00E073E8" w:rsidRPr="00164BC3" w14:paraId="748C403F" w14:textId="77777777" w:rsidTr="00B40285">
        <w:trPr>
          <w:jc w:val="center"/>
        </w:trPr>
        <w:tc>
          <w:tcPr>
            <w:tcW w:w="3681" w:type="dxa"/>
            <w:tcBorders>
              <w:left w:val="single" w:sz="4" w:space="0" w:color="auto"/>
              <w:bottom w:val="nil"/>
              <w:right w:val="single" w:sz="4" w:space="0" w:color="auto"/>
            </w:tcBorders>
          </w:tcPr>
          <w:p w14:paraId="394688E1" w14:textId="77777777" w:rsidR="00E073E8" w:rsidRPr="00164BC3" w:rsidRDefault="00E073E8">
            <w:pPr>
              <w:pStyle w:val="TableText1"/>
              <w:keepNext/>
              <w:spacing w:after="0"/>
            </w:pPr>
            <w:r w:rsidRPr="00164BC3">
              <w:t>OS rate, % (95% CI)</w:t>
            </w:r>
            <w:r w:rsidRPr="00C538C8">
              <w:rPr>
                <w:vertAlign w:val="superscript"/>
              </w:rPr>
              <w:t>e</w:t>
            </w:r>
          </w:p>
        </w:tc>
        <w:tc>
          <w:tcPr>
            <w:tcW w:w="2835" w:type="dxa"/>
            <w:tcBorders>
              <w:left w:val="single" w:sz="4" w:space="0" w:color="auto"/>
              <w:bottom w:val="nil"/>
              <w:right w:val="single" w:sz="4" w:space="0" w:color="auto"/>
            </w:tcBorders>
          </w:tcPr>
          <w:p w14:paraId="61FDFC33" w14:textId="77777777" w:rsidR="00E073E8" w:rsidRPr="00164BC3" w:rsidRDefault="00E073E8">
            <w:pPr>
              <w:pStyle w:val="TableText1"/>
              <w:keepNext/>
              <w:spacing w:after="0"/>
              <w:jc w:val="center"/>
            </w:pPr>
          </w:p>
        </w:tc>
        <w:tc>
          <w:tcPr>
            <w:tcW w:w="2501" w:type="dxa"/>
            <w:tcBorders>
              <w:left w:val="single" w:sz="4" w:space="0" w:color="auto"/>
              <w:bottom w:val="nil"/>
              <w:right w:val="single" w:sz="4" w:space="0" w:color="auto"/>
            </w:tcBorders>
          </w:tcPr>
          <w:p w14:paraId="67C10FE9" w14:textId="77777777" w:rsidR="00E073E8" w:rsidRPr="00164BC3" w:rsidRDefault="00E073E8">
            <w:pPr>
              <w:pStyle w:val="TableText1"/>
              <w:keepNext/>
              <w:spacing w:after="0"/>
              <w:jc w:val="center"/>
            </w:pPr>
          </w:p>
        </w:tc>
      </w:tr>
      <w:tr w:rsidR="00E073E8" w:rsidRPr="00164BC3" w14:paraId="746956FE" w14:textId="77777777" w:rsidTr="00B40285">
        <w:trPr>
          <w:jc w:val="center"/>
        </w:trPr>
        <w:tc>
          <w:tcPr>
            <w:tcW w:w="3681" w:type="dxa"/>
            <w:tcBorders>
              <w:top w:val="nil"/>
              <w:left w:val="single" w:sz="4" w:space="0" w:color="auto"/>
              <w:bottom w:val="nil"/>
              <w:right w:val="single" w:sz="4" w:space="0" w:color="auto"/>
            </w:tcBorders>
          </w:tcPr>
          <w:p w14:paraId="4389B296" w14:textId="77777777" w:rsidR="00E073E8" w:rsidRPr="00164BC3" w:rsidRDefault="00E073E8">
            <w:pPr>
              <w:pStyle w:val="TableText1"/>
              <w:keepNext/>
              <w:spacing w:after="0"/>
              <w:ind w:left="308"/>
              <w:rPr>
                <w:b/>
              </w:rPr>
            </w:pPr>
            <w:r w:rsidRPr="00164BC3">
              <w:t xml:space="preserve">At month 12 </w:t>
            </w:r>
          </w:p>
        </w:tc>
        <w:tc>
          <w:tcPr>
            <w:tcW w:w="2835" w:type="dxa"/>
            <w:tcBorders>
              <w:top w:val="nil"/>
              <w:left w:val="single" w:sz="4" w:space="0" w:color="auto"/>
              <w:bottom w:val="nil"/>
              <w:right w:val="single" w:sz="4" w:space="0" w:color="auto"/>
            </w:tcBorders>
          </w:tcPr>
          <w:p w14:paraId="14950E85" w14:textId="77777777" w:rsidR="00E073E8" w:rsidRPr="00164BC3" w:rsidRDefault="00E073E8">
            <w:pPr>
              <w:pStyle w:val="TableText1"/>
              <w:keepNext/>
              <w:spacing w:after="0"/>
              <w:jc w:val="center"/>
            </w:pPr>
            <w:r w:rsidRPr="000D5BB5">
              <w:t>96.2 (94.2 - 97.5)</w:t>
            </w:r>
          </w:p>
        </w:tc>
        <w:tc>
          <w:tcPr>
            <w:tcW w:w="2501" w:type="dxa"/>
            <w:tcBorders>
              <w:top w:val="nil"/>
              <w:left w:val="single" w:sz="4" w:space="0" w:color="auto"/>
              <w:bottom w:val="nil"/>
              <w:right w:val="single" w:sz="4" w:space="0" w:color="auto"/>
            </w:tcBorders>
          </w:tcPr>
          <w:p w14:paraId="355AB89E" w14:textId="77777777" w:rsidR="00E073E8" w:rsidRPr="00164BC3" w:rsidRDefault="00E073E8">
            <w:pPr>
              <w:pStyle w:val="TableText1"/>
              <w:keepNext/>
              <w:spacing w:after="0"/>
              <w:jc w:val="center"/>
            </w:pPr>
            <w:r w:rsidRPr="000D5BB5">
              <w:t>95.6 (93.4 - 97.0)</w:t>
            </w:r>
          </w:p>
        </w:tc>
      </w:tr>
      <w:tr w:rsidR="00E073E8" w:rsidRPr="00164BC3" w14:paraId="74B00FE8" w14:textId="77777777" w:rsidTr="00B40285">
        <w:trPr>
          <w:jc w:val="center"/>
        </w:trPr>
        <w:tc>
          <w:tcPr>
            <w:tcW w:w="3681" w:type="dxa"/>
            <w:tcBorders>
              <w:top w:val="nil"/>
              <w:left w:val="single" w:sz="4" w:space="0" w:color="auto"/>
              <w:bottom w:val="nil"/>
              <w:right w:val="single" w:sz="4" w:space="0" w:color="auto"/>
            </w:tcBorders>
          </w:tcPr>
          <w:p w14:paraId="083B4710" w14:textId="77777777" w:rsidR="00E073E8" w:rsidRPr="00164BC3" w:rsidRDefault="00E073E8">
            <w:pPr>
              <w:pStyle w:val="TableText1"/>
              <w:keepNext/>
              <w:spacing w:after="0"/>
              <w:ind w:left="308"/>
            </w:pPr>
            <w:r w:rsidRPr="00164BC3">
              <w:t xml:space="preserve">At month 24 </w:t>
            </w:r>
          </w:p>
        </w:tc>
        <w:tc>
          <w:tcPr>
            <w:tcW w:w="2835" w:type="dxa"/>
            <w:tcBorders>
              <w:top w:val="nil"/>
              <w:left w:val="single" w:sz="4" w:space="0" w:color="auto"/>
              <w:bottom w:val="nil"/>
              <w:right w:val="single" w:sz="4" w:space="0" w:color="auto"/>
            </w:tcBorders>
          </w:tcPr>
          <w:p w14:paraId="6521DCCB" w14:textId="77777777" w:rsidR="00E073E8" w:rsidRPr="00164BC3" w:rsidRDefault="00E073E8">
            <w:pPr>
              <w:pStyle w:val="TableText1"/>
              <w:keepNext/>
              <w:spacing w:after="0"/>
              <w:jc w:val="center"/>
            </w:pPr>
            <w:r w:rsidRPr="000D5BB5">
              <w:t>89.5 (86.6 - 91.9)</w:t>
            </w:r>
          </w:p>
        </w:tc>
        <w:tc>
          <w:tcPr>
            <w:tcW w:w="2501" w:type="dxa"/>
            <w:tcBorders>
              <w:top w:val="nil"/>
              <w:left w:val="single" w:sz="4" w:space="0" w:color="auto"/>
              <w:bottom w:val="nil"/>
              <w:right w:val="single" w:sz="4" w:space="0" w:color="auto"/>
            </w:tcBorders>
          </w:tcPr>
          <w:p w14:paraId="5F20497C" w14:textId="77777777" w:rsidR="00E073E8" w:rsidRPr="00164BC3" w:rsidRDefault="00E073E8">
            <w:pPr>
              <w:pStyle w:val="TableText1"/>
              <w:keepNext/>
              <w:spacing w:after="0"/>
              <w:jc w:val="center"/>
            </w:pPr>
            <w:r w:rsidRPr="000D5BB5">
              <w:t>86.5 (83.3 - 89.2)</w:t>
            </w:r>
          </w:p>
        </w:tc>
      </w:tr>
      <w:tr w:rsidR="00E073E8" w:rsidRPr="00164BC3" w14:paraId="13F56408" w14:textId="77777777" w:rsidTr="00B40285">
        <w:trPr>
          <w:jc w:val="center"/>
        </w:trPr>
        <w:tc>
          <w:tcPr>
            <w:tcW w:w="3681" w:type="dxa"/>
            <w:tcBorders>
              <w:top w:val="nil"/>
              <w:left w:val="single" w:sz="4" w:space="0" w:color="auto"/>
              <w:bottom w:val="nil"/>
              <w:right w:val="single" w:sz="4" w:space="0" w:color="auto"/>
            </w:tcBorders>
          </w:tcPr>
          <w:p w14:paraId="215F2CC5" w14:textId="77777777" w:rsidR="00E073E8" w:rsidRPr="00164BC3" w:rsidRDefault="00E073E8">
            <w:pPr>
              <w:pStyle w:val="TableText1"/>
              <w:keepNext/>
              <w:spacing w:after="0"/>
              <w:ind w:left="308"/>
            </w:pPr>
            <w:r w:rsidRPr="00164BC3">
              <w:t xml:space="preserve">At month 36 </w:t>
            </w:r>
          </w:p>
        </w:tc>
        <w:tc>
          <w:tcPr>
            <w:tcW w:w="2835" w:type="dxa"/>
            <w:tcBorders>
              <w:top w:val="nil"/>
              <w:left w:val="single" w:sz="4" w:space="0" w:color="auto"/>
              <w:bottom w:val="nil"/>
              <w:right w:val="single" w:sz="4" w:space="0" w:color="auto"/>
            </w:tcBorders>
          </w:tcPr>
          <w:p w14:paraId="5B455436" w14:textId="77777777" w:rsidR="00E073E8" w:rsidRPr="00164BC3" w:rsidRDefault="00E073E8">
            <w:pPr>
              <w:pStyle w:val="TableText1"/>
              <w:keepNext/>
              <w:spacing w:after="0"/>
              <w:jc w:val="center"/>
            </w:pPr>
            <w:r w:rsidRPr="000D5BB5">
              <w:t>82.2 (78.7 - 85.2)</w:t>
            </w:r>
          </w:p>
        </w:tc>
        <w:tc>
          <w:tcPr>
            <w:tcW w:w="2501" w:type="dxa"/>
            <w:tcBorders>
              <w:top w:val="nil"/>
              <w:left w:val="single" w:sz="4" w:space="0" w:color="auto"/>
              <w:bottom w:val="nil"/>
              <w:right w:val="single" w:sz="4" w:space="0" w:color="auto"/>
            </w:tcBorders>
          </w:tcPr>
          <w:p w14:paraId="0DBC82DF" w14:textId="77777777" w:rsidR="00E073E8" w:rsidRPr="00164BC3" w:rsidRDefault="00E073E8">
            <w:pPr>
              <w:pStyle w:val="TableText1"/>
              <w:keepNext/>
              <w:spacing w:after="0"/>
              <w:jc w:val="center"/>
            </w:pPr>
            <w:r w:rsidRPr="000D5BB5">
              <w:t>75.2 (71.3 - 78.8)</w:t>
            </w:r>
          </w:p>
        </w:tc>
      </w:tr>
      <w:tr w:rsidR="00E073E8" w:rsidRPr="00164BC3" w14:paraId="251D66BA" w14:textId="77777777" w:rsidTr="00B40285">
        <w:trPr>
          <w:jc w:val="center"/>
        </w:trPr>
        <w:tc>
          <w:tcPr>
            <w:tcW w:w="3681" w:type="dxa"/>
            <w:tcBorders>
              <w:top w:val="nil"/>
              <w:left w:val="single" w:sz="4" w:space="0" w:color="auto"/>
              <w:bottom w:val="nil"/>
              <w:right w:val="single" w:sz="4" w:space="0" w:color="auto"/>
            </w:tcBorders>
          </w:tcPr>
          <w:p w14:paraId="480B312A" w14:textId="77777777" w:rsidR="00E073E8" w:rsidRPr="00164BC3" w:rsidRDefault="00E073E8">
            <w:pPr>
              <w:pStyle w:val="TableText1"/>
              <w:keepNext/>
              <w:spacing w:after="0"/>
              <w:ind w:left="308"/>
            </w:pPr>
            <w:r w:rsidRPr="00164BC3">
              <w:t xml:space="preserve">At month 48 </w:t>
            </w:r>
          </w:p>
        </w:tc>
        <w:tc>
          <w:tcPr>
            <w:tcW w:w="2835" w:type="dxa"/>
            <w:tcBorders>
              <w:top w:val="nil"/>
              <w:left w:val="single" w:sz="4" w:space="0" w:color="auto"/>
              <w:bottom w:val="nil"/>
              <w:right w:val="single" w:sz="4" w:space="0" w:color="auto"/>
            </w:tcBorders>
          </w:tcPr>
          <w:p w14:paraId="706A032E" w14:textId="77777777" w:rsidR="00E073E8" w:rsidRPr="00164BC3" w:rsidRDefault="00E073E8">
            <w:pPr>
              <w:pStyle w:val="TableText1"/>
              <w:keepNext/>
              <w:spacing w:after="0"/>
              <w:jc w:val="center"/>
            </w:pPr>
            <w:r w:rsidRPr="000D5BB5">
              <w:t>76.6 (72.7 - 80.0)</w:t>
            </w:r>
          </w:p>
        </w:tc>
        <w:tc>
          <w:tcPr>
            <w:tcW w:w="2501" w:type="dxa"/>
            <w:tcBorders>
              <w:top w:val="nil"/>
              <w:left w:val="single" w:sz="4" w:space="0" w:color="auto"/>
              <w:bottom w:val="nil"/>
              <w:right w:val="single" w:sz="4" w:space="0" w:color="auto"/>
            </w:tcBorders>
          </w:tcPr>
          <w:p w14:paraId="2E08DD45" w14:textId="77777777" w:rsidR="00E073E8" w:rsidRPr="00164BC3" w:rsidRDefault="00E073E8">
            <w:pPr>
              <w:pStyle w:val="TableText1"/>
              <w:keepNext/>
              <w:spacing w:after="0"/>
              <w:jc w:val="center"/>
            </w:pPr>
            <w:r w:rsidRPr="000D5BB5">
              <w:t>69.8 (65.5 - 73.6)</w:t>
            </w:r>
          </w:p>
        </w:tc>
      </w:tr>
      <w:tr w:rsidR="00E073E8" w:rsidRPr="00164BC3" w14:paraId="199CAE97" w14:textId="77777777" w:rsidTr="00B40285">
        <w:trPr>
          <w:jc w:val="center"/>
        </w:trPr>
        <w:tc>
          <w:tcPr>
            <w:tcW w:w="3681" w:type="dxa"/>
            <w:tcBorders>
              <w:top w:val="nil"/>
              <w:left w:val="single" w:sz="4" w:space="0" w:color="auto"/>
              <w:bottom w:val="single" w:sz="4" w:space="0" w:color="auto"/>
              <w:right w:val="single" w:sz="4" w:space="0" w:color="auto"/>
            </w:tcBorders>
          </w:tcPr>
          <w:p w14:paraId="73FAAC0F" w14:textId="77777777" w:rsidR="00E073E8" w:rsidRPr="00164BC3" w:rsidRDefault="00E073E8">
            <w:pPr>
              <w:pStyle w:val="TableText1"/>
              <w:keepNext/>
              <w:spacing w:after="0"/>
              <w:ind w:left="308"/>
            </w:pPr>
            <w:r w:rsidRPr="00164BC3">
              <w:t>At month 60</w:t>
            </w:r>
          </w:p>
        </w:tc>
        <w:tc>
          <w:tcPr>
            <w:tcW w:w="2835" w:type="dxa"/>
            <w:tcBorders>
              <w:top w:val="nil"/>
              <w:left w:val="single" w:sz="4" w:space="0" w:color="auto"/>
              <w:bottom w:val="single" w:sz="4" w:space="0" w:color="auto"/>
              <w:right w:val="single" w:sz="4" w:space="0" w:color="auto"/>
            </w:tcBorders>
          </w:tcPr>
          <w:p w14:paraId="72A7A804" w14:textId="77777777" w:rsidR="00E073E8" w:rsidRPr="00164BC3" w:rsidRDefault="00E073E8">
            <w:pPr>
              <w:pStyle w:val="TableText1"/>
              <w:keepNext/>
              <w:spacing w:after="0"/>
              <w:jc w:val="center"/>
            </w:pPr>
            <w:r w:rsidRPr="000D5BB5">
              <w:t>71.1 (66.3 - 75.3)</w:t>
            </w:r>
          </w:p>
        </w:tc>
        <w:tc>
          <w:tcPr>
            <w:tcW w:w="2501" w:type="dxa"/>
            <w:tcBorders>
              <w:top w:val="nil"/>
              <w:left w:val="single" w:sz="4" w:space="0" w:color="auto"/>
              <w:bottom w:val="single" w:sz="4" w:space="0" w:color="auto"/>
              <w:right w:val="single" w:sz="4" w:space="0" w:color="auto"/>
            </w:tcBorders>
          </w:tcPr>
          <w:p w14:paraId="24E5A94D" w14:textId="77777777" w:rsidR="00E073E8" w:rsidRPr="00164BC3" w:rsidRDefault="00E073E8">
            <w:pPr>
              <w:pStyle w:val="TableText1"/>
              <w:keepNext/>
              <w:spacing w:after="0"/>
              <w:jc w:val="center"/>
            </w:pPr>
            <w:r w:rsidRPr="000D5BB5">
              <w:t>63.9 (58.9 - 68.5)</w:t>
            </w:r>
          </w:p>
        </w:tc>
      </w:tr>
    </w:tbl>
    <w:p w14:paraId="2AE29280" w14:textId="77777777" w:rsidR="00E073E8" w:rsidRDefault="00E073E8" w:rsidP="00E073E8">
      <w:pPr>
        <w:rPr>
          <w:rFonts w:ascii="Arial Narrow" w:hAnsi="Arial Narrow"/>
          <w:sz w:val="18"/>
          <w:szCs w:val="18"/>
          <w:lang w:val="en-US"/>
        </w:rPr>
      </w:pPr>
      <w:r w:rsidRPr="00606F3F">
        <w:rPr>
          <w:rFonts w:ascii="Arial Narrow" w:hAnsi="Arial Narrow"/>
          <w:sz w:val="18"/>
          <w:szCs w:val="18"/>
          <w:lang w:val="en-US"/>
        </w:rPr>
        <w:t xml:space="preserve">Source: Table 2-17, p62 of the submission; Table 24, p111 of the </w:t>
      </w:r>
      <w:r w:rsidRPr="00733C0B">
        <w:rPr>
          <w:rFonts w:ascii="Arial Narrow" w:hAnsi="Arial Narrow"/>
          <w:sz w:val="18"/>
          <w:szCs w:val="18"/>
        </w:rPr>
        <w:t>NIAGARA Clinical Study Report (CSR</w:t>
      </w:r>
      <w:r>
        <w:rPr>
          <w:rFonts w:ascii="Arial Narrow" w:hAnsi="Arial Narrow"/>
          <w:sz w:val="18"/>
          <w:szCs w:val="18"/>
          <w:lang w:val="en-US"/>
        </w:rPr>
        <w:t>)</w:t>
      </w:r>
    </w:p>
    <w:p w14:paraId="511B0274" w14:textId="4488ADF1" w:rsidR="00E073E8" w:rsidRDefault="00E073E8" w:rsidP="00E073E8">
      <w:pPr>
        <w:rPr>
          <w:rFonts w:ascii="Arial Narrow" w:hAnsi="Arial Narrow"/>
          <w:sz w:val="18"/>
          <w:szCs w:val="18"/>
        </w:rPr>
      </w:pPr>
      <w:r w:rsidRPr="00974B87">
        <w:rPr>
          <w:rFonts w:ascii="Arial Narrow" w:hAnsi="Arial Narrow"/>
          <w:sz w:val="18"/>
          <w:szCs w:val="18"/>
        </w:rPr>
        <w:t xml:space="preserve">CI = confidence interval; </w:t>
      </w:r>
      <w:r>
        <w:rPr>
          <w:rFonts w:ascii="Arial Narrow" w:hAnsi="Arial Narrow"/>
          <w:sz w:val="18"/>
          <w:szCs w:val="18"/>
        </w:rPr>
        <w:t xml:space="preserve">DURVA = durvalumab; </w:t>
      </w:r>
      <w:r w:rsidRPr="00974B87">
        <w:rPr>
          <w:rFonts w:ascii="Arial Narrow" w:hAnsi="Arial Narrow"/>
          <w:sz w:val="18"/>
          <w:szCs w:val="18"/>
        </w:rPr>
        <w:t>FAS = final analysis set; GC = gemcitabine + cisplatin;</w:t>
      </w:r>
      <w:r>
        <w:rPr>
          <w:rFonts w:ascii="Arial Narrow" w:hAnsi="Arial Narrow"/>
          <w:sz w:val="18"/>
          <w:szCs w:val="18"/>
        </w:rPr>
        <w:t xml:space="preserve"> IA = interim analysis; NR = not reached; OS = overall survival;</w:t>
      </w:r>
      <w:r w:rsidRPr="0041701F">
        <w:rPr>
          <w:rFonts w:ascii="Arial Narrow" w:hAnsi="Arial Narrow"/>
          <w:sz w:val="18"/>
          <w:szCs w:val="18"/>
        </w:rPr>
        <w:t xml:space="preserve"> </w:t>
      </w:r>
      <w:r>
        <w:rPr>
          <w:rFonts w:ascii="Arial Narrow" w:hAnsi="Arial Narrow"/>
          <w:sz w:val="18"/>
          <w:szCs w:val="18"/>
        </w:rPr>
        <w:t>N = number of patients.</w:t>
      </w:r>
    </w:p>
    <w:p w14:paraId="143A00B3" w14:textId="77777777" w:rsidR="00E073E8" w:rsidRPr="005E2A24" w:rsidRDefault="00E073E8" w:rsidP="00E073E8">
      <w:pPr>
        <w:rPr>
          <w:rFonts w:ascii="Arial Narrow" w:hAnsi="Arial Narrow"/>
          <w:sz w:val="18"/>
          <w:szCs w:val="18"/>
          <w:lang w:val="en-US"/>
        </w:rPr>
      </w:pPr>
      <w:r w:rsidRPr="005E2A24">
        <w:rPr>
          <w:rFonts w:ascii="Arial Narrow" w:hAnsi="Arial Narrow"/>
          <w:sz w:val="18"/>
          <w:szCs w:val="18"/>
          <w:vertAlign w:val="superscript"/>
          <w:lang w:val="en-US"/>
        </w:rPr>
        <w:t>a</w:t>
      </w:r>
      <w:r w:rsidRPr="005E2A24">
        <w:rPr>
          <w:rFonts w:ascii="Arial Narrow" w:hAnsi="Arial Narrow"/>
          <w:sz w:val="18"/>
          <w:szCs w:val="18"/>
          <w:lang w:val="en-US"/>
        </w:rPr>
        <w:t xml:space="preserve"> Data based on Table 24, p111 of the NIAGARA CSR. In the submission, the median OS in the GC arm was written as ‘46.1 months’ which is incorrect and is inconsistent with the data presented in the KM curve of OS for the GC arm.</w:t>
      </w:r>
    </w:p>
    <w:p w14:paraId="10397D5D" w14:textId="77777777" w:rsidR="00E073E8" w:rsidRPr="00974B87" w:rsidRDefault="00E073E8" w:rsidP="00E073E8">
      <w:pPr>
        <w:rPr>
          <w:rFonts w:ascii="Arial Narrow" w:hAnsi="Arial Narrow"/>
          <w:sz w:val="18"/>
          <w:szCs w:val="18"/>
          <w:lang w:val="en-US"/>
        </w:rPr>
      </w:pPr>
      <w:r w:rsidRPr="00225065">
        <w:rPr>
          <w:rFonts w:ascii="Arial Narrow" w:hAnsi="Arial Narrow"/>
          <w:sz w:val="18"/>
          <w:szCs w:val="18"/>
          <w:vertAlign w:val="superscript"/>
          <w:lang w:val="en-US"/>
        </w:rPr>
        <w:t>b</w:t>
      </w:r>
      <w:r>
        <w:rPr>
          <w:rFonts w:ascii="Arial Narrow" w:hAnsi="Arial Narrow"/>
          <w:sz w:val="18"/>
          <w:szCs w:val="18"/>
          <w:lang w:val="en-US"/>
        </w:rPr>
        <w:t xml:space="preserve"> </w:t>
      </w:r>
      <w:r w:rsidRPr="00974B87">
        <w:rPr>
          <w:rFonts w:ascii="Arial Narrow" w:hAnsi="Arial Narrow"/>
          <w:sz w:val="18"/>
          <w:szCs w:val="18"/>
          <w:lang w:val="en-US"/>
        </w:rPr>
        <w:t xml:space="preserve">Based on stratified Cox PH model; the stratification factors were renal function (adequate vs borderline), tumor stage (T2N0 vs &gt; T2N0), and PD-L1 status (high vs low/negative) per </w:t>
      </w:r>
      <w:r w:rsidRPr="00F21B0F">
        <w:rPr>
          <w:rFonts w:ascii="Arial Narrow" w:hAnsi="Arial Narrow"/>
          <w:sz w:val="18"/>
          <w:szCs w:val="18"/>
        </w:rPr>
        <w:t>interactive voice response system</w:t>
      </w:r>
      <w:r w:rsidRPr="00974B87">
        <w:rPr>
          <w:rFonts w:ascii="Arial Narrow" w:hAnsi="Arial Narrow"/>
          <w:sz w:val="18"/>
          <w:szCs w:val="18"/>
          <w:lang w:val="en-US"/>
        </w:rPr>
        <w:t>, with ties handled by the Efron approach.</w:t>
      </w:r>
    </w:p>
    <w:p w14:paraId="088B2451" w14:textId="77777777" w:rsidR="00E073E8" w:rsidRDefault="00E073E8" w:rsidP="00E073E8">
      <w:pPr>
        <w:rPr>
          <w:rFonts w:ascii="Arial Narrow" w:hAnsi="Arial Narrow"/>
          <w:sz w:val="18"/>
          <w:szCs w:val="18"/>
          <w:lang w:val="en-US"/>
        </w:rPr>
      </w:pPr>
      <w:r w:rsidRPr="00225065">
        <w:rPr>
          <w:rFonts w:ascii="Arial Narrow" w:hAnsi="Arial Narrow"/>
          <w:sz w:val="18"/>
          <w:szCs w:val="18"/>
          <w:vertAlign w:val="superscript"/>
          <w:lang w:val="en-US"/>
        </w:rPr>
        <w:t>c</w:t>
      </w:r>
      <w:r>
        <w:rPr>
          <w:rFonts w:ascii="Arial Narrow" w:hAnsi="Arial Narrow"/>
          <w:sz w:val="18"/>
          <w:szCs w:val="18"/>
          <w:lang w:val="en-US"/>
        </w:rPr>
        <w:t xml:space="preserve"> </w:t>
      </w:r>
      <w:r w:rsidRPr="00974B87">
        <w:rPr>
          <w:rFonts w:ascii="Arial Narrow" w:hAnsi="Arial Narrow"/>
          <w:sz w:val="18"/>
          <w:szCs w:val="18"/>
          <w:lang w:val="en-US"/>
        </w:rPr>
        <w:t xml:space="preserve">A hazard ratio &lt; 1 favors </w:t>
      </w:r>
      <w:r>
        <w:rPr>
          <w:rFonts w:ascii="Arial Narrow" w:hAnsi="Arial Narrow"/>
          <w:sz w:val="18"/>
          <w:szCs w:val="18"/>
          <w:lang w:val="en-US"/>
        </w:rPr>
        <w:t xml:space="preserve">durvalumab + </w:t>
      </w:r>
      <w:r w:rsidRPr="00974B87">
        <w:rPr>
          <w:rFonts w:ascii="Arial Narrow" w:hAnsi="Arial Narrow"/>
          <w:sz w:val="18"/>
          <w:szCs w:val="18"/>
          <w:lang w:val="en-US"/>
        </w:rPr>
        <w:t xml:space="preserve">GC </w:t>
      </w:r>
      <w:r>
        <w:rPr>
          <w:rFonts w:ascii="Arial Narrow" w:hAnsi="Arial Narrow"/>
          <w:sz w:val="18"/>
          <w:szCs w:val="18"/>
          <w:lang w:val="en-US"/>
        </w:rPr>
        <w:t>and was</w:t>
      </w:r>
      <w:r w:rsidRPr="00974B87">
        <w:rPr>
          <w:rFonts w:ascii="Arial Narrow" w:hAnsi="Arial Narrow"/>
          <w:sz w:val="18"/>
          <w:szCs w:val="18"/>
          <w:lang w:val="en-US"/>
        </w:rPr>
        <w:t xml:space="preserve"> associated with a longer OS than GC. </w:t>
      </w:r>
    </w:p>
    <w:p w14:paraId="5CFCEE7F" w14:textId="77777777" w:rsidR="00E073E8" w:rsidRPr="00974B87" w:rsidRDefault="00E073E8" w:rsidP="00E073E8">
      <w:pPr>
        <w:rPr>
          <w:rFonts w:ascii="Arial Narrow" w:hAnsi="Arial Narrow"/>
          <w:sz w:val="18"/>
          <w:szCs w:val="18"/>
          <w:lang w:val="en-US"/>
        </w:rPr>
      </w:pPr>
      <w:r w:rsidRPr="00C538C8">
        <w:rPr>
          <w:rFonts w:ascii="Arial Narrow" w:hAnsi="Arial Narrow"/>
          <w:sz w:val="18"/>
          <w:szCs w:val="18"/>
          <w:vertAlign w:val="superscript"/>
          <w:lang w:val="en-US"/>
        </w:rPr>
        <w:t>d</w:t>
      </w:r>
      <w:r>
        <w:rPr>
          <w:rFonts w:ascii="Arial Narrow" w:hAnsi="Arial Narrow"/>
          <w:sz w:val="18"/>
          <w:szCs w:val="18"/>
          <w:vertAlign w:val="superscript"/>
          <w:lang w:val="en-US"/>
        </w:rPr>
        <w:t xml:space="preserve"> </w:t>
      </w:r>
      <w:r w:rsidRPr="00C538C8">
        <w:rPr>
          <w:rFonts w:ascii="Arial Narrow" w:hAnsi="Arial Narrow"/>
          <w:sz w:val="18"/>
          <w:szCs w:val="18"/>
          <w:lang w:val="en-US"/>
        </w:rPr>
        <w:t>Based on a stratified log-rank test, and the stratification factors are the same as the ones indicated in</w:t>
      </w:r>
      <w:r>
        <w:rPr>
          <w:rFonts w:ascii="Arial Narrow" w:hAnsi="Arial Narrow"/>
          <w:sz w:val="18"/>
          <w:szCs w:val="18"/>
          <w:lang w:val="en-US"/>
        </w:rPr>
        <w:t xml:space="preserve"> </w:t>
      </w:r>
      <w:r w:rsidRPr="00C538C8">
        <w:rPr>
          <w:rFonts w:ascii="Arial Narrow" w:hAnsi="Arial Narrow"/>
          <w:sz w:val="18"/>
          <w:szCs w:val="18"/>
          <w:vertAlign w:val="superscript"/>
          <w:lang w:val="en-US"/>
        </w:rPr>
        <w:t>b</w:t>
      </w:r>
    </w:p>
    <w:p w14:paraId="6E566B61" w14:textId="77777777" w:rsidR="00E073E8" w:rsidRDefault="00E073E8" w:rsidP="00E073E8">
      <w:pPr>
        <w:rPr>
          <w:rFonts w:ascii="Arial Narrow" w:hAnsi="Arial Narrow"/>
          <w:sz w:val="18"/>
          <w:szCs w:val="18"/>
          <w:lang w:val="en-US"/>
        </w:rPr>
      </w:pPr>
      <w:r>
        <w:rPr>
          <w:rFonts w:ascii="Arial Narrow" w:hAnsi="Arial Narrow"/>
          <w:sz w:val="18"/>
          <w:szCs w:val="18"/>
          <w:vertAlign w:val="superscript"/>
          <w:lang w:val="en-US"/>
        </w:rPr>
        <w:t>e</w:t>
      </w:r>
      <w:r>
        <w:rPr>
          <w:rFonts w:ascii="Arial Narrow" w:hAnsi="Arial Narrow"/>
          <w:sz w:val="18"/>
          <w:szCs w:val="18"/>
          <w:lang w:val="en-US"/>
        </w:rPr>
        <w:t xml:space="preserve"> </w:t>
      </w:r>
      <w:r w:rsidRPr="00974B87">
        <w:rPr>
          <w:rFonts w:ascii="Arial Narrow" w:hAnsi="Arial Narrow"/>
          <w:sz w:val="18"/>
          <w:szCs w:val="18"/>
          <w:lang w:val="en-US"/>
        </w:rPr>
        <w:t>Calculated using the Kaplan-Meier technique.</w:t>
      </w:r>
    </w:p>
    <w:p w14:paraId="04626200" w14:textId="77777777" w:rsidR="00E073E8" w:rsidRDefault="00E073E8" w:rsidP="00E073E8">
      <w:pPr>
        <w:pStyle w:val="TableFigureFooter"/>
        <w:rPr>
          <w:color w:val="000000" w:themeColor="text1"/>
        </w:rPr>
      </w:pPr>
      <w:r>
        <w:t>Data cutoff: 29 April 2024</w:t>
      </w:r>
    </w:p>
    <w:p w14:paraId="4D5653EB" w14:textId="4E918020" w:rsidR="00E073E8" w:rsidRDefault="00E073E8" w:rsidP="00E073E8">
      <w:pPr>
        <w:pStyle w:val="Caption"/>
      </w:pPr>
      <w:bookmarkStart w:id="54" w:name="_Ref207444569"/>
      <w:r>
        <w:lastRenderedPageBreak/>
        <w:t xml:space="preserve">Figure </w:t>
      </w:r>
      <w:r w:rsidR="0077772B">
        <w:fldChar w:fldCharType="begin"/>
      </w:r>
      <w:r w:rsidR="0077772B">
        <w:instrText xml:space="preserve"> SEQ Figure \* ARABIC </w:instrText>
      </w:r>
      <w:r w:rsidR="0077772B">
        <w:fldChar w:fldCharType="separate"/>
      </w:r>
      <w:r w:rsidR="005731FF">
        <w:rPr>
          <w:noProof/>
        </w:rPr>
        <w:t>2</w:t>
      </w:r>
      <w:r w:rsidR="0077772B">
        <w:rPr>
          <w:noProof/>
        </w:rPr>
        <w:fldChar w:fldCharType="end"/>
      </w:r>
      <w:bookmarkEnd w:id="54"/>
      <w:r>
        <w:t>: Kaplan-Meier plot of OS in NIAGARA (IA-2, FAS)</w:t>
      </w:r>
    </w:p>
    <w:p w14:paraId="03DE47E0" w14:textId="77777777" w:rsidR="00E073E8" w:rsidRDefault="00E073E8" w:rsidP="00E073E8">
      <w:pPr>
        <w:rPr>
          <w:rFonts w:ascii="Arial Narrow" w:hAnsi="Arial Narrow"/>
          <w:sz w:val="18"/>
          <w:szCs w:val="18"/>
          <w:lang w:val="en-US"/>
        </w:rPr>
      </w:pPr>
      <w:r>
        <w:rPr>
          <w:rFonts w:ascii="Arial Narrow" w:hAnsi="Arial Narrow"/>
          <w:noProof/>
          <w:sz w:val="18"/>
          <w:szCs w:val="18"/>
          <w:lang w:val="en-US"/>
        </w:rPr>
        <w:drawing>
          <wp:inline distT="0" distB="0" distL="0" distR="0" wp14:anchorId="7E46F00B" wp14:editId="5B23F792">
            <wp:extent cx="5704764" cy="2767364"/>
            <wp:effectExtent l="0" t="0" r="0" b="0"/>
            <wp:docPr id="1998909059" name="Picture 1" descr="Figure 2: Kaplan-Meier plot of OS in NIAGARA (IA-2,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09059" name="Picture 1" descr="Figure 2: Kaplan-Meier plot of OS in NIAGARA (IA-2, F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323" cy="2767635"/>
                    </a:xfrm>
                    <a:prstGeom prst="rect">
                      <a:avLst/>
                    </a:prstGeom>
                    <a:noFill/>
                  </pic:spPr>
                </pic:pic>
              </a:graphicData>
            </a:graphic>
          </wp:inline>
        </w:drawing>
      </w:r>
    </w:p>
    <w:p w14:paraId="01780644" w14:textId="77777777" w:rsidR="00E073E8" w:rsidRDefault="00E073E8" w:rsidP="00E073E8">
      <w:pPr>
        <w:rPr>
          <w:rFonts w:ascii="Arial Narrow" w:hAnsi="Arial Narrow"/>
          <w:sz w:val="18"/>
          <w:szCs w:val="18"/>
          <w:lang w:val="en-US"/>
        </w:rPr>
      </w:pPr>
      <w:r>
        <w:rPr>
          <w:rFonts w:ascii="Arial Narrow" w:hAnsi="Arial Narrow"/>
          <w:sz w:val="18"/>
          <w:szCs w:val="18"/>
          <w:lang w:val="en-US"/>
        </w:rPr>
        <w:t>Source: Figure 2-4, p62 of the submission; Figure 9, p112 of the NIAGARA Clinical Study Report</w:t>
      </w:r>
    </w:p>
    <w:p w14:paraId="7495006B" w14:textId="77777777" w:rsidR="00E073E8" w:rsidRDefault="00E073E8" w:rsidP="00E073E8">
      <w:pPr>
        <w:pStyle w:val="TableFigureFooter"/>
      </w:pPr>
      <w:r>
        <w:rPr>
          <w:szCs w:val="18"/>
          <w:lang w:val="en-US"/>
        </w:rPr>
        <w:t xml:space="preserve">CI = confidence interval; HR = hazard ratio; </w:t>
      </w:r>
      <w:r>
        <w:t>IA = interim analysis; OS = overall survival</w:t>
      </w:r>
    </w:p>
    <w:p w14:paraId="133DFF0A" w14:textId="77777777" w:rsidR="00E073E8" w:rsidRDefault="00E073E8" w:rsidP="00E073E8">
      <w:pPr>
        <w:pStyle w:val="TableFigureFooter"/>
        <w:rPr>
          <w:color w:val="000000" w:themeColor="text1"/>
        </w:rPr>
      </w:pPr>
      <w:r>
        <w:t>Data cutoff: 29 April 2024</w:t>
      </w:r>
    </w:p>
    <w:p w14:paraId="4C6DCC84" w14:textId="728D4091" w:rsidR="00E073E8" w:rsidRPr="005E2A24" w:rsidRDefault="00E073E8" w:rsidP="00E073E8">
      <w:pPr>
        <w:pStyle w:val="3-BodyText"/>
        <w:rPr>
          <w:color w:val="000000" w:themeColor="text1"/>
        </w:rPr>
      </w:pPr>
      <w:r w:rsidRPr="005E2A24">
        <w:rPr>
          <w:color w:val="000000" w:themeColor="text1"/>
        </w:rPr>
        <w:t xml:space="preserve">The OS data were immature at the IA-2 data cut off (DCO) and </w:t>
      </w:r>
      <w:r w:rsidR="00E83E8E">
        <w:rPr>
          <w:color w:val="000000" w:themeColor="text1"/>
        </w:rPr>
        <w:t>m</w:t>
      </w:r>
      <w:r w:rsidRPr="005E2A24">
        <w:rPr>
          <w:color w:val="000000" w:themeColor="text1"/>
        </w:rPr>
        <w:t>edian OS was not reached for either treatment arm. The OS KM curves of the two treatment arms separated from approximately Month 7 and remained separated throughout the evaluation period when there were reasonable number of patients remaining at risk.</w:t>
      </w:r>
    </w:p>
    <w:p w14:paraId="2B4BD266" w14:textId="3F9E249F" w:rsidR="00E073E8" w:rsidRPr="00901D18" w:rsidRDefault="00E073E8" w:rsidP="00901D18">
      <w:pPr>
        <w:pStyle w:val="3-BodyText"/>
        <w:rPr>
          <w:color w:val="000000" w:themeColor="text1"/>
        </w:rPr>
      </w:pPr>
      <w:r>
        <w:t>M</w:t>
      </w:r>
      <w:r w:rsidRPr="00DF1914">
        <w:t>etastasis-free survival</w:t>
      </w:r>
      <w:r>
        <w:rPr>
          <w:color w:val="000000" w:themeColor="text1"/>
        </w:rPr>
        <w:t xml:space="preserve"> (MFS) </w:t>
      </w:r>
      <w:r w:rsidRPr="00D14FAC">
        <w:rPr>
          <w:color w:val="000000" w:themeColor="text1"/>
        </w:rPr>
        <w:t>results in the FAS population of NIAGARA are summarised in</w:t>
      </w:r>
      <w:r>
        <w:rPr>
          <w:color w:val="000000" w:themeColor="text1"/>
        </w:rPr>
        <w:t xml:space="preserve"> </w:t>
      </w:r>
      <w:r w:rsidR="00360D26">
        <w:rPr>
          <w:color w:val="000000" w:themeColor="text1"/>
        </w:rPr>
        <w:fldChar w:fldCharType="begin"/>
      </w:r>
      <w:r w:rsidR="00360D26">
        <w:rPr>
          <w:color w:val="000000" w:themeColor="text1"/>
        </w:rPr>
        <w:instrText xml:space="preserve"> REF _Ref214453440 \h </w:instrText>
      </w:r>
      <w:r w:rsidR="00360D26">
        <w:rPr>
          <w:color w:val="000000" w:themeColor="text1"/>
        </w:rPr>
      </w:r>
      <w:r w:rsidR="00360D26">
        <w:rPr>
          <w:color w:val="000000" w:themeColor="text1"/>
        </w:rPr>
        <w:fldChar w:fldCharType="separate"/>
      </w:r>
      <w:r w:rsidR="005731FF">
        <w:t xml:space="preserve">Table </w:t>
      </w:r>
      <w:r w:rsidR="005731FF">
        <w:rPr>
          <w:noProof/>
        </w:rPr>
        <w:t>7</w:t>
      </w:r>
      <w:r w:rsidR="00360D26">
        <w:rPr>
          <w:color w:val="000000" w:themeColor="text1"/>
        </w:rPr>
        <w:fldChar w:fldCharType="end"/>
      </w:r>
      <w:r w:rsidR="00360D26">
        <w:rPr>
          <w:color w:val="000000" w:themeColor="text1"/>
        </w:rPr>
        <w:t xml:space="preserve"> </w:t>
      </w:r>
      <w:r>
        <w:rPr>
          <w:color w:val="000000" w:themeColor="text1"/>
        </w:rPr>
        <w:t xml:space="preserve">with corresponding KM plots presented in </w:t>
      </w:r>
      <w:r>
        <w:rPr>
          <w:color w:val="000000" w:themeColor="text1"/>
        </w:rPr>
        <w:fldChar w:fldCharType="begin"/>
      </w:r>
      <w:r>
        <w:rPr>
          <w:color w:val="000000" w:themeColor="text1"/>
        </w:rPr>
        <w:instrText xml:space="preserve"> REF _Ref207445834 \h </w:instrText>
      </w:r>
      <w:r>
        <w:rPr>
          <w:color w:val="000000" w:themeColor="text1"/>
        </w:rPr>
      </w:r>
      <w:r>
        <w:rPr>
          <w:color w:val="000000" w:themeColor="text1"/>
        </w:rPr>
        <w:fldChar w:fldCharType="separate"/>
      </w:r>
      <w:r w:rsidR="005731FF">
        <w:t xml:space="preserve">Figure </w:t>
      </w:r>
      <w:r w:rsidR="005731FF">
        <w:rPr>
          <w:noProof/>
        </w:rPr>
        <w:t>3</w:t>
      </w:r>
      <w:r>
        <w:rPr>
          <w:color w:val="000000" w:themeColor="text1"/>
        </w:rPr>
        <w:fldChar w:fldCharType="end"/>
      </w:r>
      <w:r>
        <w:rPr>
          <w:color w:val="000000" w:themeColor="text1"/>
        </w:rPr>
        <w:t>.</w:t>
      </w:r>
      <w:r w:rsidR="0050302A">
        <w:rPr>
          <w:color w:val="000000" w:themeColor="text1"/>
        </w:rPr>
        <w:t xml:space="preserve"> </w:t>
      </w:r>
      <w:r w:rsidR="0050302A" w:rsidRPr="005E2A24">
        <w:rPr>
          <w:color w:val="000000" w:themeColor="text1"/>
        </w:rPr>
        <w:t>The MFS endpoint was not included in the multiple testing procedure and therefore, the findings are considered descriptive.</w:t>
      </w:r>
    </w:p>
    <w:p w14:paraId="16D362DB" w14:textId="169F4421" w:rsidR="00E073E8" w:rsidRDefault="00FA0253" w:rsidP="00FA0253">
      <w:pPr>
        <w:pStyle w:val="Caption"/>
      </w:pPr>
      <w:bookmarkStart w:id="55" w:name="_Ref214453440"/>
      <w:r>
        <w:lastRenderedPageBreak/>
        <w:t xml:space="preserve">Table </w:t>
      </w:r>
      <w:r w:rsidR="0077772B">
        <w:fldChar w:fldCharType="begin"/>
      </w:r>
      <w:r w:rsidR="0077772B">
        <w:instrText xml:space="preserve"> SEQ Table \* ARABIC </w:instrText>
      </w:r>
      <w:r w:rsidR="0077772B">
        <w:fldChar w:fldCharType="separate"/>
      </w:r>
      <w:r w:rsidR="005731FF">
        <w:rPr>
          <w:noProof/>
        </w:rPr>
        <w:t>7</w:t>
      </w:r>
      <w:r w:rsidR="0077772B">
        <w:rPr>
          <w:noProof/>
        </w:rPr>
        <w:fldChar w:fldCharType="end"/>
      </w:r>
      <w:bookmarkEnd w:id="55"/>
      <w:r w:rsidR="00E073E8">
        <w:t xml:space="preserve">: </w:t>
      </w:r>
      <w:r w:rsidR="00E073E8" w:rsidRPr="00DF1914">
        <w:t>Results of MFS in NIAGARA (IA-2, FAS)</w:t>
      </w:r>
    </w:p>
    <w:tbl>
      <w:tblPr>
        <w:tblStyle w:val="TableGrid"/>
        <w:tblW w:w="0" w:type="auto"/>
        <w:jc w:val="center"/>
        <w:tblLook w:val="04A0" w:firstRow="1" w:lastRow="0" w:firstColumn="1" w:lastColumn="0" w:noHBand="0" w:noVBand="1"/>
        <w:tblCaption w:val="Table 7: Results of MFS in NIAGARA (IA-2, FAS)"/>
      </w:tblPr>
      <w:tblGrid>
        <w:gridCol w:w="3681"/>
        <w:gridCol w:w="2835"/>
        <w:gridCol w:w="2501"/>
      </w:tblGrid>
      <w:tr w:rsidR="00E073E8" w:rsidRPr="00DF1914" w14:paraId="510F25E9" w14:textId="77777777" w:rsidTr="008B5A65">
        <w:trPr>
          <w:jc w:val="center"/>
        </w:trPr>
        <w:tc>
          <w:tcPr>
            <w:tcW w:w="3681" w:type="dxa"/>
            <w:tcBorders>
              <w:top w:val="single" w:sz="4" w:space="0" w:color="auto"/>
              <w:left w:val="single" w:sz="4" w:space="0" w:color="auto"/>
              <w:bottom w:val="single" w:sz="4" w:space="0" w:color="auto"/>
              <w:right w:val="single" w:sz="4" w:space="0" w:color="auto"/>
            </w:tcBorders>
          </w:tcPr>
          <w:p w14:paraId="46843031" w14:textId="77777777" w:rsidR="00E073E8" w:rsidRPr="00DF1914" w:rsidRDefault="00E073E8" w:rsidP="00202F41">
            <w:pPr>
              <w:pStyle w:val="TableText1"/>
              <w:keepNext/>
              <w:keepLines/>
              <w:spacing w:after="0"/>
            </w:pPr>
          </w:p>
        </w:tc>
        <w:tc>
          <w:tcPr>
            <w:tcW w:w="2835" w:type="dxa"/>
            <w:tcBorders>
              <w:top w:val="single" w:sz="4" w:space="0" w:color="auto"/>
              <w:left w:val="single" w:sz="4" w:space="0" w:color="auto"/>
              <w:bottom w:val="single" w:sz="4" w:space="0" w:color="auto"/>
              <w:right w:val="single" w:sz="4" w:space="0" w:color="auto"/>
            </w:tcBorders>
          </w:tcPr>
          <w:p w14:paraId="5839B053" w14:textId="29C1ABD9" w:rsidR="00E073E8" w:rsidRPr="00DF1914" w:rsidRDefault="00E073E8" w:rsidP="00202F41">
            <w:pPr>
              <w:pStyle w:val="TableText1"/>
              <w:keepNext/>
              <w:keepLines/>
              <w:spacing w:after="0"/>
              <w:jc w:val="center"/>
              <w:rPr>
                <w:b/>
                <w:bCs/>
              </w:rPr>
            </w:pPr>
            <w:r w:rsidRPr="00DF1914">
              <w:rPr>
                <w:b/>
                <w:bCs/>
              </w:rPr>
              <w:t>DURVA + GC</w:t>
            </w:r>
          </w:p>
          <w:p w14:paraId="382E48E7" w14:textId="77777777" w:rsidR="00E073E8" w:rsidRPr="00DF1914" w:rsidRDefault="00E073E8" w:rsidP="00202F41">
            <w:pPr>
              <w:pStyle w:val="TableText1"/>
              <w:keepNext/>
              <w:keepLines/>
              <w:spacing w:after="0"/>
              <w:jc w:val="center"/>
              <w:rPr>
                <w:b/>
                <w:bCs/>
              </w:rPr>
            </w:pPr>
            <w:r w:rsidRPr="00DF1914">
              <w:rPr>
                <w:b/>
                <w:bCs/>
              </w:rPr>
              <w:t>N = 533</w:t>
            </w:r>
          </w:p>
        </w:tc>
        <w:tc>
          <w:tcPr>
            <w:tcW w:w="2501" w:type="dxa"/>
            <w:tcBorders>
              <w:top w:val="single" w:sz="4" w:space="0" w:color="auto"/>
              <w:left w:val="single" w:sz="4" w:space="0" w:color="auto"/>
              <w:bottom w:val="single" w:sz="4" w:space="0" w:color="auto"/>
              <w:right w:val="single" w:sz="4" w:space="0" w:color="auto"/>
            </w:tcBorders>
          </w:tcPr>
          <w:p w14:paraId="62AF9D35" w14:textId="77777777" w:rsidR="00E073E8" w:rsidRPr="00DF1914" w:rsidRDefault="00E073E8" w:rsidP="00202F41">
            <w:pPr>
              <w:pStyle w:val="TableText1"/>
              <w:keepNext/>
              <w:keepLines/>
              <w:spacing w:after="0"/>
              <w:jc w:val="center"/>
              <w:rPr>
                <w:b/>
                <w:bCs/>
              </w:rPr>
            </w:pPr>
            <w:r w:rsidRPr="00DF1914">
              <w:rPr>
                <w:b/>
                <w:bCs/>
              </w:rPr>
              <w:t>GC</w:t>
            </w:r>
          </w:p>
          <w:p w14:paraId="062EEB8D" w14:textId="77777777" w:rsidR="00E073E8" w:rsidRPr="00DF1914" w:rsidRDefault="00E073E8" w:rsidP="00202F41">
            <w:pPr>
              <w:pStyle w:val="TableText1"/>
              <w:keepNext/>
              <w:keepLines/>
              <w:spacing w:after="0"/>
              <w:jc w:val="center"/>
              <w:rPr>
                <w:b/>
                <w:bCs/>
              </w:rPr>
            </w:pPr>
            <w:r w:rsidRPr="00DF1914">
              <w:rPr>
                <w:b/>
                <w:bCs/>
              </w:rPr>
              <w:t>N = 530</w:t>
            </w:r>
          </w:p>
        </w:tc>
      </w:tr>
      <w:tr w:rsidR="00E073E8" w:rsidRPr="00DF1914" w14:paraId="3FCFBCF1" w14:textId="77777777" w:rsidTr="008B5A65">
        <w:trPr>
          <w:jc w:val="center"/>
        </w:trPr>
        <w:tc>
          <w:tcPr>
            <w:tcW w:w="3681" w:type="dxa"/>
            <w:tcBorders>
              <w:top w:val="single" w:sz="4" w:space="0" w:color="auto"/>
              <w:left w:val="single" w:sz="4" w:space="0" w:color="auto"/>
              <w:right w:val="single" w:sz="4" w:space="0" w:color="auto"/>
            </w:tcBorders>
          </w:tcPr>
          <w:p w14:paraId="4D2E437F" w14:textId="77777777" w:rsidR="00E073E8" w:rsidRPr="00DF1914" w:rsidRDefault="00E073E8" w:rsidP="00202F41">
            <w:pPr>
              <w:pStyle w:val="TableText1"/>
              <w:keepNext/>
              <w:keepLines/>
              <w:spacing w:after="0"/>
            </w:pPr>
            <w:r w:rsidRPr="00DF1914">
              <w:t>Number of events, n (%)</w:t>
            </w:r>
          </w:p>
        </w:tc>
        <w:tc>
          <w:tcPr>
            <w:tcW w:w="2835" w:type="dxa"/>
            <w:tcBorders>
              <w:top w:val="single" w:sz="4" w:space="0" w:color="auto"/>
              <w:left w:val="single" w:sz="4" w:space="0" w:color="auto"/>
              <w:right w:val="single" w:sz="4" w:space="0" w:color="auto"/>
            </w:tcBorders>
          </w:tcPr>
          <w:p w14:paraId="02E02F8A" w14:textId="77777777" w:rsidR="00E073E8" w:rsidRPr="00DF1914" w:rsidRDefault="00E073E8" w:rsidP="00202F41">
            <w:pPr>
              <w:pStyle w:val="TableText1"/>
              <w:keepNext/>
              <w:keepLines/>
              <w:spacing w:after="0"/>
              <w:jc w:val="center"/>
            </w:pPr>
            <w:r w:rsidRPr="00DF1914">
              <w:t>152 (28.5)</w:t>
            </w:r>
          </w:p>
        </w:tc>
        <w:tc>
          <w:tcPr>
            <w:tcW w:w="2501" w:type="dxa"/>
            <w:tcBorders>
              <w:top w:val="single" w:sz="4" w:space="0" w:color="auto"/>
              <w:left w:val="single" w:sz="4" w:space="0" w:color="auto"/>
              <w:right w:val="single" w:sz="4" w:space="0" w:color="auto"/>
            </w:tcBorders>
          </w:tcPr>
          <w:p w14:paraId="6D8C70C9" w14:textId="77777777" w:rsidR="00E073E8" w:rsidRPr="00DF1914" w:rsidRDefault="00E073E8" w:rsidP="00202F41">
            <w:pPr>
              <w:pStyle w:val="TableText1"/>
              <w:keepNext/>
              <w:keepLines/>
              <w:spacing w:after="0"/>
              <w:jc w:val="center"/>
            </w:pPr>
            <w:r w:rsidRPr="00DF1914">
              <w:t>201 (37.9)</w:t>
            </w:r>
          </w:p>
        </w:tc>
      </w:tr>
      <w:tr w:rsidR="00E073E8" w:rsidRPr="00DF1914" w14:paraId="54335385" w14:textId="77777777" w:rsidTr="008B5A65">
        <w:trPr>
          <w:jc w:val="center"/>
        </w:trPr>
        <w:tc>
          <w:tcPr>
            <w:tcW w:w="3681" w:type="dxa"/>
            <w:tcBorders>
              <w:left w:val="single" w:sz="4" w:space="0" w:color="auto"/>
              <w:right w:val="single" w:sz="4" w:space="0" w:color="auto"/>
            </w:tcBorders>
          </w:tcPr>
          <w:p w14:paraId="1F9045F1" w14:textId="77777777" w:rsidR="00E073E8" w:rsidRPr="00DF1914" w:rsidRDefault="00E073E8" w:rsidP="00202F41">
            <w:pPr>
              <w:pStyle w:val="TableText1"/>
              <w:keepNext/>
              <w:keepLines/>
              <w:spacing w:after="0"/>
              <w:ind w:left="169"/>
            </w:pPr>
            <w:r w:rsidRPr="00DF1914">
              <w:t>Distant metastasis</w:t>
            </w:r>
          </w:p>
        </w:tc>
        <w:tc>
          <w:tcPr>
            <w:tcW w:w="2835" w:type="dxa"/>
            <w:tcBorders>
              <w:left w:val="single" w:sz="4" w:space="0" w:color="auto"/>
              <w:right w:val="single" w:sz="4" w:space="0" w:color="auto"/>
            </w:tcBorders>
          </w:tcPr>
          <w:p w14:paraId="7CD7E099" w14:textId="77777777" w:rsidR="00E073E8" w:rsidRPr="00DF1914" w:rsidRDefault="00E073E8" w:rsidP="00202F41">
            <w:pPr>
              <w:pStyle w:val="TableText1"/>
              <w:keepNext/>
              <w:keepLines/>
              <w:spacing w:after="0"/>
              <w:jc w:val="center"/>
            </w:pPr>
            <w:r w:rsidRPr="00DF1914">
              <w:t xml:space="preserve">54 (10.1) </w:t>
            </w:r>
          </w:p>
        </w:tc>
        <w:tc>
          <w:tcPr>
            <w:tcW w:w="2501" w:type="dxa"/>
            <w:tcBorders>
              <w:left w:val="single" w:sz="4" w:space="0" w:color="auto"/>
              <w:right w:val="single" w:sz="4" w:space="0" w:color="auto"/>
            </w:tcBorders>
          </w:tcPr>
          <w:p w14:paraId="00D05AAD" w14:textId="77777777" w:rsidR="00E073E8" w:rsidRPr="00DF1914" w:rsidRDefault="00E073E8" w:rsidP="00202F41">
            <w:pPr>
              <w:pStyle w:val="TableText1"/>
              <w:keepNext/>
              <w:keepLines/>
              <w:spacing w:after="0"/>
              <w:jc w:val="center"/>
            </w:pPr>
            <w:r w:rsidRPr="00DF1914">
              <w:t xml:space="preserve">77 (14.5) </w:t>
            </w:r>
          </w:p>
        </w:tc>
      </w:tr>
      <w:tr w:rsidR="00E073E8" w:rsidRPr="00DF1914" w14:paraId="125CA8A3" w14:textId="77777777" w:rsidTr="008B5A65">
        <w:trPr>
          <w:jc w:val="center"/>
        </w:trPr>
        <w:tc>
          <w:tcPr>
            <w:tcW w:w="3681" w:type="dxa"/>
            <w:tcBorders>
              <w:left w:val="single" w:sz="4" w:space="0" w:color="auto"/>
              <w:bottom w:val="single" w:sz="4" w:space="0" w:color="auto"/>
              <w:right w:val="single" w:sz="4" w:space="0" w:color="auto"/>
            </w:tcBorders>
          </w:tcPr>
          <w:p w14:paraId="501809C1" w14:textId="77777777" w:rsidR="00E073E8" w:rsidRPr="00DF1914" w:rsidRDefault="00E073E8" w:rsidP="00202F41">
            <w:pPr>
              <w:pStyle w:val="TableText1"/>
              <w:keepNext/>
              <w:keepLines/>
              <w:spacing w:after="0"/>
              <w:ind w:left="169"/>
            </w:pPr>
            <w:r w:rsidRPr="00DF1914">
              <w:t>Death in the absence of distant metastasis</w:t>
            </w:r>
          </w:p>
        </w:tc>
        <w:tc>
          <w:tcPr>
            <w:tcW w:w="2835" w:type="dxa"/>
            <w:tcBorders>
              <w:left w:val="single" w:sz="4" w:space="0" w:color="auto"/>
              <w:bottom w:val="single" w:sz="4" w:space="0" w:color="auto"/>
              <w:right w:val="single" w:sz="4" w:space="0" w:color="auto"/>
            </w:tcBorders>
          </w:tcPr>
          <w:p w14:paraId="453B20C2" w14:textId="77777777" w:rsidR="00E073E8" w:rsidRPr="00DF1914" w:rsidRDefault="00E073E8" w:rsidP="00202F41">
            <w:pPr>
              <w:pStyle w:val="TableText1"/>
              <w:keepNext/>
              <w:keepLines/>
              <w:spacing w:after="0"/>
              <w:jc w:val="center"/>
            </w:pPr>
            <w:r w:rsidRPr="00DF1914">
              <w:t xml:space="preserve">98 (18.4) </w:t>
            </w:r>
          </w:p>
        </w:tc>
        <w:tc>
          <w:tcPr>
            <w:tcW w:w="2501" w:type="dxa"/>
            <w:tcBorders>
              <w:left w:val="single" w:sz="4" w:space="0" w:color="auto"/>
              <w:bottom w:val="single" w:sz="4" w:space="0" w:color="auto"/>
              <w:right w:val="single" w:sz="4" w:space="0" w:color="auto"/>
            </w:tcBorders>
          </w:tcPr>
          <w:p w14:paraId="08647EAF" w14:textId="77777777" w:rsidR="00E073E8" w:rsidRPr="00DF1914" w:rsidRDefault="00E073E8" w:rsidP="00202F41">
            <w:pPr>
              <w:pStyle w:val="TableText1"/>
              <w:keepNext/>
              <w:keepLines/>
              <w:spacing w:after="0"/>
              <w:jc w:val="center"/>
            </w:pPr>
            <w:r w:rsidRPr="00DF1914">
              <w:t xml:space="preserve">124 (23.4) </w:t>
            </w:r>
          </w:p>
        </w:tc>
      </w:tr>
      <w:tr w:rsidR="00E073E8" w:rsidRPr="00DF1914" w14:paraId="70D7C705" w14:textId="77777777" w:rsidTr="004906BF">
        <w:trPr>
          <w:jc w:val="center"/>
        </w:trPr>
        <w:tc>
          <w:tcPr>
            <w:tcW w:w="3681" w:type="dxa"/>
            <w:tcBorders>
              <w:top w:val="single" w:sz="4" w:space="0" w:color="auto"/>
              <w:left w:val="single" w:sz="4" w:space="0" w:color="auto"/>
              <w:bottom w:val="nil"/>
              <w:right w:val="single" w:sz="4" w:space="0" w:color="auto"/>
            </w:tcBorders>
          </w:tcPr>
          <w:p w14:paraId="07BE3D60" w14:textId="77777777" w:rsidR="00E073E8" w:rsidRPr="00DF1914" w:rsidRDefault="00E073E8" w:rsidP="00202F41">
            <w:pPr>
              <w:pStyle w:val="TableText1"/>
              <w:keepNext/>
              <w:keepLines/>
              <w:spacing w:after="0"/>
            </w:pPr>
            <w:r w:rsidRPr="00DF1914">
              <w:t>Censored patients, n (%)</w:t>
            </w:r>
          </w:p>
        </w:tc>
        <w:tc>
          <w:tcPr>
            <w:tcW w:w="2835" w:type="dxa"/>
            <w:tcBorders>
              <w:top w:val="single" w:sz="4" w:space="0" w:color="auto"/>
              <w:left w:val="single" w:sz="4" w:space="0" w:color="auto"/>
              <w:bottom w:val="nil"/>
              <w:right w:val="single" w:sz="4" w:space="0" w:color="auto"/>
            </w:tcBorders>
          </w:tcPr>
          <w:p w14:paraId="28453C48" w14:textId="77777777" w:rsidR="00E073E8" w:rsidRPr="00DF1914" w:rsidRDefault="00E073E8" w:rsidP="00202F41">
            <w:pPr>
              <w:pStyle w:val="TableText1"/>
              <w:keepNext/>
              <w:keepLines/>
              <w:spacing w:after="0"/>
              <w:jc w:val="center"/>
            </w:pPr>
            <w:r w:rsidRPr="00DF1914">
              <w:t xml:space="preserve">381 (71.5) </w:t>
            </w:r>
          </w:p>
        </w:tc>
        <w:tc>
          <w:tcPr>
            <w:tcW w:w="2501" w:type="dxa"/>
            <w:tcBorders>
              <w:top w:val="single" w:sz="4" w:space="0" w:color="auto"/>
              <w:left w:val="single" w:sz="4" w:space="0" w:color="auto"/>
              <w:bottom w:val="nil"/>
              <w:right w:val="single" w:sz="4" w:space="0" w:color="auto"/>
            </w:tcBorders>
          </w:tcPr>
          <w:p w14:paraId="032656AC" w14:textId="77777777" w:rsidR="00E073E8" w:rsidRPr="00DF1914" w:rsidRDefault="00E073E8" w:rsidP="00202F41">
            <w:pPr>
              <w:pStyle w:val="TableText1"/>
              <w:keepNext/>
              <w:keepLines/>
              <w:spacing w:after="0"/>
              <w:jc w:val="center"/>
            </w:pPr>
            <w:r w:rsidRPr="00DF1914">
              <w:t xml:space="preserve">329 (62.1) </w:t>
            </w:r>
          </w:p>
        </w:tc>
      </w:tr>
      <w:tr w:rsidR="00E073E8" w:rsidRPr="00DF1914" w14:paraId="07EF8E24" w14:textId="77777777" w:rsidTr="004906BF">
        <w:trPr>
          <w:jc w:val="center"/>
        </w:trPr>
        <w:tc>
          <w:tcPr>
            <w:tcW w:w="3681" w:type="dxa"/>
            <w:tcBorders>
              <w:top w:val="single" w:sz="4" w:space="0" w:color="auto"/>
              <w:left w:val="single" w:sz="4" w:space="0" w:color="auto"/>
              <w:bottom w:val="nil"/>
              <w:right w:val="single" w:sz="4" w:space="0" w:color="auto"/>
            </w:tcBorders>
          </w:tcPr>
          <w:p w14:paraId="20FAF00D" w14:textId="77777777" w:rsidR="00E073E8" w:rsidRPr="00DF1914" w:rsidRDefault="00E073E8" w:rsidP="00202F41">
            <w:pPr>
              <w:pStyle w:val="TableText1"/>
              <w:keepNext/>
              <w:keepLines/>
              <w:spacing w:after="0"/>
              <w:rPr>
                <w:vertAlign w:val="superscript"/>
              </w:rPr>
            </w:pPr>
            <w:r w:rsidRPr="00DF1914">
              <w:t>Kaplan-Meier estimates (months)</w:t>
            </w:r>
          </w:p>
        </w:tc>
        <w:tc>
          <w:tcPr>
            <w:tcW w:w="2835" w:type="dxa"/>
            <w:tcBorders>
              <w:top w:val="single" w:sz="4" w:space="0" w:color="auto"/>
              <w:left w:val="single" w:sz="4" w:space="0" w:color="auto"/>
              <w:bottom w:val="nil"/>
              <w:right w:val="single" w:sz="4" w:space="0" w:color="auto"/>
            </w:tcBorders>
          </w:tcPr>
          <w:p w14:paraId="55D7D60C" w14:textId="77777777" w:rsidR="00E073E8" w:rsidRPr="00DF1914" w:rsidRDefault="00E073E8" w:rsidP="00202F41">
            <w:pPr>
              <w:pStyle w:val="TableText1"/>
              <w:keepNext/>
              <w:keepLines/>
              <w:spacing w:after="0"/>
              <w:jc w:val="center"/>
            </w:pPr>
          </w:p>
        </w:tc>
        <w:tc>
          <w:tcPr>
            <w:tcW w:w="2501" w:type="dxa"/>
            <w:tcBorders>
              <w:top w:val="single" w:sz="4" w:space="0" w:color="auto"/>
              <w:left w:val="single" w:sz="4" w:space="0" w:color="auto"/>
              <w:bottom w:val="nil"/>
              <w:right w:val="single" w:sz="4" w:space="0" w:color="auto"/>
            </w:tcBorders>
          </w:tcPr>
          <w:p w14:paraId="543B7475" w14:textId="77777777" w:rsidR="00E073E8" w:rsidRPr="00DF1914" w:rsidRDefault="00E073E8" w:rsidP="00202F41">
            <w:pPr>
              <w:pStyle w:val="TableText1"/>
              <w:keepNext/>
              <w:keepLines/>
              <w:spacing w:after="0"/>
              <w:jc w:val="center"/>
            </w:pPr>
          </w:p>
        </w:tc>
      </w:tr>
      <w:tr w:rsidR="00E073E8" w:rsidRPr="00DF1914" w14:paraId="6245E2EA" w14:textId="77777777" w:rsidTr="004906BF">
        <w:trPr>
          <w:jc w:val="center"/>
        </w:trPr>
        <w:tc>
          <w:tcPr>
            <w:tcW w:w="3681" w:type="dxa"/>
            <w:tcBorders>
              <w:top w:val="nil"/>
              <w:left w:val="single" w:sz="4" w:space="0" w:color="auto"/>
              <w:bottom w:val="single" w:sz="4" w:space="0" w:color="auto"/>
              <w:right w:val="single" w:sz="4" w:space="0" w:color="auto"/>
            </w:tcBorders>
          </w:tcPr>
          <w:p w14:paraId="0C2CA232" w14:textId="77777777" w:rsidR="00E073E8" w:rsidRPr="00DF1914" w:rsidRDefault="00E073E8" w:rsidP="00202F41">
            <w:pPr>
              <w:pStyle w:val="TableText1"/>
              <w:keepNext/>
              <w:keepLines/>
              <w:spacing w:after="0"/>
              <w:ind w:left="308"/>
            </w:pPr>
            <w:r w:rsidRPr="00DF1914">
              <w:t>Median (95% CI)</w:t>
            </w:r>
          </w:p>
        </w:tc>
        <w:tc>
          <w:tcPr>
            <w:tcW w:w="2835" w:type="dxa"/>
            <w:tcBorders>
              <w:top w:val="nil"/>
              <w:left w:val="single" w:sz="4" w:space="0" w:color="auto"/>
              <w:bottom w:val="single" w:sz="4" w:space="0" w:color="auto"/>
              <w:right w:val="single" w:sz="4" w:space="0" w:color="auto"/>
            </w:tcBorders>
          </w:tcPr>
          <w:p w14:paraId="27570499" w14:textId="77777777" w:rsidR="00E073E8" w:rsidRPr="00DF1914" w:rsidRDefault="00E073E8" w:rsidP="00202F41">
            <w:pPr>
              <w:pStyle w:val="TableText1"/>
              <w:keepNext/>
              <w:keepLines/>
              <w:spacing w:after="0"/>
              <w:jc w:val="center"/>
            </w:pPr>
            <w:r w:rsidRPr="00DF1914">
              <w:t>NR</w:t>
            </w:r>
          </w:p>
        </w:tc>
        <w:tc>
          <w:tcPr>
            <w:tcW w:w="2501" w:type="dxa"/>
            <w:tcBorders>
              <w:top w:val="nil"/>
              <w:left w:val="single" w:sz="4" w:space="0" w:color="auto"/>
              <w:bottom w:val="single" w:sz="4" w:space="0" w:color="auto"/>
              <w:right w:val="single" w:sz="4" w:space="0" w:color="auto"/>
            </w:tcBorders>
          </w:tcPr>
          <w:p w14:paraId="50583068" w14:textId="77777777" w:rsidR="00E073E8" w:rsidRPr="00DF1914" w:rsidRDefault="00E073E8" w:rsidP="00202F41">
            <w:pPr>
              <w:pStyle w:val="TableText1"/>
              <w:keepNext/>
              <w:keepLines/>
              <w:spacing w:after="0"/>
              <w:jc w:val="center"/>
            </w:pPr>
            <w:r w:rsidRPr="00DF1914">
              <w:t>NR</w:t>
            </w:r>
          </w:p>
        </w:tc>
      </w:tr>
      <w:tr w:rsidR="00E073E8" w:rsidRPr="00DF1914" w14:paraId="2D699AA1" w14:textId="77777777" w:rsidTr="004906BF">
        <w:trPr>
          <w:jc w:val="center"/>
        </w:trPr>
        <w:tc>
          <w:tcPr>
            <w:tcW w:w="3681" w:type="dxa"/>
            <w:tcBorders>
              <w:top w:val="single" w:sz="4" w:space="0" w:color="auto"/>
              <w:left w:val="single" w:sz="4" w:space="0" w:color="auto"/>
              <w:right w:val="single" w:sz="4" w:space="0" w:color="auto"/>
            </w:tcBorders>
          </w:tcPr>
          <w:p w14:paraId="2E1F22BF" w14:textId="77777777" w:rsidR="00E073E8" w:rsidRPr="00DF1914" w:rsidRDefault="00E073E8" w:rsidP="00202F41">
            <w:pPr>
              <w:pStyle w:val="TableText1"/>
              <w:keepNext/>
              <w:keepLines/>
              <w:spacing w:after="0"/>
              <w:rPr>
                <w:vertAlign w:val="superscript"/>
              </w:rPr>
            </w:pPr>
            <w:r w:rsidRPr="00DF1914">
              <w:t>Hazard ratio (95% CI)</w:t>
            </w:r>
            <w:r w:rsidRPr="00DF1914">
              <w:rPr>
                <w:vertAlign w:val="superscript"/>
              </w:rPr>
              <w:t>a,b</w:t>
            </w:r>
          </w:p>
        </w:tc>
        <w:tc>
          <w:tcPr>
            <w:tcW w:w="5336" w:type="dxa"/>
            <w:gridSpan w:val="2"/>
            <w:tcBorders>
              <w:top w:val="single" w:sz="4" w:space="0" w:color="auto"/>
              <w:left w:val="single" w:sz="4" w:space="0" w:color="auto"/>
              <w:right w:val="single" w:sz="4" w:space="0" w:color="auto"/>
            </w:tcBorders>
          </w:tcPr>
          <w:p w14:paraId="7B84B6E6" w14:textId="77777777" w:rsidR="00E073E8" w:rsidRPr="00DF1914" w:rsidRDefault="00E073E8" w:rsidP="00202F41">
            <w:pPr>
              <w:pStyle w:val="TableText1"/>
              <w:keepNext/>
              <w:keepLines/>
              <w:spacing w:after="0"/>
              <w:jc w:val="center"/>
              <w:rPr>
                <w:b/>
                <w:bCs/>
              </w:rPr>
            </w:pPr>
            <w:r w:rsidRPr="00DF1914">
              <w:rPr>
                <w:b/>
                <w:bCs/>
              </w:rPr>
              <w:t>0. 67 (0.541, 0.826)</w:t>
            </w:r>
          </w:p>
        </w:tc>
      </w:tr>
      <w:tr w:rsidR="00E073E8" w:rsidRPr="00DF1914" w14:paraId="13831592" w14:textId="77777777" w:rsidTr="004906BF">
        <w:trPr>
          <w:jc w:val="center"/>
        </w:trPr>
        <w:tc>
          <w:tcPr>
            <w:tcW w:w="3681" w:type="dxa"/>
            <w:tcBorders>
              <w:left w:val="single" w:sz="4" w:space="0" w:color="auto"/>
              <w:bottom w:val="single" w:sz="4" w:space="0" w:color="auto"/>
              <w:right w:val="single" w:sz="4" w:space="0" w:color="auto"/>
            </w:tcBorders>
          </w:tcPr>
          <w:p w14:paraId="475DDCBE" w14:textId="77777777" w:rsidR="00E073E8" w:rsidRPr="00DF1914" w:rsidRDefault="00E073E8" w:rsidP="00202F41">
            <w:pPr>
              <w:pStyle w:val="TableText1"/>
              <w:keepNext/>
              <w:keepLines/>
              <w:spacing w:after="0"/>
              <w:rPr>
                <w:vertAlign w:val="superscript"/>
              </w:rPr>
            </w:pPr>
            <w:r w:rsidRPr="00DF1914">
              <w:t>2-sided p-value</w:t>
            </w:r>
            <w:r w:rsidRPr="00DF1914">
              <w:rPr>
                <w:vertAlign w:val="superscript"/>
              </w:rPr>
              <w:t>c</w:t>
            </w:r>
          </w:p>
        </w:tc>
        <w:tc>
          <w:tcPr>
            <w:tcW w:w="5336" w:type="dxa"/>
            <w:gridSpan w:val="2"/>
            <w:tcBorders>
              <w:left w:val="single" w:sz="4" w:space="0" w:color="auto"/>
              <w:bottom w:val="single" w:sz="4" w:space="0" w:color="auto"/>
              <w:right w:val="single" w:sz="4" w:space="0" w:color="auto"/>
            </w:tcBorders>
          </w:tcPr>
          <w:p w14:paraId="76EA3F16" w14:textId="700C28D4" w:rsidR="00E073E8" w:rsidRPr="00116428" w:rsidRDefault="00E073E8" w:rsidP="00202F41">
            <w:pPr>
              <w:pStyle w:val="TableText1"/>
              <w:keepNext/>
              <w:keepLines/>
              <w:spacing w:after="0"/>
              <w:jc w:val="center"/>
            </w:pPr>
            <w:r w:rsidRPr="00116428">
              <w:t>0.0002</w:t>
            </w:r>
          </w:p>
        </w:tc>
      </w:tr>
      <w:tr w:rsidR="00E073E8" w:rsidRPr="00DF1914" w14:paraId="2E178C87" w14:textId="77777777" w:rsidTr="004906BF">
        <w:trPr>
          <w:jc w:val="center"/>
        </w:trPr>
        <w:tc>
          <w:tcPr>
            <w:tcW w:w="3681" w:type="dxa"/>
            <w:tcBorders>
              <w:top w:val="single" w:sz="4" w:space="0" w:color="auto"/>
              <w:left w:val="single" w:sz="4" w:space="0" w:color="auto"/>
              <w:bottom w:val="nil"/>
              <w:right w:val="single" w:sz="4" w:space="0" w:color="auto"/>
            </w:tcBorders>
          </w:tcPr>
          <w:p w14:paraId="26DF4F24" w14:textId="77777777" w:rsidR="00E073E8" w:rsidRPr="00DF1914" w:rsidRDefault="00E073E8" w:rsidP="00202F41">
            <w:pPr>
              <w:pStyle w:val="TableText1"/>
              <w:keepNext/>
              <w:keepLines/>
              <w:spacing w:after="0"/>
            </w:pPr>
            <w:r w:rsidRPr="00DF1914">
              <w:t>MFS rate, % (95% CI)</w:t>
            </w:r>
            <w:r w:rsidRPr="00DF1914">
              <w:rPr>
                <w:vertAlign w:val="superscript"/>
              </w:rPr>
              <w:t>d</w:t>
            </w:r>
          </w:p>
        </w:tc>
        <w:tc>
          <w:tcPr>
            <w:tcW w:w="2835" w:type="dxa"/>
            <w:tcBorders>
              <w:top w:val="single" w:sz="4" w:space="0" w:color="auto"/>
              <w:left w:val="single" w:sz="4" w:space="0" w:color="auto"/>
              <w:bottom w:val="nil"/>
              <w:right w:val="single" w:sz="4" w:space="0" w:color="auto"/>
            </w:tcBorders>
          </w:tcPr>
          <w:p w14:paraId="5FEBEE65" w14:textId="77777777" w:rsidR="00E073E8" w:rsidRPr="00DF1914" w:rsidRDefault="00E073E8" w:rsidP="00202F41">
            <w:pPr>
              <w:pStyle w:val="TableText1"/>
              <w:keepNext/>
              <w:keepLines/>
              <w:spacing w:after="0"/>
              <w:jc w:val="center"/>
            </w:pPr>
          </w:p>
        </w:tc>
        <w:tc>
          <w:tcPr>
            <w:tcW w:w="2501" w:type="dxa"/>
            <w:tcBorders>
              <w:top w:val="single" w:sz="4" w:space="0" w:color="auto"/>
              <w:left w:val="single" w:sz="4" w:space="0" w:color="auto"/>
              <w:bottom w:val="nil"/>
              <w:right w:val="single" w:sz="4" w:space="0" w:color="auto"/>
            </w:tcBorders>
          </w:tcPr>
          <w:p w14:paraId="79257C1E" w14:textId="77777777" w:rsidR="00E073E8" w:rsidRPr="00DF1914" w:rsidRDefault="00E073E8" w:rsidP="00202F41">
            <w:pPr>
              <w:pStyle w:val="TableText1"/>
              <w:keepNext/>
              <w:keepLines/>
              <w:spacing w:after="0"/>
              <w:jc w:val="center"/>
            </w:pPr>
          </w:p>
        </w:tc>
      </w:tr>
      <w:tr w:rsidR="00E073E8" w:rsidRPr="00DF1914" w14:paraId="1F4CF158" w14:textId="77777777" w:rsidTr="004906BF">
        <w:trPr>
          <w:jc w:val="center"/>
        </w:trPr>
        <w:tc>
          <w:tcPr>
            <w:tcW w:w="3681" w:type="dxa"/>
            <w:tcBorders>
              <w:top w:val="nil"/>
              <w:left w:val="single" w:sz="4" w:space="0" w:color="auto"/>
              <w:bottom w:val="nil"/>
              <w:right w:val="single" w:sz="4" w:space="0" w:color="auto"/>
            </w:tcBorders>
          </w:tcPr>
          <w:p w14:paraId="5876D3CF" w14:textId="77777777" w:rsidR="00E073E8" w:rsidRPr="00DF1914" w:rsidRDefault="00E073E8" w:rsidP="00202F41">
            <w:pPr>
              <w:pStyle w:val="TableText1"/>
              <w:keepNext/>
              <w:keepLines/>
              <w:spacing w:after="0"/>
              <w:ind w:left="308"/>
              <w:rPr>
                <w:b/>
              </w:rPr>
            </w:pPr>
            <w:r w:rsidRPr="00DF1914">
              <w:t xml:space="preserve">At month 6 </w:t>
            </w:r>
          </w:p>
        </w:tc>
        <w:tc>
          <w:tcPr>
            <w:tcW w:w="2835" w:type="dxa"/>
            <w:tcBorders>
              <w:top w:val="nil"/>
              <w:left w:val="single" w:sz="4" w:space="0" w:color="auto"/>
              <w:bottom w:val="nil"/>
              <w:right w:val="single" w:sz="4" w:space="0" w:color="auto"/>
            </w:tcBorders>
          </w:tcPr>
          <w:p w14:paraId="61A891F3" w14:textId="77777777" w:rsidR="00E073E8" w:rsidRPr="00DF1914" w:rsidRDefault="00E073E8" w:rsidP="00202F41">
            <w:pPr>
              <w:pStyle w:val="TableText1"/>
              <w:keepNext/>
              <w:keepLines/>
              <w:spacing w:after="0"/>
              <w:jc w:val="center"/>
            </w:pPr>
            <w:r w:rsidRPr="00DF1914">
              <w:t>95.1 (92.8, 96.6)</w:t>
            </w:r>
          </w:p>
        </w:tc>
        <w:tc>
          <w:tcPr>
            <w:tcW w:w="2501" w:type="dxa"/>
            <w:tcBorders>
              <w:top w:val="nil"/>
              <w:left w:val="single" w:sz="4" w:space="0" w:color="auto"/>
              <w:bottom w:val="nil"/>
              <w:right w:val="single" w:sz="4" w:space="0" w:color="auto"/>
            </w:tcBorders>
          </w:tcPr>
          <w:p w14:paraId="1AF40ABF" w14:textId="77777777" w:rsidR="00E073E8" w:rsidRPr="00DF1914" w:rsidRDefault="00E073E8" w:rsidP="00202F41">
            <w:pPr>
              <w:pStyle w:val="TableText1"/>
              <w:keepNext/>
              <w:keepLines/>
              <w:spacing w:after="0"/>
              <w:jc w:val="center"/>
            </w:pPr>
            <w:r w:rsidRPr="00DF1914">
              <w:t>93.9 (91.3, 95.7)</w:t>
            </w:r>
          </w:p>
        </w:tc>
      </w:tr>
      <w:tr w:rsidR="00E073E8" w:rsidRPr="00DF1914" w14:paraId="2F4597DB" w14:textId="77777777" w:rsidTr="004906BF">
        <w:trPr>
          <w:jc w:val="center"/>
        </w:trPr>
        <w:tc>
          <w:tcPr>
            <w:tcW w:w="3681" w:type="dxa"/>
            <w:tcBorders>
              <w:top w:val="nil"/>
              <w:left w:val="single" w:sz="4" w:space="0" w:color="auto"/>
              <w:bottom w:val="nil"/>
              <w:right w:val="single" w:sz="4" w:space="0" w:color="auto"/>
            </w:tcBorders>
          </w:tcPr>
          <w:p w14:paraId="65D37A09" w14:textId="77777777" w:rsidR="00E073E8" w:rsidRPr="00DF1914" w:rsidRDefault="00E073E8" w:rsidP="00202F41">
            <w:pPr>
              <w:pStyle w:val="TableText1"/>
              <w:keepNext/>
              <w:keepLines/>
              <w:spacing w:after="0"/>
              <w:ind w:left="308"/>
            </w:pPr>
            <w:r w:rsidRPr="00DF1914">
              <w:t>At month 12</w:t>
            </w:r>
          </w:p>
        </w:tc>
        <w:tc>
          <w:tcPr>
            <w:tcW w:w="2835" w:type="dxa"/>
            <w:tcBorders>
              <w:top w:val="nil"/>
              <w:left w:val="single" w:sz="4" w:space="0" w:color="auto"/>
              <w:bottom w:val="nil"/>
              <w:right w:val="single" w:sz="4" w:space="0" w:color="auto"/>
            </w:tcBorders>
          </w:tcPr>
          <w:p w14:paraId="7CFD8687" w14:textId="77777777" w:rsidR="00E073E8" w:rsidRPr="00DF1914" w:rsidRDefault="00E073E8" w:rsidP="00202F41">
            <w:pPr>
              <w:pStyle w:val="TableText1"/>
              <w:keepNext/>
              <w:keepLines/>
              <w:spacing w:after="0"/>
              <w:jc w:val="center"/>
            </w:pPr>
            <w:r w:rsidRPr="00DF1914">
              <w:t>84.5 (80.9, 87.4)</w:t>
            </w:r>
          </w:p>
        </w:tc>
        <w:tc>
          <w:tcPr>
            <w:tcW w:w="2501" w:type="dxa"/>
            <w:tcBorders>
              <w:top w:val="nil"/>
              <w:left w:val="single" w:sz="4" w:space="0" w:color="auto"/>
              <w:bottom w:val="nil"/>
              <w:right w:val="single" w:sz="4" w:space="0" w:color="auto"/>
            </w:tcBorders>
          </w:tcPr>
          <w:p w14:paraId="251EF263" w14:textId="77777777" w:rsidR="00E073E8" w:rsidRPr="00DF1914" w:rsidRDefault="00E073E8" w:rsidP="00202F41">
            <w:pPr>
              <w:pStyle w:val="TableText1"/>
              <w:keepNext/>
              <w:keepLines/>
              <w:spacing w:after="0"/>
              <w:jc w:val="center"/>
            </w:pPr>
            <w:r w:rsidRPr="00DF1914">
              <w:t>80.1 (76.1, 83.4)</w:t>
            </w:r>
          </w:p>
        </w:tc>
      </w:tr>
      <w:tr w:rsidR="00E073E8" w:rsidRPr="00DF1914" w14:paraId="7D72E248" w14:textId="77777777" w:rsidTr="004906BF">
        <w:trPr>
          <w:jc w:val="center"/>
        </w:trPr>
        <w:tc>
          <w:tcPr>
            <w:tcW w:w="3681" w:type="dxa"/>
            <w:tcBorders>
              <w:top w:val="nil"/>
              <w:left w:val="single" w:sz="4" w:space="0" w:color="auto"/>
              <w:bottom w:val="nil"/>
              <w:right w:val="single" w:sz="4" w:space="0" w:color="auto"/>
            </w:tcBorders>
          </w:tcPr>
          <w:p w14:paraId="1BDF88DF" w14:textId="77777777" w:rsidR="00E073E8" w:rsidRPr="00DF1914" w:rsidRDefault="00E073E8" w:rsidP="00202F41">
            <w:pPr>
              <w:pStyle w:val="TableText1"/>
              <w:keepNext/>
              <w:keepLines/>
              <w:spacing w:after="0"/>
              <w:ind w:left="308"/>
            </w:pPr>
            <w:r w:rsidRPr="00DF1914">
              <w:t xml:space="preserve">At month 24 </w:t>
            </w:r>
          </w:p>
        </w:tc>
        <w:tc>
          <w:tcPr>
            <w:tcW w:w="2835" w:type="dxa"/>
            <w:tcBorders>
              <w:top w:val="nil"/>
              <w:left w:val="single" w:sz="4" w:space="0" w:color="auto"/>
              <w:bottom w:val="nil"/>
              <w:right w:val="single" w:sz="4" w:space="0" w:color="auto"/>
            </w:tcBorders>
          </w:tcPr>
          <w:p w14:paraId="6992A475" w14:textId="77777777" w:rsidR="00E073E8" w:rsidRPr="00DF1914" w:rsidRDefault="00E073E8" w:rsidP="00202F41">
            <w:pPr>
              <w:pStyle w:val="TableText1"/>
              <w:keepNext/>
              <w:keepLines/>
              <w:spacing w:after="0"/>
              <w:jc w:val="center"/>
            </w:pPr>
            <w:r w:rsidRPr="00DF1914">
              <w:t>75.1 (71.0, 78.8)</w:t>
            </w:r>
          </w:p>
        </w:tc>
        <w:tc>
          <w:tcPr>
            <w:tcW w:w="2501" w:type="dxa"/>
            <w:tcBorders>
              <w:top w:val="nil"/>
              <w:left w:val="single" w:sz="4" w:space="0" w:color="auto"/>
              <w:bottom w:val="nil"/>
              <w:right w:val="single" w:sz="4" w:space="0" w:color="auto"/>
            </w:tcBorders>
          </w:tcPr>
          <w:p w14:paraId="39BC075A" w14:textId="77777777" w:rsidR="00E073E8" w:rsidRPr="00DF1914" w:rsidRDefault="00E073E8" w:rsidP="00202F41">
            <w:pPr>
              <w:pStyle w:val="TableText1"/>
              <w:keepNext/>
              <w:keepLines/>
              <w:spacing w:after="0"/>
              <w:jc w:val="center"/>
            </w:pPr>
            <w:r w:rsidRPr="00DF1914">
              <w:t>65.1 (60.6, 69.3)</w:t>
            </w:r>
          </w:p>
        </w:tc>
      </w:tr>
      <w:tr w:rsidR="00E073E8" w:rsidRPr="00DF1914" w14:paraId="53C4F83C" w14:textId="77777777" w:rsidTr="004906BF">
        <w:trPr>
          <w:jc w:val="center"/>
        </w:trPr>
        <w:tc>
          <w:tcPr>
            <w:tcW w:w="3681" w:type="dxa"/>
            <w:tcBorders>
              <w:top w:val="nil"/>
              <w:left w:val="single" w:sz="4" w:space="0" w:color="auto"/>
              <w:bottom w:val="single" w:sz="4" w:space="0" w:color="auto"/>
              <w:right w:val="single" w:sz="4" w:space="0" w:color="auto"/>
            </w:tcBorders>
          </w:tcPr>
          <w:p w14:paraId="3B5FD526" w14:textId="77777777" w:rsidR="00E073E8" w:rsidRPr="00DF1914" w:rsidRDefault="00E073E8" w:rsidP="00202F41">
            <w:pPr>
              <w:pStyle w:val="TableText1"/>
              <w:keepNext/>
              <w:keepLines/>
              <w:spacing w:after="0"/>
              <w:ind w:left="308"/>
            </w:pPr>
            <w:r w:rsidRPr="00DF1914">
              <w:t xml:space="preserve">At month 36 </w:t>
            </w:r>
          </w:p>
        </w:tc>
        <w:tc>
          <w:tcPr>
            <w:tcW w:w="2835" w:type="dxa"/>
            <w:tcBorders>
              <w:top w:val="nil"/>
              <w:left w:val="single" w:sz="4" w:space="0" w:color="auto"/>
              <w:bottom w:val="single" w:sz="4" w:space="0" w:color="auto"/>
              <w:right w:val="single" w:sz="4" w:space="0" w:color="auto"/>
            </w:tcBorders>
          </w:tcPr>
          <w:p w14:paraId="6680E958" w14:textId="77777777" w:rsidR="00E073E8" w:rsidRPr="00DF1914" w:rsidRDefault="00E073E8" w:rsidP="00202F41">
            <w:pPr>
              <w:pStyle w:val="TableText1"/>
              <w:keepNext/>
              <w:keepLines/>
              <w:spacing w:after="0"/>
              <w:jc w:val="center"/>
            </w:pPr>
            <w:r w:rsidRPr="00DF1914">
              <w:t>69.9 (65.5, 73.9)</w:t>
            </w:r>
          </w:p>
        </w:tc>
        <w:tc>
          <w:tcPr>
            <w:tcW w:w="2501" w:type="dxa"/>
            <w:tcBorders>
              <w:top w:val="nil"/>
              <w:left w:val="single" w:sz="4" w:space="0" w:color="auto"/>
              <w:bottom w:val="single" w:sz="4" w:space="0" w:color="auto"/>
              <w:right w:val="single" w:sz="4" w:space="0" w:color="auto"/>
            </w:tcBorders>
          </w:tcPr>
          <w:p w14:paraId="7A84CD4D" w14:textId="77777777" w:rsidR="00E073E8" w:rsidRPr="00DF1914" w:rsidRDefault="00E073E8" w:rsidP="00202F41">
            <w:pPr>
              <w:pStyle w:val="TableText1"/>
              <w:keepNext/>
              <w:keepLines/>
              <w:spacing w:after="0"/>
              <w:jc w:val="center"/>
            </w:pPr>
            <w:r w:rsidRPr="00DF1914">
              <w:t>59.3 (54.6, 63.7)</w:t>
            </w:r>
          </w:p>
        </w:tc>
      </w:tr>
    </w:tbl>
    <w:p w14:paraId="4673F9FA" w14:textId="77777777" w:rsidR="00E073E8" w:rsidRPr="00DF1914" w:rsidRDefault="00E073E8" w:rsidP="00202F41">
      <w:pPr>
        <w:pStyle w:val="TableFigureFooter"/>
        <w:keepNext/>
      </w:pPr>
      <w:r w:rsidRPr="00DF1914">
        <w:t xml:space="preserve">Source: Table 2-19, p64 of the submission; Table 26, p118 of the </w:t>
      </w:r>
      <w:r>
        <w:t>NIAGARA</w:t>
      </w:r>
      <w:r w:rsidRPr="00DF1914">
        <w:t xml:space="preserve"> Clinical Study Report</w:t>
      </w:r>
    </w:p>
    <w:p w14:paraId="6A49C00A" w14:textId="05EA6360" w:rsidR="00E073E8" w:rsidRPr="00DF1914" w:rsidRDefault="00E073E8" w:rsidP="00202F41">
      <w:pPr>
        <w:pStyle w:val="TableFigureFooter"/>
        <w:keepNext/>
      </w:pPr>
      <w:r w:rsidRPr="00DF1914">
        <w:t>CI = confidence interval; MFS = metastasis-free survival; DURVA = durvalumab; FAS = final analysis set; GC = gemcitabine + cisplatin; IA = interim analysis;</w:t>
      </w:r>
      <w:r>
        <w:t xml:space="preserve"> </w:t>
      </w:r>
      <w:r>
        <w:rPr>
          <w:szCs w:val="18"/>
        </w:rPr>
        <w:t>N = number of patients;</w:t>
      </w:r>
      <w:r w:rsidRPr="00DF1914">
        <w:t xml:space="preserve"> NR = not reached</w:t>
      </w:r>
      <w:r>
        <w:t>.</w:t>
      </w:r>
    </w:p>
    <w:p w14:paraId="2A591FC4" w14:textId="77777777" w:rsidR="00E073E8" w:rsidRPr="00DF1914" w:rsidRDefault="00E073E8" w:rsidP="00202F41">
      <w:pPr>
        <w:pStyle w:val="TableFigureFooter"/>
        <w:keepNext/>
      </w:pPr>
      <w:r w:rsidRPr="00DF1914">
        <w:rPr>
          <w:vertAlign w:val="superscript"/>
        </w:rPr>
        <w:t>a</w:t>
      </w:r>
      <w:r w:rsidRPr="00DF1914">
        <w:t xml:space="preserve"> Based on stratified Cox PH model; the stratification factors were renal function (adequate vs borderline), tumour stage (T2N0 vs &gt; T2N0), and PD-L1 status (high vs low/negative) per </w:t>
      </w:r>
      <w:r w:rsidRPr="00F21B0F">
        <w:rPr>
          <w:szCs w:val="18"/>
        </w:rPr>
        <w:t>interactive voice response system</w:t>
      </w:r>
      <w:r w:rsidRPr="00DF1914">
        <w:t>, with ties handled by the Efron approach.</w:t>
      </w:r>
    </w:p>
    <w:p w14:paraId="38247DC4" w14:textId="77777777" w:rsidR="00E073E8" w:rsidRPr="00DF1914" w:rsidRDefault="00E073E8" w:rsidP="00202F41">
      <w:pPr>
        <w:pStyle w:val="TableFigureFooter"/>
        <w:keepNext/>
      </w:pPr>
      <w:r w:rsidRPr="00DF1914">
        <w:rPr>
          <w:vertAlign w:val="superscript"/>
        </w:rPr>
        <w:t>b</w:t>
      </w:r>
      <w:r w:rsidRPr="00DF1914">
        <w:t xml:space="preserve"> A hazard ratio &lt; 1 favours durvalumab + GC to be associated with a longer OS than GC. </w:t>
      </w:r>
    </w:p>
    <w:p w14:paraId="05969400" w14:textId="4ECB0A5A" w:rsidR="00E073E8" w:rsidRPr="00F37A43" w:rsidRDefault="00E073E8" w:rsidP="00202F41">
      <w:pPr>
        <w:pStyle w:val="TableFigureFooter"/>
        <w:keepNext/>
        <w:rPr>
          <w:vertAlign w:val="superscript"/>
        </w:rPr>
      </w:pPr>
      <w:r w:rsidRPr="00DF1914">
        <w:rPr>
          <w:vertAlign w:val="superscript"/>
        </w:rPr>
        <w:t xml:space="preserve">c </w:t>
      </w:r>
      <w:r w:rsidRPr="00DF1914">
        <w:t xml:space="preserve">Based on a stratified log-rank test, and the stratification factors are the same as the ones indicated in </w:t>
      </w:r>
      <w:r w:rsidR="00F37A43">
        <w:t>footnote a.</w:t>
      </w:r>
      <w:r w:rsidR="00F37A43">
        <w:rPr>
          <w:vertAlign w:val="superscript"/>
        </w:rPr>
        <w:t xml:space="preserve"> </w:t>
      </w:r>
      <w:r w:rsidR="00F37A43">
        <w:t xml:space="preserve">The </w:t>
      </w:r>
      <w:r w:rsidRPr="00DF1914">
        <w:t>p</w:t>
      </w:r>
      <w:r w:rsidRPr="00DF1914">
        <w:noBreakHyphen/>
        <w:t>value is nominal as this endpoint is not included in the multiple testing procedure in the trial</w:t>
      </w:r>
      <w:r w:rsidR="00F37A43">
        <w:t>.</w:t>
      </w:r>
      <w:r w:rsidRPr="00DF1914">
        <w:t xml:space="preserve"> </w:t>
      </w:r>
    </w:p>
    <w:p w14:paraId="4B595A2A" w14:textId="5D5E80FF" w:rsidR="00E073E8" w:rsidRPr="00355B72" w:rsidRDefault="00E073E8" w:rsidP="00202F41">
      <w:pPr>
        <w:pStyle w:val="TableFigureFooter"/>
        <w:keepNext/>
      </w:pPr>
      <w:r w:rsidRPr="00DF1914">
        <w:rPr>
          <w:vertAlign w:val="superscript"/>
        </w:rPr>
        <w:t>d</w:t>
      </w:r>
      <w:r w:rsidRPr="00DF1914">
        <w:t xml:space="preserve"> Calculated using the Kaplan-Meier technique</w:t>
      </w:r>
      <w:r w:rsidR="0099515B">
        <w:t>, d</w:t>
      </w:r>
      <w:r>
        <w:t>ata cutoff: 29 April 2024</w:t>
      </w:r>
      <w:r w:rsidR="0099515B">
        <w:t>.</w:t>
      </w:r>
    </w:p>
    <w:p w14:paraId="3DE4E230" w14:textId="42D00E0E" w:rsidR="00E073E8" w:rsidRDefault="00E073E8" w:rsidP="00E073E8">
      <w:pPr>
        <w:pStyle w:val="Caption"/>
      </w:pPr>
      <w:bookmarkStart w:id="56" w:name="_Ref207445834"/>
      <w:r>
        <w:t xml:space="preserve">Figure </w:t>
      </w:r>
      <w:r w:rsidR="0077772B">
        <w:fldChar w:fldCharType="begin"/>
      </w:r>
      <w:r w:rsidR="0077772B">
        <w:instrText xml:space="preserve"> SEQ Figure \* ARABIC </w:instrText>
      </w:r>
      <w:r w:rsidR="0077772B">
        <w:fldChar w:fldCharType="separate"/>
      </w:r>
      <w:r w:rsidR="005731FF">
        <w:rPr>
          <w:noProof/>
        </w:rPr>
        <w:t>3</w:t>
      </w:r>
      <w:r w:rsidR="0077772B">
        <w:rPr>
          <w:noProof/>
        </w:rPr>
        <w:fldChar w:fldCharType="end"/>
      </w:r>
      <w:bookmarkEnd w:id="56"/>
      <w:r>
        <w:t xml:space="preserve">: </w:t>
      </w:r>
      <w:r w:rsidRPr="00DF1914">
        <w:t>KM plot of MFS in NIAGARA (IA-2, FAS)</w:t>
      </w:r>
    </w:p>
    <w:p w14:paraId="10C6189E" w14:textId="77777777" w:rsidR="00E073E8" w:rsidRPr="00DF1914" w:rsidRDefault="00E073E8" w:rsidP="00E073E8">
      <w:r w:rsidRPr="00DF1914">
        <w:rPr>
          <w:noProof/>
        </w:rPr>
        <w:drawing>
          <wp:inline distT="0" distB="0" distL="0" distR="0" wp14:anchorId="2E1BB4A9" wp14:editId="291D2FCB">
            <wp:extent cx="5602605" cy="2639695"/>
            <wp:effectExtent l="0" t="0" r="0" b="8255"/>
            <wp:docPr id="771313993" name="Picture 1" descr="Figure 3: KM plot of MFS in NIAGARA (IA-2,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13993" name="Picture 1" descr="Figure 3: KM plot of MFS in NIAGARA (IA-2, F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2605" cy="2639695"/>
                    </a:xfrm>
                    <a:prstGeom prst="rect">
                      <a:avLst/>
                    </a:prstGeom>
                    <a:noFill/>
                  </pic:spPr>
                </pic:pic>
              </a:graphicData>
            </a:graphic>
          </wp:inline>
        </w:drawing>
      </w:r>
    </w:p>
    <w:p w14:paraId="1AAB1C53" w14:textId="77777777" w:rsidR="00E073E8" w:rsidRPr="00DF1914" w:rsidRDefault="00E073E8" w:rsidP="00E073E8">
      <w:pPr>
        <w:pStyle w:val="TableFigureFooter"/>
      </w:pPr>
      <w:r w:rsidRPr="00DF1914">
        <w:t xml:space="preserve">Source: Figure 2-6, p65 of the submission; Figure 11, p118 of the </w:t>
      </w:r>
      <w:r>
        <w:t xml:space="preserve">NIAGARA </w:t>
      </w:r>
      <w:r w:rsidRPr="00DF1914">
        <w:t>Clinical Study Report</w:t>
      </w:r>
    </w:p>
    <w:p w14:paraId="316A5519" w14:textId="77777777" w:rsidR="00E073E8" w:rsidRDefault="00E073E8" w:rsidP="00E073E8">
      <w:pPr>
        <w:pStyle w:val="TableFigureFooter"/>
      </w:pPr>
      <w:r w:rsidRPr="00DF1914">
        <w:t>CI = confidence interval; MFS = metastasis-free survival; HR = hazard ratio; IA = interim analysis; NR = not reached</w:t>
      </w:r>
    </w:p>
    <w:p w14:paraId="574F7BB8" w14:textId="77777777" w:rsidR="00E073E8" w:rsidRDefault="00E073E8" w:rsidP="00E073E8">
      <w:pPr>
        <w:pStyle w:val="TableFigureFooter"/>
        <w:rPr>
          <w:color w:val="000000" w:themeColor="text1"/>
        </w:rPr>
      </w:pPr>
      <w:r>
        <w:t>Data cutoff: 29 April 2024</w:t>
      </w:r>
    </w:p>
    <w:p w14:paraId="4EA160AD" w14:textId="3AA97BFB" w:rsidR="00E073E8" w:rsidRPr="005E2A24" w:rsidRDefault="00E073E8" w:rsidP="00E073E8">
      <w:pPr>
        <w:pStyle w:val="3-BodyText"/>
      </w:pPr>
      <w:r>
        <w:rPr>
          <w:color w:val="000000" w:themeColor="text1"/>
        </w:rPr>
        <w:t xml:space="preserve">In NIAGARA, health related quality of life (HRQoL) </w:t>
      </w:r>
      <w:r w:rsidRPr="00164BC3">
        <w:t>was assessed using the</w:t>
      </w:r>
      <w:r>
        <w:t xml:space="preserve"> </w:t>
      </w:r>
      <w:r w:rsidRPr="00DF1914">
        <w:t>European Organisation for Research and Treatment of Cancer 30-item Core Quality of Life (EORTC QLQ-C30)</w:t>
      </w:r>
      <w:r>
        <w:t xml:space="preserve"> (</w:t>
      </w:r>
      <w:r w:rsidRPr="008A276A">
        <w:t>global health status (GHS)/QoL, physical functioning, fatigue, and pain</w:t>
      </w:r>
      <w:r>
        <w:t xml:space="preserve"> scores). Results of t</w:t>
      </w:r>
      <w:r w:rsidRPr="008A276A">
        <w:t>ime to definitive clinical meaningful deterioration (TTD)</w:t>
      </w:r>
      <w:r>
        <w:t xml:space="preserve"> showed a slightly lower number of total TTD events in </w:t>
      </w:r>
      <w:r w:rsidRPr="008A276A">
        <w:t xml:space="preserve">the </w:t>
      </w:r>
      <w:r w:rsidR="00430804">
        <w:t>durvalumab</w:t>
      </w:r>
      <w:r w:rsidRPr="008A276A">
        <w:t xml:space="preserve"> + GC arm </w:t>
      </w:r>
      <w:r w:rsidRPr="008A276A">
        <w:lastRenderedPageBreak/>
        <w:t>compared to the GC arm (for GHS/QoL: 127 [23.8%] vs 142 [26.8%]; for physical functioning: 134 [25.1%] vs 156 [29.4%]; for pain: 106 [19.9%] vs 125 [23.6%]).</w:t>
      </w:r>
      <w:r>
        <w:t xml:space="preserve"> </w:t>
      </w:r>
      <w:r w:rsidRPr="008A276A">
        <w:t xml:space="preserve">For the fatigue domain, the number of total TTD events in the two arms were similar (178 [33.4%] in </w:t>
      </w:r>
      <w:r w:rsidR="00430804">
        <w:t>durvalumab</w:t>
      </w:r>
      <w:r w:rsidRPr="008A276A">
        <w:t xml:space="preserve"> + GC vs 177 [33.4%] in the GC).</w:t>
      </w:r>
      <w:r>
        <w:t xml:space="preserve"> </w:t>
      </w:r>
      <w:r w:rsidR="008B07E4">
        <w:rPr>
          <w:iCs/>
        </w:rPr>
        <w:t>T</w:t>
      </w:r>
      <w:r w:rsidR="00B75D35" w:rsidRPr="00367355">
        <w:rPr>
          <w:iCs/>
        </w:rPr>
        <w:t>he evaluation considered that</w:t>
      </w:r>
      <w:r w:rsidR="00B75D35">
        <w:t xml:space="preserve"> </w:t>
      </w:r>
      <w:r w:rsidRPr="005E2A24">
        <w:t xml:space="preserve">no conclusions </w:t>
      </w:r>
      <w:r w:rsidR="00591A2C">
        <w:t>could</w:t>
      </w:r>
      <w:r w:rsidRPr="005E2A24">
        <w:t xml:space="preserve"> be drawn regarding the impact of the addition of perioperative durvalumab on treated patients’ HRQoL compared to chemotherapy alone.</w:t>
      </w:r>
      <w:r w:rsidRPr="005E2A24">
        <w:rPr>
          <w:rFonts w:ascii="Calibri" w:eastAsia="Times New Roman" w:hAnsi="Calibri" w:cs="Arial"/>
          <w:szCs w:val="24"/>
        </w:rPr>
        <w:t xml:space="preserve"> </w:t>
      </w:r>
      <w:r w:rsidRPr="005E2A24">
        <w:t>HRQoL data from the trial were not used in the economic model.</w:t>
      </w:r>
      <w:bookmarkStart w:id="57" w:name="_Toc176802409"/>
    </w:p>
    <w:bookmarkEnd w:id="57"/>
    <w:p w14:paraId="2006B706" w14:textId="0F7923F8" w:rsidR="00E073E8" w:rsidRDefault="00AF7FF3" w:rsidP="00E073E8">
      <w:pPr>
        <w:pStyle w:val="3-BodyText"/>
        <w:numPr>
          <w:ilvl w:val="0"/>
          <w:numId w:val="0"/>
        </w:numPr>
        <w:rPr>
          <w:b/>
          <w:bCs/>
        </w:rPr>
      </w:pPr>
      <w:r w:rsidRPr="001631BE">
        <w:rPr>
          <w:b/>
          <w:bCs/>
        </w:rPr>
        <w:t>Indirect</w:t>
      </w:r>
      <w:r>
        <w:rPr>
          <w:b/>
          <w:bCs/>
        </w:rPr>
        <w:t xml:space="preserve"> treatment</w:t>
      </w:r>
      <w:r w:rsidRPr="001631BE">
        <w:rPr>
          <w:b/>
          <w:bCs/>
        </w:rPr>
        <w:t xml:space="preserve"> comparison</w:t>
      </w:r>
      <w:r>
        <w:rPr>
          <w:b/>
          <w:bCs/>
        </w:rPr>
        <w:t xml:space="preserve"> based on NIAGARA and CM274 subgroups and construction of a counterfactual arm</w:t>
      </w:r>
      <w:r w:rsidRPr="00045CF3" w:rsidDel="00AF7FF3">
        <w:rPr>
          <w:b/>
          <w:bCs/>
        </w:rPr>
        <w:t xml:space="preserve"> </w:t>
      </w:r>
    </w:p>
    <w:p w14:paraId="3CA8236B" w14:textId="70109FA1" w:rsidR="00E073E8" w:rsidRPr="005E2A24" w:rsidRDefault="00E073E8" w:rsidP="00E073E8">
      <w:pPr>
        <w:pStyle w:val="3-BodyText"/>
      </w:pPr>
      <w:r w:rsidRPr="00045CF3">
        <w:t xml:space="preserve">The results of the ITCs of the efficacy endpoints for perioperative </w:t>
      </w:r>
      <w:r>
        <w:t>durvalumab</w:t>
      </w:r>
      <w:r w:rsidRPr="00045CF3">
        <w:t xml:space="preserve"> vs adjuvant </w:t>
      </w:r>
      <w:r>
        <w:t xml:space="preserve">nivolumab </w:t>
      </w:r>
      <w:r w:rsidRPr="00045CF3">
        <w:t xml:space="preserve">are presented in </w:t>
      </w:r>
      <w:r w:rsidRPr="00045CF3">
        <w:fldChar w:fldCharType="begin"/>
      </w:r>
      <w:r w:rsidRPr="00045CF3">
        <w:instrText xml:space="preserve"> REF _Ref208261934 \h </w:instrText>
      </w:r>
      <w:r>
        <w:instrText xml:space="preserve"> \* MERGEFORMAT </w:instrText>
      </w:r>
      <w:r w:rsidRPr="00045CF3">
        <w:fldChar w:fldCharType="separate"/>
      </w:r>
      <w:r w:rsidR="005731FF">
        <w:t>Table 8</w:t>
      </w:r>
      <w:r w:rsidRPr="00045CF3">
        <w:fldChar w:fldCharType="end"/>
      </w:r>
      <w:r w:rsidRPr="00045CF3">
        <w:t>.</w:t>
      </w:r>
      <w:r>
        <w:t xml:space="preserve"> </w:t>
      </w:r>
      <w:r w:rsidR="00E00228" w:rsidRPr="00367355">
        <w:rPr>
          <w:iCs/>
        </w:rPr>
        <w:t>KM</w:t>
      </w:r>
      <w:r w:rsidR="009F5885" w:rsidRPr="00367355">
        <w:rPr>
          <w:iCs/>
        </w:rPr>
        <w:t xml:space="preserve"> curves of EFS and OS comparing perioperative durvalumab + GC, GC, and GC + adjuvant nivolumab (counterfactual arm) (with re-censoring) are presented in </w:t>
      </w:r>
      <w:r w:rsidR="008D4F4A" w:rsidRPr="00367355">
        <w:rPr>
          <w:iCs/>
        </w:rPr>
        <w:fldChar w:fldCharType="begin"/>
      </w:r>
      <w:r w:rsidR="008D4F4A" w:rsidRPr="00367355">
        <w:rPr>
          <w:iCs/>
        </w:rPr>
        <w:instrText xml:space="preserve"> REF _Ref211886421 \h </w:instrText>
      </w:r>
      <w:r w:rsidR="008D4F4A" w:rsidRPr="00367355">
        <w:rPr>
          <w:iCs/>
        </w:rPr>
      </w:r>
      <w:r w:rsidR="008D4F4A" w:rsidRPr="00367355">
        <w:rPr>
          <w:iCs/>
        </w:rPr>
        <w:fldChar w:fldCharType="separate"/>
      </w:r>
      <w:r w:rsidR="005731FF" w:rsidRPr="00367355">
        <w:rPr>
          <w:iCs/>
        </w:rPr>
        <w:t xml:space="preserve">Figure </w:t>
      </w:r>
      <w:r w:rsidR="005731FF">
        <w:rPr>
          <w:iCs/>
          <w:noProof/>
        </w:rPr>
        <w:t>4</w:t>
      </w:r>
      <w:r w:rsidR="008D4F4A" w:rsidRPr="00367355">
        <w:rPr>
          <w:iCs/>
        </w:rPr>
        <w:fldChar w:fldCharType="end"/>
      </w:r>
      <w:r w:rsidR="00B355B1" w:rsidRPr="00367355">
        <w:rPr>
          <w:iCs/>
        </w:rPr>
        <w:t xml:space="preserve"> </w:t>
      </w:r>
      <w:r w:rsidR="008D4F4A" w:rsidRPr="00367355">
        <w:rPr>
          <w:iCs/>
        </w:rPr>
        <w:t xml:space="preserve">and </w:t>
      </w:r>
      <w:r w:rsidR="008D4F4A" w:rsidRPr="00367355">
        <w:rPr>
          <w:iCs/>
        </w:rPr>
        <w:fldChar w:fldCharType="begin"/>
      </w:r>
      <w:r w:rsidR="008D4F4A" w:rsidRPr="00367355">
        <w:rPr>
          <w:iCs/>
        </w:rPr>
        <w:instrText xml:space="preserve"> REF _Ref211886422 \h </w:instrText>
      </w:r>
      <w:r w:rsidR="008D4F4A" w:rsidRPr="00367355">
        <w:rPr>
          <w:iCs/>
        </w:rPr>
      </w:r>
      <w:r w:rsidR="008D4F4A" w:rsidRPr="00367355">
        <w:rPr>
          <w:iCs/>
        </w:rPr>
        <w:fldChar w:fldCharType="separate"/>
      </w:r>
      <w:r w:rsidR="005731FF" w:rsidRPr="00367355">
        <w:rPr>
          <w:iCs/>
        </w:rPr>
        <w:t xml:space="preserve">Figure </w:t>
      </w:r>
      <w:r w:rsidR="005731FF">
        <w:rPr>
          <w:iCs/>
          <w:noProof/>
        </w:rPr>
        <w:t>5</w:t>
      </w:r>
      <w:r w:rsidR="008D4F4A" w:rsidRPr="00367355">
        <w:rPr>
          <w:iCs/>
        </w:rPr>
        <w:fldChar w:fldCharType="end"/>
      </w:r>
      <w:r w:rsidR="009F5885" w:rsidRPr="00367355">
        <w:rPr>
          <w:iCs/>
        </w:rPr>
        <w:t xml:space="preserve">. </w:t>
      </w:r>
    </w:p>
    <w:p w14:paraId="1963893B" w14:textId="1A663812" w:rsidR="00E073E8" w:rsidRDefault="00E073E8" w:rsidP="00634423">
      <w:pPr>
        <w:pStyle w:val="Caption"/>
      </w:pPr>
      <w:bookmarkStart w:id="58" w:name="_Ref208261934"/>
      <w:r>
        <w:t xml:space="preserve">Table </w:t>
      </w:r>
      <w:r w:rsidR="0077772B">
        <w:fldChar w:fldCharType="begin"/>
      </w:r>
      <w:r w:rsidR="0077772B">
        <w:instrText xml:space="preserve"> SEQ Table \* ARABIC </w:instrText>
      </w:r>
      <w:r w:rsidR="0077772B">
        <w:fldChar w:fldCharType="separate"/>
      </w:r>
      <w:r w:rsidR="005731FF">
        <w:rPr>
          <w:noProof/>
        </w:rPr>
        <w:t>8</w:t>
      </w:r>
      <w:r w:rsidR="0077772B">
        <w:fldChar w:fldCharType="end"/>
      </w:r>
      <w:bookmarkEnd w:id="58"/>
      <w:r>
        <w:t xml:space="preserve">: </w:t>
      </w:r>
      <w:r w:rsidRPr="00890654">
        <w:t>Results for the survival time-adjusted ITC of perioperative durvalumab + GC versus GC + adjuvant nivolumab in high-risk MIBC</w:t>
      </w:r>
    </w:p>
    <w:tbl>
      <w:tblPr>
        <w:tblStyle w:val="AZTable"/>
        <w:tblW w:w="5000" w:type="pct"/>
        <w:tblLook w:val="04A0" w:firstRow="1" w:lastRow="0" w:firstColumn="1" w:lastColumn="0" w:noHBand="0" w:noVBand="1"/>
        <w:tblCaption w:val="Table 8: Results for the survival time-adjusted ITC of perioperative durvalumab + GC versus GC + adjuvant nivolumab in high-risk MIBC"/>
      </w:tblPr>
      <w:tblGrid>
        <w:gridCol w:w="2176"/>
        <w:gridCol w:w="2177"/>
        <w:gridCol w:w="2332"/>
        <w:gridCol w:w="2332"/>
      </w:tblGrid>
      <w:tr w:rsidR="002D1E25" w:rsidRPr="000337DB" w14:paraId="08A27F8D" w14:textId="77777777" w:rsidTr="002378D9">
        <w:trPr>
          <w:cnfStyle w:val="100000000000" w:firstRow="1" w:lastRow="0" w:firstColumn="0" w:lastColumn="0" w:oddVBand="0" w:evenVBand="0" w:oddHBand="0" w:evenHBand="0" w:firstRowFirstColumn="0" w:firstRowLastColumn="0" w:lastRowFirstColumn="0" w:lastRowLastColumn="0"/>
        </w:trPr>
        <w:tc>
          <w:tcPr>
            <w:tcW w:w="1207" w:type="pct"/>
            <w:vMerge w:val="restart"/>
            <w:tcBorders>
              <w:top w:val="single" w:sz="4" w:space="0" w:color="auto"/>
              <w:left w:val="single" w:sz="4" w:space="0" w:color="auto"/>
              <w:bottom w:val="single" w:sz="4" w:space="0" w:color="auto"/>
              <w:right w:val="single" w:sz="4" w:space="0" w:color="auto"/>
            </w:tcBorders>
          </w:tcPr>
          <w:p w14:paraId="1A94493E" w14:textId="77777777" w:rsidR="00E073E8" w:rsidRPr="00BD73C6" w:rsidRDefault="00E073E8">
            <w:pPr>
              <w:keepNext/>
              <w:keepLines/>
              <w:rPr>
                <w:rFonts w:ascii="Arial Narrow" w:eastAsiaTheme="majorEastAsia" w:hAnsi="Arial Narrow"/>
                <w:sz w:val="20"/>
                <w:szCs w:val="20"/>
                <w:lang w:bidi="en-US"/>
              </w:rPr>
            </w:pPr>
            <w:r w:rsidRPr="00BD73C6">
              <w:rPr>
                <w:rFonts w:ascii="Arial Narrow" w:eastAsiaTheme="majorEastAsia" w:hAnsi="Arial Narrow"/>
                <w:sz w:val="20"/>
                <w:szCs w:val="20"/>
                <w:lang w:bidi="en-US"/>
              </w:rPr>
              <w:t>Scenario</w:t>
            </w:r>
          </w:p>
        </w:tc>
        <w:tc>
          <w:tcPr>
            <w:tcW w:w="3793" w:type="pct"/>
            <w:gridSpan w:val="3"/>
            <w:tcBorders>
              <w:top w:val="single" w:sz="4" w:space="0" w:color="auto"/>
              <w:left w:val="single" w:sz="4" w:space="0" w:color="auto"/>
              <w:bottom w:val="single" w:sz="4" w:space="0" w:color="auto"/>
              <w:right w:val="single" w:sz="4" w:space="0" w:color="auto"/>
            </w:tcBorders>
          </w:tcPr>
          <w:p w14:paraId="45CA9AD4" w14:textId="1ABAB2CD" w:rsidR="00E073E8" w:rsidRPr="00BD73C6" w:rsidRDefault="00544C23">
            <w:pPr>
              <w:keepNext/>
              <w:keepLines/>
              <w:jc w:val="center"/>
              <w:rPr>
                <w:rFonts w:ascii="Arial Narrow" w:eastAsiaTheme="majorEastAsia" w:hAnsi="Arial Narrow"/>
                <w:sz w:val="20"/>
                <w:szCs w:val="20"/>
                <w:lang w:val="de-DE" w:bidi="en-US"/>
              </w:rPr>
            </w:pPr>
            <w:r>
              <w:rPr>
                <w:rFonts w:ascii="Arial Narrow" w:eastAsiaTheme="majorEastAsia" w:hAnsi="Arial Narrow"/>
                <w:sz w:val="20"/>
                <w:szCs w:val="20"/>
                <w:lang w:val="de-DE" w:bidi="en-US"/>
              </w:rPr>
              <w:t>Perioperative</w:t>
            </w:r>
            <w:r w:rsidR="00B956D8">
              <w:rPr>
                <w:rFonts w:ascii="Arial Narrow" w:eastAsiaTheme="majorEastAsia" w:hAnsi="Arial Narrow"/>
                <w:sz w:val="20"/>
                <w:szCs w:val="20"/>
                <w:lang w:val="de-DE" w:bidi="en-US"/>
              </w:rPr>
              <w:t xml:space="preserve"> d</w:t>
            </w:r>
            <w:r w:rsidR="00E073E8">
              <w:rPr>
                <w:rFonts w:ascii="Arial Narrow" w:eastAsiaTheme="majorEastAsia" w:hAnsi="Arial Narrow"/>
                <w:sz w:val="20"/>
                <w:szCs w:val="20"/>
                <w:lang w:val="de-DE" w:bidi="en-US"/>
              </w:rPr>
              <w:t>urvalumab</w:t>
            </w:r>
            <w:r w:rsidR="00E073E8" w:rsidRPr="00BD73C6">
              <w:rPr>
                <w:rFonts w:ascii="Arial Narrow" w:eastAsiaTheme="majorEastAsia" w:hAnsi="Arial Narrow"/>
                <w:sz w:val="20"/>
                <w:szCs w:val="20"/>
                <w:lang w:val="de-DE" w:bidi="en-US"/>
              </w:rPr>
              <w:t xml:space="preserve"> + GC </w:t>
            </w:r>
            <w:r w:rsidR="00E073E8">
              <w:rPr>
                <w:rFonts w:ascii="Arial Narrow" w:eastAsiaTheme="majorEastAsia" w:hAnsi="Arial Narrow"/>
                <w:sz w:val="20"/>
                <w:szCs w:val="20"/>
                <w:lang w:val="de-DE" w:bidi="en-US"/>
              </w:rPr>
              <w:t xml:space="preserve">NAC </w:t>
            </w:r>
            <w:r w:rsidR="00E073E8" w:rsidRPr="00BD73C6">
              <w:rPr>
                <w:rFonts w:ascii="Arial Narrow" w:eastAsiaTheme="majorEastAsia" w:hAnsi="Arial Narrow"/>
                <w:sz w:val="20"/>
                <w:szCs w:val="20"/>
                <w:lang w:val="de-DE" w:bidi="en-US"/>
              </w:rPr>
              <w:t xml:space="preserve">vs GC </w:t>
            </w:r>
            <w:r w:rsidR="00E073E8">
              <w:rPr>
                <w:rFonts w:ascii="Arial Narrow" w:eastAsiaTheme="majorEastAsia" w:hAnsi="Arial Narrow"/>
                <w:sz w:val="20"/>
                <w:szCs w:val="20"/>
                <w:lang w:val="de-DE" w:bidi="en-US"/>
              </w:rPr>
              <w:t xml:space="preserve">NAC </w:t>
            </w:r>
            <w:r w:rsidR="00E073E8" w:rsidRPr="00BD73C6">
              <w:rPr>
                <w:rFonts w:ascii="Arial Narrow" w:eastAsiaTheme="majorEastAsia" w:hAnsi="Arial Narrow"/>
                <w:sz w:val="20"/>
                <w:szCs w:val="20"/>
                <w:lang w:val="de-DE" w:bidi="en-US"/>
              </w:rPr>
              <w:t xml:space="preserve">+ </w:t>
            </w:r>
            <w:r w:rsidR="00E073E8">
              <w:rPr>
                <w:rFonts w:ascii="Arial Narrow" w:eastAsiaTheme="majorEastAsia" w:hAnsi="Arial Narrow"/>
                <w:sz w:val="20"/>
                <w:szCs w:val="20"/>
                <w:lang w:val="de-DE" w:bidi="en-US"/>
              </w:rPr>
              <w:t>nivolumab</w:t>
            </w:r>
          </w:p>
        </w:tc>
      </w:tr>
      <w:tr w:rsidR="00E073E8" w:rsidRPr="000337DB" w14:paraId="79D3643B" w14:textId="77777777" w:rsidTr="002378D9">
        <w:trPr>
          <w:trHeight w:val="170"/>
        </w:trPr>
        <w:tc>
          <w:tcPr>
            <w:tcW w:w="1207" w:type="pct"/>
            <w:vMerge/>
            <w:tcBorders>
              <w:left w:val="single" w:sz="4" w:space="0" w:color="auto"/>
              <w:bottom w:val="single" w:sz="4" w:space="0" w:color="auto"/>
              <w:right w:val="single" w:sz="4" w:space="0" w:color="auto"/>
            </w:tcBorders>
          </w:tcPr>
          <w:p w14:paraId="5D03F11A" w14:textId="77777777" w:rsidR="00E073E8" w:rsidRPr="00BD73C6" w:rsidRDefault="00E073E8">
            <w:pPr>
              <w:keepNext/>
              <w:keepLines/>
              <w:jc w:val="center"/>
              <w:rPr>
                <w:rFonts w:ascii="Arial Narrow" w:eastAsiaTheme="majorEastAsia" w:hAnsi="Arial Narrow"/>
                <w:b/>
                <w:sz w:val="20"/>
                <w:szCs w:val="20"/>
                <w:lang w:val="de-DE" w:bidi="en-US"/>
              </w:rPr>
            </w:pPr>
          </w:p>
        </w:tc>
        <w:tc>
          <w:tcPr>
            <w:tcW w:w="1207" w:type="pct"/>
            <w:tcBorders>
              <w:top w:val="single" w:sz="4" w:space="0" w:color="auto"/>
              <w:left w:val="single" w:sz="4" w:space="0" w:color="auto"/>
              <w:bottom w:val="single" w:sz="4" w:space="0" w:color="auto"/>
              <w:right w:val="single" w:sz="4" w:space="0" w:color="auto"/>
            </w:tcBorders>
          </w:tcPr>
          <w:p w14:paraId="7B456B14" w14:textId="77777777" w:rsidR="00E073E8" w:rsidRPr="00BD73C6" w:rsidRDefault="00E073E8">
            <w:pPr>
              <w:keepNext/>
              <w:keepLines/>
              <w:jc w:val="center"/>
              <w:rPr>
                <w:rFonts w:ascii="Arial Narrow" w:eastAsiaTheme="majorEastAsia" w:hAnsi="Arial Narrow"/>
                <w:b/>
                <w:sz w:val="20"/>
                <w:szCs w:val="20"/>
                <w:lang w:bidi="en-US"/>
              </w:rPr>
            </w:pPr>
            <w:r w:rsidRPr="00BD73C6">
              <w:rPr>
                <w:rFonts w:ascii="Arial Narrow" w:eastAsiaTheme="majorEastAsia" w:hAnsi="Arial Narrow"/>
                <w:b/>
                <w:sz w:val="20"/>
                <w:szCs w:val="20"/>
                <w:lang w:bidi="en-US"/>
              </w:rPr>
              <w:t>Endpoint</w:t>
            </w:r>
          </w:p>
        </w:tc>
        <w:tc>
          <w:tcPr>
            <w:tcW w:w="1293" w:type="pct"/>
            <w:tcBorders>
              <w:top w:val="single" w:sz="4" w:space="0" w:color="auto"/>
              <w:left w:val="single" w:sz="4" w:space="0" w:color="auto"/>
              <w:bottom w:val="single" w:sz="4" w:space="0" w:color="auto"/>
              <w:right w:val="single" w:sz="4" w:space="0" w:color="auto"/>
            </w:tcBorders>
          </w:tcPr>
          <w:p w14:paraId="3129C90A" w14:textId="77777777" w:rsidR="00E073E8" w:rsidRPr="00BD73C6" w:rsidRDefault="00E073E8">
            <w:pPr>
              <w:keepNext/>
              <w:keepLines/>
              <w:jc w:val="center"/>
              <w:rPr>
                <w:rFonts w:ascii="Arial Narrow" w:eastAsiaTheme="majorEastAsia" w:hAnsi="Arial Narrow"/>
                <w:b/>
                <w:sz w:val="20"/>
                <w:szCs w:val="20"/>
                <w:lang w:bidi="en-US"/>
              </w:rPr>
            </w:pPr>
            <w:r w:rsidRPr="00BD73C6">
              <w:rPr>
                <w:rFonts w:ascii="Arial Narrow" w:eastAsiaTheme="majorEastAsia" w:hAnsi="Arial Narrow"/>
                <w:b/>
                <w:sz w:val="20"/>
                <w:szCs w:val="20"/>
                <w:lang w:bidi="en-US"/>
              </w:rPr>
              <w:t>HR</w:t>
            </w:r>
          </w:p>
        </w:tc>
        <w:tc>
          <w:tcPr>
            <w:tcW w:w="1293" w:type="pct"/>
            <w:tcBorders>
              <w:top w:val="single" w:sz="4" w:space="0" w:color="auto"/>
              <w:left w:val="single" w:sz="4" w:space="0" w:color="auto"/>
              <w:bottom w:val="single" w:sz="4" w:space="0" w:color="auto"/>
              <w:right w:val="single" w:sz="4" w:space="0" w:color="auto"/>
            </w:tcBorders>
          </w:tcPr>
          <w:p w14:paraId="2B125854" w14:textId="77777777" w:rsidR="00E073E8" w:rsidRPr="00BD73C6" w:rsidRDefault="00E073E8">
            <w:pPr>
              <w:keepNext/>
              <w:keepLines/>
              <w:jc w:val="center"/>
              <w:rPr>
                <w:rFonts w:ascii="Arial Narrow" w:eastAsiaTheme="majorEastAsia" w:hAnsi="Arial Narrow"/>
                <w:b/>
                <w:sz w:val="20"/>
                <w:szCs w:val="20"/>
                <w:lang w:bidi="en-US"/>
              </w:rPr>
            </w:pPr>
            <w:r w:rsidRPr="00BD73C6">
              <w:rPr>
                <w:rFonts w:ascii="Arial Narrow" w:eastAsiaTheme="majorEastAsia" w:hAnsi="Arial Narrow"/>
                <w:b/>
                <w:sz w:val="20"/>
                <w:szCs w:val="20"/>
                <w:lang w:bidi="en-US"/>
              </w:rPr>
              <w:t>95% CI</w:t>
            </w:r>
          </w:p>
        </w:tc>
      </w:tr>
      <w:tr w:rsidR="00E073E8" w:rsidRPr="000337DB" w14:paraId="64E46C9A" w14:textId="77777777" w:rsidTr="002378D9">
        <w:tc>
          <w:tcPr>
            <w:tcW w:w="1207" w:type="pct"/>
            <w:vMerge w:val="restart"/>
            <w:tcBorders>
              <w:left w:val="single" w:sz="4" w:space="0" w:color="auto"/>
              <w:bottom w:val="single" w:sz="4" w:space="0" w:color="auto"/>
              <w:right w:val="single" w:sz="4" w:space="0" w:color="auto"/>
            </w:tcBorders>
          </w:tcPr>
          <w:p w14:paraId="3DB923D8" w14:textId="77777777" w:rsidR="00E073E8" w:rsidRPr="007460E9" w:rsidRDefault="00E073E8">
            <w:pPr>
              <w:keepNext/>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With re-censoring</w:t>
            </w:r>
          </w:p>
        </w:tc>
        <w:tc>
          <w:tcPr>
            <w:tcW w:w="1207" w:type="pct"/>
            <w:tcBorders>
              <w:top w:val="single" w:sz="4" w:space="0" w:color="auto"/>
              <w:left w:val="single" w:sz="4" w:space="0" w:color="auto"/>
              <w:right w:val="single" w:sz="4" w:space="0" w:color="auto"/>
            </w:tcBorders>
          </w:tcPr>
          <w:p w14:paraId="02A0EB6A" w14:textId="77777777" w:rsidR="00E073E8" w:rsidRPr="007460E9" w:rsidRDefault="00E073E8">
            <w:pPr>
              <w:keepNext/>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EFS</w:t>
            </w:r>
          </w:p>
        </w:tc>
        <w:tc>
          <w:tcPr>
            <w:tcW w:w="1293" w:type="pct"/>
            <w:tcBorders>
              <w:top w:val="single" w:sz="4" w:space="0" w:color="auto"/>
              <w:left w:val="single" w:sz="4" w:space="0" w:color="auto"/>
              <w:right w:val="single" w:sz="4" w:space="0" w:color="auto"/>
            </w:tcBorders>
          </w:tcPr>
          <w:p w14:paraId="72740218" w14:textId="77777777" w:rsidR="00E073E8" w:rsidRPr="007460E9" w:rsidRDefault="00E073E8">
            <w:pPr>
              <w:keepNext/>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0.781</w:t>
            </w:r>
          </w:p>
        </w:tc>
        <w:tc>
          <w:tcPr>
            <w:tcW w:w="1293" w:type="pct"/>
            <w:tcBorders>
              <w:top w:val="single" w:sz="4" w:space="0" w:color="auto"/>
              <w:left w:val="single" w:sz="4" w:space="0" w:color="auto"/>
              <w:right w:val="single" w:sz="4" w:space="0" w:color="auto"/>
            </w:tcBorders>
          </w:tcPr>
          <w:p w14:paraId="67814296" w14:textId="77777777" w:rsidR="00E073E8" w:rsidRPr="007460E9" w:rsidRDefault="00E073E8">
            <w:pPr>
              <w:keepNext/>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0.642 - 0.958</w:t>
            </w:r>
          </w:p>
        </w:tc>
      </w:tr>
      <w:tr w:rsidR="00E073E8" w:rsidRPr="000337DB" w14:paraId="02667BFA" w14:textId="77777777" w:rsidTr="002378D9">
        <w:tc>
          <w:tcPr>
            <w:tcW w:w="1207" w:type="pct"/>
            <w:vMerge/>
            <w:tcBorders>
              <w:left w:val="single" w:sz="4" w:space="0" w:color="auto"/>
              <w:bottom w:val="single" w:sz="4" w:space="0" w:color="auto"/>
              <w:right w:val="single" w:sz="4" w:space="0" w:color="auto"/>
            </w:tcBorders>
          </w:tcPr>
          <w:p w14:paraId="2A27304E" w14:textId="77777777" w:rsidR="00E073E8" w:rsidRPr="007460E9" w:rsidRDefault="00E073E8">
            <w:pPr>
              <w:rPr>
                <w:rFonts w:ascii="Arial Narrow" w:eastAsiaTheme="majorEastAsia" w:hAnsi="Arial Narrow"/>
                <w:bCs/>
                <w:sz w:val="20"/>
                <w:szCs w:val="20"/>
                <w:lang w:bidi="en-US"/>
              </w:rPr>
            </w:pPr>
          </w:p>
        </w:tc>
        <w:tc>
          <w:tcPr>
            <w:tcW w:w="1207" w:type="pct"/>
            <w:tcBorders>
              <w:left w:val="single" w:sz="4" w:space="0" w:color="auto"/>
              <w:bottom w:val="single" w:sz="4" w:space="0" w:color="auto"/>
              <w:right w:val="single" w:sz="4" w:space="0" w:color="auto"/>
            </w:tcBorders>
          </w:tcPr>
          <w:p w14:paraId="3C74EA71"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OS</w:t>
            </w:r>
          </w:p>
        </w:tc>
        <w:tc>
          <w:tcPr>
            <w:tcW w:w="1293" w:type="pct"/>
            <w:tcBorders>
              <w:left w:val="single" w:sz="4" w:space="0" w:color="auto"/>
              <w:bottom w:val="single" w:sz="4" w:space="0" w:color="auto"/>
              <w:right w:val="single" w:sz="4" w:space="0" w:color="auto"/>
            </w:tcBorders>
          </w:tcPr>
          <w:p w14:paraId="6C52BD2D"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0.793</w:t>
            </w:r>
          </w:p>
        </w:tc>
        <w:tc>
          <w:tcPr>
            <w:tcW w:w="1293" w:type="pct"/>
            <w:tcBorders>
              <w:left w:val="single" w:sz="4" w:space="0" w:color="auto"/>
              <w:bottom w:val="single" w:sz="4" w:space="0" w:color="auto"/>
              <w:right w:val="single" w:sz="4" w:space="0" w:color="auto"/>
            </w:tcBorders>
          </w:tcPr>
          <w:p w14:paraId="3D30562B"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0.628 - 0.982</w:t>
            </w:r>
          </w:p>
        </w:tc>
      </w:tr>
      <w:tr w:rsidR="00E073E8" w:rsidRPr="000337DB" w14:paraId="1DF9D086" w14:textId="77777777" w:rsidTr="002378D9">
        <w:tc>
          <w:tcPr>
            <w:tcW w:w="1207" w:type="pct"/>
            <w:vMerge w:val="restart"/>
            <w:tcBorders>
              <w:left w:val="single" w:sz="4" w:space="0" w:color="auto"/>
              <w:bottom w:val="single" w:sz="4" w:space="0" w:color="auto"/>
              <w:right w:val="single" w:sz="4" w:space="0" w:color="auto"/>
            </w:tcBorders>
          </w:tcPr>
          <w:p w14:paraId="30AEDCD2" w14:textId="77777777" w:rsidR="00E073E8" w:rsidRPr="007460E9" w:rsidRDefault="00E073E8">
            <w:pP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Without re-censoring</w:t>
            </w:r>
          </w:p>
        </w:tc>
        <w:tc>
          <w:tcPr>
            <w:tcW w:w="1207" w:type="pct"/>
            <w:tcBorders>
              <w:top w:val="single" w:sz="4" w:space="0" w:color="auto"/>
              <w:left w:val="single" w:sz="4" w:space="0" w:color="auto"/>
              <w:right w:val="single" w:sz="4" w:space="0" w:color="auto"/>
            </w:tcBorders>
          </w:tcPr>
          <w:p w14:paraId="3F5A2435"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EFS</w:t>
            </w:r>
          </w:p>
        </w:tc>
        <w:tc>
          <w:tcPr>
            <w:tcW w:w="1293" w:type="pct"/>
            <w:tcBorders>
              <w:top w:val="single" w:sz="4" w:space="0" w:color="auto"/>
              <w:left w:val="single" w:sz="4" w:space="0" w:color="auto"/>
              <w:right w:val="single" w:sz="4" w:space="0" w:color="auto"/>
            </w:tcBorders>
          </w:tcPr>
          <w:p w14:paraId="002BCD6A"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0.778</w:t>
            </w:r>
          </w:p>
        </w:tc>
        <w:tc>
          <w:tcPr>
            <w:tcW w:w="1293" w:type="pct"/>
            <w:tcBorders>
              <w:top w:val="single" w:sz="4" w:space="0" w:color="auto"/>
              <w:left w:val="single" w:sz="4" w:space="0" w:color="auto"/>
              <w:right w:val="single" w:sz="4" w:space="0" w:color="auto"/>
            </w:tcBorders>
          </w:tcPr>
          <w:p w14:paraId="2B740BEA"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0.639 - 0.947</w:t>
            </w:r>
          </w:p>
        </w:tc>
      </w:tr>
      <w:tr w:rsidR="00E073E8" w:rsidRPr="000337DB" w14:paraId="1195BF30" w14:textId="77777777" w:rsidTr="002378D9">
        <w:tc>
          <w:tcPr>
            <w:tcW w:w="1207" w:type="pct"/>
            <w:vMerge/>
            <w:tcBorders>
              <w:left w:val="single" w:sz="4" w:space="0" w:color="auto"/>
              <w:bottom w:val="single" w:sz="4" w:space="0" w:color="auto"/>
              <w:right w:val="single" w:sz="4" w:space="0" w:color="auto"/>
            </w:tcBorders>
          </w:tcPr>
          <w:p w14:paraId="13C1759B" w14:textId="77777777" w:rsidR="00E073E8" w:rsidRPr="007460E9" w:rsidRDefault="00E073E8">
            <w:pPr>
              <w:rPr>
                <w:rFonts w:ascii="Arial Narrow" w:eastAsiaTheme="majorEastAsia" w:hAnsi="Arial Narrow"/>
                <w:bCs/>
                <w:sz w:val="20"/>
                <w:szCs w:val="20"/>
                <w:lang w:bidi="en-US"/>
              </w:rPr>
            </w:pPr>
          </w:p>
        </w:tc>
        <w:tc>
          <w:tcPr>
            <w:tcW w:w="1207" w:type="pct"/>
            <w:tcBorders>
              <w:left w:val="single" w:sz="4" w:space="0" w:color="auto"/>
              <w:bottom w:val="single" w:sz="4" w:space="0" w:color="auto"/>
              <w:right w:val="single" w:sz="4" w:space="0" w:color="auto"/>
            </w:tcBorders>
          </w:tcPr>
          <w:p w14:paraId="7FC97560"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OS</w:t>
            </w:r>
          </w:p>
        </w:tc>
        <w:tc>
          <w:tcPr>
            <w:tcW w:w="1293" w:type="pct"/>
            <w:tcBorders>
              <w:left w:val="single" w:sz="4" w:space="0" w:color="auto"/>
              <w:bottom w:val="single" w:sz="4" w:space="0" w:color="auto"/>
              <w:right w:val="single" w:sz="4" w:space="0" w:color="auto"/>
            </w:tcBorders>
          </w:tcPr>
          <w:p w14:paraId="6EA8DB4F"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0.781</w:t>
            </w:r>
          </w:p>
        </w:tc>
        <w:tc>
          <w:tcPr>
            <w:tcW w:w="1293" w:type="pct"/>
            <w:tcBorders>
              <w:left w:val="single" w:sz="4" w:space="0" w:color="auto"/>
              <w:bottom w:val="single" w:sz="4" w:space="0" w:color="auto"/>
              <w:right w:val="single" w:sz="4" w:space="0" w:color="auto"/>
            </w:tcBorders>
          </w:tcPr>
          <w:p w14:paraId="5EF25438" w14:textId="77777777" w:rsidR="00E073E8" w:rsidRPr="007460E9" w:rsidRDefault="00E073E8">
            <w:pPr>
              <w:jc w:val="center"/>
              <w:rPr>
                <w:rFonts w:ascii="Arial Narrow" w:eastAsiaTheme="majorEastAsia" w:hAnsi="Arial Narrow"/>
                <w:bCs/>
                <w:sz w:val="20"/>
                <w:szCs w:val="20"/>
                <w:lang w:bidi="en-US"/>
              </w:rPr>
            </w:pPr>
            <w:r w:rsidRPr="007460E9">
              <w:rPr>
                <w:rFonts w:ascii="Arial Narrow" w:eastAsiaTheme="majorEastAsia" w:hAnsi="Arial Narrow"/>
                <w:bCs/>
                <w:sz w:val="20"/>
                <w:szCs w:val="20"/>
                <w:lang w:bidi="en-US"/>
              </w:rPr>
              <w:t>0.623 - 0.962</w:t>
            </w:r>
          </w:p>
        </w:tc>
      </w:tr>
    </w:tbl>
    <w:p w14:paraId="38D45BEB" w14:textId="77777777" w:rsidR="00E073E8" w:rsidRPr="00A13515" w:rsidRDefault="00E073E8" w:rsidP="00E073E8">
      <w:pPr>
        <w:ind w:left="142"/>
        <w:rPr>
          <w:rFonts w:ascii="Arial Narrow" w:hAnsi="Arial Narrow"/>
          <w:sz w:val="18"/>
          <w:szCs w:val="18"/>
        </w:rPr>
      </w:pPr>
      <w:r w:rsidRPr="00A13515">
        <w:rPr>
          <w:rFonts w:ascii="Arial Narrow" w:hAnsi="Arial Narrow"/>
          <w:sz w:val="18"/>
          <w:szCs w:val="18"/>
        </w:rPr>
        <w:t xml:space="preserve">Source: </w:t>
      </w:r>
      <w:r>
        <w:rPr>
          <w:rFonts w:ascii="Arial Narrow" w:hAnsi="Arial Narrow"/>
          <w:sz w:val="18"/>
          <w:szCs w:val="18"/>
        </w:rPr>
        <w:t>Table 2-32</w:t>
      </w:r>
      <w:r w:rsidRPr="00A13515">
        <w:rPr>
          <w:rFonts w:ascii="Arial Narrow" w:hAnsi="Arial Narrow"/>
          <w:sz w:val="18"/>
          <w:szCs w:val="18"/>
        </w:rPr>
        <w:t>, p88 of the submission</w:t>
      </w:r>
    </w:p>
    <w:p w14:paraId="45D72B26" w14:textId="54353DE0" w:rsidR="00E073E8" w:rsidRDefault="00E073E8" w:rsidP="00E073E8">
      <w:pPr>
        <w:ind w:left="142"/>
        <w:rPr>
          <w:rFonts w:ascii="Arial Narrow" w:hAnsi="Arial Narrow"/>
          <w:sz w:val="18"/>
          <w:szCs w:val="18"/>
        </w:rPr>
      </w:pPr>
      <w:r>
        <w:rPr>
          <w:rFonts w:ascii="Arial Narrow" w:hAnsi="Arial Narrow"/>
          <w:sz w:val="18"/>
          <w:szCs w:val="18"/>
        </w:rPr>
        <w:t xml:space="preserve">CI = confidence interval; </w:t>
      </w:r>
      <w:r w:rsidRPr="00A13515">
        <w:rPr>
          <w:rFonts w:ascii="Arial Narrow" w:hAnsi="Arial Narrow"/>
          <w:sz w:val="18"/>
          <w:szCs w:val="18"/>
        </w:rPr>
        <w:t>D</w:t>
      </w:r>
      <w:r>
        <w:rPr>
          <w:rFonts w:ascii="Arial Narrow" w:hAnsi="Arial Narrow"/>
          <w:sz w:val="18"/>
          <w:szCs w:val="18"/>
        </w:rPr>
        <w:t>URVA</w:t>
      </w:r>
      <w:r w:rsidRPr="00A13515">
        <w:rPr>
          <w:rFonts w:ascii="Arial Narrow" w:hAnsi="Arial Narrow"/>
          <w:sz w:val="18"/>
          <w:szCs w:val="18"/>
        </w:rPr>
        <w:t xml:space="preserve"> = durvalumab; </w:t>
      </w:r>
      <w:r>
        <w:rPr>
          <w:rFonts w:ascii="Arial Narrow" w:hAnsi="Arial Narrow"/>
          <w:sz w:val="18"/>
          <w:szCs w:val="18"/>
        </w:rPr>
        <w:t xml:space="preserve">EFS = event-free survival; </w:t>
      </w:r>
      <w:r w:rsidRPr="00A13515">
        <w:rPr>
          <w:rFonts w:ascii="Arial Narrow" w:hAnsi="Arial Narrow"/>
          <w:sz w:val="18"/>
          <w:szCs w:val="18"/>
        </w:rPr>
        <w:t>GC = gemcitabine + cisplatin;</w:t>
      </w:r>
      <w:r>
        <w:rPr>
          <w:rFonts w:ascii="Arial Narrow" w:hAnsi="Arial Narrow"/>
          <w:sz w:val="18"/>
          <w:szCs w:val="18"/>
        </w:rPr>
        <w:t xml:space="preserve"> HR = hazard ratio; </w:t>
      </w:r>
      <w:r w:rsidRPr="00A13515">
        <w:rPr>
          <w:rFonts w:ascii="Arial Narrow" w:hAnsi="Arial Narrow"/>
          <w:sz w:val="18"/>
          <w:szCs w:val="18"/>
        </w:rPr>
        <w:t>N</w:t>
      </w:r>
      <w:r>
        <w:rPr>
          <w:rFonts w:ascii="Arial Narrow" w:hAnsi="Arial Narrow"/>
          <w:sz w:val="18"/>
          <w:szCs w:val="18"/>
        </w:rPr>
        <w:t>IVO</w:t>
      </w:r>
      <w:r w:rsidRPr="00A13515">
        <w:rPr>
          <w:rFonts w:ascii="Arial Narrow" w:hAnsi="Arial Narrow"/>
          <w:sz w:val="18"/>
          <w:szCs w:val="18"/>
        </w:rPr>
        <w:t xml:space="preserve"> = nivolumab; OS = overall survival</w:t>
      </w:r>
      <w:r>
        <w:rPr>
          <w:rFonts w:ascii="Arial Narrow" w:hAnsi="Arial Narrow"/>
          <w:sz w:val="18"/>
          <w:szCs w:val="18"/>
        </w:rPr>
        <w:t>.</w:t>
      </w:r>
    </w:p>
    <w:p w14:paraId="6A9F3668" w14:textId="77777777" w:rsidR="00E073E8" w:rsidRDefault="00E073E8" w:rsidP="00E073E8">
      <w:pPr>
        <w:ind w:left="142"/>
        <w:rPr>
          <w:rFonts w:ascii="Arial Narrow" w:hAnsi="Arial Narrow"/>
          <w:sz w:val="18"/>
          <w:szCs w:val="18"/>
        </w:rPr>
      </w:pPr>
    </w:p>
    <w:p w14:paraId="4C9A5774" w14:textId="7F57C405" w:rsidR="00543AD1" w:rsidRPr="00367355" w:rsidRDefault="008D4F4A" w:rsidP="008D4F4A">
      <w:pPr>
        <w:pStyle w:val="Caption"/>
        <w:rPr>
          <w:iCs/>
        </w:rPr>
      </w:pPr>
      <w:bookmarkStart w:id="59" w:name="_Ref211886421"/>
      <w:r w:rsidRPr="00367355">
        <w:rPr>
          <w:iCs/>
        </w:rPr>
        <w:lastRenderedPageBreak/>
        <w:t xml:space="preserve">Figure </w:t>
      </w:r>
      <w:r w:rsidRPr="00367355">
        <w:rPr>
          <w:iCs/>
        </w:rPr>
        <w:fldChar w:fldCharType="begin"/>
      </w:r>
      <w:r w:rsidRPr="00367355">
        <w:rPr>
          <w:iCs/>
        </w:rPr>
        <w:instrText xml:space="preserve"> SEQ Figure \* ARABIC </w:instrText>
      </w:r>
      <w:r w:rsidRPr="00367355">
        <w:rPr>
          <w:iCs/>
        </w:rPr>
        <w:fldChar w:fldCharType="separate"/>
      </w:r>
      <w:r w:rsidR="005731FF">
        <w:rPr>
          <w:iCs/>
          <w:noProof/>
        </w:rPr>
        <w:t>4</w:t>
      </w:r>
      <w:r w:rsidRPr="00367355">
        <w:rPr>
          <w:iCs/>
        </w:rPr>
        <w:fldChar w:fldCharType="end"/>
      </w:r>
      <w:bookmarkEnd w:id="59"/>
      <w:r w:rsidRPr="00367355">
        <w:rPr>
          <w:iCs/>
        </w:rPr>
        <w:t>:</w:t>
      </w:r>
      <w:r>
        <w:t xml:space="preserve"> </w:t>
      </w:r>
      <w:r w:rsidR="00543AD1" w:rsidRPr="00367355">
        <w:rPr>
          <w:iCs/>
        </w:rPr>
        <w:t xml:space="preserve">Kaplan-Meier curves for EFS comparing perioperative durvalumab + GC, GC, and GC + adjuvant nivolumab (counterfactual arm) </w:t>
      </w:r>
    </w:p>
    <w:p w14:paraId="5819DBB3" w14:textId="77777777" w:rsidR="00543AD1" w:rsidRPr="00DF1914" w:rsidRDefault="00543AD1" w:rsidP="00543AD1">
      <w:pPr>
        <w:keepNext/>
        <w:keepLines/>
        <w:ind w:left="426"/>
      </w:pPr>
      <w:r w:rsidRPr="00DF1914">
        <w:rPr>
          <w:noProof/>
        </w:rPr>
        <w:drawing>
          <wp:inline distT="0" distB="0" distL="0" distR="0" wp14:anchorId="342DC920" wp14:editId="5342F0C9">
            <wp:extent cx="4410075" cy="3461807"/>
            <wp:effectExtent l="0" t="0" r="0" b="5715"/>
            <wp:docPr id="1366561179" name="Picture 1" descr="Figure 4: Kaplan-Meier curves for EFS comparing perioperative durvalumab + GC, GC, and GC + adjuvant nivolumab (counterfactual 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61179" name="Picture 1" descr="Figure 4: Kaplan-Meier curves for EFS comparing perioperative durvalumab + GC, GC, and GC + adjuvant nivolumab (counterfactual arm)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1444" cy="3470731"/>
                    </a:xfrm>
                    <a:prstGeom prst="rect">
                      <a:avLst/>
                    </a:prstGeom>
                    <a:noFill/>
                  </pic:spPr>
                </pic:pic>
              </a:graphicData>
            </a:graphic>
          </wp:inline>
        </w:drawing>
      </w:r>
    </w:p>
    <w:p w14:paraId="730E5291" w14:textId="77777777" w:rsidR="00543AD1" w:rsidRPr="00367355" w:rsidRDefault="00543AD1" w:rsidP="00543AD1">
      <w:pPr>
        <w:pStyle w:val="TableFigureFooter"/>
        <w:keepNext/>
        <w:ind w:left="426"/>
        <w:rPr>
          <w:iCs/>
        </w:rPr>
      </w:pPr>
      <w:r w:rsidRPr="00367355">
        <w:rPr>
          <w:iCs/>
        </w:rPr>
        <w:t>Source: Figure 2-7, p87 of the submission</w:t>
      </w:r>
    </w:p>
    <w:p w14:paraId="07827E23" w14:textId="77777777" w:rsidR="00543AD1" w:rsidRPr="00367355" w:rsidRDefault="00543AD1" w:rsidP="00543AD1">
      <w:pPr>
        <w:pStyle w:val="TableFigureFooter"/>
        <w:keepNext/>
        <w:ind w:left="426"/>
        <w:rPr>
          <w:iCs/>
        </w:rPr>
      </w:pPr>
      <w:r w:rsidRPr="00367355">
        <w:rPr>
          <w:iCs/>
        </w:rPr>
        <w:t>D = durvalumab; EFS = event-free survival; GC = gemcitabine + cisplatin; N = nivolumab</w:t>
      </w:r>
    </w:p>
    <w:p w14:paraId="56904ECA" w14:textId="77777777" w:rsidR="009F5885" w:rsidRDefault="009F5885" w:rsidP="00E073E8">
      <w:pPr>
        <w:ind w:left="142"/>
        <w:rPr>
          <w:rFonts w:asciiTheme="minorHAnsi" w:eastAsiaTheme="minorHAnsi" w:hAnsiTheme="minorHAnsi" w:cstheme="minorBidi"/>
          <w:szCs w:val="22"/>
        </w:rPr>
      </w:pPr>
    </w:p>
    <w:p w14:paraId="25757375" w14:textId="77777777" w:rsidR="00543AD1" w:rsidRDefault="00543AD1" w:rsidP="00E073E8">
      <w:pPr>
        <w:ind w:left="142"/>
        <w:rPr>
          <w:rFonts w:asciiTheme="minorHAnsi" w:eastAsiaTheme="minorHAnsi" w:hAnsiTheme="minorHAnsi" w:cstheme="minorBidi"/>
          <w:szCs w:val="22"/>
        </w:rPr>
      </w:pPr>
    </w:p>
    <w:p w14:paraId="35CCADDC" w14:textId="25765D43" w:rsidR="00004029" w:rsidRPr="00367355" w:rsidRDefault="008D4F4A" w:rsidP="008D4F4A">
      <w:pPr>
        <w:pStyle w:val="Caption"/>
        <w:rPr>
          <w:iCs/>
        </w:rPr>
      </w:pPr>
      <w:bookmarkStart w:id="60" w:name="_Ref211886422"/>
      <w:r w:rsidRPr="00367355">
        <w:rPr>
          <w:iCs/>
        </w:rPr>
        <w:lastRenderedPageBreak/>
        <w:t xml:space="preserve">Figure </w:t>
      </w:r>
      <w:r w:rsidRPr="00367355">
        <w:rPr>
          <w:iCs/>
        </w:rPr>
        <w:fldChar w:fldCharType="begin"/>
      </w:r>
      <w:r w:rsidRPr="00367355">
        <w:rPr>
          <w:iCs/>
        </w:rPr>
        <w:instrText xml:space="preserve"> SEQ Figure \* ARABIC </w:instrText>
      </w:r>
      <w:r w:rsidRPr="00367355">
        <w:rPr>
          <w:iCs/>
        </w:rPr>
        <w:fldChar w:fldCharType="separate"/>
      </w:r>
      <w:r w:rsidR="005731FF">
        <w:rPr>
          <w:iCs/>
          <w:noProof/>
        </w:rPr>
        <w:t>5</w:t>
      </w:r>
      <w:r w:rsidRPr="00367355">
        <w:rPr>
          <w:iCs/>
        </w:rPr>
        <w:fldChar w:fldCharType="end"/>
      </w:r>
      <w:bookmarkEnd w:id="60"/>
      <w:r>
        <w:t xml:space="preserve">: </w:t>
      </w:r>
      <w:r w:rsidR="00004029" w:rsidRPr="00367355">
        <w:rPr>
          <w:iCs/>
        </w:rPr>
        <w:t xml:space="preserve">Kaplan-Meier curves for OS comparing perioperative durvalumab + GC, GC, and GC + adjuvant nivolumab (counterfactual arm) </w:t>
      </w:r>
    </w:p>
    <w:p w14:paraId="08369E8D" w14:textId="77777777" w:rsidR="00004029" w:rsidRPr="00DF1914" w:rsidRDefault="00004029" w:rsidP="00004029">
      <w:pPr>
        <w:ind w:left="426"/>
      </w:pPr>
      <w:r w:rsidRPr="00DF1914">
        <w:rPr>
          <w:noProof/>
        </w:rPr>
        <w:drawing>
          <wp:inline distT="0" distB="0" distL="0" distR="0" wp14:anchorId="7DC8D85B" wp14:editId="4661602C">
            <wp:extent cx="4686300" cy="3810647"/>
            <wp:effectExtent l="0" t="0" r="0" b="0"/>
            <wp:docPr id="1933920824" name="Picture 2" descr="Figure 5: Kaplan-Meier curves for OS comparing perioperative durvalumab + GC, GC, and GC + adjuvant nivolumab (counterfactual 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20824" name="Picture 2" descr="Figure 5: Kaplan-Meier curves for OS comparing perioperative durvalumab + GC, GC, and GC + adjuvant nivolumab (counterfactual arm)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1904" cy="3823335"/>
                    </a:xfrm>
                    <a:prstGeom prst="rect">
                      <a:avLst/>
                    </a:prstGeom>
                    <a:noFill/>
                  </pic:spPr>
                </pic:pic>
              </a:graphicData>
            </a:graphic>
          </wp:inline>
        </w:drawing>
      </w:r>
    </w:p>
    <w:p w14:paraId="326D4198" w14:textId="77777777" w:rsidR="00004029" w:rsidRPr="00367355" w:rsidRDefault="00004029" w:rsidP="00004029">
      <w:pPr>
        <w:pStyle w:val="TableFigureFooter"/>
        <w:ind w:left="426"/>
        <w:rPr>
          <w:iCs/>
        </w:rPr>
      </w:pPr>
      <w:r w:rsidRPr="00367355">
        <w:rPr>
          <w:iCs/>
        </w:rPr>
        <w:t>Source: Figure 2-8, p89 of the submission</w:t>
      </w:r>
    </w:p>
    <w:p w14:paraId="247A2ACE" w14:textId="77777777" w:rsidR="00004029" w:rsidRPr="00367355" w:rsidRDefault="00004029" w:rsidP="00004029">
      <w:pPr>
        <w:pStyle w:val="TableFigureFooter"/>
        <w:ind w:left="426"/>
        <w:rPr>
          <w:iCs/>
        </w:rPr>
      </w:pPr>
      <w:r w:rsidRPr="00367355">
        <w:rPr>
          <w:iCs/>
        </w:rPr>
        <w:t>D = durvalumab; GC = gemcitabine + cisplatin; N = nivolumab; OS = overall survival</w:t>
      </w:r>
    </w:p>
    <w:p w14:paraId="78F7194E" w14:textId="759F159E" w:rsidR="00E073E8" w:rsidRPr="00DF1914" w:rsidRDefault="00E073E8" w:rsidP="00E073E8">
      <w:pPr>
        <w:pStyle w:val="4-SubsectionHeading"/>
      </w:pPr>
      <w:bookmarkStart w:id="61" w:name="_Toc22897642"/>
      <w:bookmarkStart w:id="62" w:name="_Toc209021284"/>
      <w:bookmarkStart w:id="63" w:name="_Toc209023180"/>
      <w:r w:rsidRPr="00DF1914">
        <w:t>Comparative harms</w:t>
      </w:r>
      <w:bookmarkEnd w:id="61"/>
      <w:bookmarkEnd w:id="62"/>
      <w:bookmarkEnd w:id="63"/>
    </w:p>
    <w:p w14:paraId="3A92CA42" w14:textId="46A50CC4" w:rsidR="00E073E8" w:rsidRPr="002237FC" w:rsidRDefault="00E073E8" w:rsidP="00E073E8">
      <w:pPr>
        <w:pStyle w:val="3-BodyText"/>
        <w:numPr>
          <w:ilvl w:val="0"/>
          <w:numId w:val="0"/>
        </w:numPr>
        <w:ind w:left="720" w:hanging="720"/>
        <w:rPr>
          <w:color w:val="0066FF"/>
        </w:rPr>
      </w:pPr>
      <w:r w:rsidRPr="00305019">
        <w:rPr>
          <w:b/>
          <w:bCs/>
        </w:rPr>
        <w:t>Head-to-head</w:t>
      </w:r>
      <w:r>
        <w:rPr>
          <w:b/>
          <w:bCs/>
        </w:rPr>
        <w:t xml:space="preserve"> trial</w:t>
      </w:r>
      <w:r w:rsidRPr="00305019">
        <w:rPr>
          <w:b/>
          <w:bCs/>
        </w:rPr>
        <w:t xml:space="preserve"> </w:t>
      </w:r>
      <w:r>
        <w:rPr>
          <w:b/>
          <w:bCs/>
        </w:rPr>
        <w:t>(</w:t>
      </w:r>
      <w:r w:rsidRPr="00305019">
        <w:rPr>
          <w:b/>
          <w:bCs/>
        </w:rPr>
        <w:t>NIAGARA</w:t>
      </w:r>
      <w:r>
        <w:rPr>
          <w:b/>
          <w:bCs/>
        </w:rPr>
        <w:t>)</w:t>
      </w:r>
      <w:r w:rsidRPr="00305019">
        <w:rPr>
          <w:b/>
          <w:bCs/>
        </w:rPr>
        <w:t xml:space="preserve"> of </w:t>
      </w:r>
      <w:r w:rsidRPr="001631BE">
        <w:rPr>
          <w:b/>
          <w:bCs/>
        </w:rPr>
        <w:t xml:space="preserve">perioperative </w:t>
      </w:r>
      <w:r>
        <w:rPr>
          <w:b/>
          <w:bCs/>
        </w:rPr>
        <w:t>durvalumab vs</w:t>
      </w:r>
      <w:r w:rsidRPr="00305019">
        <w:rPr>
          <w:b/>
          <w:bCs/>
        </w:rPr>
        <w:t xml:space="preserve"> </w:t>
      </w:r>
      <w:r>
        <w:rPr>
          <w:b/>
          <w:bCs/>
        </w:rPr>
        <w:t>neoadjuvant chemotherapy</w:t>
      </w:r>
    </w:p>
    <w:p w14:paraId="2C6628CF" w14:textId="1265AAE0" w:rsidR="00E073E8" w:rsidRPr="00FD6984" w:rsidRDefault="00E073E8" w:rsidP="00E073E8">
      <w:pPr>
        <w:pStyle w:val="3-BodyText"/>
        <w:rPr>
          <w:color w:val="0066FF"/>
        </w:rPr>
      </w:pPr>
      <w:r>
        <w:rPr>
          <w:color w:val="000000" w:themeColor="text1"/>
        </w:rPr>
        <w:t xml:space="preserve">The overall AEs reported in NIAGARA are summarised in </w:t>
      </w:r>
      <w:r>
        <w:rPr>
          <w:color w:val="000000" w:themeColor="text1"/>
        </w:rPr>
        <w:fldChar w:fldCharType="begin"/>
      </w:r>
      <w:r>
        <w:rPr>
          <w:color w:val="000000" w:themeColor="text1"/>
        </w:rPr>
        <w:instrText xml:space="preserve"> REF _Ref207458957 \h </w:instrText>
      </w:r>
      <w:r>
        <w:rPr>
          <w:color w:val="000000" w:themeColor="text1"/>
        </w:rPr>
      </w:r>
      <w:r>
        <w:rPr>
          <w:color w:val="000000" w:themeColor="text1"/>
        </w:rPr>
        <w:fldChar w:fldCharType="separate"/>
      </w:r>
      <w:r w:rsidR="005731FF">
        <w:t xml:space="preserve">Table </w:t>
      </w:r>
      <w:r w:rsidR="005731FF">
        <w:rPr>
          <w:noProof/>
        </w:rPr>
        <w:t>9</w:t>
      </w:r>
      <w:r>
        <w:rPr>
          <w:color w:val="000000" w:themeColor="text1"/>
        </w:rPr>
        <w:fldChar w:fldCharType="end"/>
      </w:r>
      <w:r>
        <w:rPr>
          <w:color w:val="000000" w:themeColor="text1"/>
        </w:rPr>
        <w:t>.</w:t>
      </w:r>
    </w:p>
    <w:p w14:paraId="66385714" w14:textId="041B0EEB" w:rsidR="00E073E8" w:rsidRDefault="00E073E8" w:rsidP="00A24419">
      <w:pPr>
        <w:pStyle w:val="Caption"/>
      </w:pPr>
      <w:bookmarkStart w:id="64" w:name="_Ref207458957"/>
      <w:r>
        <w:lastRenderedPageBreak/>
        <w:t xml:space="preserve">Table </w:t>
      </w:r>
      <w:r w:rsidR="0077772B">
        <w:fldChar w:fldCharType="begin"/>
      </w:r>
      <w:r w:rsidR="0077772B">
        <w:instrText xml:space="preserve"> SEQ Table \* ARABIC </w:instrText>
      </w:r>
      <w:r w:rsidR="0077772B">
        <w:fldChar w:fldCharType="separate"/>
      </w:r>
      <w:r w:rsidR="005731FF">
        <w:rPr>
          <w:noProof/>
        </w:rPr>
        <w:t>9</w:t>
      </w:r>
      <w:r w:rsidR="0077772B">
        <w:rPr>
          <w:noProof/>
        </w:rPr>
        <w:fldChar w:fldCharType="end"/>
      </w:r>
      <w:bookmarkEnd w:id="64"/>
      <w:r>
        <w:t xml:space="preserve">: </w:t>
      </w:r>
      <w:r w:rsidRPr="009366F7">
        <w:t>Summary of overall AEs in NIAGARA (Safety analysis Set</w:t>
      </w:r>
      <w:r>
        <w:t>)</w:t>
      </w:r>
    </w:p>
    <w:tbl>
      <w:tblPr>
        <w:tblStyle w:val="TableGrid"/>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Table 9: Summary of overall AEs in NIAGARA (Safety analysis Set)"/>
      </w:tblPr>
      <w:tblGrid>
        <w:gridCol w:w="3681"/>
        <w:gridCol w:w="1417"/>
        <w:gridCol w:w="1417"/>
        <w:gridCol w:w="1277"/>
        <w:gridCol w:w="1225"/>
      </w:tblGrid>
      <w:tr w:rsidR="00E073E8" w:rsidRPr="00164BC3" w14:paraId="18424245" w14:textId="77777777" w:rsidTr="00F9579D">
        <w:tc>
          <w:tcPr>
            <w:tcW w:w="2041" w:type="pct"/>
            <w:tcBorders>
              <w:top w:val="single" w:sz="4" w:space="0" w:color="auto"/>
              <w:bottom w:val="nil"/>
              <w:right w:val="single" w:sz="4" w:space="0" w:color="auto"/>
            </w:tcBorders>
          </w:tcPr>
          <w:p w14:paraId="1A7177DB" w14:textId="77777777" w:rsidR="00E073E8" w:rsidRPr="00164BC3" w:rsidRDefault="00E073E8">
            <w:pPr>
              <w:pStyle w:val="TableText0"/>
              <w:ind w:right="-57"/>
            </w:pPr>
          </w:p>
        </w:tc>
        <w:tc>
          <w:tcPr>
            <w:tcW w:w="1571" w:type="pct"/>
            <w:gridSpan w:val="2"/>
            <w:tcBorders>
              <w:top w:val="single" w:sz="4" w:space="0" w:color="auto"/>
              <w:left w:val="single" w:sz="4" w:space="0" w:color="auto"/>
              <w:bottom w:val="single" w:sz="4" w:space="0" w:color="auto"/>
              <w:right w:val="single" w:sz="4" w:space="0" w:color="auto"/>
            </w:tcBorders>
          </w:tcPr>
          <w:p w14:paraId="0E0FBB04" w14:textId="5DE8A436" w:rsidR="00E073E8" w:rsidRPr="00081DED" w:rsidRDefault="00E073E8">
            <w:pPr>
              <w:pStyle w:val="TableText1"/>
              <w:keepNext/>
              <w:spacing w:after="0"/>
              <w:jc w:val="center"/>
              <w:rPr>
                <w:b/>
              </w:rPr>
            </w:pPr>
            <w:r>
              <w:rPr>
                <w:b/>
              </w:rPr>
              <w:t>Neoadjuvant</w:t>
            </w:r>
            <w:r w:rsidR="00B46F95">
              <w:rPr>
                <w:b/>
              </w:rPr>
              <w:t xml:space="preserve"> treatment</w:t>
            </w:r>
            <w:r w:rsidR="00FB131E">
              <w:rPr>
                <w:b/>
              </w:rPr>
              <w:t xml:space="preserve"> </w:t>
            </w:r>
            <w:r w:rsidR="007A5051">
              <w:rPr>
                <w:b/>
              </w:rPr>
              <w:t>period</w:t>
            </w:r>
          </w:p>
        </w:tc>
        <w:tc>
          <w:tcPr>
            <w:tcW w:w="1387" w:type="pct"/>
            <w:gridSpan w:val="2"/>
            <w:tcBorders>
              <w:top w:val="single" w:sz="4" w:space="0" w:color="auto"/>
              <w:left w:val="single" w:sz="4" w:space="0" w:color="auto"/>
              <w:bottom w:val="single" w:sz="4" w:space="0" w:color="auto"/>
            </w:tcBorders>
          </w:tcPr>
          <w:p w14:paraId="0C86539C" w14:textId="43752D61" w:rsidR="00E073E8" w:rsidRPr="00081DED" w:rsidRDefault="00E073E8">
            <w:pPr>
              <w:pStyle w:val="TableText1"/>
              <w:keepNext/>
              <w:spacing w:after="0"/>
              <w:jc w:val="center"/>
              <w:rPr>
                <w:b/>
              </w:rPr>
            </w:pPr>
            <w:r>
              <w:rPr>
                <w:b/>
              </w:rPr>
              <w:t>Adjuvant</w:t>
            </w:r>
            <w:r w:rsidR="00B46F95">
              <w:rPr>
                <w:b/>
              </w:rPr>
              <w:t xml:space="preserve"> treatment</w:t>
            </w:r>
            <w:r w:rsidR="00FB131E">
              <w:rPr>
                <w:b/>
              </w:rPr>
              <w:t xml:space="preserve"> </w:t>
            </w:r>
            <w:r w:rsidR="007A5051">
              <w:rPr>
                <w:b/>
              </w:rPr>
              <w:t>period</w:t>
            </w:r>
          </w:p>
        </w:tc>
      </w:tr>
      <w:tr w:rsidR="00E073E8" w:rsidRPr="00164BC3" w14:paraId="0290A703" w14:textId="77777777" w:rsidTr="00F9579D">
        <w:tc>
          <w:tcPr>
            <w:tcW w:w="2041" w:type="pct"/>
            <w:tcBorders>
              <w:top w:val="nil"/>
              <w:bottom w:val="single" w:sz="4" w:space="0" w:color="auto"/>
              <w:right w:val="single" w:sz="4" w:space="0" w:color="auto"/>
            </w:tcBorders>
          </w:tcPr>
          <w:p w14:paraId="40F50631" w14:textId="77777777" w:rsidR="00E073E8" w:rsidRPr="00164BC3" w:rsidRDefault="00E073E8">
            <w:pPr>
              <w:pStyle w:val="TableText0"/>
              <w:ind w:right="-57"/>
            </w:pPr>
          </w:p>
        </w:tc>
        <w:tc>
          <w:tcPr>
            <w:tcW w:w="786" w:type="pct"/>
            <w:tcBorders>
              <w:top w:val="single" w:sz="4" w:space="0" w:color="auto"/>
              <w:left w:val="single" w:sz="4" w:space="0" w:color="auto"/>
              <w:bottom w:val="single" w:sz="4" w:space="0" w:color="auto"/>
              <w:right w:val="single" w:sz="4" w:space="0" w:color="auto"/>
            </w:tcBorders>
          </w:tcPr>
          <w:p w14:paraId="12FB5753" w14:textId="375E2044" w:rsidR="00E073E8" w:rsidRDefault="00E073E8">
            <w:pPr>
              <w:pStyle w:val="TableText1"/>
              <w:keepNext/>
              <w:spacing w:after="0"/>
              <w:ind w:left="-61"/>
              <w:jc w:val="center"/>
              <w:rPr>
                <w:b/>
              </w:rPr>
            </w:pPr>
            <w:r w:rsidRPr="00081DED">
              <w:rPr>
                <w:b/>
              </w:rPr>
              <w:t>DURVA + GC</w:t>
            </w:r>
          </w:p>
          <w:p w14:paraId="0A2C31AC" w14:textId="4154D052" w:rsidR="00C62CAE" w:rsidRPr="00081DED" w:rsidRDefault="00C62CAE">
            <w:pPr>
              <w:pStyle w:val="TableText1"/>
              <w:keepNext/>
              <w:spacing w:after="0"/>
              <w:ind w:left="-61"/>
              <w:jc w:val="center"/>
              <w:rPr>
                <w:b/>
              </w:rPr>
            </w:pPr>
            <w:r>
              <w:rPr>
                <w:b/>
              </w:rPr>
              <w:t>n (%)</w:t>
            </w:r>
          </w:p>
          <w:p w14:paraId="4F51D69B" w14:textId="77777777" w:rsidR="00E073E8" w:rsidRPr="00081DED" w:rsidRDefault="00E073E8">
            <w:pPr>
              <w:pStyle w:val="TableText0"/>
              <w:ind w:left="-61"/>
              <w:jc w:val="center"/>
              <w:rPr>
                <w:b/>
                <w:bCs w:val="0"/>
              </w:rPr>
            </w:pPr>
            <w:r w:rsidRPr="00081DED">
              <w:rPr>
                <w:b/>
                <w:bCs w:val="0"/>
              </w:rPr>
              <w:t>N = 53</w:t>
            </w:r>
            <w:r>
              <w:rPr>
                <w:b/>
                <w:bCs w:val="0"/>
              </w:rPr>
              <w:t>0</w:t>
            </w:r>
          </w:p>
        </w:tc>
        <w:tc>
          <w:tcPr>
            <w:tcW w:w="786" w:type="pct"/>
            <w:tcBorders>
              <w:top w:val="single" w:sz="4" w:space="0" w:color="auto"/>
              <w:left w:val="single" w:sz="4" w:space="0" w:color="auto"/>
              <w:bottom w:val="single" w:sz="4" w:space="0" w:color="auto"/>
              <w:right w:val="single" w:sz="4" w:space="0" w:color="auto"/>
            </w:tcBorders>
          </w:tcPr>
          <w:p w14:paraId="11A2CEC7" w14:textId="77777777" w:rsidR="00E073E8" w:rsidRDefault="00E073E8">
            <w:pPr>
              <w:pStyle w:val="TableText1"/>
              <w:keepNext/>
              <w:spacing w:after="0"/>
              <w:jc w:val="center"/>
              <w:rPr>
                <w:b/>
              </w:rPr>
            </w:pPr>
            <w:r w:rsidRPr="00081DED">
              <w:rPr>
                <w:b/>
              </w:rPr>
              <w:t>GC</w:t>
            </w:r>
          </w:p>
          <w:p w14:paraId="421B8653" w14:textId="3B07CCEF" w:rsidR="00C62CAE" w:rsidRPr="00081DED" w:rsidRDefault="00C62CAE">
            <w:pPr>
              <w:pStyle w:val="TableText1"/>
              <w:keepNext/>
              <w:spacing w:after="0"/>
              <w:jc w:val="center"/>
              <w:rPr>
                <w:b/>
              </w:rPr>
            </w:pPr>
            <w:r>
              <w:rPr>
                <w:b/>
              </w:rPr>
              <w:t>n (%)</w:t>
            </w:r>
          </w:p>
          <w:p w14:paraId="2DE3734C" w14:textId="77777777" w:rsidR="00E073E8" w:rsidRPr="00081DED" w:rsidRDefault="00E073E8">
            <w:pPr>
              <w:pStyle w:val="TableText0"/>
              <w:jc w:val="center"/>
              <w:rPr>
                <w:b/>
                <w:bCs w:val="0"/>
              </w:rPr>
            </w:pPr>
            <w:r w:rsidRPr="00081DED">
              <w:rPr>
                <w:b/>
                <w:bCs w:val="0"/>
              </w:rPr>
              <w:t>N = 5</w:t>
            </w:r>
            <w:r>
              <w:rPr>
                <w:b/>
                <w:bCs w:val="0"/>
              </w:rPr>
              <w:t>26</w:t>
            </w:r>
          </w:p>
        </w:tc>
        <w:tc>
          <w:tcPr>
            <w:tcW w:w="708" w:type="pct"/>
            <w:tcBorders>
              <w:top w:val="single" w:sz="4" w:space="0" w:color="auto"/>
              <w:left w:val="single" w:sz="4" w:space="0" w:color="auto"/>
              <w:bottom w:val="single" w:sz="4" w:space="0" w:color="auto"/>
              <w:right w:val="single" w:sz="4" w:space="0" w:color="auto"/>
            </w:tcBorders>
          </w:tcPr>
          <w:p w14:paraId="09CAFDA2" w14:textId="3108A141" w:rsidR="00E073E8" w:rsidRDefault="00E073E8">
            <w:pPr>
              <w:pStyle w:val="TableText1"/>
              <w:keepNext/>
              <w:spacing w:after="0"/>
              <w:ind w:left="-61" w:right="-107"/>
              <w:jc w:val="center"/>
              <w:rPr>
                <w:b/>
              </w:rPr>
            </w:pPr>
            <w:r w:rsidRPr="00081DED">
              <w:rPr>
                <w:b/>
              </w:rPr>
              <w:t>DURVA + GC</w:t>
            </w:r>
          </w:p>
          <w:p w14:paraId="3C781D6B" w14:textId="3AB39FB7" w:rsidR="00C62CAE" w:rsidRPr="00081DED" w:rsidRDefault="00C62CAE">
            <w:pPr>
              <w:pStyle w:val="TableText1"/>
              <w:keepNext/>
              <w:spacing w:after="0"/>
              <w:ind w:left="-61" w:right="-107"/>
              <w:jc w:val="center"/>
              <w:rPr>
                <w:b/>
              </w:rPr>
            </w:pPr>
            <w:r>
              <w:rPr>
                <w:b/>
              </w:rPr>
              <w:t>n (%)</w:t>
            </w:r>
          </w:p>
          <w:p w14:paraId="4B70ED38" w14:textId="77777777" w:rsidR="00E073E8" w:rsidRPr="00164BC3" w:rsidRDefault="00E073E8">
            <w:pPr>
              <w:pStyle w:val="TableText0"/>
              <w:ind w:right="-107"/>
              <w:jc w:val="center"/>
              <w:rPr>
                <w:b/>
                <w:bCs w:val="0"/>
                <w:i/>
                <w:iCs/>
                <w:vertAlign w:val="superscript"/>
              </w:rPr>
            </w:pPr>
            <w:r w:rsidRPr="00081DED">
              <w:rPr>
                <w:b/>
                <w:bCs w:val="0"/>
              </w:rPr>
              <w:t xml:space="preserve">N = </w:t>
            </w:r>
            <w:r>
              <w:rPr>
                <w:b/>
                <w:bCs w:val="0"/>
              </w:rPr>
              <w:t>383</w:t>
            </w:r>
          </w:p>
        </w:tc>
        <w:tc>
          <w:tcPr>
            <w:tcW w:w="679" w:type="pct"/>
            <w:tcBorders>
              <w:top w:val="single" w:sz="4" w:space="0" w:color="auto"/>
              <w:left w:val="single" w:sz="4" w:space="0" w:color="auto"/>
              <w:bottom w:val="single" w:sz="4" w:space="0" w:color="auto"/>
            </w:tcBorders>
          </w:tcPr>
          <w:p w14:paraId="46494E1E" w14:textId="6BC34ECE" w:rsidR="00E073E8" w:rsidRDefault="00E073E8">
            <w:pPr>
              <w:pStyle w:val="TableText1"/>
              <w:keepNext/>
              <w:spacing w:after="0"/>
              <w:jc w:val="center"/>
              <w:rPr>
                <w:b/>
                <w:vertAlign w:val="superscript"/>
              </w:rPr>
            </w:pPr>
            <w:r w:rsidRPr="00081DED">
              <w:rPr>
                <w:b/>
              </w:rPr>
              <w:t>GC</w:t>
            </w:r>
            <w:r w:rsidR="00C84545" w:rsidRPr="00C84545">
              <w:rPr>
                <w:b/>
                <w:vertAlign w:val="superscript"/>
              </w:rPr>
              <w:t>g</w:t>
            </w:r>
          </w:p>
          <w:p w14:paraId="50742382" w14:textId="29B7E595" w:rsidR="00C62CAE" w:rsidRPr="00081DED" w:rsidRDefault="00C62CAE">
            <w:pPr>
              <w:pStyle w:val="TableText1"/>
              <w:keepNext/>
              <w:spacing w:after="0"/>
              <w:jc w:val="center"/>
              <w:rPr>
                <w:b/>
              </w:rPr>
            </w:pPr>
            <w:r>
              <w:rPr>
                <w:b/>
              </w:rPr>
              <w:t>n (%)</w:t>
            </w:r>
          </w:p>
          <w:p w14:paraId="0546A766" w14:textId="77777777" w:rsidR="00E073E8" w:rsidRPr="00164BC3" w:rsidRDefault="00E073E8">
            <w:pPr>
              <w:pStyle w:val="TableText0"/>
              <w:jc w:val="center"/>
              <w:rPr>
                <w:b/>
                <w:bCs w:val="0"/>
                <w:i/>
                <w:iCs/>
                <w:vertAlign w:val="superscript"/>
              </w:rPr>
            </w:pPr>
            <w:r w:rsidRPr="00081DED">
              <w:rPr>
                <w:b/>
                <w:bCs w:val="0"/>
              </w:rPr>
              <w:t xml:space="preserve">N = </w:t>
            </w:r>
            <w:r>
              <w:rPr>
                <w:b/>
                <w:bCs w:val="0"/>
              </w:rPr>
              <w:t>383</w:t>
            </w:r>
          </w:p>
        </w:tc>
      </w:tr>
      <w:tr w:rsidR="00E073E8" w:rsidRPr="00164BC3" w14:paraId="77CAD8D3" w14:textId="77777777" w:rsidTr="00F9579D">
        <w:tc>
          <w:tcPr>
            <w:tcW w:w="2041" w:type="pct"/>
            <w:tcBorders>
              <w:top w:val="single" w:sz="4" w:space="0" w:color="auto"/>
              <w:right w:val="single" w:sz="4" w:space="0" w:color="auto"/>
            </w:tcBorders>
            <w:vAlign w:val="center"/>
          </w:tcPr>
          <w:p w14:paraId="0263BEFD" w14:textId="17556CBD" w:rsidR="00E073E8" w:rsidRPr="00C74C05" w:rsidRDefault="00E073E8">
            <w:pPr>
              <w:pStyle w:val="TableText0"/>
              <w:ind w:right="-57"/>
              <w:rPr>
                <w:bCs w:val="0"/>
              </w:rPr>
            </w:pPr>
            <w:r w:rsidRPr="00C74C05">
              <w:rPr>
                <w:bCs w:val="0"/>
              </w:rPr>
              <w:t>Any AE</w:t>
            </w:r>
          </w:p>
        </w:tc>
        <w:tc>
          <w:tcPr>
            <w:tcW w:w="786" w:type="pct"/>
            <w:tcBorders>
              <w:top w:val="single" w:sz="4" w:space="0" w:color="auto"/>
              <w:left w:val="single" w:sz="4" w:space="0" w:color="auto"/>
              <w:bottom w:val="nil"/>
              <w:right w:val="single" w:sz="4" w:space="0" w:color="auto"/>
            </w:tcBorders>
            <w:vAlign w:val="center"/>
          </w:tcPr>
          <w:p w14:paraId="47A2996C" w14:textId="77777777" w:rsidR="00E073E8" w:rsidRPr="00C11E4C" w:rsidRDefault="00E073E8">
            <w:pPr>
              <w:pStyle w:val="TableText0"/>
              <w:ind w:left="-57" w:right="-57"/>
              <w:jc w:val="center"/>
            </w:pPr>
            <w:r w:rsidRPr="00C11E4C">
              <w:t>520 (98.1)</w:t>
            </w:r>
          </w:p>
        </w:tc>
        <w:tc>
          <w:tcPr>
            <w:tcW w:w="786" w:type="pct"/>
            <w:tcBorders>
              <w:top w:val="single" w:sz="4" w:space="0" w:color="auto"/>
              <w:left w:val="single" w:sz="4" w:space="0" w:color="auto"/>
              <w:right w:val="single" w:sz="4" w:space="0" w:color="auto"/>
            </w:tcBorders>
            <w:vAlign w:val="center"/>
          </w:tcPr>
          <w:p w14:paraId="43E4A6D6" w14:textId="77777777" w:rsidR="00E073E8" w:rsidRPr="00C11E4C" w:rsidRDefault="00E073E8">
            <w:pPr>
              <w:pStyle w:val="TableText0"/>
              <w:ind w:left="-57" w:right="-57"/>
              <w:jc w:val="center"/>
            </w:pPr>
            <w:r w:rsidRPr="00C11E4C">
              <w:t>515 (97.9)</w:t>
            </w:r>
          </w:p>
        </w:tc>
        <w:tc>
          <w:tcPr>
            <w:tcW w:w="708" w:type="pct"/>
            <w:tcBorders>
              <w:top w:val="single" w:sz="4" w:space="0" w:color="auto"/>
              <w:left w:val="single" w:sz="4" w:space="0" w:color="auto"/>
              <w:bottom w:val="nil"/>
              <w:right w:val="single" w:sz="4" w:space="0" w:color="auto"/>
            </w:tcBorders>
            <w:vAlign w:val="center"/>
          </w:tcPr>
          <w:p w14:paraId="35E13370" w14:textId="77777777" w:rsidR="00E073E8" w:rsidRPr="00C11E4C" w:rsidRDefault="00E073E8">
            <w:pPr>
              <w:pStyle w:val="TableText0"/>
              <w:ind w:left="-57" w:right="-57"/>
              <w:jc w:val="center"/>
              <w:rPr>
                <w:i/>
                <w:iCs/>
              </w:rPr>
            </w:pPr>
            <w:r w:rsidRPr="00C11E4C">
              <w:t>331 (86.4)</w:t>
            </w:r>
          </w:p>
        </w:tc>
        <w:tc>
          <w:tcPr>
            <w:tcW w:w="679" w:type="pct"/>
            <w:tcBorders>
              <w:top w:val="single" w:sz="4" w:space="0" w:color="auto"/>
              <w:left w:val="single" w:sz="4" w:space="0" w:color="auto"/>
            </w:tcBorders>
            <w:vAlign w:val="center"/>
          </w:tcPr>
          <w:p w14:paraId="1B7F2568" w14:textId="77777777" w:rsidR="00E073E8" w:rsidRPr="00C11E4C" w:rsidRDefault="00E073E8">
            <w:pPr>
              <w:pStyle w:val="TableText0"/>
              <w:ind w:left="-57" w:right="-57"/>
              <w:jc w:val="center"/>
              <w:rPr>
                <w:i/>
                <w:iCs/>
              </w:rPr>
            </w:pPr>
            <w:r w:rsidRPr="00C11E4C">
              <w:t xml:space="preserve">273 (71.3) </w:t>
            </w:r>
          </w:p>
        </w:tc>
      </w:tr>
      <w:tr w:rsidR="00E073E8" w:rsidRPr="00164BC3" w14:paraId="2895A652" w14:textId="77777777" w:rsidTr="00F9579D">
        <w:tc>
          <w:tcPr>
            <w:tcW w:w="2041" w:type="pct"/>
            <w:tcBorders>
              <w:right w:val="single" w:sz="4" w:space="0" w:color="auto"/>
            </w:tcBorders>
            <w:vAlign w:val="center"/>
          </w:tcPr>
          <w:p w14:paraId="3BED12E2" w14:textId="43395A00" w:rsidR="00E073E8" w:rsidRPr="00C74C05" w:rsidRDefault="00E073E8">
            <w:pPr>
              <w:pStyle w:val="TableText0"/>
              <w:ind w:right="-57"/>
              <w:rPr>
                <w:bCs w:val="0"/>
              </w:rPr>
            </w:pPr>
            <w:r w:rsidRPr="00C74C05">
              <w:rPr>
                <w:bCs w:val="0"/>
              </w:rPr>
              <w:t>Any treatment</w:t>
            </w:r>
            <w:r w:rsidRPr="00F7316A">
              <w:rPr>
                <w:vertAlign w:val="superscript"/>
              </w:rPr>
              <w:t>a</w:t>
            </w:r>
            <w:r w:rsidRPr="00C74C05">
              <w:rPr>
                <w:bCs w:val="0"/>
              </w:rPr>
              <w:t xml:space="preserve"> -related AE</w:t>
            </w:r>
            <w:r w:rsidRPr="00F7316A">
              <w:rPr>
                <w:bCs w:val="0"/>
                <w:vertAlign w:val="superscript"/>
              </w:rPr>
              <w:t>b</w:t>
            </w:r>
          </w:p>
        </w:tc>
        <w:tc>
          <w:tcPr>
            <w:tcW w:w="786" w:type="pct"/>
            <w:tcBorders>
              <w:top w:val="nil"/>
              <w:left w:val="single" w:sz="4" w:space="0" w:color="auto"/>
              <w:bottom w:val="nil"/>
              <w:right w:val="single" w:sz="4" w:space="0" w:color="auto"/>
            </w:tcBorders>
            <w:vAlign w:val="center"/>
          </w:tcPr>
          <w:p w14:paraId="10FA483D" w14:textId="77777777" w:rsidR="00E073E8" w:rsidRPr="00C11E4C" w:rsidRDefault="00E073E8">
            <w:pPr>
              <w:pStyle w:val="TableText0"/>
              <w:ind w:left="-57" w:right="-57"/>
              <w:jc w:val="center"/>
            </w:pPr>
            <w:r w:rsidRPr="00C11E4C">
              <w:t>493 (93.0)</w:t>
            </w:r>
          </w:p>
        </w:tc>
        <w:tc>
          <w:tcPr>
            <w:tcW w:w="786" w:type="pct"/>
            <w:tcBorders>
              <w:left w:val="single" w:sz="4" w:space="0" w:color="auto"/>
              <w:right w:val="single" w:sz="4" w:space="0" w:color="auto"/>
            </w:tcBorders>
            <w:vAlign w:val="center"/>
          </w:tcPr>
          <w:p w14:paraId="6CB2015B" w14:textId="77777777" w:rsidR="00E073E8" w:rsidRPr="00C11E4C" w:rsidRDefault="00E073E8">
            <w:pPr>
              <w:pStyle w:val="TableText0"/>
              <w:ind w:left="-57" w:right="-57"/>
              <w:jc w:val="center"/>
            </w:pPr>
            <w:r w:rsidRPr="00C11E4C">
              <w:t>487 (92.6)</w:t>
            </w:r>
          </w:p>
        </w:tc>
        <w:tc>
          <w:tcPr>
            <w:tcW w:w="708" w:type="pct"/>
            <w:tcBorders>
              <w:top w:val="nil"/>
              <w:left w:val="single" w:sz="4" w:space="0" w:color="auto"/>
              <w:bottom w:val="nil"/>
              <w:right w:val="single" w:sz="4" w:space="0" w:color="auto"/>
            </w:tcBorders>
            <w:vAlign w:val="center"/>
          </w:tcPr>
          <w:p w14:paraId="03EAFEEB" w14:textId="77777777" w:rsidR="00E073E8" w:rsidRPr="00C11E4C" w:rsidRDefault="00E073E8">
            <w:pPr>
              <w:pStyle w:val="TableText0"/>
              <w:ind w:left="-57" w:right="-57"/>
              <w:jc w:val="center"/>
            </w:pPr>
            <w:r w:rsidRPr="00C11E4C">
              <w:t>156 (40.7)</w:t>
            </w:r>
          </w:p>
        </w:tc>
        <w:tc>
          <w:tcPr>
            <w:tcW w:w="679" w:type="pct"/>
            <w:tcBorders>
              <w:left w:val="single" w:sz="4" w:space="0" w:color="auto"/>
            </w:tcBorders>
            <w:vAlign w:val="center"/>
          </w:tcPr>
          <w:p w14:paraId="69421E6A" w14:textId="77777777" w:rsidR="00E073E8" w:rsidRPr="00C11E4C" w:rsidRDefault="00E073E8">
            <w:pPr>
              <w:pStyle w:val="TableText0"/>
              <w:ind w:left="-57" w:right="-57"/>
              <w:jc w:val="center"/>
            </w:pPr>
            <w:r w:rsidRPr="00C11E4C">
              <w:t>23 (6.0)</w:t>
            </w:r>
          </w:p>
        </w:tc>
      </w:tr>
      <w:tr w:rsidR="00E073E8" w:rsidRPr="00164BC3" w14:paraId="75E0FB1F" w14:textId="77777777" w:rsidTr="00F9579D">
        <w:tc>
          <w:tcPr>
            <w:tcW w:w="2041" w:type="pct"/>
            <w:tcBorders>
              <w:bottom w:val="single" w:sz="4" w:space="0" w:color="auto"/>
              <w:right w:val="single" w:sz="4" w:space="0" w:color="auto"/>
            </w:tcBorders>
            <w:vAlign w:val="center"/>
          </w:tcPr>
          <w:p w14:paraId="101A5B27" w14:textId="0A3E9133" w:rsidR="00E073E8" w:rsidRPr="00C74C05" w:rsidRDefault="00E073E8">
            <w:pPr>
              <w:pStyle w:val="TableText0"/>
              <w:ind w:left="171" w:right="-57"/>
              <w:rPr>
                <w:bCs w:val="0"/>
              </w:rPr>
            </w:pPr>
            <w:r w:rsidRPr="00C74C05">
              <w:rPr>
                <w:bCs w:val="0"/>
              </w:rPr>
              <w:t>Any DURVA-related AE</w:t>
            </w:r>
            <w:r w:rsidRPr="00F7316A">
              <w:rPr>
                <w:bCs w:val="0"/>
                <w:vertAlign w:val="superscript"/>
              </w:rPr>
              <w:t>b</w:t>
            </w:r>
          </w:p>
        </w:tc>
        <w:tc>
          <w:tcPr>
            <w:tcW w:w="786" w:type="pct"/>
            <w:tcBorders>
              <w:top w:val="nil"/>
              <w:left w:val="single" w:sz="4" w:space="0" w:color="auto"/>
              <w:bottom w:val="single" w:sz="4" w:space="0" w:color="auto"/>
              <w:right w:val="single" w:sz="4" w:space="0" w:color="auto"/>
            </w:tcBorders>
            <w:vAlign w:val="center"/>
          </w:tcPr>
          <w:p w14:paraId="5E27A5F5" w14:textId="77777777" w:rsidR="00E073E8" w:rsidRPr="00C11E4C" w:rsidRDefault="00E073E8">
            <w:pPr>
              <w:pStyle w:val="TableText0"/>
              <w:ind w:left="-57" w:right="-57"/>
              <w:jc w:val="center"/>
            </w:pPr>
            <w:r w:rsidRPr="00C11E4C">
              <w:t>248 (46.8)</w:t>
            </w:r>
          </w:p>
        </w:tc>
        <w:tc>
          <w:tcPr>
            <w:tcW w:w="786" w:type="pct"/>
            <w:tcBorders>
              <w:left w:val="single" w:sz="4" w:space="0" w:color="auto"/>
              <w:bottom w:val="single" w:sz="4" w:space="0" w:color="auto"/>
              <w:right w:val="single" w:sz="4" w:space="0" w:color="auto"/>
            </w:tcBorders>
            <w:vAlign w:val="center"/>
          </w:tcPr>
          <w:p w14:paraId="32168A16"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single" w:sz="4" w:space="0" w:color="auto"/>
              <w:right w:val="single" w:sz="4" w:space="0" w:color="auto"/>
            </w:tcBorders>
            <w:vAlign w:val="center"/>
          </w:tcPr>
          <w:p w14:paraId="25BC3EEB" w14:textId="77777777" w:rsidR="00E073E8" w:rsidRPr="00C11E4C" w:rsidRDefault="00E073E8">
            <w:pPr>
              <w:pStyle w:val="TableText0"/>
              <w:ind w:left="-57" w:right="-57"/>
              <w:jc w:val="center"/>
              <w:rPr>
                <w:i/>
                <w:iCs/>
              </w:rPr>
            </w:pPr>
            <w:r w:rsidRPr="00C11E4C">
              <w:t>148 (38.6)</w:t>
            </w:r>
          </w:p>
        </w:tc>
        <w:tc>
          <w:tcPr>
            <w:tcW w:w="679" w:type="pct"/>
            <w:tcBorders>
              <w:left w:val="single" w:sz="4" w:space="0" w:color="auto"/>
              <w:bottom w:val="single" w:sz="4" w:space="0" w:color="auto"/>
            </w:tcBorders>
            <w:vAlign w:val="center"/>
          </w:tcPr>
          <w:p w14:paraId="41C67771" w14:textId="77777777" w:rsidR="00E073E8" w:rsidRPr="00C11E4C" w:rsidRDefault="00E073E8">
            <w:pPr>
              <w:pStyle w:val="TableText0"/>
              <w:ind w:left="-57" w:right="-57"/>
              <w:jc w:val="center"/>
              <w:rPr>
                <w:i/>
                <w:iCs/>
              </w:rPr>
            </w:pPr>
            <w:r w:rsidRPr="00C11E4C">
              <w:t>NA</w:t>
            </w:r>
          </w:p>
        </w:tc>
      </w:tr>
      <w:tr w:rsidR="00E073E8" w:rsidRPr="00164BC3" w14:paraId="7D8EAECE" w14:textId="77777777" w:rsidTr="00F9579D">
        <w:tc>
          <w:tcPr>
            <w:tcW w:w="2041" w:type="pct"/>
            <w:tcBorders>
              <w:top w:val="single" w:sz="4" w:space="0" w:color="auto"/>
              <w:right w:val="single" w:sz="4" w:space="0" w:color="auto"/>
            </w:tcBorders>
            <w:vAlign w:val="center"/>
          </w:tcPr>
          <w:p w14:paraId="530EC2A1" w14:textId="77777777" w:rsidR="00E073E8" w:rsidRPr="00C74C05" w:rsidRDefault="00E073E8">
            <w:pPr>
              <w:pStyle w:val="TableText0"/>
              <w:ind w:right="-57"/>
              <w:rPr>
                <w:bCs w:val="0"/>
              </w:rPr>
            </w:pPr>
            <w:r w:rsidRPr="00C74C05">
              <w:rPr>
                <w:bCs w:val="0"/>
              </w:rPr>
              <w:t>Grade ≥3, n (%)</w:t>
            </w:r>
          </w:p>
        </w:tc>
        <w:tc>
          <w:tcPr>
            <w:tcW w:w="786" w:type="pct"/>
            <w:tcBorders>
              <w:top w:val="single" w:sz="4" w:space="0" w:color="auto"/>
              <w:left w:val="single" w:sz="4" w:space="0" w:color="auto"/>
              <w:bottom w:val="nil"/>
              <w:right w:val="single" w:sz="4" w:space="0" w:color="auto"/>
            </w:tcBorders>
            <w:vAlign w:val="center"/>
          </w:tcPr>
          <w:p w14:paraId="784D89C1" w14:textId="77777777" w:rsidR="00E073E8" w:rsidRPr="00C11E4C" w:rsidRDefault="00E073E8">
            <w:pPr>
              <w:pStyle w:val="TableText0"/>
              <w:ind w:left="-57" w:right="-57"/>
              <w:jc w:val="center"/>
            </w:pPr>
            <w:r w:rsidRPr="00C11E4C">
              <w:t>249 (47.0)</w:t>
            </w:r>
          </w:p>
        </w:tc>
        <w:tc>
          <w:tcPr>
            <w:tcW w:w="786" w:type="pct"/>
            <w:tcBorders>
              <w:top w:val="single" w:sz="4" w:space="0" w:color="auto"/>
              <w:left w:val="single" w:sz="4" w:space="0" w:color="auto"/>
              <w:right w:val="single" w:sz="4" w:space="0" w:color="auto"/>
            </w:tcBorders>
            <w:vAlign w:val="center"/>
          </w:tcPr>
          <w:p w14:paraId="51AAA733" w14:textId="77777777" w:rsidR="00E073E8" w:rsidRPr="00C11E4C" w:rsidRDefault="00E073E8">
            <w:pPr>
              <w:pStyle w:val="TableText0"/>
              <w:ind w:left="-57" w:right="-57"/>
              <w:jc w:val="center"/>
            </w:pPr>
            <w:r w:rsidRPr="00C11E4C">
              <w:t>271 (51.5)</w:t>
            </w:r>
          </w:p>
        </w:tc>
        <w:tc>
          <w:tcPr>
            <w:tcW w:w="708" w:type="pct"/>
            <w:tcBorders>
              <w:top w:val="single" w:sz="4" w:space="0" w:color="auto"/>
              <w:left w:val="single" w:sz="4" w:space="0" w:color="auto"/>
              <w:bottom w:val="nil"/>
              <w:right w:val="single" w:sz="4" w:space="0" w:color="auto"/>
            </w:tcBorders>
            <w:vAlign w:val="center"/>
          </w:tcPr>
          <w:p w14:paraId="1ADD338F" w14:textId="77777777" w:rsidR="00E073E8" w:rsidRPr="00C11E4C" w:rsidRDefault="00E073E8">
            <w:pPr>
              <w:pStyle w:val="TableText0"/>
              <w:ind w:left="-57" w:right="-57"/>
              <w:jc w:val="center"/>
              <w:rPr>
                <w:i/>
                <w:iCs/>
              </w:rPr>
            </w:pPr>
            <w:r w:rsidRPr="00C11E4C">
              <w:t>119 (31.1)</w:t>
            </w:r>
          </w:p>
        </w:tc>
        <w:tc>
          <w:tcPr>
            <w:tcW w:w="679" w:type="pct"/>
            <w:tcBorders>
              <w:top w:val="single" w:sz="4" w:space="0" w:color="auto"/>
              <w:left w:val="single" w:sz="4" w:space="0" w:color="auto"/>
            </w:tcBorders>
            <w:vAlign w:val="center"/>
          </w:tcPr>
          <w:p w14:paraId="330FBB3C" w14:textId="77777777" w:rsidR="00E073E8" w:rsidRPr="00C11E4C" w:rsidRDefault="00E073E8">
            <w:pPr>
              <w:pStyle w:val="TableText0"/>
              <w:ind w:left="-57" w:right="-57"/>
              <w:jc w:val="center"/>
              <w:rPr>
                <w:i/>
                <w:iCs/>
              </w:rPr>
            </w:pPr>
            <w:r w:rsidRPr="00C11E4C">
              <w:t>91 (23.8)</w:t>
            </w:r>
          </w:p>
        </w:tc>
      </w:tr>
      <w:tr w:rsidR="00E073E8" w:rsidRPr="00164BC3" w14:paraId="23112D0C" w14:textId="77777777" w:rsidTr="00F9579D">
        <w:tc>
          <w:tcPr>
            <w:tcW w:w="2041" w:type="pct"/>
            <w:tcBorders>
              <w:right w:val="single" w:sz="4" w:space="0" w:color="auto"/>
            </w:tcBorders>
            <w:vAlign w:val="center"/>
          </w:tcPr>
          <w:p w14:paraId="65D51603" w14:textId="1D550F92" w:rsidR="00E073E8" w:rsidRPr="00C74C05" w:rsidRDefault="00E073E8">
            <w:pPr>
              <w:pStyle w:val="TableText0"/>
              <w:ind w:right="-57"/>
              <w:rPr>
                <w:bCs w:val="0"/>
              </w:rPr>
            </w:pPr>
            <w:r w:rsidRPr="00C74C05">
              <w:rPr>
                <w:bCs w:val="0"/>
              </w:rPr>
              <w:t xml:space="preserve">  Treatment</w:t>
            </w:r>
            <w:r w:rsidRPr="00F7316A">
              <w:rPr>
                <w:vertAlign w:val="superscript"/>
              </w:rPr>
              <w:t>a</w:t>
            </w:r>
            <w:r w:rsidRPr="00C74C05">
              <w:rPr>
                <w:bCs w:val="0"/>
              </w:rPr>
              <w:t>-related Grade ≥3</w:t>
            </w:r>
            <w:r w:rsidRPr="00F7316A">
              <w:rPr>
                <w:bCs w:val="0"/>
                <w:vertAlign w:val="superscript"/>
              </w:rPr>
              <w:t>b</w:t>
            </w:r>
          </w:p>
        </w:tc>
        <w:tc>
          <w:tcPr>
            <w:tcW w:w="786" w:type="pct"/>
            <w:tcBorders>
              <w:top w:val="nil"/>
              <w:left w:val="single" w:sz="4" w:space="0" w:color="auto"/>
              <w:bottom w:val="nil"/>
              <w:right w:val="single" w:sz="4" w:space="0" w:color="auto"/>
            </w:tcBorders>
            <w:vAlign w:val="center"/>
          </w:tcPr>
          <w:p w14:paraId="3ABA50A0" w14:textId="77777777" w:rsidR="00E073E8" w:rsidRPr="00C11E4C" w:rsidRDefault="00E073E8">
            <w:pPr>
              <w:pStyle w:val="TableText0"/>
              <w:ind w:left="-57" w:right="-57"/>
              <w:jc w:val="center"/>
            </w:pPr>
            <w:r w:rsidRPr="00C11E4C">
              <w:t>201 (37.9)</w:t>
            </w:r>
          </w:p>
        </w:tc>
        <w:tc>
          <w:tcPr>
            <w:tcW w:w="786" w:type="pct"/>
            <w:tcBorders>
              <w:left w:val="single" w:sz="4" w:space="0" w:color="auto"/>
              <w:right w:val="single" w:sz="4" w:space="0" w:color="auto"/>
            </w:tcBorders>
            <w:vAlign w:val="center"/>
          </w:tcPr>
          <w:p w14:paraId="18B3D44F" w14:textId="77777777" w:rsidR="00E073E8" w:rsidRPr="00C11E4C" w:rsidRDefault="00E073E8">
            <w:pPr>
              <w:pStyle w:val="TableText0"/>
              <w:ind w:left="-57" w:right="-57"/>
              <w:jc w:val="center"/>
            </w:pPr>
            <w:r w:rsidRPr="00C11E4C">
              <w:t>213 (40.5)</w:t>
            </w:r>
          </w:p>
        </w:tc>
        <w:tc>
          <w:tcPr>
            <w:tcW w:w="708" w:type="pct"/>
            <w:tcBorders>
              <w:top w:val="nil"/>
              <w:left w:val="single" w:sz="4" w:space="0" w:color="auto"/>
              <w:bottom w:val="nil"/>
              <w:right w:val="single" w:sz="4" w:space="0" w:color="auto"/>
            </w:tcBorders>
            <w:vAlign w:val="center"/>
          </w:tcPr>
          <w:p w14:paraId="45E4876E" w14:textId="77777777" w:rsidR="00E073E8" w:rsidRPr="00C11E4C" w:rsidRDefault="00E073E8">
            <w:pPr>
              <w:pStyle w:val="TableText0"/>
              <w:ind w:left="-57" w:right="-57"/>
              <w:jc w:val="center"/>
              <w:rPr>
                <w:i/>
                <w:iCs/>
              </w:rPr>
            </w:pPr>
            <w:r w:rsidRPr="00C11E4C">
              <w:t>21 (5.5)</w:t>
            </w:r>
          </w:p>
        </w:tc>
        <w:tc>
          <w:tcPr>
            <w:tcW w:w="679" w:type="pct"/>
            <w:tcBorders>
              <w:left w:val="single" w:sz="4" w:space="0" w:color="auto"/>
            </w:tcBorders>
            <w:vAlign w:val="center"/>
          </w:tcPr>
          <w:p w14:paraId="6B2C71A8" w14:textId="77777777" w:rsidR="00E073E8" w:rsidRPr="00C11E4C" w:rsidRDefault="00E073E8">
            <w:pPr>
              <w:pStyle w:val="TableText0"/>
              <w:ind w:left="-57" w:right="-57"/>
              <w:jc w:val="center"/>
              <w:rPr>
                <w:i/>
                <w:iCs/>
              </w:rPr>
            </w:pPr>
            <w:r w:rsidRPr="00C11E4C">
              <w:t>3 (0.8)</w:t>
            </w:r>
          </w:p>
        </w:tc>
      </w:tr>
      <w:tr w:rsidR="00E073E8" w:rsidRPr="00164BC3" w14:paraId="53209FD3" w14:textId="77777777" w:rsidTr="00F9579D">
        <w:tc>
          <w:tcPr>
            <w:tcW w:w="2041" w:type="pct"/>
            <w:tcBorders>
              <w:bottom w:val="single" w:sz="4" w:space="0" w:color="auto"/>
              <w:right w:val="single" w:sz="4" w:space="0" w:color="auto"/>
            </w:tcBorders>
            <w:vAlign w:val="center"/>
          </w:tcPr>
          <w:p w14:paraId="64F9F84E" w14:textId="634316CC" w:rsidR="00E073E8" w:rsidRPr="00C74C05" w:rsidRDefault="00E073E8">
            <w:pPr>
              <w:pStyle w:val="TableText0"/>
              <w:ind w:right="-57"/>
              <w:rPr>
                <w:bCs w:val="0"/>
              </w:rPr>
            </w:pPr>
            <w:r w:rsidRPr="00C74C05">
              <w:rPr>
                <w:bCs w:val="0"/>
              </w:rPr>
              <w:t xml:space="preserve">  DURVA-related Grade ≥3</w:t>
            </w:r>
            <w:r w:rsidRPr="00F7316A">
              <w:rPr>
                <w:bCs w:val="0"/>
                <w:vertAlign w:val="superscript"/>
              </w:rPr>
              <w:t>b</w:t>
            </w:r>
          </w:p>
        </w:tc>
        <w:tc>
          <w:tcPr>
            <w:tcW w:w="786" w:type="pct"/>
            <w:tcBorders>
              <w:top w:val="nil"/>
              <w:left w:val="single" w:sz="4" w:space="0" w:color="auto"/>
              <w:bottom w:val="single" w:sz="4" w:space="0" w:color="auto"/>
              <w:right w:val="single" w:sz="4" w:space="0" w:color="auto"/>
            </w:tcBorders>
            <w:vAlign w:val="center"/>
          </w:tcPr>
          <w:p w14:paraId="64B7A518" w14:textId="77777777" w:rsidR="00E073E8" w:rsidRPr="00C11E4C" w:rsidRDefault="00E073E8">
            <w:pPr>
              <w:pStyle w:val="TableText0"/>
              <w:ind w:left="-57" w:right="-57"/>
              <w:jc w:val="center"/>
            </w:pPr>
            <w:r w:rsidRPr="00C11E4C">
              <w:t>41 (7.7)</w:t>
            </w:r>
          </w:p>
        </w:tc>
        <w:tc>
          <w:tcPr>
            <w:tcW w:w="786" w:type="pct"/>
            <w:tcBorders>
              <w:left w:val="single" w:sz="4" w:space="0" w:color="auto"/>
              <w:bottom w:val="single" w:sz="4" w:space="0" w:color="auto"/>
              <w:right w:val="single" w:sz="4" w:space="0" w:color="auto"/>
            </w:tcBorders>
            <w:vAlign w:val="center"/>
          </w:tcPr>
          <w:p w14:paraId="744584F9"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single" w:sz="4" w:space="0" w:color="auto"/>
              <w:right w:val="single" w:sz="4" w:space="0" w:color="auto"/>
            </w:tcBorders>
            <w:vAlign w:val="center"/>
          </w:tcPr>
          <w:p w14:paraId="2A0B3CF2" w14:textId="77777777" w:rsidR="00E073E8" w:rsidRPr="00C11E4C" w:rsidRDefault="00E073E8">
            <w:pPr>
              <w:pStyle w:val="TableText0"/>
              <w:ind w:left="-57" w:right="-57"/>
              <w:jc w:val="center"/>
              <w:rPr>
                <w:i/>
                <w:iCs/>
              </w:rPr>
            </w:pPr>
            <w:r w:rsidRPr="00C11E4C">
              <w:t>17 (4.4)</w:t>
            </w:r>
          </w:p>
        </w:tc>
        <w:tc>
          <w:tcPr>
            <w:tcW w:w="679" w:type="pct"/>
            <w:tcBorders>
              <w:left w:val="single" w:sz="4" w:space="0" w:color="auto"/>
              <w:bottom w:val="single" w:sz="4" w:space="0" w:color="auto"/>
            </w:tcBorders>
            <w:vAlign w:val="center"/>
          </w:tcPr>
          <w:p w14:paraId="0C2DC664" w14:textId="77777777" w:rsidR="00E073E8" w:rsidRPr="00C11E4C" w:rsidRDefault="00E073E8">
            <w:pPr>
              <w:pStyle w:val="TableText0"/>
              <w:ind w:left="-57" w:right="-57"/>
              <w:jc w:val="center"/>
              <w:rPr>
                <w:i/>
                <w:iCs/>
              </w:rPr>
            </w:pPr>
            <w:r w:rsidRPr="00C11E4C">
              <w:t>NA</w:t>
            </w:r>
          </w:p>
        </w:tc>
      </w:tr>
      <w:tr w:rsidR="00E073E8" w:rsidRPr="00164BC3" w14:paraId="69702C89" w14:textId="77777777" w:rsidTr="00F9579D">
        <w:tc>
          <w:tcPr>
            <w:tcW w:w="2041" w:type="pct"/>
            <w:tcBorders>
              <w:top w:val="single" w:sz="4" w:space="0" w:color="auto"/>
              <w:right w:val="single" w:sz="4" w:space="0" w:color="auto"/>
            </w:tcBorders>
            <w:vAlign w:val="center"/>
          </w:tcPr>
          <w:p w14:paraId="25A05605" w14:textId="1FCE8A3F" w:rsidR="00E073E8" w:rsidRPr="00C74C05" w:rsidRDefault="00E073E8">
            <w:pPr>
              <w:pStyle w:val="TableText0"/>
              <w:ind w:right="-57"/>
              <w:rPr>
                <w:bCs w:val="0"/>
              </w:rPr>
            </w:pPr>
            <w:r w:rsidRPr="00C74C05">
              <w:rPr>
                <w:bCs w:val="0"/>
              </w:rPr>
              <w:t>Serious AEs</w:t>
            </w:r>
          </w:p>
        </w:tc>
        <w:tc>
          <w:tcPr>
            <w:tcW w:w="786" w:type="pct"/>
            <w:tcBorders>
              <w:top w:val="single" w:sz="4" w:space="0" w:color="auto"/>
              <w:left w:val="single" w:sz="4" w:space="0" w:color="auto"/>
              <w:bottom w:val="nil"/>
              <w:right w:val="single" w:sz="4" w:space="0" w:color="auto"/>
            </w:tcBorders>
            <w:vAlign w:val="center"/>
          </w:tcPr>
          <w:p w14:paraId="1310B4AB" w14:textId="77777777" w:rsidR="00E073E8" w:rsidRPr="00C11E4C" w:rsidRDefault="00E073E8">
            <w:pPr>
              <w:pStyle w:val="TableText0"/>
              <w:ind w:left="-57" w:right="-57"/>
              <w:jc w:val="center"/>
            </w:pPr>
            <w:r w:rsidRPr="00C11E4C">
              <w:t>125 (23.6)</w:t>
            </w:r>
          </w:p>
        </w:tc>
        <w:tc>
          <w:tcPr>
            <w:tcW w:w="786" w:type="pct"/>
            <w:tcBorders>
              <w:top w:val="single" w:sz="4" w:space="0" w:color="auto"/>
              <w:left w:val="single" w:sz="4" w:space="0" w:color="auto"/>
              <w:right w:val="single" w:sz="4" w:space="0" w:color="auto"/>
            </w:tcBorders>
            <w:vAlign w:val="center"/>
          </w:tcPr>
          <w:p w14:paraId="02EFB61A" w14:textId="77777777" w:rsidR="00E073E8" w:rsidRPr="00C11E4C" w:rsidRDefault="00E073E8">
            <w:pPr>
              <w:pStyle w:val="TableText0"/>
              <w:ind w:left="-57" w:right="-57"/>
              <w:jc w:val="center"/>
            </w:pPr>
            <w:r w:rsidRPr="00C11E4C">
              <w:t>118 (22.4)</w:t>
            </w:r>
          </w:p>
        </w:tc>
        <w:tc>
          <w:tcPr>
            <w:tcW w:w="708" w:type="pct"/>
            <w:tcBorders>
              <w:top w:val="single" w:sz="4" w:space="0" w:color="auto"/>
              <w:left w:val="single" w:sz="4" w:space="0" w:color="auto"/>
              <w:bottom w:val="nil"/>
              <w:right w:val="single" w:sz="4" w:space="0" w:color="auto"/>
            </w:tcBorders>
            <w:vAlign w:val="center"/>
          </w:tcPr>
          <w:p w14:paraId="4129BCD7" w14:textId="77777777" w:rsidR="00E073E8" w:rsidRPr="00C11E4C" w:rsidRDefault="00E073E8">
            <w:pPr>
              <w:pStyle w:val="TableText0"/>
              <w:ind w:left="-57" w:right="-57"/>
              <w:jc w:val="center"/>
              <w:rPr>
                <w:i/>
                <w:iCs/>
                <w:highlight w:val="yellow"/>
              </w:rPr>
            </w:pPr>
            <w:r w:rsidRPr="00C11E4C">
              <w:t>101 (26.4)</w:t>
            </w:r>
          </w:p>
        </w:tc>
        <w:tc>
          <w:tcPr>
            <w:tcW w:w="679" w:type="pct"/>
            <w:tcBorders>
              <w:top w:val="single" w:sz="4" w:space="0" w:color="auto"/>
              <w:left w:val="single" w:sz="4" w:space="0" w:color="auto"/>
            </w:tcBorders>
            <w:vAlign w:val="center"/>
          </w:tcPr>
          <w:p w14:paraId="793E6330" w14:textId="77777777" w:rsidR="00E073E8" w:rsidRPr="00C11E4C" w:rsidRDefault="00E073E8">
            <w:pPr>
              <w:pStyle w:val="TableText0"/>
              <w:ind w:left="-57" w:right="-57"/>
              <w:jc w:val="center"/>
              <w:rPr>
                <w:i/>
                <w:iCs/>
                <w:highlight w:val="yellow"/>
              </w:rPr>
            </w:pPr>
            <w:r w:rsidRPr="00C11E4C">
              <w:t>85 (22.2)</w:t>
            </w:r>
          </w:p>
        </w:tc>
      </w:tr>
      <w:tr w:rsidR="00E073E8" w:rsidRPr="00164BC3" w14:paraId="2E9D8B47" w14:textId="77777777" w:rsidTr="00F9579D">
        <w:tc>
          <w:tcPr>
            <w:tcW w:w="2041" w:type="pct"/>
            <w:tcBorders>
              <w:right w:val="single" w:sz="4" w:space="0" w:color="auto"/>
            </w:tcBorders>
            <w:vAlign w:val="center"/>
          </w:tcPr>
          <w:p w14:paraId="0F69669A" w14:textId="519A4936" w:rsidR="00E073E8" w:rsidRPr="00C74C05" w:rsidRDefault="00E073E8">
            <w:pPr>
              <w:pStyle w:val="TableText0"/>
              <w:ind w:right="-57"/>
              <w:rPr>
                <w:bCs w:val="0"/>
              </w:rPr>
            </w:pPr>
            <w:r w:rsidRPr="00C74C05">
              <w:rPr>
                <w:bCs w:val="0"/>
              </w:rPr>
              <w:t xml:space="preserve">  Treatment</w:t>
            </w:r>
            <w:r w:rsidRPr="00F7316A">
              <w:rPr>
                <w:vertAlign w:val="superscript"/>
              </w:rPr>
              <w:t xml:space="preserve"> a</w:t>
            </w:r>
            <w:r w:rsidRPr="00C74C05">
              <w:rPr>
                <w:bCs w:val="0"/>
              </w:rPr>
              <w:t>-related SAEs</w:t>
            </w:r>
            <w:r w:rsidRPr="00F7316A">
              <w:rPr>
                <w:bCs w:val="0"/>
                <w:vertAlign w:val="superscript"/>
              </w:rPr>
              <w:t>b</w:t>
            </w:r>
          </w:p>
        </w:tc>
        <w:tc>
          <w:tcPr>
            <w:tcW w:w="786" w:type="pct"/>
            <w:tcBorders>
              <w:top w:val="nil"/>
              <w:left w:val="single" w:sz="4" w:space="0" w:color="auto"/>
              <w:bottom w:val="nil"/>
              <w:right w:val="single" w:sz="4" w:space="0" w:color="auto"/>
            </w:tcBorders>
            <w:vAlign w:val="center"/>
          </w:tcPr>
          <w:p w14:paraId="5991EBD3" w14:textId="77777777" w:rsidR="00E073E8" w:rsidRPr="00C11E4C" w:rsidRDefault="00E073E8">
            <w:pPr>
              <w:pStyle w:val="TableText0"/>
              <w:ind w:left="-57" w:right="-57"/>
              <w:jc w:val="center"/>
            </w:pPr>
            <w:r w:rsidRPr="00C11E4C">
              <w:t>70 (13.2)</w:t>
            </w:r>
          </w:p>
        </w:tc>
        <w:tc>
          <w:tcPr>
            <w:tcW w:w="786" w:type="pct"/>
            <w:tcBorders>
              <w:left w:val="single" w:sz="4" w:space="0" w:color="auto"/>
              <w:right w:val="single" w:sz="4" w:space="0" w:color="auto"/>
            </w:tcBorders>
            <w:vAlign w:val="center"/>
          </w:tcPr>
          <w:p w14:paraId="4E10DB3D" w14:textId="77777777" w:rsidR="00E073E8" w:rsidRPr="00C11E4C" w:rsidRDefault="00E073E8">
            <w:pPr>
              <w:pStyle w:val="TableText0"/>
              <w:ind w:left="-57" w:right="-57"/>
              <w:jc w:val="center"/>
            </w:pPr>
            <w:r w:rsidRPr="00C11E4C">
              <w:t>61 (11.6)</w:t>
            </w:r>
          </w:p>
        </w:tc>
        <w:tc>
          <w:tcPr>
            <w:tcW w:w="708" w:type="pct"/>
            <w:tcBorders>
              <w:top w:val="nil"/>
              <w:left w:val="single" w:sz="4" w:space="0" w:color="auto"/>
              <w:bottom w:val="nil"/>
              <w:right w:val="single" w:sz="4" w:space="0" w:color="auto"/>
            </w:tcBorders>
            <w:vAlign w:val="center"/>
          </w:tcPr>
          <w:p w14:paraId="77B787FA" w14:textId="77777777" w:rsidR="00E073E8" w:rsidRPr="00C11E4C" w:rsidRDefault="00E073E8">
            <w:pPr>
              <w:pStyle w:val="TableText0"/>
              <w:ind w:left="-57" w:right="-57"/>
              <w:jc w:val="center"/>
              <w:rPr>
                <w:i/>
                <w:iCs/>
                <w:highlight w:val="yellow"/>
              </w:rPr>
            </w:pPr>
            <w:r w:rsidRPr="00C11E4C">
              <w:t>14 (3.7)</w:t>
            </w:r>
          </w:p>
        </w:tc>
        <w:tc>
          <w:tcPr>
            <w:tcW w:w="679" w:type="pct"/>
            <w:tcBorders>
              <w:left w:val="single" w:sz="4" w:space="0" w:color="auto"/>
            </w:tcBorders>
            <w:vAlign w:val="center"/>
          </w:tcPr>
          <w:p w14:paraId="56E87356" w14:textId="77777777" w:rsidR="00E073E8" w:rsidRPr="00C11E4C" w:rsidRDefault="00E073E8">
            <w:pPr>
              <w:pStyle w:val="TableText0"/>
              <w:ind w:left="-57" w:right="-57"/>
              <w:jc w:val="center"/>
              <w:rPr>
                <w:i/>
                <w:iCs/>
                <w:highlight w:val="yellow"/>
              </w:rPr>
            </w:pPr>
            <w:r w:rsidRPr="00C11E4C">
              <w:t>1 (0.3)</w:t>
            </w:r>
          </w:p>
        </w:tc>
      </w:tr>
      <w:tr w:rsidR="00E073E8" w:rsidRPr="00164BC3" w14:paraId="3A835D54" w14:textId="77777777" w:rsidTr="00F9579D">
        <w:tc>
          <w:tcPr>
            <w:tcW w:w="2041" w:type="pct"/>
            <w:tcBorders>
              <w:bottom w:val="single" w:sz="4" w:space="0" w:color="auto"/>
              <w:right w:val="single" w:sz="4" w:space="0" w:color="auto"/>
            </w:tcBorders>
            <w:vAlign w:val="center"/>
          </w:tcPr>
          <w:p w14:paraId="6CF4DEE2" w14:textId="26F76A8B" w:rsidR="00E073E8" w:rsidRPr="00C74C05" w:rsidRDefault="00E073E8">
            <w:pPr>
              <w:pStyle w:val="TableText0"/>
              <w:ind w:right="-57"/>
              <w:rPr>
                <w:bCs w:val="0"/>
              </w:rPr>
            </w:pPr>
            <w:r w:rsidRPr="00C74C05">
              <w:rPr>
                <w:bCs w:val="0"/>
              </w:rPr>
              <w:t xml:space="preserve">  DURVA-related SAEs</w:t>
            </w:r>
            <w:r w:rsidRPr="00F7316A">
              <w:rPr>
                <w:bCs w:val="0"/>
                <w:vertAlign w:val="superscript"/>
              </w:rPr>
              <w:t>b</w:t>
            </w:r>
          </w:p>
        </w:tc>
        <w:tc>
          <w:tcPr>
            <w:tcW w:w="786" w:type="pct"/>
            <w:tcBorders>
              <w:top w:val="nil"/>
              <w:left w:val="single" w:sz="4" w:space="0" w:color="auto"/>
              <w:bottom w:val="single" w:sz="4" w:space="0" w:color="auto"/>
              <w:right w:val="single" w:sz="4" w:space="0" w:color="auto"/>
            </w:tcBorders>
            <w:vAlign w:val="center"/>
          </w:tcPr>
          <w:p w14:paraId="091777DF" w14:textId="77777777" w:rsidR="00E073E8" w:rsidRPr="00C11E4C" w:rsidRDefault="00E073E8">
            <w:pPr>
              <w:pStyle w:val="TableText0"/>
              <w:ind w:left="-57" w:right="-57"/>
              <w:jc w:val="center"/>
            </w:pPr>
            <w:r w:rsidRPr="00C11E4C">
              <w:t>19 (3.6)</w:t>
            </w:r>
          </w:p>
        </w:tc>
        <w:tc>
          <w:tcPr>
            <w:tcW w:w="786" w:type="pct"/>
            <w:tcBorders>
              <w:left w:val="single" w:sz="4" w:space="0" w:color="auto"/>
              <w:bottom w:val="single" w:sz="4" w:space="0" w:color="auto"/>
              <w:right w:val="single" w:sz="4" w:space="0" w:color="auto"/>
            </w:tcBorders>
            <w:vAlign w:val="center"/>
          </w:tcPr>
          <w:p w14:paraId="645E4B8D"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single" w:sz="4" w:space="0" w:color="auto"/>
              <w:right w:val="single" w:sz="4" w:space="0" w:color="auto"/>
            </w:tcBorders>
            <w:vAlign w:val="center"/>
          </w:tcPr>
          <w:p w14:paraId="10853A24" w14:textId="77777777" w:rsidR="00E073E8" w:rsidRPr="00C11E4C" w:rsidRDefault="00E073E8">
            <w:pPr>
              <w:pStyle w:val="TableText0"/>
              <w:ind w:left="-57" w:right="-57"/>
              <w:jc w:val="center"/>
            </w:pPr>
            <w:r w:rsidRPr="00C11E4C">
              <w:t>12 (3.1)</w:t>
            </w:r>
          </w:p>
        </w:tc>
        <w:tc>
          <w:tcPr>
            <w:tcW w:w="679" w:type="pct"/>
            <w:tcBorders>
              <w:left w:val="single" w:sz="4" w:space="0" w:color="auto"/>
              <w:bottom w:val="single" w:sz="4" w:space="0" w:color="auto"/>
            </w:tcBorders>
            <w:vAlign w:val="center"/>
          </w:tcPr>
          <w:p w14:paraId="6214295A" w14:textId="77777777" w:rsidR="00E073E8" w:rsidRPr="00C11E4C" w:rsidRDefault="00E073E8">
            <w:pPr>
              <w:pStyle w:val="TableText0"/>
              <w:ind w:left="-57" w:right="-57"/>
              <w:jc w:val="center"/>
            </w:pPr>
            <w:r w:rsidRPr="00C11E4C">
              <w:t>NA</w:t>
            </w:r>
          </w:p>
        </w:tc>
      </w:tr>
      <w:tr w:rsidR="00E073E8" w:rsidRPr="00164BC3" w14:paraId="72BEAE5B" w14:textId="77777777" w:rsidTr="00F9579D">
        <w:tc>
          <w:tcPr>
            <w:tcW w:w="2041" w:type="pct"/>
            <w:tcBorders>
              <w:top w:val="single" w:sz="4" w:space="0" w:color="auto"/>
              <w:right w:val="single" w:sz="4" w:space="0" w:color="auto"/>
            </w:tcBorders>
            <w:vAlign w:val="center"/>
          </w:tcPr>
          <w:p w14:paraId="5CA02E1D" w14:textId="7CBF2CBC" w:rsidR="00E073E8" w:rsidRPr="00E662D0" w:rsidRDefault="00E073E8">
            <w:pPr>
              <w:pStyle w:val="TableText0"/>
              <w:ind w:right="-57"/>
              <w:rPr>
                <w:bCs w:val="0"/>
              </w:rPr>
            </w:pPr>
            <w:r w:rsidRPr="00E662D0">
              <w:rPr>
                <w:bCs w:val="0"/>
              </w:rPr>
              <w:t>AEs leading to death</w:t>
            </w:r>
          </w:p>
        </w:tc>
        <w:tc>
          <w:tcPr>
            <w:tcW w:w="786" w:type="pct"/>
            <w:tcBorders>
              <w:top w:val="single" w:sz="4" w:space="0" w:color="auto"/>
              <w:left w:val="single" w:sz="4" w:space="0" w:color="auto"/>
              <w:bottom w:val="nil"/>
              <w:right w:val="single" w:sz="4" w:space="0" w:color="auto"/>
            </w:tcBorders>
            <w:vAlign w:val="center"/>
          </w:tcPr>
          <w:p w14:paraId="0815FD22" w14:textId="77777777" w:rsidR="00E073E8" w:rsidRPr="00C11E4C" w:rsidRDefault="00E073E8">
            <w:pPr>
              <w:pStyle w:val="TableText0"/>
              <w:ind w:left="-57" w:right="-57"/>
              <w:jc w:val="center"/>
            </w:pPr>
            <w:r w:rsidRPr="00C11E4C">
              <w:t>6 (1.1)</w:t>
            </w:r>
          </w:p>
        </w:tc>
        <w:tc>
          <w:tcPr>
            <w:tcW w:w="786" w:type="pct"/>
            <w:tcBorders>
              <w:top w:val="single" w:sz="4" w:space="0" w:color="auto"/>
              <w:left w:val="single" w:sz="4" w:space="0" w:color="auto"/>
              <w:right w:val="single" w:sz="4" w:space="0" w:color="auto"/>
            </w:tcBorders>
            <w:vAlign w:val="center"/>
          </w:tcPr>
          <w:p w14:paraId="4E9CB8B9" w14:textId="77777777" w:rsidR="00E073E8" w:rsidRPr="00C11E4C" w:rsidRDefault="00E073E8">
            <w:pPr>
              <w:pStyle w:val="TableText0"/>
              <w:ind w:left="-57" w:right="-57"/>
              <w:jc w:val="center"/>
            </w:pPr>
            <w:r w:rsidRPr="00C11E4C">
              <w:t>10 (1.9)</w:t>
            </w:r>
          </w:p>
        </w:tc>
        <w:tc>
          <w:tcPr>
            <w:tcW w:w="708" w:type="pct"/>
            <w:tcBorders>
              <w:top w:val="single" w:sz="4" w:space="0" w:color="auto"/>
              <w:left w:val="single" w:sz="4" w:space="0" w:color="auto"/>
              <w:bottom w:val="nil"/>
              <w:right w:val="single" w:sz="4" w:space="0" w:color="auto"/>
            </w:tcBorders>
            <w:vAlign w:val="center"/>
          </w:tcPr>
          <w:p w14:paraId="6D6773F6" w14:textId="77777777" w:rsidR="00E073E8" w:rsidRPr="00C11E4C" w:rsidRDefault="00E073E8">
            <w:pPr>
              <w:pStyle w:val="TableText0"/>
              <w:ind w:left="-57" w:right="-57"/>
              <w:jc w:val="center"/>
            </w:pPr>
            <w:r w:rsidRPr="00C11E4C">
              <w:t>7 (1.8)</w:t>
            </w:r>
          </w:p>
        </w:tc>
        <w:tc>
          <w:tcPr>
            <w:tcW w:w="679" w:type="pct"/>
            <w:tcBorders>
              <w:top w:val="single" w:sz="4" w:space="0" w:color="auto"/>
              <w:left w:val="single" w:sz="4" w:space="0" w:color="auto"/>
            </w:tcBorders>
            <w:vAlign w:val="center"/>
          </w:tcPr>
          <w:p w14:paraId="34D88DA4" w14:textId="77777777" w:rsidR="00E073E8" w:rsidRPr="00C11E4C" w:rsidRDefault="00E073E8">
            <w:pPr>
              <w:pStyle w:val="TableText0"/>
              <w:ind w:left="-57" w:right="-57"/>
              <w:jc w:val="center"/>
            </w:pPr>
            <w:r w:rsidRPr="00C11E4C">
              <w:t>6 (1.6)</w:t>
            </w:r>
          </w:p>
        </w:tc>
      </w:tr>
      <w:tr w:rsidR="00E073E8" w:rsidRPr="00164BC3" w14:paraId="77D6C910" w14:textId="77777777" w:rsidTr="00F9579D">
        <w:tc>
          <w:tcPr>
            <w:tcW w:w="2041" w:type="pct"/>
            <w:tcBorders>
              <w:right w:val="single" w:sz="4" w:space="0" w:color="auto"/>
            </w:tcBorders>
          </w:tcPr>
          <w:p w14:paraId="1833DAD6" w14:textId="4D242B1F" w:rsidR="00E073E8" w:rsidRPr="00C74C05" w:rsidRDefault="00E073E8">
            <w:pPr>
              <w:pStyle w:val="TableText0"/>
              <w:ind w:left="180" w:right="-57"/>
              <w:rPr>
                <w:bCs w:val="0"/>
              </w:rPr>
            </w:pPr>
            <w:r w:rsidRPr="00C74C05">
              <w:rPr>
                <w:bCs w:val="0"/>
              </w:rPr>
              <w:t>Study treatment</w:t>
            </w:r>
            <w:r w:rsidRPr="00F7316A">
              <w:rPr>
                <w:vertAlign w:val="superscript"/>
              </w:rPr>
              <w:t xml:space="preserve"> a</w:t>
            </w:r>
            <w:r w:rsidRPr="00C74C05">
              <w:rPr>
                <w:bCs w:val="0"/>
              </w:rPr>
              <w:t xml:space="preserve"> -related AEs leading to death</w:t>
            </w:r>
            <w:r w:rsidRPr="00F7316A">
              <w:rPr>
                <w:bCs w:val="0"/>
                <w:vertAlign w:val="superscript"/>
              </w:rPr>
              <w:t>b</w:t>
            </w:r>
          </w:p>
        </w:tc>
        <w:tc>
          <w:tcPr>
            <w:tcW w:w="786" w:type="pct"/>
            <w:tcBorders>
              <w:top w:val="nil"/>
              <w:left w:val="single" w:sz="4" w:space="0" w:color="auto"/>
              <w:bottom w:val="nil"/>
              <w:right w:val="single" w:sz="4" w:space="0" w:color="auto"/>
            </w:tcBorders>
            <w:vAlign w:val="center"/>
          </w:tcPr>
          <w:p w14:paraId="185F0E4C" w14:textId="77777777" w:rsidR="00E073E8" w:rsidRPr="00C11E4C" w:rsidRDefault="00E073E8">
            <w:pPr>
              <w:pStyle w:val="TableText0"/>
              <w:ind w:left="-57" w:right="-57"/>
              <w:jc w:val="center"/>
            </w:pPr>
            <w:r w:rsidRPr="00C11E4C">
              <w:t>3 (0.6)</w:t>
            </w:r>
          </w:p>
        </w:tc>
        <w:tc>
          <w:tcPr>
            <w:tcW w:w="786" w:type="pct"/>
            <w:tcBorders>
              <w:left w:val="single" w:sz="4" w:space="0" w:color="auto"/>
              <w:right w:val="single" w:sz="4" w:space="0" w:color="auto"/>
            </w:tcBorders>
            <w:vAlign w:val="center"/>
          </w:tcPr>
          <w:p w14:paraId="11B44930" w14:textId="77777777" w:rsidR="00E073E8" w:rsidRPr="00C11E4C" w:rsidRDefault="00E073E8">
            <w:pPr>
              <w:pStyle w:val="TableText0"/>
              <w:ind w:left="-57" w:right="-57"/>
              <w:jc w:val="center"/>
            </w:pPr>
            <w:r w:rsidRPr="00C11E4C">
              <w:t>2 (0.4)</w:t>
            </w:r>
          </w:p>
        </w:tc>
        <w:tc>
          <w:tcPr>
            <w:tcW w:w="708" w:type="pct"/>
            <w:tcBorders>
              <w:top w:val="nil"/>
              <w:left w:val="single" w:sz="4" w:space="0" w:color="auto"/>
              <w:bottom w:val="nil"/>
              <w:right w:val="single" w:sz="4" w:space="0" w:color="auto"/>
            </w:tcBorders>
            <w:vAlign w:val="center"/>
          </w:tcPr>
          <w:p w14:paraId="4C68662B" w14:textId="77777777" w:rsidR="00E073E8" w:rsidRPr="00C11E4C" w:rsidRDefault="00E073E8">
            <w:pPr>
              <w:pStyle w:val="TableText0"/>
              <w:ind w:left="-57" w:right="-57"/>
              <w:jc w:val="center"/>
            </w:pPr>
            <w:r w:rsidRPr="00C11E4C">
              <w:t>0</w:t>
            </w:r>
          </w:p>
        </w:tc>
        <w:tc>
          <w:tcPr>
            <w:tcW w:w="679" w:type="pct"/>
            <w:tcBorders>
              <w:left w:val="single" w:sz="4" w:space="0" w:color="auto"/>
            </w:tcBorders>
            <w:vAlign w:val="center"/>
          </w:tcPr>
          <w:p w14:paraId="5C244E25" w14:textId="77777777" w:rsidR="00E073E8" w:rsidRPr="00C11E4C" w:rsidRDefault="00E073E8">
            <w:pPr>
              <w:pStyle w:val="TableText0"/>
              <w:ind w:left="-57" w:right="-57"/>
              <w:jc w:val="center"/>
            </w:pPr>
            <w:r w:rsidRPr="00C11E4C">
              <w:t>0</w:t>
            </w:r>
          </w:p>
        </w:tc>
      </w:tr>
      <w:tr w:rsidR="00E073E8" w:rsidRPr="00164BC3" w14:paraId="08899D70" w14:textId="77777777" w:rsidTr="00F9579D">
        <w:tc>
          <w:tcPr>
            <w:tcW w:w="2041" w:type="pct"/>
            <w:tcBorders>
              <w:bottom w:val="single" w:sz="4" w:space="0" w:color="auto"/>
              <w:right w:val="single" w:sz="4" w:space="0" w:color="auto"/>
            </w:tcBorders>
          </w:tcPr>
          <w:p w14:paraId="05EC7309" w14:textId="7F9723CB" w:rsidR="00E073E8" w:rsidRPr="00C74C05" w:rsidRDefault="00E073E8">
            <w:pPr>
              <w:pStyle w:val="TableText0"/>
              <w:ind w:left="180" w:right="-57"/>
              <w:rPr>
                <w:bCs w:val="0"/>
              </w:rPr>
            </w:pPr>
            <w:r w:rsidRPr="00C74C05">
              <w:rPr>
                <w:bCs w:val="0"/>
              </w:rPr>
              <w:t>DURVA-related AEs leading to death</w:t>
            </w:r>
            <w:r w:rsidRPr="00F7316A">
              <w:rPr>
                <w:bCs w:val="0"/>
                <w:vertAlign w:val="superscript"/>
              </w:rPr>
              <w:t>b</w:t>
            </w:r>
          </w:p>
        </w:tc>
        <w:tc>
          <w:tcPr>
            <w:tcW w:w="786" w:type="pct"/>
            <w:tcBorders>
              <w:top w:val="nil"/>
              <w:left w:val="single" w:sz="4" w:space="0" w:color="auto"/>
              <w:bottom w:val="single" w:sz="4" w:space="0" w:color="auto"/>
              <w:right w:val="single" w:sz="4" w:space="0" w:color="auto"/>
            </w:tcBorders>
            <w:vAlign w:val="center"/>
          </w:tcPr>
          <w:p w14:paraId="5B05DC70" w14:textId="77777777" w:rsidR="00E073E8" w:rsidRPr="00C11E4C" w:rsidRDefault="00E073E8">
            <w:pPr>
              <w:pStyle w:val="TableText0"/>
              <w:ind w:left="-57" w:right="-57"/>
              <w:jc w:val="center"/>
            </w:pPr>
            <w:r w:rsidRPr="00C11E4C">
              <w:t>1 (0.2)</w:t>
            </w:r>
          </w:p>
        </w:tc>
        <w:tc>
          <w:tcPr>
            <w:tcW w:w="786" w:type="pct"/>
            <w:tcBorders>
              <w:left w:val="single" w:sz="4" w:space="0" w:color="auto"/>
              <w:bottom w:val="single" w:sz="4" w:space="0" w:color="auto"/>
              <w:right w:val="single" w:sz="4" w:space="0" w:color="auto"/>
            </w:tcBorders>
            <w:vAlign w:val="center"/>
          </w:tcPr>
          <w:p w14:paraId="0AE6890F"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single" w:sz="4" w:space="0" w:color="auto"/>
              <w:right w:val="single" w:sz="4" w:space="0" w:color="auto"/>
            </w:tcBorders>
            <w:vAlign w:val="center"/>
          </w:tcPr>
          <w:p w14:paraId="4924CC28" w14:textId="77777777" w:rsidR="00E073E8" w:rsidRPr="00C11E4C" w:rsidRDefault="00E073E8">
            <w:pPr>
              <w:pStyle w:val="TableText0"/>
              <w:ind w:left="-57" w:right="-57"/>
              <w:jc w:val="center"/>
            </w:pPr>
            <w:r w:rsidRPr="00C11E4C">
              <w:t>0</w:t>
            </w:r>
          </w:p>
        </w:tc>
        <w:tc>
          <w:tcPr>
            <w:tcW w:w="679" w:type="pct"/>
            <w:tcBorders>
              <w:left w:val="single" w:sz="4" w:space="0" w:color="auto"/>
              <w:bottom w:val="single" w:sz="4" w:space="0" w:color="auto"/>
            </w:tcBorders>
            <w:vAlign w:val="center"/>
          </w:tcPr>
          <w:p w14:paraId="23B8EDDB" w14:textId="77777777" w:rsidR="00E073E8" w:rsidRPr="00C11E4C" w:rsidRDefault="00E073E8">
            <w:pPr>
              <w:pStyle w:val="TableText0"/>
              <w:ind w:left="-57" w:right="-57"/>
              <w:jc w:val="center"/>
            </w:pPr>
            <w:r w:rsidRPr="00C11E4C">
              <w:t>NA</w:t>
            </w:r>
          </w:p>
        </w:tc>
      </w:tr>
      <w:tr w:rsidR="00E073E8" w:rsidRPr="00164BC3" w14:paraId="3FB1C5E4" w14:textId="77777777" w:rsidTr="00F9579D">
        <w:tc>
          <w:tcPr>
            <w:tcW w:w="2041" w:type="pct"/>
            <w:tcBorders>
              <w:top w:val="single" w:sz="4" w:space="0" w:color="auto"/>
              <w:right w:val="single" w:sz="4" w:space="0" w:color="auto"/>
            </w:tcBorders>
          </w:tcPr>
          <w:p w14:paraId="226991FA" w14:textId="64451349" w:rsidR="00E073E8" w:rsidRPr="00C74C05" w:rsidRDefault="00E073E8">
            <w:pPr>
              <w:pStyle w:val="TableText0"/>
              <w:ind w:right="-57"/>
              <w:rPr>
                <w:bCs w:val="0"/>
              </w:rPr>
            </w:pPr>
            <w:r w:rsidRPr="00C74C05">
              <w:rPr>
                <w:bCs w:val="0"/>
              </w:rPr>
              <w:t xml:space="preserve">AEs </w:t>
            </w:r>
            <w:r>
              <w:rPr>
                <w:bCs w:val="0"/>
              </w:rPr>
              <w:t>l</w:t>
            </w:r>
            <w:r w:rsidRPr="00C74C05">
              <w:rPr>
                <w:bCs w:val="0"/>
              </w:rPr>
              <w:t>eading to discontinuation of study treatment</w:t>
            </w:r>
            <w:r w:rsidRPr="00F7316A">
              <w:rPr>
                <w:vertAlign w:val="superscript"/>
              </w:rPr>
              <w:t xml:space="preserve"> a</w:t>
            </w:r>
          </w:p>
        </w:tc>
        <w:tc>
          <w:tcPr>
            <w:tcW w:w="786" w:type="pct"/>
            <w:tcBorders>
              <w:top w:val="single" w:sz="4" w:space="0" w:color="auto"/>
              <w:left w:val="single" w:sz="4" w:space="0" w:color="auto"/>
              <w:bottom w:val="nil"/>
              <w:right w:val="single" w:sz="4" w:space="0" w:color="auto"/>
            </w:tcBorders>
            <w:vAlign w:val="center"/>
          </w:tcPr>
          <w:p w14:paraId="4711F7D1" w14:textId="77777777" w:rsidR="00E073E8" w:rsidRPr="00C11E4C" w:rsidRDefault="00E073E8">
            <w:pPr>
              <w:pStyle w:val="TableText0"/>
              <w:ind w:left="-57" w:right="-57"/>
              <w:jc w:val="center"/>
            </w:pPr>
            <w:r w:rsidRPr="00C11E4C">
              <w:t>79 (14.9)</w:t>
            </w:r>
          </w:p>
        </w:tc>
        <w:tc>
          <w:tcPr>
            <w:tcW w:w="786" w:type="pct"/>
            <w:tcBorders>
              <w:top w:val="single" w:sz="4" w:space="0" w:color="auto"/>
              <w:left w:val="single" w:sz="4" w:space="0" w:color="auto"/>
              <w:right w:val="single" w:sz="4" w:space="0" w:color="auto"/>
            </w:tcBorders>
            <w:vAlign w:val="center"/>
          </w:tcPr>
          <w:p w14:paraId="175CD828" w14:textId="77777777" w:rsidR="00E073E8" w:rsidRPr="00C11E4C" w:rsidRDefault="00E073E8">
            <w:pPr>
              <w:pStyle w:val="TableText0"/>
              <w:ind w:left="-57" w:right="-57"/>
              <w:jc w:val="center"/>
            </w:pPr>
            <w:r w:rsidRPr="00C11E4C">
              <w:t>80 (15.2)</w:t>
            </w:r>
          </w:p>
        </w:tc>
        <w:tc>
          <w:tcPr>
            <w:tcW w:w="708" w:type="pct"/>
            <w:tcBorders>
              <w:top w:val="single" w:sz="4" w:space="0" w:color="auto"/>
              <w:left w:val="single" w:sz="4" w:space="0" w:color="auto"/>
              <w:bottom w:val="nil"/>
              <w:right w:val="single" w:sz="4" w:space="0" w:color="auto"/>
            </w:tcBorders>
            <w:vAlign w:val="center"/>
          </w:tcPr>
          <w:p w14:paraId="5FDD3818" w14:textId="77777777" w:rsidR="00E073E8" w:rsidRPr="00C11E4C" w:rsidRDefault="00E073E8">
            <w:pPr>
              <w:pStyle w:val="TableText0"/>
              <w:ind w:left="-57" w:right="-57"/>
              <w:jc w:val="center"/>
              <w:rPr>
                <w:i/>
                <w:iCs/>
                <w:highlight w:val="yellow"/>
              </w:rPr>
            </w:pPr>
            <w:r w:rsidRPr="00C11E4C">
              <w:t>30 (7.8)</w:t>
            </w:r>
          </w:p>
        </w:tc>
        <w:tc>
          <w:tcPr>
            <w:tcW w:w="679" w:type="pct"/>
            <w:tcBorders>
              <w:top w:val="single" w:sz="4" w:space="0" w:color="auto"/>
              <w:left w:val="single" w:sz="4" w:space="0" w:color="auto"/>
            </w:tcBorders>
            <w:vAlign w:val="center"/>
          </w:tcPr>
          <w:p w14:paraId="44BDC816" w14:textId="77777777" w:rsidR="00E073E8" w:rsidRPr="00C11E4C" w:rsidRDefault="00E073E8">
            <w:pPr>
              <w:pStyle w:val="TableText0"/>
              <w:ind w:left="-57" w:right="-57"/>
              <w:jc w:val="center"/>
              <w:rPr>
                <w:i/>
                <w:iCs/>
                <w:highlight w:val="yellow"/>
              </w:rPr>
            </w:pPr>
            <w:r w:rsidRPr="00C11E4C">
              <w:t>0</w:t>
            </w:r>
          </w:p>
        </w:tc>
      </w:tr>
      <w:tr w:rsidR="00E073E8" w:rsidRPr="00164BC3" w14:paraId="107EA1AD" w14:textId="77777777" w:rsidTr="00F9579D">
        <w:tc>
          <w:tcPr>
            <w:tcW w:w="2041" w:type="pct"/>
            <w:tcBorders>
              <w:right w:val="single" w:sz="4" w:space="0" w:color="auto"/>
            </w:tcBorders>
          </w:tcPr>
          <w:p w14:paraId="220183C3" w14:textId="4901D121" w:rsidR="00E073E8" w:rsidRPr="00C74C05" w:rsidRDefault="00E073E8">
            <w:pPr>
              <w:pStyle w:val="TableText0"/>
              <w:ind w:right="-57"/>
              <w:rPr>
                <w:bCs w:val="0"/>
              </w:rPr>
            </w:pPr>
            <w:r w:rsidRPr="00C74C05">
              <w:rPr>
                <w:bCs w:val="0"/>
              </w:rPr>
              <w:t>AEs Leading to discontinuation of DURVA</w:t>
            </w:r>
          </w:p>
        </w:tc>
        <w:tc>
          <w:tcPr>
            <w:tcW w:w="786" w:type="pct"/>
            <w:tcBorders>
              <w:top w:val="nil"/>
              <w:left w:val="single" w:sz="4" w:space="0" w:color="auto"/>
              <w:bottom w:val="nil"/>
              <w:right w:val="single" w:sz="4" w:space="0" w:color="auto"/>
            </w:tcBorders>
            <w:vAlign w:val="center"/>
          </w:tcPr>
          <w:p w14:paraId="2F2891B4" w14:textId="77777777" w:rsidR="00E073E8" w:rsidRPr="00C11E4C" w:rsidRDefault="00E073E8">
            <w:pPr>
              <w:pStyle w:val="TableText0"/>
              <w:ind w:left="-57" w:right="-57"/>
              <w:jc w:val="center"/>
            </w:pPr>
            <w:r w:rsidRPr="00C11E4C">
              <w:t>50 (9.4)</w:t>
            </w:r>
          </w:p>
        </w:tc>
        <w:tc>
          <w:tcPr>
            <w:tcW w:w="786" w:type="pct"/>
            <w:tcBorders>
              <w:left w:val="single" w:sz="4" w:space="0" w:color="auto"/>
              <w:right w:val="single" w:sz="4" w:space="0" w:color="auto"/>
            </w:tcBorders>
            <w:vAlign w:val="center"/>
          </w:tcPr>
          <w:p w14:paraId="426A7344"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nil"/>
              <w:right w:val="single" w:sz="4" w:space="0" w:color="auto"/>
            </w:tcBorders>
            <w:vAlign w:val="center"/>
          </w:tcPr>
          <w:p w14:paraId="08D4DF7C" w14:textId="77777777" w:rsidR="00E073E8" w:rsidRPr="00C11E4C" w:rsidRDefault="00E073E8">
            <w:pPr>
              <w:pStyle w:val="TableText0"/>
              <w:ind w:left="-57" w:right="-57"/>
              <w:jc w:val="center"/>
            </w:pPr>
            <w:r w:rsidRPr="00C11E4C">
              <w:t>30 (7.8)</w:t>
            </w:r>
          </w:p>
        </w:tc>
        <w:tc>
          <w:tcPr>
            <w:tcW w:w="679" w:type="pct"/>
            <w:tcBorders>
              <w:left w:val="single" w:sz="4" w:space="0" w:color="auto"/>
            </w:tcBorders>
            <w:vAlign w:val="center"/>
          </w:tcPr>
          <w:p w14:paraId="698E3B1C" w14:textId="77777777" w:rsidR="00E073E8" w:rsidRPr="00C11E4C" w:rsidRDefault="00E073E8">
            <w:pPr>
              <w:pStyle w:val="TableText0"/>
              <w:ind w:left="-57" w:right="-57"/>
              <w:jc w:val="center"/>
            </w:pPr>
            <w:r w:rsidRPr="00C11E4C">
              <w:t>NA</w:t>
            </w:r>
          </w:p>
        </w:tc>
      </w:tr>
      <w:tr w:rsidR="00E073E8" w:rsidRPr="00164BC3" w14:paraId="6E81CB3D" w14:textId="77777777" w:rsidTr="00F9579D">
        <w:tc>
          <w:tcPr>
            <w:tcW w:w="2041" w:type="pct"/>
            <w:tcBorders>
              <w:bottom w:val="single" w:sz="4" w:space="0" w:color="auto"/>
              <w:right w:val="single" w:sz="4" w:space="0" w:color="auto"/>
            </w:tcBorders>
          </w:tcPr>
          <w:p w14:paraId="650D3107" w14:textId="65C0B142" w:rsidR="00E073E8" w:rsidRPr="00C74C05" w:rsidRDefault="00E073E8">
            <w:pPr>
              <w:pStyle w:val="TableText0"/>
              <w:ind w:right="-57"/>
              <w:rPr>
                <w:bCs w:val="0"/>
              </w:rPr>
            </w:pPr>
            <w:r w:rsidRPr="00C74C05">
              <w:rPr>
                <w:bCs w:val="0"/>
              </w:rPr>
              <w:t>DURVA-related AEs leading to discontinuation of DURVA</w:t>
            </w:r>
            <w:r w:rsidRPr="00F7316A">
              <w:rPr>
                <w:bCs w:val="0"/>
                <w:vertAlign w:val="superscript"/>
              </w:rPr>
              <w:t>b</w:t>
            </w:r>
          </w:p>
        </w:tc>
        <w:tc>
          <w:tcPr>
            <w:tcW w:w="786" w:type="pct"/>
            <w:tcBorders>
              <w:top w:val="nil"/>
              <w:left w:val="single" w:sz="4" w:space="0" w:color="auto"/>
              <w:bottom w:val="single" w:sz="4" w:space="0" w:color="auto"/>
              <w:right w:val="single" w:sz="4" w:space="0" w:color="auto"/>
            </w:tcBorders>
            <w:vAlign w:val="center"/>
          </w:tcPr>
          <w:p w14:paraId="461EC8D0" w14:textId="77777777" w:rsidR="00E073E8" w:rsidRPr="00C11E4C" w:rsidRDefault="00E073E8">
            <w:pPr>
              <w:pStyle w:val="TableText0"/>
              <w:ind w:left="-57" w:right="-57"/>
              <w:jc w:val="center"/>
            </w:pPr>
            <w:r w:rsidRPr="00C11E4C">
              <w:t>19 (3.6)</w:t>
            </w:r>
          </w:p>
        </w:tc>
        <w:tc>
          <w:tcPr>
            <w:tcW w:w="786" w:type="pct"/>
            <w:tcBorders>
              <w:left w:val="single" w:sz="4" w:space="0" w:color="auto"/>
              <w:bottom w:val="single" w:sz="4" w:space="0" w:color="auto"/>
              <w:right w:val="single" w:sz="4" w:space="0" w:color="auto"/>
            </w:tcBorders>
            <w:vAlign w:val="center"/>
          </w:tcPr>
          <w:p w14:paraId="260AA34A"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single" w:sz="4" w:space="0" w:color="auto"/>
              <w:right w:val="single" w:sz="4" w:space="0" w:color="auto"/>
            </w:tcBorders>
            <w:vAlign w:val="center"/>
          </w:tcPr>
          <w:p w14:paraId="01270B8E" w14:textId="77777777" w:rsidR="00E073E8" w:rsidRPr="00C11E4C" w:rsidRDefault="00E073E8">
            <w:pPr>
              <w:pStyle w:val="TableText0"/>
              <w:ind w:left="-57" w:right="-57"/>
              <w:jc w:val="center"/>
              <w:rPr>
                <w:i/>
                <w:iCs/>
                <w:highlight w:val="yellow"/>
              </w:rPr>
            </w:pPr>
            <w:r w:rsidRPr="00C11E4C">
              <w:t>19 (5.0)</w:t>
            </w:r>
          </w:p>
        </w:tc>
        <w:tc>
          <w:tcPr>
            <w:tcW w:w="679" w:type="pct"/>
            <w:tcBorders>
              <w:left w:val="single" w:sz="4" w:space="0" w:color="auto"/>
              <w:bottom w:val="single" w:sz="4" w:space="0" w:color="auto"/>
            </w:tcBorders>
            <w:vAlign w:val="center"/>
          </w:tcPr>
          <w:p w14:paraId="51F2E681" w14:textId="77777777" w:rsidR="00E073E8" w:rsidRPr="00C11E4C" w:rsidRDefault="00E073E8">
            <w:pPr>
              <w:pStyle w:val="TableText0"/>
              <w:ind w:left="-57" w:right="-57"/>
              <w:jc w:val="center"/>
              <w:rPr>
                <w:i/>
                <w:iCs/>
                <w:highlight w:val="yellow"/>
              </w:rPr>
            </w:pPr>
            <w:r w:rsidRPr="00C11E4C">
              <w:t>NA</w:t>
            </w:r>
          </w:p>
        </w:tc>
      </w:tr>
      <w:tr w:rsidR="00E073E8" w:rsidRPr="00164BC3" w14:paraId="6ACD27D7" w14:textId="77777777" w:rsidTr="00F9579D">
        <w:tc>
          <w:tcPr>
            <w:tcW w:w="2041" w:type="pct"/>
            <w:tcBorders>
              <w:top w:val="single" w:sz="4" w:space="0" w:color="auto"/>
              <w:right w:val="single" w:sz="4" w:space="0" w:color="auto"/>
            </w:tcBorders>
          </w:tcPr>
          <w:p w14:paraId="045EC971" w14:textId="5CF6D343" w:rsidR="00E073E8" w:rsidRPr="00C74C05" w:rsidRDefault="00E073E8">
            <w:pPr>
              <w:pStyle w:val="TableText0"/>
              <w:ind w:right="-57"/>
              <w:rPr>
                <w:bCs w:val="0"/>
              </w:rPr>
            </w:pPr>
            <w:r w:rsidRPr="00C74C05">
              <w:rPr>
                <w:bCs w:val="0"/>
              </w:rPr>
              <w:t>AEs leading to surgery not done</w:t>
            </w:r>
            <w:r w:rsidRPr="00F7316A">
              <w:rPr>
                <w:bCs w:val="0"/>
                <w:vertAlign w:val="superscript"/>
              </w:rPr>
              <w:t>c</w:t>
            </w:r>
          </w:p>
        </w:tc>
        <w:tc>
          <w:tcPr>
            <w:tcW w:w="786" w:type="pct"/>
            <w:tcBorders>
              <w:top w:val="single" w:sz="4" w:space="0" w:color="auto"/>
              <w:left w:val="single" w:sz="4" w:space="0" w:color="auto"/>
              <w:bottom w:val="nil"/>
              <w:right w:val="single" w:sz="4" w:space="0" w:color="auto"/>
            </w:tcBorders>
            <w:vAlign w:val="center"/>
          </w:tcPr>
          <w:p w14:paraId="4362A547" w14:textId="77777777" w:rsidR="00E073E8" w:rsidRPr="00C11E4C" w:rsidRDefault="00E073E8">
            <w:pPr>
              <w:pStyle w:val="TableText0"/>
              <w:ind w:left="-57" w:right="-57"/>
              <w:jc w:val="center"/>
            </w:pPr>
            <w:r w:rsidRPr="00C11E4C">
              <w:t>6 (1.1)</w:t>
            </w:r>
          </w:p>
        </w:tc>
        <w:tc>
          <w:tcPr>
            <w:tcW w:w="786" w:type="pct"/>
            <w:tcBorders>
              <w:top w:val="single" w:sz="4" w:space="0" w:color="auto"/>
              <w:left w:val="single" w:sz="4" w:space="0" w:color="auto"/>
              <w:right w:val="single" w:sz="4" w:space="0" w:color="auto"/>
            </w:tcBorders>
            <w:vAlign w:val="center"/>
          </w:tcPr>
          <w:p w14:paraId="3A6B7B98" w14:textId="77777777" w:rsidR="00E073E8" w:rsidRPr="00C11E4C" w:rsidRDefault="00E073E8">
            <w:pPr>
              <w:pStyle w:val="TableText0"/>
              <w:ind w:left="-57" w:right="-57"/>
              <w:jc w:val="center"/>
            </w:pPr>
            <w:r w:rsidRPr="00C11E4C">
              <w:t>7 (1.3)</w:t>
            </w:r>
          </w:p>
        </w:tc>
        <w:tc>
          <w:tcPr>
            <w:tcW w:w="708" w:type="pct"/>
            <w:tcBorders>
              <w:top w:val="single" w:sz="4" w:space="0" w:color="auto"/>
              <w:left w:val="single" w:sz="4" w:space="0" w:color="auto"/>
              <w:bottom w:val="nil"/>
              <w:right w:val="single" w:sz="4" w:space="0" w:color="auto"/>
            </w:tcBorders>
            <w:vAlign w:val="center"/>
          </w:tcPr>
          <w:p w14:paraId="48715826" w14:textId="77777777" w:rsidR="00E073E8" w:rsidRPr="00C11E4C" w:rsidRDefault="00E073E8">
            <w:pPr>
              <w:pStyle w:val="TableText0"/>
              <w:ind w:left="-57" w:right="-57"/>
              <w:jc w:val="center"/>
              <w:rPr>
                <w:i/>
                <w:iCs/>
                <w:highlight w:val="yellow"/>
              </w:rPr>
            </w:pPr>
            <w:r w:rsidRPr="00C11E4C">
              <w:t>NA</w:t>
            </w:r>
          </w:p>
        </w:tc>
        <w:tc>
          <w:tcPr>
            <w:tcW w:w="679" w:type="pct"/>
            <w:tcBorders>
              <w:top w:val="single" w:sz="4" w:space="0" w:color="auto"/>
              <w:left w:val="single" w:sz="4" w:space="0" w:color="auto"/>
            </w:tcBorders>
            <w:vAlign w:val="center"/>
          </w:tcPr>
          <w:p w14:paraId="3F4F9327" w14:textId="77777777" w:rsidR="00E073E8" w:rsidRPr="00C11E4C" w:rsidRDefault="00E073E8">
            <w:pPr>
              <w:pStyle w:val="TableText0"/>
              <w:ind w:left="-57" w:right="-57"/>
              <w:jc w:val="center"/>
              <w:rPr>
                <w:i/>
                <w:iCs/>
                <w:highlight w:val="yellow"/>
              </w:rPr>
            </w:pPr>
            <w:r w:rsidRPr="00C11E4C">
              <w:t>NA</w:t>
            </w:r>
          </w:p>
        </w:tc>
      </w:tr>
      <w:tr w:rsidR="00E073E8" w:rsidRPr="00164BC3" w14:paraId="489A9758" w14:textId="77777777" w:rsidTr="00F9579D">
        <w:tc>
          <w:tcPr>
            <w:tcW w:w="2041" w:type="pct"/>
            <w:tcBorders>
              <w:bottom w:val="single" w:sz="4" w:space="0" w:color="auto"/>
              <w:right w:val="single" w:sz="4" w:space="0" w:color="auto"/>
            </w:tcBorders>
            <w:vAlign w:val="center"/>
          </w:tcPr>
          <w:p w14:paraId="19478FCC" w14:textId="695AC853" w:rsidR="00E073E8" w:rsidRPr="00C74C05" w:rsidRDefault="00E073E8">
            <w:pPr>
              <w:pStyle w:val="TableText0"/>
              <w:ind w:right="-57"/>
              <w:rPr>
                <w:bCs w:val="0"/>
              </w:rPr>
            </w:pPr>
            <w:r w:rsidRPr="00C74C05">
              <w:rPr>
                <w:bCs w:val="0"/>
              </w:rPr>
              <w:t>AEs leading to a delay in surgery</w:t>
            </w:r>
            <w:r w:rsidRPr="00F7316A">
              <w:rPr>
                <w:bCs w:val="0"/>
                <w:vertAlign w:val="superscript"/>
              </w:rPr>
              <w:t>c</w:t>
            </w:r>
            <w:r>
              <w:rPr>
                <w:bCs w:val="0"/>
                <w:vertAlign w:val="superscript"/>
              </w:rPr>
              <w:t>,d</w:t>
            </w:r>
          </w:p>
        </w:tc>
        <w:tc>
          <w:tcPr>
            <w:tcW w:w="786" w:type="pct"/>
            <w:tcBorders>
              <w:top w:val="nil"/>
              <w:left w:val="single" w:sz="4" w:space="0" w:color="auto"/>
              <w:bottom w:val="single" w:sz="4" w:space="0" w:color="auto"/>
              <w:right w:val="single" w:sz="4" w:space="0" w:color="auto"/>
            </w:tcBorders>
            <w:vAlign w:val="center"/>
          </w:tcPr>
          <w:p w14:paraId="696450C9" w14:textId="77777777" w:rsidR="00E073E8" w:rsidRPr="00C11E4C" w:rsidRDefault="00E073E8">
            <w:pPr>
              <w:pStyle w:val="TableText0"/>
              <w:ind w:left="-57" w:right="-57"/>
              <w:jc w:val="center"/>
            </w:pPr>
            <w:r w:rsidRPr="00C11E4C">
              <w:t>9 (1.7)</w:t>
            </w:r>
          </w:p>
        </w:tc>
        <w:tc>
          <w:tcPr>
            <w:tcW w:w="786" w:type="pct"/>
            <w:tcBorders>
              <w:left w:val="single" w:sz="4" w:space="0" w:color="auto"/>
              <w:bottom w:val="single" w:sz="4" w:space="0" w:color="auto"/>
              <w:right w:val="single" w:sz="4" w:space="0" w:color="auto"/>
            </w:tcBorders>
            <w:vAlign w:val="center"/>
          </w:tcPr>
          <w:p w14:paraId="487C1A64" w14:textId="77777777" w:rsidR="00E073E8" w:rsidRPr="00C11E4C" w:rsidRDefault="00E073E8">
            <w:pPr>
              <w:pStyle w:val="TableText0"/>
              <w:ind w:left="-57" w:right="-57"/>
              <w:jc w:val="center"/>
            </w:pPr>
            <w:r w:rsidRPr="00C11E4C">
              <w:t>6 (1.1)</w:t>
            </w:r>
          </w:p>
        </w:tc>
        <w:tc>
          <w:tcPr>
            <w:tcW w:w="708" w:type="pct"/>
            <w:tcBorders>
              <w:top w:val="nil"/>
              <w:left w:val="single" w:sz="4" w:space="0" w:color="auto"/>
              <w:bottom w:val="single" w:sz="4" w:space="0" w:color="auto"/>
              <w:right w:val="single" w:sz="4" w:space="0" w:color="auto"/>
            </w:tcBorders>
            <w:vAlign w:val="center"/>
          </w:tcPr>
          <w:p w14:paraId="5C0D5354" w14:textId="77777777" w:rsidR="00E073E8" w:rsidRPr="00C11E4C" w:rsidRDefault="00E073E8">
            <w:pPr>
              <w:pStyle w:val="TableText0"/>
              <w:ind w:left="-57" w:right="-57"/>
              <w:jc w:val="center"/>
            </w:pPr>
            <w:r w:rsidRPr="00C11E4C">
              <w:t>NA</w:t>
            </w:r>
          </w:p>
        </w:tc>
        <w:tc>
          <w:tcPr>
            <w:tcW w:w="679" w:type="pct"/>
            <w:tcBorders>
              <w:left w:val="single" w:sz="4" w:space="0" w:color="auto"/>
              <w:bottom w:val="single" w:sz="4" w:space="0" w:color="auto"/>
            </w:tcBorders>
            <w:vAlign w:val="center"/>
          </w:tcPr>
          <w:p w14:paraId="0642B807" w14:textId="77777777" w:rsidR="00E073E8" w:rsidRPr="00C11E4C" w:rsidRDefault="00E073E8">
            <w:pPr>
              <w:pStyle w:val="TableText0"/>
              <w:ind w:left="-57" w:right="-57"/>
              <w:jc w:val="center"/>
            </w:pPr>
            <w:r w:rsidRPr="00C11E4C">
              <w:t>NA</w:t>
            </w:r>
          </w:p>
        </w:tc>
      </w:tr>
      <w:tr w:rsidR="00E073E8" w:rsidRPr="00164BC3" w14:paraId="0153EF17" w14:textId="77777777" w:rsidTr="00F9579D">
        <w:tc>
          <w:tcPr>
            <w:tcW w:w="2041" w:type="pct"/>
            <w:tcBorders>
              <w:top w:val="single" w:sz="4" w:space="0" w:color="auto"/>
              <w:right w:val="single" w:sz="4" w:space="0" w:color="auto"/>
            </w:tcBorders>
            <w:vAlign w:val="center"/>
          </w:tcPr>
          <w:p w14:paraId="6DACEAA6" w14:textId="77777777" w:rsidR="00E073E8" w:rsidRPr="00C74C05" w:rsidRDefault="00E073E8">
            <w:pPr>
              <w:pStyle w:val="TableText0"/>
              <w:ind w:right="-57"/>
              <w:rPr>
                <w:bCs w:val="0"/>
              </w:rPr>
            </w:pPr>
            <w:r w:rsidRPr="00C74C05">
              <w:rPr>
                <w:bCs w:val="0"/>
              </w:rPr>
              <w:t>Any AESI</w:t>
            </w:r>
            <w:r w:rsidRPr="00F7316A">
              <w:rPr>
                <w:bCs w:val="0"/>
                <w:vertAlign w:val="superscript"/>
              </w:rPr>
              <w:t>e</w:t>
            </w:r>
          </w:p>
        </w:tc>
        <w:tc>
          <w:tcPr>
            <w:tcW w:w="786" w:type="pct"/>
            <w:tcBorders>
              <w:top w:val="single" w:sz="4" w:space="0" w:color="auto"/>
              <w:left w:val="single" w:sz="4" w:space="0" w:color="auto"/>
              <w:bottom w:val="nil"/>
              <w:right w:val="single" w:sz="4" w:space="0" w:color="auto"/>
            </w:tcBorders>
            <w:vAlign w:val="center"/>
          </w:tcPr>
          <w:p w14:paraId="1DB2E0C9" w14:textId="77777777" w:rsidR="00E073E8" w:rsidRPr="00C11E4C" w:rsidRDefault="00E073E8">
            <w:pPr>
              <w:pStyle w:val="TableText0"/>
              <w:ind w:left="-57" w:right="-57"/>
              <w:jc w:val="center"/>
            </w:pPr>
            <w:r w:rsidRPr="00C11E4C">
              <w:t>262 (49.4)</w:t>
            </w:r>
          </w:p>
        </w:tc>
        <w:tc>
          <w:tcPr>
            <w:tcW w:w="786" w:type="pct"/>
            <w:tcBorders>
              <w:top w:val="single" w:sz="4" w:space="0" w:color="auto"/>
              <w:left w:val="single" w:sz="4" w:space="0" w:color="auto"/>
              <w:right w:val="single" w:sz="4" w:space="0" w:color="auto"/>
            </w:tcBorders>
            <w:vAlign w:val="center"/>
          </w:tcPr>
          <w:p w14:paraId="726649DF" w14:textId="77777777" w:rsidR="00E073E8" w:rsidRPr="00C11E4C" w:rsidRDefault="00E073E8">
            <w:pPr>
              <w:pStyle w:val="TableText0"/>
              <w:ind w:left="-57" w:right="-57"/>
              <w:jc w:val="center"/>
            </w:pPr>
            <w:r w:rsidRPr="00C11E4C">
              <w:t>222 (42.2)</w:t>
            </w:r>
          </w:p>
        </w:tc>
        <w:tc>
          <w:tcPr>
            <w:tcW w:w="708" w:type="pct"/>
            <w:tcBorders>
              <w:top w:val="single" w:sz="4" w:space="0" w:color="auto"/>
              <w:left w:val="single" w:sz="4" w:space="0" w:color="auto"/>
              <w:bottom w:val="nil"/>
              <w:right w:val="single" w:sz="4" w:space="0" w:color="auto"/>
            </w:tcBorders>
            <w:vAlign w:val="center"/>
          </w:tcPr>
          <w:p w14:paraId="592CDB75" w14:textId="77777777" w:rsidR="00E073E8" w:rsidRPr="00C11E4C" w:rsidRDefault="00E073E8">
            <w:pPr>
              <w:pStyle w:val="TableText0"/>
              <w:ind w:left="-57" w:right="-57"/>
              <w:jc w:val="center"/>
              <w:rPr>
                <w:i/>
                <w:iCs/>
                <w:highlight w:val="yellow"/>
              </w:rPr>
            </w:pPr>
            <w:r w:rsidRPr="00C11E4C">
              <w:t>208 (54.3)</w:t>
            </w:r>
          </w:p>
        </w:tc>
        <w:tc>
          <w:tcPr>
            <w:tcW w:w="679" w:type="pct"/>
            <w:tcBorders>
              <w:top w:val="single" w:sz="4" w:space="0" w:color="auto"/>
              <w:left w:val="single" w:sz="4" w:space="0" w:color="auto"/>
            </w:tcBorders>
            <w:vAlign w:val="center"/>
          </w:tcPr>
          <w:p w14:paraId="28EC03A1" w14:textId="77777777" w:rsidR="00E073E8" w:rsidRPr="00C11E4C" w:rsidRDefault="00E073E8">
            <w:pPr>
              <w:pStyle w:val="TableText0"/>
              <w:ind w:left="-57" w:right="-57"/>
              <w:jc w:val="center"/>
              <w:rPr>
                <w:i/>
                <w:iCs/>
                <w:highlight w:val="yellow"/>
              </w:rPr>
            </w:pPr>
            <w:r w:rsidRPr="00C11E4C">
              <w:t>84 (21.9)</w:t>
            </w:r>
          </w:p>
        </w:tc>
      </w:tr>
      <w:tr w:rsidR="00E073E8" w:rsidRPr="00164BC3" w14:paraId="0DF69A0E" w14:textId="77777777" w:rsidTr="00F9579D">
        <w:tc>
          <w:tcPr>
            <w:tcW w:w="2041" w:type="pct"/>
            <w:tcBorders>
              <w:right w:val="single" w:sz="4" w:space="0" w:color="auto"/>
            </w:tcBorders>
            <w:vAlign w:val="center"/>
          </w:tcPr>
          <w:p w14:paraId="0C07F04B" w14:textId="5AC3F7E9" w:rsidR="00E073E8" w:rsidRPr="00C74C05" w:rsidRDefault="00E073E8">
            <w:pPr>
              <w:pStyle w:val="TableText0"/>
              <w:ind w:left="180" w:right="-57"/>
              <w:rPr>
                <w:bCs w:val="0"/>
              </w:rPr>
            </w:pPr>
            <w:r w:rsidRPr="00C74C05">
              <w:rPr>
                <w:bCs w:val="0"/>
              </w:rPr>
              <w:t>AESIs related to DURVA</w:t>
            </w:r>
          </w:p>
        </w:tc>
        <w:tc>
          <w:tcPr>
            <w:tcW w:w="786" w:type="pct"/>
            <w:tcBorders>
              <w:top w:val="nil"/>
              <w:left w:val="single" w:sz="4" w:space="0" w:color="auto"/>
              <w:bottom w:val="nil"/>
              <w:right w:val="single" w:sz="4" w:space="0" w:color="auto"/>
            </w:tcBorders>
            <w:vAlign w:val="center"/>
          </w:tcPr>
          <w:p w14:paraId="279A23CC" w14:textId="77777777" w:rsidR="00E073E8" w:rsidRPr="00C11E4C" w:rsidRDefault="00E073E8">
            <w:pPr>
              <w:pStyle w:val="TableText0"/>
              <w:ind w:left="-57" w:right="-57"/>
              <w:jc w:val="center"/>
            </w:pPr>
            <w:r w:rsidRPr="00C11E4C">
              <w:t>148 (27.9)</w:t>
            </w:r>
          </w:p>
        </w:tc>
        <w:tc>
          <w:tcPr>
            <w:tcW w:w="786" w:type="pct"/>
            <w:tcBorders>
              <w:left w:val="single" w:sz="4" w:space="0" w:color="auto"/>
              <w:right w:val="single" w:sz="4" w:space="0" w:color="auto"/>
            </w:tcBorders>
            <w:vAlign w:val="center"/>
          </w:tcPr>
          <w:p w14:paraId="5F5C1114"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nil"/>
              <w:right w:val="single" w:sz="4" w:space="0" w:color="auto"/>
            </w:tcBorders>
            <w:vAlign w:val="center"/>
          </w:tcPr>
          <w:p w14:paraId="6A0804CB" w14:textId="77777777" w:rsidR="00E073E8" w:rsidRPr="00C11E4C" w:rsidRDefault="00E073E8">
            <w:pPr>
              <w:pStyle w:val="TableText0"/>
              <w:ind w:left="-57" w:right="-57"/>
              <w:jc w:val="center"/>
            </w:pPr>
            <w:r w:rsidRPr="00C11E4C">
              <w:t>124 (32.4)</w:t>
            </w:r>
          </w:p>
        </w:tc>
        <w:tc>
          <w:tcPr>
            <w:tcW w:w="679" w:type="pct"/>
            <w:tcBorders>
              <w:left w:val="single" w:sz="4" w:space="0" w:color="auto"/>
            </w:tcBorders>
            <w:vAlign w:val="center"/>
          </w:tcPr>
          <w:p w14:paraId="50ACBDB5" w14:textId="77777777" w:rsidR="00E073E8" w:rsidRPr="00C11E4C" w:rsidRDefault="00E073E8">
            <w:pPr>
              <w:pStyle w:val="TableText0"/>
              <w:ind w:left="-57" w:right="-57"/>
              <w:jc w:val="center"/>
            </w:pPr>
            <w:r w:rsidRPr="00C11E4C">
              <w:t>NA</w:t>
            </w:r>
          </w:p>
        </w:tc>
      </w:tr>
      <w:tr w:rsidR="00E073E8" w:rsidRPr="00164BC3" w14:paraId="36C1B75A" w14:textId="77777777" w:rsidTr="00F9579D">
        <w:tc>
          <w:tcPr>
            <w:tcW w:w="2041" w:type="pct"/>
            <w:tcBorders>
              <w:right w:val="single" w:sz="4" w:space="0" w:color="auto"/>
            </w:tcBorders>
          </w:tcPr>
          <w:p w14:paraId="4880C1A2" w14:textId="2B0A84BB" w:rsidR="00E073E8" w:rsidRPr="00C74C05" w:rsidRDefault="00E073E8">
            <w:pPr>
              <w:pStyle w:val="TableText0"/>
              <w:ind w:left="180" w:right="-57"/>
              <w:rPr>
                <w:bCs w:val="0"/>
              </w:rPr>
            </w:pPr>
            <w:r w:rsidRPr="00C74C05">
              <w:rPr>
                <w:bCs w:val="0"/>
              </w:rPr>
              <w:t>AESIs leading to discontinuation of DURVA</w:t>
            </w:r>
          </w:p>
        </w:tc>
        <w:tc>
          <w:tcPr>
            <w:tcW w:w="786" w:type="pct"/>
            <w:tcBorders>
              <w:top w:val="nil"/>
              <w:left w:val="single" w:sz="4" w:space="0" w:color="auto"/>
              <w:bottom w:val="nil"/>
              <w:right w:val="single" w:sz="4" w:space="0" w:color="auto"/>
            </w:tcBorders>
            <w:vAlign w:val="center"/>
          </w:tcPr>
          <w:p w14:paraId="0E9146AF" w14:textId="77777777" w:rsidR="00E073E8" w:rsidRPr="00C11E4C" w:rsidRDefault="00E073E8">
            <w:pPr>
              <w:pStyle w:val="TableText0"/>
              <w:ind w:left="-57" w:right="-57"/>
              <w:jc w:val="center"/>
            </w:pPr>
            <w:r w:rsidRPr="00C11E4C">
              <w:t>18 (3.4)</w:t>
            </w:r>
          </w:p>
        </w:tc>
        <w:tc>
          <w:tcPr>
            <w:tcW w:w="786" w:type="pct"/>
            <w:tcBorders>
              <w:left w:val="single" w:sz="4" w:space="0" w:color="auto"/>
              <w:right w:val="single" w:sz="4" w:space="0" w:color="auto"/>
            </w:tcBorders>
            <w:vAlign w:val="center"/>
          </w:tcPr>
          <w:p w14:paraId="76517173" w14:textId="77777777" w:rsidR="00E073E8" w:rsidRPr="00C11E4C" w:rsidRDefault="00E073E8">
            <w:pPr>
              <w:pStyle w:val="TableText0"/>
              <w:ind w:left="-57" w:right="-57"/>
              <w:jc w:val="center"/>
            </w:pPr>
            <w:r w:rsidRPr="00C11E4C">
              <w:t>NA</w:t>
            </w:r>
          </w:p>
        </w:tc>
        <w:tc>
          <w:tcPr>
            <w:tcW w:w="708" w:type="pct"/>
            <w:tcBorders>
              <w:top w:val="nil"/>
              <w:left w:val="single" w:sz="4" w:space="0" w:color="auto"/>
              <w:bottom w:val="nil"/>
              <w:right w:val="single" w:sz="4" w:space="0" w:color="auto"/>
            </w:tcBorders>
            <w:vAlign w:val="center"/>
          </w:tcPr>
          <w:p w14:paraId="2D7A4CBA" w14:textId="77777777" w:rsidR="00E073E8" w:rsidRPr="00C11E4C" w:rsidRDefault="00E073E8">
            <w:pPr>
              <w:pStyle w:val="TableText0"/>
              <w:ind w:left="-57" w:right="-57"/>
              <w:jc w:val="center"/>
            </w:pPr>
            <w:r w:rsidRPr="00C11E4C">
              <w:t>17 (4.4)</w:t>
            </w:r>
          </w:p>
        </w:tc>
        <w:tc>
          <w:tcPr>
            <w:tcW w:w="679" w:type="pct"/>
            <w:tcBorders>
              <w:left w:val="single" w:sz="4" w:space="0" w:color="auto"/>
            </w:tcBorders>
            <w:vAlign w:val="center"/>
          </w:tcPr>
          <w:p w14:paraId="47DE5077" w14:textId="77777777" w:rsidR="00E073E8" w:rsidRPr="00C11E4C" w:rsidRDefault="00E073E8">
            <w:pPr>
              <w:pStyle w:val="TableText0"/>
              <w:ind w:left="-57" w:right="-57"/>
              <w:jc w:val="center"/>
            </w:pPr>
            <w:r w:rsidRPr="00C11E4C">
              <w:t>NA</w:t>
            </w:r>
          </w:p>
        </w:tc>
      </w:tr>
      <w:tr w:rsidR="00E073E8" w:rsidRPr="00164BC3" w14:paraId="06FE0119" w14:textId="77777777" w:rsidTr="00F86CCC">
        <w:tc>
          <w:tcPr>
            <w:tcW w:w="2041" w:type="pct"/>
            <w:tcBorders>
              <w:bottom w:val="single" w:sz="4" w:space="0" w:color="auto"/>
              <w:right w:val="single" w:sz="4" w:space="0" w:color="auto"/>
            </w:tcBorders>
          </w:tcPr>
          <w:p w14:paraId="40A3D488" w14:textId="4D92C0AA" w:rsidR="00E073E8" w:rsidRPr="00C74C05" w:rsidRDefault="00E073E8">
            <w:pPr>
              <w:pStyle w:val="TableText0"/>
              <w:ind w:left="180" w:right="-57"/>
              <w:rPr>
                <w:bCs w:val="0"/>
              </w:rPr>
            </w:pPr>
            <w:r w:rsidRPr="00C74C05">
              <w:rPr>
                <w:bCs w:val="0"/>
              </w:rPr>
              <w:t>AESIs leading to a delay in surgery</w:t>
            </w:r>
          </w:p>
        </w:tc>
        <w:tc>
          <w:tcPr>
            <w:tcW w:w="786" w:type="pct"/>
            <w:tcBorders>
              <w:top w:val="nil"/>
              <w:left w:val="single" w:sz="4" w:space="0" w:color="auto"/>
              <w:bottom w:val="single" w:sz="4" w:space="0" w:color="auto"/>
              <w:right w:val="single" w:sz="4" w:space="0" w:color="auto"/>
            </w:tcBorders>
            <w:vAlign w:val="center"/>
          </w:tcPr>
          <w:p w14:paraId="681D4144" w14:textId="77777777" w:rsidR="00E073E8" w:rsidRPr="00C11E4C" w:rsidRDefault="00E073E8">
            <w:pPr>
              <w:pStyle w:val="TableText0"/>
              <w:ind w:left="-57" w:right="-57"/>
              <w:jc w:val="center"/>
            </w:pPr>
            <w:r w:rsidRPr="00C11E4C">
              <w:t>1 (0.2)</w:t>
            </w:r>
          </w:p>
        </w:tc>
        <w:tc>
          <w:tcPr>
            <w:tcW w:w="786" w:type="pct"/>
            <w:tcBorders>
              <w:left w:val="single" w:sz="4" w:space="0" w:color="auto"/>
              <w:bottom w:val="single" w:sz="4" w:space="0" w:color="auto"/>
              <w:right w:val="single" w:sz="4" w:space="0" w:color="auto"/>
            </w:tcBorders>
            <w:vAlign w:val="center"/>
          </w:tcPr>
          <w:p w14:paraId="455DC211" w14:textId="77777777" w:rsidR="00E073E8" w:rsidRPr="00C11E4C" w:rsidRDefault="00E073E8">
            <w:pPr>
              <w:pStyle w:val="TableText0"/>
              <w:ind w:left="-57" w:right="-57"/>
              <w:jc w:val="center"/>
            </w:pPr>
            <w:r w:rsidRPr="00C11E4C">
              <w:t>0</w:t>
            </w:r>
          </w:p>
        </w:tc>
        <w:tc>
          <w:tcPr>
            <w:tcW w:w="708" w:type="pct"/>
            <w:tcBorders>
              <w:top w:val="nil"/>
              <w:left w:val="single" w:sz="4" w:space="0" w:color="auto"/>
              <w:bottom w:val="single" w:sz="4" w:space="0" w:color="auto"/>
              <w:right w:val="single" w:sz="4" w:space="0" w:color="auto"/>
            </w:tcBorders>
            <w:vAlign w:val="center"/>
          </w:tcPr>
          <w:p w14:paraId="38EAE363" w14:textId="77777777" w:rsidR="00E073E8" w:rsidRPr="00C11E4C" w:rsidRDefault="00E073E8">
            <w:pPr>
              <w:pStyle w:val="TableText0"/>
              <w:ind w:left="-57" w:right="-57"/>
              <w:jc w:val="center"/>
            </w:pPr>
            <w:r w:rsidRPr="00C11E4C">
              <w:t>NA</w:t>
            </w:r>
          </w:p>
        </w:tc>
        <w:tc>
          <w:tcPr>
            <w:tcW w:w="679" w:type="pct"/>
            <w:tcBorders>
              <w:left w:val="single" w:sz="4" w:space="0" w:color="auto"/>
              <w:bottom w:val="single" w:sz="4" w:space="0" w:color="auto"/>
            </w:tcBorders>
            <w:vAlign w:val="center"/>
          </w:tcPr>
          <w:p w14:paraId="2622254F" w14:textId="77777777" w:rsidR="00E073E8" w:rsidRPr="00C11E4C" w:rsidRDefault="00E073E8">
            <w:pPr>
              <w:pStyle w:val="TableText0"/>
              <w:ind w:left="-57" w:right="-57"/>
              <w:jc w:val="center"/>
            </w:pPr>
            <w:r w:rsidRPr="00C11E4C">
              <w:t>NA</w:t>
            </w:r>
          </w:p>
        </w:tc>
      </w:tr>
      <w:tr w:rsidR="00E073E8" w:rsidRPr="00164BC3" w14:paraId="0C7D6BD8" w14:textId="77777777" w:rsidTr="00F86CCC">
        <w:tc>
          <w:tcPr>
            <w:tcW w:w="2041" w:type="pct"/>
            <w:tcBorders>
              <w:top w:val="single" w:sz="4" w:space="0" w:color="auto"/>
              <w:right w:val="single" w:sz="4" w:space="0" w:color="auto"/>
            </w:tcBorders>
            <w:vAlign w:val="center"/>
          </w:tcPr>
          <w:p w14:paraId="597CD4CD" w14:textId="11F62595" w:rsidR="00E073E8" w:rsidRPr="002A5D5D" w:rsidRDefault="00E073E8">
            <w:pPr>
              <w:pStyle w:val="TableText0"/>
              <w:ind w:right="-57"/>
            </w:pPr>
            <w:r w:rsidRPr="002A5D5D">
              <w:t>Immune-mediated AEs</w:t>
            </w:r>
            <w:r w:rsidRPr="002A5D5D">
              <w:rPr>
                <w:vertAlign w:val="superscript"/>
              </w:rPr>
              <w:t>b</w:t>
            </w:r>
          </w:p>
        </w:tc>
        <w:tc>
          <w:tcPr>
            <w:tcW w:w="786" w:type="pct"/>
            <w:tcBorders>
              <w:top w:val="single" w:sz="4" w:space="0" w:color="auto"/>
              <w:left w:val="single" w:sz="4" w:space="0" w:color="auto"/>
              <w:bottom w:val="single" w:sz="4" w:space="0" w:color="auto"/>
              <w:right w:val="single" w:sz="4" w:space="0" w:color="auto"/>
            </w:tcBorders>
            <w:vAlign w:val="center"/>
          </w:tcPr>
          <w:p w14:paraId="24FCA992" w14:textId="77777777" w:rsidR="00E073E8" w:rsidRPr="002A5D5D" w:rsidRDefault="00E073E8">
            <w:pPr>
              <w:pStyle w:val="TableText0"/>
              <w:ind w:left="-57" w:right="-57"/>
              <w:jc w:val="center"/>
            </w:pPr>
            <w:r w:rsidRPr="002A5D5D">
              <w:t>161 (30.4)</w:t>
            </w:r>
          </w:p>
        </w:tc>
        <w:tc>
          <w:tcPr>
            <w:tcW w:w="786" w:type="pct"/>
            <w:tcBorders>
              <w:top w:val="single" w:sz="4" w:space="0" w:color="auto"/>
              <w:left w:val="single" w:sz="4" w:space="0" w:color="auto"/>
              <w:right w:val="single" w:sz="4" w:space="0" w:color="auto"/>
            </w:tcBorders>
            <w:vAlign w:val="center"/>
          </w:tcPr>
          <w:p w14:paraId="0C020B80" w14:textId="77777777" w:rsidR="00E073E8" w:rsidRPr="002A5D5D" w:rsidRDefault="00E073E8">
            <w:pPr>
              <w:pStyle w:val="TableText0"/>
              <w:ind w:left="-57" w:right="-57"/>
              <w:jc w:val="center"/>
            </w:pPr>
            <w:r w:rsidRPr="002A5D5D">
              <w:t>0</w:t>
            </w:r>
          </w:p>
        </w:tc>
        <w:tc>
          <w:tcPr>
            <w:tcW w:w="708" w:type="pct"/>
            <w:tcBorders>
              <w:top w:val="single" w:sz="4" w:space="0" w:color="auto"/>
              <w:left w:val="single" w:sz="4" w:space="0" w:color="auto"/>
              <w:bottom w:val="single" w:sz="4" w:space="0" w:color="auto"/>
              <w:right w:val="single" w:sz="4" w:space="0" w:color="auto"/>
            </w:tcBorders>
            <w:vAlign w:val="center"/>
          </w:tcPr>
          <w:p w14:paraId="457FEF96" w14:textId="77777777" w:rsidR="00E073E8" w:rsidRPr="002A5D5D" w:rsidRDefault="00E073E8">
            <w:pPr>
              <w:pStyle w:val="TableText0"/>
              <w:ind w:left="-57" w:right="-57"/>
              <w:jc w:val="center"/>
              <w:rPr>
                <w:i/>
              </w:rPr>
            </w:pPr>
            <w:r w:rsidRPr="002A5D5D">
              <w:t>127 (33.2)</w:t>
            </w:r>
          </w:p>
        </w:tc>
        <w:tc>
          <w:tcPr>
            <w:tcW w:w="679" w:type="pct"/>
            <w:tcBorders>
              <w:top w:val="single" w:sz="4" w:space="0" w:color="auto"/>
              <w:left w:val="single" w:sz="4" w:space="0" w:color="auto"/>
            </w:tcBorders>
            <w:vAlign w:val="center"/>
          </w:tcPr>
          <w:p w14:paraId="58172F46" w14:textId="77777777" w:rsidR="00E073E8" w:rsidRPr="002A5D5D" w:rsidRDefault="00E073E8">
            <w:pPr>
              <w:pStyle w:val="TableText0"/>
              <w:ind w:left="-57" w:right="-57"/>
              <w:jc w:val="center"/>
              <w:rPr>
                <w:i/>
              </w:rPr>
            </w:pPr>
            <w:r w:rsidRPr="002A5D5D">
              <w:t>0</w:t>
            </w:r>
          </w:p>
        </w:tc>
      </w:tr>
    </w:tbl>
    <w:p w14:paraId="429F0806" w14:textId="77777777" w:rsidR="00E073E8" w:rsidRDefault="00E073E8" w:rsidP="00A24419">
      <w:pPr>
        <w:pStyle w:val="TableFigureFooter"/>
      </w:pPr>
      <w:r w:rsidRPr="0095395D">
        <w:t>Source:</w:t>
      </w:r>
      <w:r>
        <w:t xml:space="preserve"> Table 2-23, pp71-72 of the submission;</w:t>
      </w:r>
      <w:r w:rsidRPr="0095395D">
        <w:t xml:space="preserve"> </w:t>
      </w:r>
      <w:r>
        <w:t>Table 44, pp156-158 of the NIAGARA Clinical Study Report</w:t>
      </w:r>
    </w:p>
    <w:p w14:paraId="6A039DC0" w14:textId="155E1799" w:rsidR="00E073E8" w:rsidRDefault="00E073E8" w:rsidP="00A24419">
      <w:pPr>
        <w:pStyle w:val="TableFigureFooter"/>
      </w:pPr>
      <w:r>
        <w:t xml:space="preserve">AE = adverse events; AESI = adverse event of special interest; CI = confidence interval; DURVA = durvalumab; GC = gemcitabine + cisplatin; </w:t>
      </w:r>
      <w:r>
        <w:rPr>
          <w:szCs w:val="18"/>
        </w:rPr>
        <w:t xml:space="preserve">N = number of patients; </w:t>
      </w:r>
      <w:r>
        <w:t>NA = not applicable; NC = not calculable; RR = relative risk; SAE = serious adverse events</w:t>
      </w:r>
    </w:p>
    <w:p w14:paraId="27C7CB35" w14:textId="604C485F" w:rsidR="00E073E8" w:rsidRDefault="00E073E8" w:rsidP="00A24419">
      <w:pPr>
        <w:pStyle w:val="TableFigureFooter"/>
        <w:rPr>
          <w:lang w:val="en-US"/>
        </w:rPr>
      </w:pPr>
      <w:r w:rsidRPr="00F7316A">
        <w:rPr>
          <w:vertAlign w:val="superscript"/>
        </w:rPr>
        <w:t>a</w:t>
      </w:r>
      <w:r w:rsidRPr="00F7316A">
        <w:rPr>
          <w:rFonts w:ascii="Times New Roman" w:hAnsi="Times New Roman" w:cs="Times New Roman"/>
          <w:snapToGrid/>
          <w:szCs w:val="18"/>
          <w:lang w:val="en-US" w:eastAsia="en-US"/>
        </w:rPr>
        <w:t xml:space="preserve"> </w:t>
      </w:r>
      <w:r w:rsidRPr="00F7316A">
        <w:rPr>
          <w:lang w:val="en-US"/>
        </w:rPr>
        <w:t>Study treatment refers to durvalumab/gemcitabine/cisplatin and d</w:t>
      </w:r>
      <w:r>
        <w:rPr>
          <w:lang w:val="en-US"/>
        </w:rPr>
        <w:t>oes</w:t>
      </w:r>
      <w:r w:rsidRPr="00F7316A">
        <w:rPr>
          <w:lang w:val="en-US"/>
        </w:rPr>
        <w:t xml:space="preserve"> not include surgery</w:t>
      </w:r>
      <w:r w:rsidR="00015A4F">
        <w:rPr>
          <w:lang w:val="en-US"/>
        </w:rPr>
        <w:t>.</w:t>
      </w:r>
    </w:p>
    <w:p w14:paraId="36CB7EC8" w14:textId="55D97A81" w:rsidR="00E073E8" w:rsidRDefault="00E073E8" w:rsidP="00A24419">
      <w:pPr>
        <w:pStyle w:val="TableFigureFooter"/>
        <w:rPr>
          <w:szCs w:val="18"/>
        </w:rPr>
      </w:pPr>
      <w:r w:rsidRPr="00F7316A">
        <w:rPr>
          <w:szCs w:val="18"/>
          <w:vertAlign w:val="superscript"/>
        </w:rPr>
        <w:t>b</w:t>
      </w:r>
      <w:r>
        <w:rPr>
          <w:szCs w:val="18"/>
        </w:rPr>
        <w:t xml:space="preserve"> </w:t>
      </w:r>
      <w:r w:rsidRPr="00600FFA">
        <w:rPr>
          <w:szCs w:val="18"/>
        </w:rPr>
        <w:t>As assessed by the Investigator. Missing responses are counted as related</w:t>
      </w:r>
      <w:r w:rsidR="00015A4F">
        <w:rPr>
          <w:szCs w:val="18"/>
        </w:rPr>
        <w:t>.</w:t>
      </w:r>
    </w:p>
    <w:p w14:paraId="37CB7FEB" w14:textId="77777777" w:rsidR="00E073E8" w:rsidRDefault="00E073E8" w:rsidP="00A24419">
      <w:pPr>
        <w:pStyle w:val="TableFigureFooter"/>
        <w:rPr>
          <w:szCs w:val="18"/>
          <w:lang w:val="en-US"/>
        </w:rPr>
      </w:pPr>
      <w:r w:rsidRPr="00F7316A">
        <w:rPr>
          <w:szCs w:val="18"/>
          <w:vertAlign w:val="superscript"/>
        </w:rPr>
        <w:t>c</w:t>
      </w:r>
      <w:r w:rsidRPr="00F7316A">
        <w:rPr>
          <w:rFonts w:ascii="Times New Roman" w:hAnsi="Times New Roman" w:cs="Times New Roman"/>
          <w:szCs w:val="18"/>
          <w:lang w:val="en-US" w:eastAsia="en-US"/>
        </w:rPr>
        <w:t xml:space="preserve"> </w:t>
      </w:r>
      <w:r w:rsidRPr="00F7316A">
        <w:rPr>
          <w:szCs w:val="18"/>
          <w:lang w:val="en-US"/>
        </w:rPr>
        <w:t>Taken from SURG module.</w:t>
      </w:r>
    </w:p>
    <w:p w14:paraId="14F73C3B" w14:textId="3D85C3EA" w:rsidR="00E073E8" w:rsidRDefault="00E073E8" w:rsidP="00A24419">
      <w:pPr>
        <w:pStyle w:val="TableFigureFooter"/>
        <w:rPr>
          <w:szCs w:val="18"/>
          <w:lang w:val="en-US"/>
        </w:rPr>
      </w:pPr>
      <w:r w:rsidRPr="00F7316A">
        <w:rPr>
          <w:szCs w:val="18"/>
          <w:vertAlign w:val="superscript"/>
          <w:lang w:val="en-US"/>
        </w:rPr>
        <w:t>d</w:t>
      </w:r>
      <w:r>
        <w:rPr>
          <w:szCs w:val="18"/>
          <w:lang w:val="en-US"/>
        </w:rPr>
        <w:t xml:space="preserve"> </w:t>
      </w:r>
      <w:r w:rsidRPr="00600FFA">
        <w:rPr>
          <w:szCs w:val="18"/>
          <w:lang w:val="en-US"/>
        </w:rPr>
        <w:t>&gt; 56 days after last dose of study treatment in neoadjuvant period</w:t>
      </w:r>
      <w:r w:rsidR="00015A4F">
        <w:rPr>
          <w:szCs w:val="18"/>
          <w:lang w:val="en-US"/>
        </w:rPr>
        <w:t>.</w:t>
      </w:r>
    </w:p>
    <w:p w14:paraId="6BCE5F73" w14:textId="51D065FD" w:rsidR="00E073E8" w:rsidRDefault="00E073E8" w:rsidP="00A24419">
      <w:pPr>
        <w:pStyle w:val="TableFigureFooter"/>
        <w:rPr>
          <w:szCs w:val="18"/>
        </w:rPr>
      </w:pPr>
      <w:r w:rsidRPr="00F7316A">
        <w:rPr>
          <w:szCs w:val="18"/>
          <w:vertAlign w:val="superscript"/>
          <w:lang w:val="en-US"/>
        </w:rPr>
        <w:t>e</w:t>
      </w:r>
      <w:r w:rsidRPr="00F7316A">
        <w:rPr>
          <w:szCs w:val="18"/>
        </w:rPr>
        <w:t xml:space="preserve"> </w:t>
      </w:r>
      <w:r w:rsidRPr="00600FFA">
        <w:rPr>
          <w:szCs w:val="18"/>
        </w:rPr>
        <w:t>An AESI</w:t>
      </w:r>
      <w:r>
        <w:rPr>
          <w:szCs w:val="18"/>
        </w:rPr>
        <w:t xml:space="preserve"> </w:t>
      </w:r>
      <w:r w:rsidRPr="00600FFA">
        <w:rPr>
          <w:szCs w:val="18"/>
        </w:rPr>
        <w:t>is of scientific and medical interest to the study treatment. An AESI may be serious or non</w:t>
      </w:r>
      <w:r w:rsidR="00015A4F">
        <w:rPr>
          <w:szCs w:val="18"/>
        </w:rPr>
        <w:t>-</w:t>
      </w:r>
      <w:r w:rsidRPr="00600FFA">
        <w:rPr>
          <w:szCs w:val="18"/>
        </w:rPr>
        <w:t>serious</w:t>
      </w:r>
      <w:r w:rsidR="00015A4F">
        <w:rPr>
          <w:szCs w:val="18"/>
        </w:rPr>
        <w:t>.</w:t>
      </w:r>
    </w:p>
    <w:p w14:paraId="6730AB92" w14:textId="2AC63FD2" w:rsidR="00E073E8" w:rsidRDefault="00E073E8" w:rsidP="00A24419">
      <w:pPr>
        <w:pStyle w:val="TableFigureFooter"/>
        <w:rPr>
          <w:szCs w:val="18"/>
        </w:rPr>
      </w:pPr>
      <w:r w:rsidRPr="00015A4F">
        <w:rPr>
          <w:szCs w:val="18"/>
          <w:vertAlign w:val="superscript"/>
        </w:rPr>
        <w:t xml:space="preserve">f </w:t>
      </w:r>
      <w:r w:rsidRPr="00015A4F">
        <w:rPr>
          <w:szCs w:val="18"/>
        </w:rPr>
        <w:t>RRs were calculated during the evaluation, using Stata 15</w:t>
      </w:r>
      <w:r w:rsidR="00015A4F">
        <w:rPr>
          <w:szCs w:val="18"/>
        </w:rPr>
        <w:t>.</w:t>
      </w:r>
    </w:p>
    <w:p w14:paraId="5A3F0182" w14:textId="394D2BF1" w:rsidR="00015A4F" w:rsidRPr="00367355" w:rsidRDefault="00C84545" w:rsidP="00A24419">
      <w:pPr>
        <w:pStyle w:val="TableFigureFooter"/>
        <w:rPr>
          <w:iCs/>
          <w:szCs w:val="18"/>
        </w:rPr>
      </w:pPr>
      <w:r w:rsidRPr="00367355">
        <w:rPr>
          <w:iCs/>
          <w:szCs w:val="18"/>
          <w:vertAlign w:val="superscript"/>
        </w:rPr>
        <w:t>g</w:t>
      </w:r>
      <w:r w:rsidR="00015A4F" w:rsidRPr="00367355">
        <w:rPr>
          <w:iCs/>
          <w:szCs w:val="18"/>
        </w:rPr>
        <w:t xml:space="preserve"> </w:t>
      </w:r>
      <w:r w:rsidRPr="00367355">
        <w:rPr>
          <w:iCs/>
          <w:szCs w:val="18"/>
        </w:rPr>
        <w:t xml:space="preserve">Although </w:t>
      </w:r>
      <w:r w:rsidR="007E6AAE" w:rsidRPr="00367355">
        <w:rPr>
          <w:iCs/>
          <w:szCs w:val="18"/>
        </w:rPr>
        <w:t>the</w:t>
      </w:r>
      <w:r w:rsidRPr="00367355">
        <w:rPr>
          <w:iCs/>
          <w:szCs w:val="18"/>
        </w:rPr>
        <w:t xml:space="preserve"> arm is labelled GC for simplicity, it is </w:t>
      </w:r>
      <w:r w:rsidR="007E6AAE" w:rsidRPr="00367355">
        <w:rPr>
          <w:iCs/>
          <w:szCs w:val="18"/>
        </w:rPr>
        <w:t xml:space="preserve">actually </w:t>
      </w:r>
      <w:r w:rsidRPr="00367355">
        <w:rPr>
          <w:iCs/>
          <w:szCs w:val="18"/>
        </w:rPr>
        <w:t>ac</w:t>
      </w:r>
      <w:r w:rsidR="007E6AAE" w:rsidRPr="00367355">
        <w:rPr>
          <w:iCs/>
          <w:szCs w:val="18"/>
        </w:rPr>
        <w:t>tive surveillance</w:t>
      </w:r>
      <w:r w:rsidR="003A0C99" w:rsidRPr="00367355">
        <w:rPr>
          <w:iCs/>
          <w:szCs w:val="18"/>
        </w:rPr>
        <w:t xml:space="preserve"> (not GC)</w:t>
      </w:r>
      <w:r w:rsidR="007E6AAE" w:rsidRPr="00367355">
        <w:rPr>
          <w:iCs/>
          <w:szCs w:val="18"/>
        </w:rPr>
        <w:t xml:space="preserve"> in the adjuvant treatment period.</w:t>
      </w:r>
    </w:p>
    <w:p w14:paraId="2B21AD45" w14:textId="6C840238" w:rsidR="00E073E8" w:rsidRDefault="00E073E8" w:rsidP="00A24419">
      <w:pPr>
        <w:pStyle w:val="TableFigureFooter"/>
        <w:rPr>
          <w:color w:val="0066FF"/>
        </w:rPr>
      </w:pPr>
      <w:r>
        <w:rPr>
          <w:lang w:val="en-US"/>
        </w:rPr>
        <w:t xml:space="preserve">Note: </w:t>
      </w:r>
      <w:r w:rsidRPr="00F7316A">
        <w:t>Patients with multiple events in the same category are counted only once in that category. Patients with events in more than one category are counted once in each of those categories.</w:t>
      </w:r>
    </w:p>
    <w:p w14:paraId="2C1D520C" w14:textId="0B63B610" w:rsidR="00E073E8" w:rsidRPr="00C04033" w:rsidRDefault="00E073E8" w:rsidP="00E073E8">
      <w:pPr>
        <w:pStyle w:val="3-BodyText"/>
        <w:rPr>
          <w:color w:val="000000" w:themeColor="text1"/>
        </w:rPr>
      </w:pPr>
      <w:r w:rsidRPr="00C04033">
        <w:rPr>
          <w:color w:val="000000" w:themeColor="text1"/>
        </w:rPr>
        <w:t xml:space="preserve">Grade ≥3 </w:t>
      </w:r>
      <w:r>
        <w:rPr>
          <w:color w:val="000000" w:themeColor="text1"/>
        </w:rPr>
        <w:t>durvalumab</w:t>
      </w:r>
      <w:r w:rsidRPr="00C04033">
        <w:rPr>
          <w:color w:val="000000" w:themeColor="text1"/>
        </w:rPr>
        <w:t>-related imAEs occurred in 3.0% of patients in the overall period, in 2.1% in the neoadjuvant period, and in 1.0% in the adjuvant period. D</w:t>
      </w:r>
      <w:r>
        <w:rPr>
          <w:color w:val="000000" w:themeColor="text1"/>
        </w:rPr>
        <w:t>urvalumab</w:t>
      </w:r>
      <w:r w:rsidRPr="00C04033">
        <w:rPr>
          <w:color w:val="000000" w:themeColor="text1"/>
        </w:rPr>
        <w:t xml:space="preserve"> was discontinued due to imAEs in 4.3% of patients in the overall period, in 2.3% in the neoadjuvant period, and in 2.9% in the adjuvant period. In the neoadjuvant period, one death as a result of imAE occurred in the GC arm but none in the </w:t>
      </w:r>
      <w:r w:rsidR="00430804">
        <w:rPr>
          <w:color w:val="000000" w:themeColor="text1"/>
        </w:rPr>
        <w:t>durvalumab</w:t>
      </w:r>
      <w:r w:rsidRPr="00C04033">
        <w:rPr>
          <w:color w:val="000000" w:themeColor="text1"/>
        </w:rPr>
        <w:t xml:space="preserve"> + GC arm. In the adjuvant period, no deaths that were considered associated with an imAE occurred in either arm.</w:t>
      </w:r>
    </w:p>
    <w:p w14:paraId="7BE1669B" w14:textId="40DDF4C8" w:rsidR="00E073E8" w:rsidRPr="00071F44" w:rsidRDefault="00E073E8" w:rsidP="00E073E8">
      <w:pPr>
        <w:pStyle w:val="3-BodyText"/>
        <w:rPr>
          <w:color w:val="000000" w:themeColor="text1"/>
        </w:rPr>
      </w:pPr>
      <w:r w:rsidRPr="00071F44">
        <w:rPr>
          <w:color w:val="000000" w:themeColor="text1"/>
        </w:rPr>
        <w:t xml:space="preserve">The most commonly reported imAEs in NIAGARA were thyroid events. Serious renal events occurred in 5 (0.9%) patients, and 6 patients (1.1%) in the </w:t>
      </w:r>
      <w:r w:rsidR="00430804">
        <w:rPr>
          <w:color w:val="000000" w:themeColor="text1"/>
        </w:rPr>
        <w:t>durvalumab</w:t>
      </w:r>
      <w:r w:rsidRPr="00071F44">
        <w:rPr>
          <w:color w:val="000000" w:themeColor="text1"/>
        </w:rPr>
        <w:t xml:space="preserve"> + GC </w:t>
      </w:r>
      <w:r w:rsidRPr="00071F44">
        <w:rPr>
          <w:color w:val="000000" w:themeColor="text1"/>
        </w:rPr>
        <w:lastRenderedPageBreak/>
        <w:t>arm discontinued treatment due this AE. Serious diarrh</w:t>
      </w:r>
      <w:r>
        <w:rPr>
          <w:color w:val="000000" w:themeColor="text1"/>
        </w:rPr>
        <w:t>o</w:t>
      </w:r>
      <w:r w:rsidRPr="00071F44">
        <w:rPr>
          <w:color w:val="000000" w:themeColor="text1"/>
        </w:rPr>
        <w:t xml:space="preserve">ea or colitis occurred in 4 (0.8%) patients in the </w:t>
      </w:r>
      <w:r w:rsidR="00430804">
        <w:rPr>
          <w:color w:val="000000" w:themeColor="text1"/>
        </w:rPr>
        <w:t>durvalumab</w:t>
      </w:r>
      <w:r w:rsidRPr="00071F44">
        <w:rPr>
          <w:color w:val="000000" w:themeColor="text1"/>
        </w:rPr>
        <w:t xml:space="preserve"> + GC arm and all discontinued treatment due this AE. Serious pneumonitis occurred in 3 (0.6%) patients in </w:t>
      </w:r>
      <w:r w:rsidR="00430804">
        <w:rPr>
          <w:color w:val="000000" w:themeColor="text1"/>
        </w:rPr>
        <w:t>durvalumab</w:t>
      </w:r>
      <w:r w:rsidRPr="00071F44">
        <w:rPr>
          <w:color w:val="000000" w:themeColor="text1"/>
        </w:rPr>
        <w:t xml:space="preserve"> + GC and 1 (0.2%) in GC and resulted in one patient’s death in the neoadjuvant period (GC arm).</w:t>
      </w:r>
    </w:p>
    <w:p w14:paraId="112A36C2" w14:textId="66E5E67E" w:rsidR="00E073E8" w:rsidRPr="00C04033" w:rsidRDefault="00E073E8" w:rsidP="00E073E8">
      <w:pPr>
        <w:pStyle w:val="3-BodyText"/>
        <w:rPr>
          <w:color w:val="000000" w:themeColor="text1"/>
        </w:rPr>
      </w:pPr>
      <w:r w:rsidRPr="00C04033">
        <w:rPr>
          <w:color w:val="000000" w:themeColor="text1"/>
        </w:rPr>
        <w:t xml:space="preserve">Overall, death as an outcome of AEs was similar in the two treatment arms. In the </w:t>
      </w:r>
      <w:r w:rsidR="00430804">
        <w:rPr>
          <w:color w:val="000000" w:themeColor="text1"/>
        </w:rPr>
        <w:t>durvalumab</w:t>
      </w:r>
      <w:r w:rsidRPr="00C04033">
        <w:rPr>
          <w:color w:val="000000" w:themeColor="text1"/>
        </w:rPr>
        <w:t xml:space="preserve"> + GC arm, there were 27 deaths (5.1%) with 6 (1.1%) occurring in the neoadjuvant period, 15 (3.2%) in the post-surgery period, and 7 (1.8%) in the adjuvant period. In the GC arm, there were 29 deaths (5.5%) with 10 (1.9%) in the neoadjuvant period, 13 (2.9%) in the post-surgery period, and 6 (1.6%) in the adjuvant period. The most commonly reported AEs leading to death in the </w:t>
      </w:r>
      <w:r w:rsidR="00430804">
        <w:rPr>
          <w:color w:val="000000" w:themeColor="text1"/>
        </w:rPr>
        <w:t>durvalumab</w:t>
      </w:r>
      <w:r w:rsidRPr="00C04033">
        <w:rPr>
          <w:color w:val="000000" w:themeColor="text1"/>
        </w:rPr>
        <w:t xml:space="preserve"> + GC arm were sepsis (4 patients), cardio-respiratory arrest (3 patients), COVID-19 (2 patients), and pulmonary embolism (2 patients), compared to septic shock (3 patients), sepsis (2 patients), and multiple organ dysfunction syndrome (2 patients) in the GC arm.</w:t>
      </w:r>
    </w:p>
    <w:p w14:paraId="1922EA63" w14:textId="77777777" w:rsidR="00E073E8" w:rsidRPr="00133367" w:rsidRDefault="00E073E8" w:rsidP="00E073E8">
      <w:pPr>
        <w:pStyle w:val="3-BodyText"/>
        <w:rPr>
          <w:color w:val="000000" w:themeColor="text1"/>
        </w:rPr>
      </w:pPr>
      <w:r w:rsidRPr="00133367">
        <w:rPr>
          <w:color w:val="000000" w:themeColor="text1"/>
        </w:rPr>
        <w:t>The safety outcomes of perioperative durvalumab therapy in NIAGARA appeared to be similar to the known safety profile of the drug. The addition of durvalumab in the neoadjuvant period did not increase the number of failed planned surgeries, compared to GC alone in the trial. Beyond the neoadjuvant period, the association between the treatment received and the AEs reported became unclear. Given NIAGARA has an open-label study design, Investigators and patients were not blinded to the treatment allocation. There is therefore a risk of bias for the results of AEs.</w:t>
      </w:r>
    </w:p>
    <w:p w14:paraId="6B8691E2" w14:textId="77777777" w:rsidR="00E073E8" w:rsidRPr="00367355" w:rsidRDefault="00E073E8" w:rsidP="00E06606">
      <w:pPr>
        <w:pStyle w:val="3-BodyText"/>
        <w:numPr>
          <w:ilvl w:val="0"/>
          <w:numId w:val="0"/>
        </w:numPr>
        <w:rPr>
          <w:iCs/>
          <w:color w:val="000000" w:themeColor="text1"/>
        </w:rPr>
      </w:pPr>
      <w:r w:rsidRPr="00C570E1">
        <w:rPr>
          <w:b/>
          <w:bCs/>
        </w:rPr>
        <w:t xml:space="preserve">Indirect comparison of perioperative </w:t>
      </w:r>
      <w:r>
        <w:rPr>
          <w:b/>
          <w:bCs/>
        </w:rPr>
        <w:t xml:space="preserve">durvalumab </w:t>
      </w:r>
      <w:r w:rsidRPr="00547C29">
        <w:rPr>
          <w:b/>
          <w:bCs/>
        </w:rPr>
        <w:t>(NIAGARA</w:t>
      </w:r>
      <w:r>
        <w:rPr>
          <w:b/>
          <w:bCs/>
        </w:rPr>
        <w:t>)</w:t>
      </w:r>
      <w:r w:rsidRPr="00C570E1">
        <w:rPr>
          <w:b/>
          <w:bCs/>
        </w:rPr>
        <w:t xml:space="preserve"> versus adjuvant </w:t>
      </w:r>
      <w:r>
        <w:rPr>
          <w:b/>
          <w:bCs/>
        </w:rPr>
        <w:t xml:space="preserve">nivolumab </w:t>
      </w:r>
      <w:r w:rsidRPr="00547C29">
        <w:rPr>
          <w:b/>
          <w:bCs/>
        </w:rPr>
        <w:t>(CM274)</w:t>
      </w:r>
    </w:p>
    <w:p w14:paraId="2497749A" w14:textId="6CFD3458" w:rsidR="00E073E8" w:rsidRPr="00133367" w:rsidRDefault="00E073E8" w:rsidP="00E06606">
      <w:pPr>
        <w:pStyle w:val="3-BodyText"/>
        <w:rPr>
          <w:color w:val="000000" w:themeColor="text1"/>
        </w:rPr>
      </w:pPr>
      <w:r>
        <w:t>O</w:t>
      </w:r>
      <w:r w:rsidRPr="00A52B22">
        <w:t>verall AEs</w:t>
      </w:r>
      <w:r>
        <w:t xml:space="preserve"> and study-drug related AEs </w:t>
      </w:r>
      <w:r w:rsidRPr="00A52B22">
        <w:t>in N</w:t>
      </w:r>
      <w:r w:rsidR="00FD3894">
        <w:t>I</w:t>
      </w:r>
      <w:r w:rsidRPr="00A52B22">
        <w:t>AGARA and</w:t>
      </w:r>
      <w:r>
        <w:t xml:space="preserve"> </w:t>
      </w:r>
      <w:r w:rsidRPr="00A52B22">
        <w:t xml:space="preserve">CM274 </w:t>
      </w:r>
      <w:r>
        <w:t xml:space="preserve">in patients </w:t>
      </w:r>
      <w:r w:rsidRPr="00A52B22">
        <w:t>who had received NAC</w:t>
      </w:r>
      <w:r>
        <w:t xml:space="preserve"> are summarised in </w:t>
      </w:r>
      <w:r>
        <w:fldChar w:fldCharType="begin"/>
      </w:r>
      <w:r>
        <w:instrText xml:space="preserve"> REF _Ref207473577 \h </w:instrText>
      </w:r>
      <w:r>
        <w:fldChar w:fldCharType="separate"/>
      </w:r>
      <w:r w:rsidR="005731FF">
        <w:t xml:space="preserve">Table </w:t>
      </w:r>
      <w:r w:rsidR="005731FF">
        <w:rPr>
          <w:noProof/>
        </w:rPr>
        <w:t>10</w:t>
      </w:r>
      <w:r>
        <w:fldChar w:fldCharType="end"/>
      </w:r>
      <w:r>
        <w:t xml:space="preserve"> and </w:t>
      </w:r>
      <w:r>
        <w:fldChar w:fldCharType="begin"/>
      </w:r>
      <w:r>
        <w:instrText xml:space="preserve"> REF _Ref207474096 \h </w:instrText>
      </w:r>
      <w:r>
        <w:fldChar w:fldCharType="separate"/>
      </w:r>
      <w:r w:rsidR="005731FF">
        <w:t xml:space="preserve">Table </w:t>
      </w:r>
      <w:r w:rsidR="005731FF">
        <w:rPr>
          <w:noProof/>
        </w:rPr>
        <w:t>11</w:t>
      </w:r>
      <w:r>
        <w:fldChar w:fldCharType="end"/>
      </w:r>
      <w:r w:rsidRPr="00133367">
        <w:t xml:space="preserve">. </w:t>
      </w:r>
      <w:r w:rsidRPr="00133367">
        <w:rPr>
          <w:color w:val="000000" w:themeColor="text1"/>
        </w:rPr>
        <w:t>Since NIAGARA was an open-label study (compared with the double-blind study design of CM274), there is potential for bias in the identification and reporting of AEs in NIAGARA because the investigator and patients were not blinded. This has impacted the robustness of the results of AEs in CM274, particularly uncommon AEs.</w:t>
      </w:r>
    </w:p>
    <w:p w14:paraId="61610831" w14:textId="1EADF529" w:rsidR="00E073E8" w:rsidRDefault="00E073E8" w:rsidP="00E073E8">
      <w:pPr>
        <w:pStyle w:val="Caption"/>
      </w:pPr>
      <w:bookmarkStart w:id="65" w:name="_Ref207473577"/>
      <w:r>
        <w:t xml:space="preserve">Table </w:t>
      </w:r>
      <w:r w:rsidR="0077772B">
        <w:fldChar w:fldCharType="begin"/>
      </w:r>
      <w:r w:rsidR="0077772B">
        <w:instrText xml:space="preserve"> SEQ Table \* ARABIC </w:instrText>
      </w:r>
      <w:r w:rsidR="0077772B">
        <w:fldChar w:fldCharType="separate"/>
      </w:r>
      <w:r w:rsidR="005731FF">
        <w:rPr>
          <w:noProof/>
        </w:rPr>
        <w:t>10</w:t>
      </w:r>
      <w:r w:rsidR="0077772B">
        <w:rPr>
          <w:noProof/>
        </w:rPr>
        <w:fldChar w:fldCharType="end"/>
      </w:r>
      <w:bookmarkEnd w:id="65"/>
      <w:r>
        <w:t xml:space="preserve">: </w:t>
      </w:r>
      <w:r w:rsidRPr="00DF1914">
        <w:t>Overall AEs in NIAGARA versus CM274 in patients who had received NAC</w:t>
      </w:r>
    </w:p>
    <w:tbl>
      <w:tblPr>
        <w:tblStyle w:val="AZ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Table 10: Overall AEs in NIAGARA versus CM274 in patients who had received NAC"/>
      </w:tblPr>
      <w:tblGrid>
        <w:gridCol w:w="4023"/>
        <w:gridCol w:w="1246"/>
        <w:gridCol w:w="1246"/>
        <w:gridCol w:w="1252"/>
        <w:gridCol w:w="1250"/>
      </w:tblGrid>
      <w:tr w:rsidR="002D1E25" w:rsidRPr="00DF1914" w14:paraId="53F00390" w14:textId="77777777" w:rsidTr="00085F95">
        <w:trPr>
          <w:cnfStyle w:val="100000000000" w:firstRow="1" w:lastRow="0" w:firstColumn="0" w:lastColumn="0" w:oddVBand="0" w:evenVBand="0" w:oddHBand="0" w:evenHBand="0" w:firstRowFirstColumn="0" w:firstRowLastColumn="0" w:lastRowFirstColumn="0" w:lastRowLastColumn="0"/>
          <w:trHeight w:val="58"/>
        </w:trPr>
        <w:tc>
          <w:tcPr>
            <w:tcW w:w="2231" w:type="pct"/>
            <w:vMerge w:val="restart"/>
            <w:tcBorders>
              <w:top w:val="single" w:sz="4" w:space="0" w:color="auto"/>
              <w:bottom w:val="nil"/>
              <w:right w:val="single" w:sz="4" w:space="0" w:color="auto"/>
            </w:tcBorders>
          </w:tcPr>
          <w:p w14:paraId="62842E3E" w14:textId="77777777" w:rsidR="00E073E8" w:rsidRPr="00670D5B" w:rsidRDefault="00E073E8">
            <w:pPr>
              <w:keepNext/>
              <w:keepLines/>
              <w:rPr>
                <w:rFonts w:ascii="Arial Narrow" w:hAnsi="Arial Narrow"/>
                <w:sz w:val="20"/>
                <w:szCs w:val="20"/>
              </w:rPr>
            </w:pPr>
          </w:p>
        </w:tc>
        <w:tc>
          <w:tcPr>
            <w:tcW w:w="1382" w:type="pct"/>
            <w:gridSpan w:val="2"/>
            <w:tcBorders>
              <w:top w:val="single" w:sz="4" w:space="0" w:color="auto"/>
              <w:left w:val="single" w:sz="4" w:space="0" w:color="auto"/>
              <w:bottom w:val="single" w:sz="4" w:space="0" w:color="auto"/>
              <w:right w:val="single" w:sz="4" w:space="0" w:color="auto"/>
            </w:tcBorders>
          </w:tcPr>
          <w:p w14:paraId="03EEF6B0" w14:textId="77777777" w:rsidR="00E073E8" w:rsidRPr="00670D5B" w:rsidRDefault="00E073E8">
            <w:pPr>
              <w:keepNext/>
              <w:keepLines/>
              <w:jc w:val="center"/>
              <w:rPr>
                <w:rFonts w:ascii="Arial Narrow" w:eastAsiaTheme="majorEastAsia" w:hAnsi="Arial Narrow"/>
                <w:sz w:val="20"/>
                <w:szCs w:val="20"/>
                <w:lang w:bidi="en-US"/>
              </w:rPr>
            </w:pPr>
            <w:r w:rsidRPr="00670D5B">
              <w:rPr>
                <w:rFonts w:ascii="Arial Narrow" w:eastAsiaTheme="majorEastAsia" w:hAnsi="Arial Narrow"/>
                <w:sz w:val="20"/>
                <w:szCs w:val="20"/>
                <w:lang w:bidi="en-US"/>
              </w:rPr>
              <w:t>NIAGARA</w:t>
            </w:r>
          </w:p>
        </w:tc>
        <w:tc>
          <w:tcPr>
            <w:tcW w:w="1387" w:type="pct"/>
            <w:gridSpan w:val="2"/>
            <w:tcBorders>
              <w:top w:val="single" w:sz="4" w:space="0" w:color="auto"/>
              <w:left w:val="single" w:sz="4" w:space="0" w:color="auto"/>
              <w:bottom w:val="single" w:sz="4" w:space="0" w:color="auto"/>
            </w:tcBorders>
          </w:tcPr>
          <w:p w14:paraId="017A8293" w14:textId="77777777" w:rsidR="00E073E8" w:rsidRPr="00670D5B" w:rsidRDefault="00E073E8">
            <w:pPr>
              <w:keepNext/>
              <w:keepLines/>
              <w:jc w:val="center"/>
              <w:rPr>
                <w:rFonts w:ascii="Arial Narrow" w:eastAsiaTheme="majorEastAsia" w:hAnsi="Arial Narrow"/>
                <w:sz w:val="20"/>
                <w:szCs w:val="20"/>
                <w:lang w:bidi="en-US"/>
              </w:rPr>
            </w:pPr>
            <w:r w:rsidRPr="00670D5B">
              <w:rPr>
                <w:rFonts w:ascii="Arial Narrow" w:eastAsiaTheme="majorEastAsia" w:hAnsi="Arial Narrow"/>
                <w:sz w:val="20"/>
                <w:szCs w:val="20"/>
                <w:lang w:bidi="en-US"/>
              </w:rPr>
              <w:t>CM274 (prior NAC)</w:t>
            </w:r>
          </w:p>
        </w:tc>
      </w:tr>
      <w:tr w:rsidR="00E073E8" w:rsidRPr="00DF1914" w14:paraId="7A6801D6" w14:textId="77777777" w:rsidTr="00085F95">
        <w:trPr>
          <w:trHeight w:val="58"/>
        </w:trPr>
        <w:tc>
          <w:tcPr>
            <w:tcW w:w="2231" w:type="pct"/>
            <w:vMerge/>
            <w:tcBorders>
              <w:top w:val="nil"/>
              <w:bottom w:val="single" w:sz="4" w:space="0" w:color="auto"/>
              <w:right w:val="single" w:sz="4" w:space="0" w:color="auto"/>
            </w:tcBorders>
          </w:tcPr>
          <w:p w14:paraId="39C59410" w14:textId="77777777" w:rsidR="00E073E8" w:rsidRPr="00670D5B" w:rsidRDefault="00E073E8">
            <w:pPr>
              <w:keepNext/>
              <w:keepLines/>
              <w:rPr>
                <w:rFonts w:ascii="Arial Narrow" w:eastAsiaTheme="majorEastAsia" w:hAnsi="Arial Narrow"/>
                <w:b/>
                <w:sz w:val="20"/>
                <w:szCs w:val="20"/>
                <w:lang w:bidi="en-US"/>
              </w:rPr>
            </w:pPr>
          </w:p>
        </w:tc>
        <w:tc>
          <w:tcPr>
            <w:tcW w:w="691" w:type="pct"/>
            <w:tcBorders>
              <w:top w:val="single" w:sz="4" w:space="0" w:color="auto"/>
              <w:left w:val="single" w:sz="4" w:space="0" w:color="auto"/>
              <w:bottom w:val="single" w:sz="4" w:space="0" w:color="auto"/>
              <w:right w:val="single" w:sz="4" w:space="0" w:color="auto"/>
            </w:tcBorders>
          </w:tcPr>
          <w:p w14:paraId="6BCE0C91" w14:textId="0826631B" w:rsidR="00E073E8" w:rsidRPr="00670D5B" w:rsidRDefault="00E073E8">
            <w:pPr>
              <w:keepNext/>
              <w:keepLines/>
              <w:jc w:val="center"/>
              <w:rPr>
                <w:rFonts w:ascii="Arial Narrow" w:eastAsiaTheme="majorEastAsia" w:hAnsi="Arial Narrow"/>
                <w:b/>
                <w:sz w:val="20"/>
                <w:szCs w:val="20"/>
                <w:lang w:bidi="en-US"/>
              </w:rPr>
            </w:pPr>
            <w:r w:rsidRPr="00670D5B">
              <w:rPr>
                <w:rFonts w:ascii="Arial Narrow" w:eastAsiaTheme="majorEastAsia" w:hAnsi="Arial Narrow"/>
                <w:b/>
                <w:sz w:val="20"/>
                <w:szCs w:val="20"/>
                <w:lang w:bidi="en-US"/>
              </w:rPr>
              <w:t xml:space="preserve">DURVA + GC </w:t>
            </w:r>
            <w:r w:rsidRPr="00670D5B">
              <w:rPr>
                <w:rFonts w:ascii="Arial Narrow" w:eastAsiaTheme="majorEastAsia" w:hAnsi="Arial Narrow"/>
                <w:b/>
                <w:sz w:val="20"/>
                <w:szCs w:val="20"/>
                <w:lang w:bidi="en-US"/>
              </w:rPr>
              <w:br/>
              <w:t>(N = 530)</w:t>
            </w:r>
          </w:p>
        </w:tc>
        <w:tc>
          <w:tcPr>
            <w:tcW w:w="691" w:type="pct"/>
            <w:tcBorders>
              <w:top w:val="single" w:sz="4" w:space="0" w:color="auto"/>
              <w:left w:val="single" w:sz="4" w:space="0" w:color="auto"/>
              <w:bottom w:val="single" w:sz="4" w:space="0" w:color="auto"/>
              <w:right w:val="single" w:sz="4" w:space="0" w:color="auto"/>
            </w:tcBorders>
          </w:tcPr>
          <w:p w14:paraId="5AC4FFF3" w14:textId="77777777" w:rsidR="00E073E8" w:rsidRPr="00670D5B" w:rsidRDefault="00E073E8">
            <w:pPr>
              <w:keepNext/>
              <w:keepLines/>
              <w:jc w:val="center"/>
              <w:rPr>
                <w:rFonts w:ascii="Arial Narrow" w:eastAsiaTheme="majorEastAsia" w:hAnsi="Arial Narrow"/>
                <w:b/>
                <w:sz w:val="20"/>
                <w:szCs w:val="20"/>
                <w:lang w:bidi="en-US"/>
              </w:rPr>
            </w:pPr>
            <w:r w:rsidRPr="00670D5B">
              <w:rPr>
                <w:rFonts w:ascii="Arial Narrow" w:eastAsiaTheme="majorEastAsia" w:hAnsi="Arial Narrow"/>
                <w:b/>
                <w:sz w:val="20"/>
                <w:szCs w:val="20"/>
                <w:lang w:bidi="en-US"/>
              </w:rPr>
              <w:t xml:space="preserve">GC </w:t>
            </w:r>
            <w:r w:rsidRPr="00670D5B">
              <w:rPr>
                <w:rFonts w:ascii="Arial Narrow" w:eastAsiaTheme="majorEastAsia" w:hAnsi="Arial Narrow"/>
                <w:b/>
                <w:sz w:val="20"/>
                <w:szCs w:val="20"/>
                <w:lang w:bidi="en-US"/>
              </w:rPr>
              <w:br/>
              <w:t>(N = 526)</w:t>
            </w:r>
          </w:p>
        </w:tc>
        <w:tc>
          <w:tcPr>
            <w:tcW w:w="694" w:type="pct"/>
            <w:tcBorders>
              <w:top w:val="single" w:sz="4" w:space="0" w:color="auto"/>
              <w:left w:val="single" w:sz="4" w:space="0" w:color="auto"/>
              <w:bottom w:val="single" w:sz="4" w:space="0" w:color="auto"/>
              <w:right w:val="single" w:sz="4" w:space="0" w:color="auto"/>
            </w:tcBorders>
          </w:tcPr>
          <w:p w14:paraId="529BEF0F" w14:textId="77777777" w:rsidR="00E073E8" w:rsidRPr="00670D5B" w:rsidRDefault="00E073E8">
            <w:pPr>
              <w:keepNext/>
              <w:keepLines/>
              <w:jc w:val="center"/>
              <w:rPr>
                <w:rFonts w:ascii="Arial Narrow" w:eastAsiaTheme="majorEastAsia" w:hAnsi="Arial Narrow"/>
                <w:b/>
                <w:sz w:val="20"/>
                <w:szCs w:val="20"/>
                <w:lang w:bidi="en-US"/>
              </w:rPr>
            </w:pPr>
            <w:r>
              <w:rPr>
                <w:rFonts w:ascii="Arial Narrow" w:eastAsiaTheme="majorEastAsia" w:hAnsi="Arial Narrow"/>
                <w:b/>
                <w:sz w:val="20"/>
                <w:szCs w:val="20"/>
                <w:lang w:bidi="en-US"/>
              </w:rPr>
              <w:t>Nivolumab</w:t>
            </w:r>
            <w:r w:rsidRPr="00670D5B">
              <w:rPr>
                <w:rFonts w:ascii="Arial Narrow" w:eastAsiaTheme="majorEastAsia" w:hAnsi="Arial Narrow"/>
                <w:b/>
                <w:sz w:val="20"/>
                <w:szCs w:val="20"/>
                <w:lang w:bidi="en-US"/>
              </w:rPr>
              <w:t xml:space="preserve"> </w:t>
            </w:r>
            <w:r w:rsidRPr="00670D5B">
              <w:rPr>
                <w:rFonts w:ascii="Arial Narrow" w:eastAsiaTheme="majorEastAsia" w:hAnsi="Arial Narrow"/>
                <w:b/>
                <w:sz w:val="20"/>
                <w:szCs w:val="20"/>
                <w:lang w:bidi="en-US"/>
              </w:rPr>
              <w:br/>
              <w:t xml:space="preserve">(N=155) </w:t>
            </w:r>
          </w:p>
        </w:tc>
        <w:tc>
          <w:tcPr>
            <w:tcW w:w="694" w:type="pct"/>
            <w:tcBorders>
              <w:top w:val="single" w:sz="4" w:space="0" w:color="auto"/>
              <w:left w:val="single" w:sz="4" w:space="0" w:color="auto"/>
              <w:bottom w:val="single" w:sz="4" w:space="0" w:color="auto"/>
            </w:tcBorders>
          </w:tcPr>
          <w:p w14:paraId="432EEDDD" w14:textId="77777777" w:rsidR="00E073E8" w:rsidRPr="00670D5B" w:rsidRDefault="00E073E8">
            <w:pPr>
              <w:keepNext/>
              <w:keepLines/>
              <w:jc w:val="center"/>
              <w:rPr>
                <w:rFonts w:ascii="Arial Narrow" w:eastAsiaTheme="majorEastAsia" w:hAnsi="Arial Narrow"/>
                <w:b/>
                <w:sz w:val="20"/>
                <w:szCs w:val="20"/>
                <w:lang w:bidi="en-US"/>
              </w:rPr>
            </w:pPr>
            <w:r w:rsidRPr="00670D5B">
              <w:rPr>
                <w:rFonts w:ascii="Arial Narrow" w:eastAsiaTheme="majorEastAsia" w:hAnsi="Arial Narrow"/>
                <w:b/>
                <w:sz w:val="20"/>
                <w:szCs w:val="20"/>
                <w:lang w:bidi="en-US"/>
              </w:rPr>
              <w:t xml:space="preserve">PBO </w:t>
            </w:r>
            <w:r w:rsidRPr="00670D5B">
              <w:rPr>
                <w:rFonts w:ascii="Arial Narrow" w:eastAsiaTheme="majorEastAsia" w:hAnsi="Arial Narrow"/>
                <w:b/>
                <w:sz w:val="20"/>
                <w:szCs w:val="20"/>
                <w:lang w:bidi="en-US"/>
              </w:rPr>
              <w:br/>
              <w:t>(N=156)</w:t>
            </w:r>
          </w:p>
        </w:tc>
      </w:tr>
      <w:tr w:rsidR="00E073E8" w:rsidRPr="00DF1914" w14:paraId="4AB04008" w14:textId="77777777" w:rsidTr="00085F95">
        <w:trPr>
          <w:trHeight w:val="58"/>
        </w:trPr>
        <w:tc>
          <w:tcPr>
            <w:tcW w:w="2231" w:type="pct"/>
            <w:tcBorders>
              <w:top w:val="single" w:sz="4" w:space="0" w:color="auto"/>
              <w:right w:val="single" w:sz="4" w:space="0" w:color="auto"/>
            </w:tcBorders>
          </w:tcPr>
          <w:p w14:paraId="031B64AF" w14:textId="77777777" w:rsidR="00E073E8" w:rsidRPr="00DF1914" w:rsidRDefault="00E073E8">
            <w:pPr>
              <w:rPr>
                <w:rFonts w:ascii="Arial Narrow" w:hAnsi="Arial Narrow"/>
                <w:bCs/>
                <w:snapToGrid w:val="0"/>
                <w:sz w:val="20"/>
                <w:szCs w:val="20"/>
              </w:rPr>
            </w:pPr>
            <w:r w:rsidRPr="00DF1914">
              <w:rPr>
                <w:rFonts w:ascii="Arial Narrow" w:hAnsi="Arial Narrow"/>
                <w:bCs/>
                <w:snapToGrid w:val="0"/>
                <w:sz w:val="20"/>
                <w:szCs w:val="20"/>
              </w:rPr>
              <w:t>AEs (any grade)</w:t>
            </w:r>
            <w:r w:rsidRPr="00DF1914">
              <w:rPr>
                <w:rFonts w:ascii="Arial Narrow" w:hAnsi="Arial Narrow"/>
                <w:sz w:val="20"/>
                <w:szCs w:val="20"/>
              </w:rPr>
              <w:t>, n (%)</w:t>
            </w:r>
          </w:p>
        </w:tc>
        <w:tc>
          <w:tcPr>
            <w:tcW w:w="691" w:type="pct"/>
            <w:tcBorders>
              <w:top w:val="single" w:sz="4" w:space="0" w:color="auto"/>
              <w:left w:val="single" w:sz="4" w:space="0" w:color="auto"/>
              <w:bottom w:val="nil"/>
              <w:right w:val="single" w:sz="4" w:space="0" w:color="auto"/>
            </w:tcBorders>
          </w:tcPr>
          <w:p w14:paraId="4CF23D74"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 xml:space="preserve">527 (99.4) </w:t>
            </w:r>
          </w:p>
        </w:tc>
        <w:tc>
          <w:tcPr>
            <w:tcW w:w="691" w:type="pct"/>
            <w:tcBorders>
              <w:top w:val="single" w:sz="4" w:space="0" w:color="auto"/>
              <w:left w:val="single" w:sz="4" w:space="0" w:color="auto"/>
              <w:bottom w:val="nil"/>
              <w:right w:val="single" w:sz="4" w:space="0" w:color="auto"/>
            </w:tcBorders>
          </w:tcPr>
          <w:p w14:paraId="042C679C"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 xml:space="preserve">525 (99.8) </w:t>
            </w:r>
          </w:p>
        </w:tc>
        <w:tc>
          <w:tcPr>
            <w:tcW w:w="694" w:type="pct"/>
            <w:tcBorders>
              <w:top w:val="single" w:sz="4" w:space="0" w:color="auto"/>
              <w:left w:val="single" w:sz="4" w:space="0" w:color="auto"/>
              <w:right w:val="single" w:sz="4" w:space="0" w:color="auto"/>
            </w:tcBorders>
          </w:tcPr>
          <w:p w14:paraId="368F7555"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153 (98.7)</w:t>
            </w:r>
          </w:p>
        </w:tc>
        <w:tc>
          <w:tcPr>
            <w:tcW w:w="694" w:type="pct"/>
            <w:tcBorders>
              <w:top w:val="single" w:sz="4" w:space="0" w:color="auto"/>
              <w:left w:val="single" w:sz="4" w:space="0" w:color="auto"/>
            </w:tcBorders>
          </w:tcPr>
          <w:p w14:paraId="3895176B"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149 (95.5)</w:t>
            </w:r>
          </w:p>
        </w:tc>
      </w:tr>
      <w:tr w:rsidR="00E073E8" w:rsidRPr="00DF1914" w14:paraId="283E33E2" w14:textId="77777777" w:rsidTr="00085F95">
        <w:trPr>
          <w:trHeight w:val="58"/>
        </w:trPr>
        <w:tc>
          <w:tcPr>
            <w:tcW w:w="2231" w:type="pct"/>
            <w:tcBorders>
              <w:right w:val="single" w:sz="4" w:space="0" w:color="auto"/>
            </w:tcBorders>
          </w:tcPr>
          <w:p w14:paraId="66955CC7" w14:textId="77777777" w:rsidR="00E073E8" w:rsidRPr="00DF1914" w:rsidRDefault="00E073E8">
            <w:pPr>
              <w:rPr>
                <w:rFonts w:ascii="Arial Narrow" w:hAnsi="Arial Narrow"/>
                <w:bCs/>
                <w:snapToGrid w:val="0"/>
                <w:sz w:val="20"/>
                <w:szCs w:val="20"/>
              </w:rPr>
            </w:pPr>
            <w:r w:rsidRPr="00DF1914">
              <w:rPr>
                <w:rFonts w:ascii="Arial Narrow" w:hAnsi="Arial Narrow"/>
                <w:bCs/>
                <w:snapToGrid w:val="0"/>
                <w:sz w:val="20"/>
                <w:szCs w:val="20"/>
              </w:rPr>
              <w:t>Grade ≥ 3 AEs</w:t>
            </w:r>
            <w:r w:rsidRPr="00DF1914">
              <w:rPr>
                <w:rFonts w:ascii="Arial Narrow" w:hAnsi="Arial Narrow"/>
                <w:sz w:val="20"/>
                <w:szCs w:val="20"/>
              </w:rPr>
              <w:t>, n (%)</w:t>
            </w:r>
          </w:p>
        </w:tc>
        <w:tc>
          <w:tcPr>
            <w:tcW w:w="691" w:type="pct"/>
            <w:tcBorders>
              <w:top w:val="nil"/>
              <w:left w:val="single" w:sz="4" w:space="0" w:color="auto"/>
              <w:bottom w:val="nil"/>
              <w:right w:val="single" w:sz="4" w:space="0" w:color="auto"/>
            </w:tcBorders>
          </w:tcPr>
          <w:p w14:paraId="0B153163"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368 (69.4)</w:t>
            </w:r>
          </w:p>
        </w:tc>
        <w:tc>
          <w:tcPr>
            <w:tcW w:w="691" w:type="pct"/>
            <w:tcBorders>
              <w:top w:val="nil"/>
              <w:left w:val="single" w:sz="4" w:space="0" w:color="auto"/>
              <w:bottom w:val="nil"/>
              <w:right w:val="single" w:sz="4" w:space="0" w:color="auto"/>
            </w:tcBorders>
          </w:tcPr>
          <w:p w14:paraId="47145671"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355 (67.5)</w:t>
            </w:r>
          </w:p>
        </w:tc>
        <w:tc>
          <w:tcPr>
            <w:tcW w:w="694" w:type="pct"/>
            <w:tcBorders>
              <w:left w:val="single" w:sz="4" w:space="0" w:color="auto"/>
              <w:right w:val="single" w:sz="4" w:space="0" w:color="auto"/>
            </w:tcBorders>
          </w:tcPr>
          <w:p w14:paraId="7244FEB8"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64 (41.3)</w:t>
            </w:r>
          </w:p>
        </w:tc>
        <w:tc>
          <w:tcPr>
            <w:tcW w:w="694" w:type="pct"/>
            <w:tcBorders>
              <w:left w:val="single" w:sz="4" w:space="0" w:color="auto"/>
            </w:tcBorders>
          </w:tcPr>
          <w:p w14:paraId="5BECD898"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58 (37.2)</w:t>
            </w:r>
          </w:p>
        </w:tc>
      </w:tr>
      <w:tr w:rsidR="00E073E8" w:rsidRPr="00DF1914" w14:paraId="17A21C1A" w14:textId="77777777" w:rsidTr="00085F95">
        <w:trPr>
          <w:trHeight w:val="58"/>
        </w:trPr>
        <w:tc>
          <w:tcPr>
            <w:tcW w:w="2231" w:type="pct"/>
            <w:tcBorders>
              <w:right w:val="single" w:sz="4" w:space="0" w:color="auto"/>
            </w:tcBorders>
          </w:tcPr>
          <w:p w14:paraId="755937D2" w14:textId="77777777" w:rsidR="00E073E8" w:rsidRPr="00DF1914" w:rsidRDefault="00E073E8">
            <w:pPr>
              <w:rPr>
                <w:rFonts w:ascii="Arial Narrow" w:hAnsi="Arial Narrow"/>
                <w:bCs/>
                <w:snapToGrid w:val="0"/>
                <w:sz w:val="20"/>
                <w:szCs w:val="20"/>
              </w:rPr>
            </w:pPr>
            <w:r w:rsidRPr="00DF1914">
              <w:rPr>
                <w:rFonts w:ascii="Arial Narrow" w:hAnsi="Arial Narrow"/>
                <w:bCs/>
                <w:snapToGrid w:val="0"/>
                <w:sz w:val="20"/>
                <w:szCs w:val="20"/>
              </w:rPr>
              <w:t>Serious AEs (any grade)</w:t>
            </w:r>
            <w:r w:rsidRPr="00DF1914">
              <w:rPr>
                <w:rFonts w:ascii="Arial Narrow" w:hAnsi="Arial Narrow"/>
                <w:sz w:val="20"/>
                <w:szCs w:val="20"/>
              </w:rPr>
              <w:t>, n (%)</w:t>
            </w:r>
          </w:p>
        </w:tc>
        <w:tc>
          <w:tcPr>
            <w:tcW w:w="691" w:type="pct"/>
            <w:tcBorders>
              <w:top w:val="nil"/>
              <w:left w:val="single" w:sz="4" w:space="0" w:color="auto"/>
              <w:bottom w:val="nil"/>
              <w:right w:val="single" w:sz="4" w:space="0" w:color="auto"/>
            </w:tcBorders>
          </w:tcPr>
          <w:p w14:paraId="7ABF6181"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 xml:space="preserve">326 (61.5) </w:t>
            </w:r>
          </w:p>
        </w:tc>
        <w:tc>
          <w:tcPr>
            <w:tcW w:w="691" w:type="pct"/>
            <w:tcBorders>
              <w:top w:val="nil"/>
              <w:left w:val="single" w:sz="4" w:space="0" w:color="auto"/>
              <w:bottom w:val="nil"/>
              <w:right w:val="single" w:sz="4" w:space="0" w:color="auto"/>
            </w:tcBorders>
          </w:tcPr>
          <w:p w14:paraId="1B0C9990"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 xml:space="preserve">287 (54.6) </w:t>
            </w:r>
          </w:p>
        </w:tc>
        <w:tc>
          <w:tcPr>
            <w:tcW w:w="694" w:type="pct"/>
            <w:tcBorders>
              <w:left w:val="single" w:sz="4" w:space="0" w:color="auto"/>
              <w:right w:val="single" w:sz="4" w:space="0" w:color="auto"/>
            </w:tcBorders>
          </w:tcPr>
          <w:p w14:paraId="4D6BDAFD"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47 (30.3)</w:t>
            </w:r>
          </w:p>
        </w:tc>
        <w:tc>
          <w:tcPr>
            <w:tcW w:w="694" w:type="pct"/>
            <w:tcBorders>
              <w:left w:val="single" w:sz="4" w:space="0" w:color="auto"/>
            </w:tcBorders>
          </w:tcPr>
          <w:p w14:paraId="3DBD0629"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50 (32.1)</w:t>
            </w:r>
          </w:p>
        </w:tc>
      </w:tr>
      <w:tr w:rsidR="00E073E8" w:rsidRPr="00DF1914" w14:paraId="10AF8452" w14:textId="77777777" w:rsidTr="00085F95">
        <w:trPr>
          <w:trHeight w:val="58"/>
        </w:trPr>
        <w:tc>
          <w:tcPr>
            <w:tcW w:w="2231" w:type="pct"/>
            <w:tcBorders>
              <w:right w:val="single" w:sz="4" w:space="0" w:color="auto"/>
            </w:tcBorders>
          </w:tcPr>
          <w:p w14:paraId="411CD6AE" w14:textId="77777777" w:rsidR="00E073E8" w:rsidRPr="00DF1914" w:rsidRDefault="00E073E8">
            <w:pPr>
              <w:rPr>
                <w:rFonts w:ascii="Arial Narrow" w:hAnsi="Arial Narrow"/>
                <w:bCs/>
                <w:snapToGrid w:val="0"/>
                <w:sz w:val="20"/>
                <w:szCs w:val="20"/>
              </w:rPr>
            </w:pPr>
            <w:r w:rsidRPr="00DF1914">
              <w:rPr>
                <w:rFonts w:ascii="Arial Narrow" w:hAnsi="Arial Narrow"/>
                <w:bCs/>
                <w:snapToGrid w:val="0"/>
                <w:sz w:val="20"/>
                <w:szCs w:val="20"/>
              </w:rPr>
              <w:t>Discontinuation of study treatment due to AEs</w:t>
            </w:r>
            <w:r w:rsidRPr="00DF1914">
              <w:rPr>
                <w:rFonts w:ascii="Arial Narrow" w:hAnsi="Arial Narrow"/>
                <w:sz w:val="20"/>
                <w:szCs w:val="20"/>
              </w:rPr>
              <w:t>, n (%)</w:t>
            </w:r>
          </w:p>
        </w:tc>
        <w:tc>
          <w:tcPr>
            <w:tcW w:w="691" w:type="pct"/>
            <w:tcBorders>
              <w:top w:val="nil"/>
              <w:left w:val="single" w:sz="4" w:space="0" w:color="auto"/>
              <w:bottom w:val="nil"/>
              <w:right w:val="single" w:sz="4" w:space="0" w:color="auto"/>
            </w:tcBorders>
          </w:tcPr>
          <w:p w14:paraId="0A64A4C2"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 xml:space="preserve">112 (21.1) </w:t>
            </w:r>
          </w:p>
        </w:tc>
        <w:tc>
          <w:tcPr>
            <w:tcW w:w="691" w:type="pct"/>
            <w:tcBorders>
              <w:top w:val="nil"/>
              <w:left w:val="single" w:sz="4" w:space="0" w:color="auto"/>
              <w:bottom w:val="nil"/>
              <w:right w:val="single" w:sz="4" w:space="0" w:color="auto"/>
            </w:tcBorders>
          </w:tcPr>
          <w:p w14:paraId="52116E42" w14:textId="77777777" w:rsidR="00E073E8" w:rsidRPr="00DF1914" w:rsidRDefault="00E073E8">
            <w:pPr>
              <w:jc w:val="center"/>
              <w:rPr>
                <w:rFonts w:ascii="Arial Narrow" w:hAnsi="Arial Narrow"/>
                <w:bCs/>
                <w:snapToGrid w:val="0"/>
                <w:sz w:val="20"/>
                <w:szCs w:val="20"/>
              </w:rPr>
            </w:pPr>
            <w:r w:rsidRPr="00DF1914">
              <w:rPr>
                <w:rFonts w:ascii="Arial Narrow" w:hAnsi="Arial Narrow"/>
                <w:bCs/>
                <w:sz w:val="20"/>
                <w:szCs w:val="20"/>
              </w:rPr>
              <w:t xml:space="preserve">80 (15.2) </w:t>
            </w:r>
          </w:p>
        </w:tc>
        <w:tc>
          <w:tcPr>
            <w:tcW w:w="694" w:type="pct"/>
            <w:tcBorders>
              <w:left w:val="single" w:sz="4" w:space="0" w:color="auto"/>
              <w:right w:val="single" w:sz="4" w:space="0" w:color="auto"/>
            </w:tcBorders>
          </w:tcPr>
          <w:p w14:paraId="01BFB445" w14:textId="77777777" w:rsidR="00E073E8" w:rsidRPr="00DF1914" w:rsidRDefault="00E073E8">
            <w:pPr>
              <w:jc w:val="center"/>
              <w:rPr>
                <w:rFonts w:ascii="Arial Narrow" w:hAnsi="Arial Narrow"/>
                <w:bCs/>
                <w:snapToGrid w:val="0"/>
                <w:sz w:val="20"/>
                <w:szCs w:val="20"/>
              </w:rPr>
            </w:pPr>
            <w:r w:rsidRPr="00DF1914">
              <w:rPr>
                <w:rFonts w:ascii="Arial Narrow" w:hAnsi="Arial Narrow"/>
                <w:bCs/>
                <w:snapToGrid w:val="0"/>
                <w:sz w:val="20"/>
                <w:szCs w:val="20"/>
              </w:rPr>
              <w:t>28 (18.1)</w:t>
            </w:r>
          </w:p>
        </w:tc>
        <w:tc>
          <w:tcPr>
            <w:tcW w:w="694" w:type="pct"/>
            <w:tcBorders>
              <w:left w:val="single" w:sz="4" w:space="0" w:color="auto"/>
            </w:tcBorders>
          </w:tcPr>
          <w:p w14:paraId="327369D3" w14:textId="77777777" w:rsidR="00E073E8" w:rsidRPr="00DF1914" w:rsidRDefault="00E073E8">
            <w:pPr>
              <w:jc w:val="center"/>
              <w:rPr>
                <w:rFonts w:ascii="Arial Narrow" w:hAnsi="Arial Narrow"/>
                <w:bCs/>
                <w:snapToGrid w:val="0"/>
                <w:sz w:val="20"/>
                <w:szCs w:val="20"/>
              </w:rPr>
            </w:pPr>
            <w:r w:rsidRPr="00DF1914">
              <w:rPr>
                <w:rFonts w:ascii="Arial Narrow" w:hAnsi="Arial Narrow"/>
                <w:bCs/>
                <w:snapToGrid w:val="0"/>
                <w:sz w:val="20"/>
                <w:szCs w:val="20"/>
              </w:rPr>
              <w:t>17 (10.9)</w:t>
            </w:r>
          </w:p>
        </w:tc>
      </w:tr>
      <w:tr w:rsidR="00E073E8" w:rsidRPr="00DF1914" w14:paraId="7ED191AB" w14:textId="77777777" w:rsidTr="00085F95">
        <w:trPr>
          <w:trHeight w:val="70"/>
        </w:trPr>
        <w:tc>
          <w:tcPr>
            <w:tcW w:w="2231" w:type="pct"/>
            <w:tcBorders>
              <w:right w:val="single" w:sz="4" w:space="0" w:color="auto"/>
            </w:tcBorders>
          </w:tcPr>
          <w:p w14:paraId="3873FEE7" w14:textId="77777777" w:rsidR="00E073E8" w:rsidRPr="00DF1914" w:rsidRDefault="00E073E8">
            <w:pPr>
              <w:rPr>
                <w:rFonts w:ascii="Arial Narrow" w:hAnsi="Arial Narrow"/>
                <w:bCs/>
                <w:snapToGrid w:val="0"/>
                <w:sz w:val="20"/>
                <w:szCs w:val="20"/>
              </w:rPr>
            </w:pPr>
            <w:r w:rsidRPr="00DF1914">
              <w:rPr>
                <w:rFonts w:ascii="Arial Narrow" w:hAnsi="Arial Narrow"/>
                <w:bCs/>
                <w:snapToGrid w:val="0"/>
                <w:sz w:val="20"/>
                <w:szCs w:val="20"/>
              </w:rPr>
              <w:t>Death, n (%)</w:t>
            </w:r>
          </w:p>
        </w:tc>
        <w:tc>
          <w:tcPr>
            <w:tcW w:w="691" w:type="pct"/>
            <w:tcBorders>
              <w:top w:val="nil"/>
              <w:left w:val="single" w:sz="4" w:space="0" w:color="auto"/>
              <w:bottom w:val="single" w:sz="4" w:space="0" w:color="auto"/>
              <w:right w:val="single" w:sz="4" w:space="0" w:color="auto"/>
            </w:tcBorders>
          </w:tcPr>
          <w:p w14:paraId="5506B7D6" w14:textId="77777777" w:rsidR="00E073E8" w:rsidRPr="00DF1914" w:rsidRDefault="00E073E8">
            <w:pPr>
              <w:jc w:val="center"/>
              <w:rPr>
                <w:rFonts w:ascii="Arial Narrow" w:hAnsi="Arial Narrow"/>
                <w:bCs/>
                <w:sz w:val="20"/>
                <w:szCs w:val="20"/>
              </w:rPr>
            </w:pPr>
            <w:r w:rsidRPr="00DF1914">
              <w:rPr>
                <w:rFonts w:ascii="Arial Narrow" w:hAnsi="Arial Narrow"/>
                <w:sz w:val="20"/>
                <w:szCs w:val="20"/>
              </w:rPr>
              <w:t xml:space="preserve">6 (1.1) </w:t>
            </w:r>
          </w:p>
        </w:tc>
        <w:tc>
          <w:tcPr>
            <w:tcW w:w="691" w:type="pct"/>
            <w:tcBorders>
              <w:top w:val="nil"/>
              <w:left w:val="single" w:sz="4" w:space="0" w:color="auto"/>
              <w:bottom w:val="single" w:sz="4" w:space="0" w:color="auto"/>
              <w:right w:val="single" w:sz="4" w:space="0" w:color="auto"/>
            </w:tcBorders>
          </w:tcPr>
          <w:p w14:paraId="7DC7775D" w14:textId="77777777" w:rsidR="00E073E8" w:rsidRPr="00DF1914" w:rsidRDefault="00E073E8">
            <w:pPr>
              <w:jc w:val="center"/>
              <w:rPr>
                <w:rFonts w:ascii="Arial Narrow" w:hAnsi="Arial Narrow"/>
                <w:bCs/>
                <w:sz w:val="20"/>
                <w:szCs w:val="20"/>
              </w:rPr>
            </w:pPr>
            <w:r w:rsidRPr="00DF1914">
              <w:rPr>
                <w:rFonts w:ascii="Arial Narrow" w:hAnsi="Arial Narrow"/>
                <w:sz w:val="20"/>
                <w:szCs w:val="20"/>
              </w:rPr>
              <w:t xml:space="preserve">10 (1.9) </w:t>
            </w:r>
          </w:p>
        </w:tc>
        <w:tc>
          <w:tcPr>
            <w:tcW w:w="694" w:type="pct"/>
            <w:tcBorders>
              <w:left w:val="single" w:sz="4" w:space="0" w:color="auto"/>
              <w:bottom w:val="single" w:sz="4" w:space="0" w:color="auto"/>
              <w:right w:val="single" w:sz="4" w:space="0" w:color="auto"/>
            </w:tcBorders>
          </w:tcPr>
          <w:p w14:paraId="683B16D4" w14:textId="012F5F3C" w:rsidR="00E073E8" w:rsidRPr="00DF1914" w:rsidRDefault="00E073E8">
            <w:pPr>
              <w:jc w:val="center"/>
              <w:rPr>
                <w:rFonts w:ascii="Arial Narrow" w:hAnsi="Arial Narrow"/>
                <w:bCs/>
                <w:snapToGrid w:val="0"/>
                <w:sz w:val="20"/>
                <w:szCs w:val="20"/>
              </w:rPr>
            </w:pPr>
            <w:r w:rsidRPr="00DF1914">
              <w:rPr>
                <w:rFonts w:ascii="Arial Narrow" w:hAnsi="Arial Narrow"/>
                <w:sz w:val="20"/>
                <w:szCs w:val="20"/>
              </w:rPr>
              <w:t xml:space="preserve">95 (27.1) </w:t>
            </w:r>
          </w:p>
        </w:tc>
        <w:tc>
          <w:tcPr>
            <w:tcW w:w="694" w:type="pct"/>
            <w:tcBorders>
              <w:left w:val="single" w:sz="4" w:space="0" w:color="auto"/>
            </w:tcBorders>
          </w:tcPr>
          <w:p w14:paraId="3DE7C085" w14:textId="11653566" w:rsidR="00E073E8" w:rsidRPr="00DF1914" w:rsidRDefault="00E073E8">
            <w:pPr>
              <w:jc w:val="center"/>
              <w:rPr>
                <w:rFonts w:ascii="Arial Narrow" w:hAnsi="Arial Narrow"/>
                <w:bCs/>
                <w:snapToGrid w:val="0"/>
                <w:sz w:val="20"/>
                <w:szCs w:val="20"/>
              </w:rPr>
            </w:pPr>
            <w:r w:rsidRPr="00DF1914">
              <w:rPr>
                <w:rFonts w:ascii="Arial Narrow" w:hAnsi="Arial Narrow"/>
                <w:sz w:val="20"/>
                <w:szCs w:val="20"/>
              </w:rPr>
              <w:t xml:space="preserve">107 (30.7) </w:t>
            </w:r>
          </w:p>
        </w:tc>
      </w:tr>
    </w:tbl>
    <w:p w14:paraId="48CE47C7" w14:textId="77777777" w:rsidR="00E073E8" w:rsidRPr="00DF1914" w:rsidRDefault="00E073E8" w:rsidP="00E073E8">
      <w:pPr>
        <w:pStyle w:val="TableFigureFooter"/>
      </w:pPr>
      <w:r w:rsidRPr="00DF1914">
        <w:t>Source: Table 2-34, p91 of the submission; Table 44, pp156-158 of the NIAGARA Clinical Study Report; Table 9, p23 of the nivolumab PSD (November 2023 PBAC Meeting with March 2024 Addendum)</w:t>
      </w:r>
    </w:p>
    <w:p w14:paraId="2CA48479" w14:textId="416E05DD" w:rsidR="00E073E8" w:rsidRPr="00D47930" w:rsidRDefault="00E073E8" w:rsidP="00E073E8">
      <w:pPr>
        <w:pStyle w:val="TableFigureFooter"/>
        <w:rPr>
          <w:color w:val="000000" w:themeColor="text1"/>
        </w:rPr>
      </w:pPr>
      <w:r w:rsidRPr="00DF1914">
        <w:t xml:space="preserve">AE = adverse event; DURVA = durvalumab; GC = gemcitabine + cisplatin; </w:t>
      </w:r>
      <w:r>
        <w:rPr>
          <w:szCs w:val="18"/>
        </w:rPr>
        <w:t xml:space="preserve">N = number of patients; </w:t>
      </w:r>
      <w:r w:rsidRPr="00DF1914">
        <w:t xml:space="preserve">NAC = neoadjuvant chemotherapy; </w:t>
      </w:r>
      <w:r w:rsidR="00595764">
        <w:t xml:space="preserve">PBO = placebo; </w:t>
      </w:r>
      <w:r w:rsidRPr="00DF1914">
        <w:t>PSD = public summary document</w:t>
      </w:r>
      <w:r>
        <w:t>.</w:t>
      </w:r>
    </w:p>
    <w:p w14:paraId="3E7ACE01" w14:textId="0CDEB057" w:rsidR="00E073E8" w:rsidRDefault="00E073E8" w:rsidP="00E073E8">
      <w:pPr>
        <w:pStyle w:val="Caption"/>
      </w:pPr>
      <w:bookmarkStart w:id="66" w:name="_Ref207474096"/>
      <w:r>
        <w:lastRenderedPageBreak/>
        <w:t xml:space="preserve">Table </w:t>
      </w:r>
      <w:r w:rsidR="0077772B">
        <w:fldChar w:fldCharType="begin"/>
      </w:r>
      <w:r w:rsidR="0077772B">
        <w:instrText xml:space="preserve"> SEQ Table \* ARABIC </w:instrText>
      </w:r>
      <w:r w:rsidR="0077772B">
        <w:fldChar w:fldCharType="separate"/>
      </w:r>
      <w:r w:rsidR="005731FF">
        <w:rPr>
          <w:noProof/>
        </w:rPr>
        <w:t>11</w:t>
      </w:r>
      <w:r w:rsidR="0077772B">
        <w:rPr>
          <w:noProof/>
        </w:rPr>
        <w:fldChar w:fldCharType="end"/>
      </w:r>
      <w:bookmarkEnd w:id="66"/>
      <w:r>
        <w:t xml:space="preserve">: </w:t>
      </w:r>
      <w:r w:rsidRPr="00DF1914">
        <w:t>Study drug-related AEs in NIAGARA versus CM274 in patients who had received NAC</w:t>
      </w:r>
    </w:p>
    <w:tbl>
      <w:tblPr>
        <w:tblStyle w:val="AZ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Table 11: Study drug-related AEs in NIAGARA versus CM274 in patients who had received NAC"/>
      </w:tblPr>
      <w:tblGrid>
        <w:gridCol w:w="3964"/>
        <w:gridCol w:w="1684"/>
        <w:gridCol w:w="1684"/>
        <w:gridCol w:w="1685"/>
      </w:tblGrid>
      <w:tr w:rsidR="002D1E25" w:rsidRPr="00DF1914" w14:paraId="6B51BCD3" w14:textId="77777777" w:rsidTr="00D65594">
        <w:trPr>
          <w:cnfStyle w:val="100000000000" w:firstRow="1" w:lastRow="0" w:firstColumn="0" w:lastColumn="0" w:oddVBand="0" w:evenVBand="0" w:oddHBand="0" w:evenHBand="0" w:firstRowFirstColumn="0" w:firstRowLastColumn="0" w:lastRowFirstColumn="0" w:lastRowLastColumn="0"/>
          <w:trHeight w:val="62"/>
        </w:trPr>
        <w:tc>
          <w:tcPr>
            <w:tcW w:w="3964" w:type="dxa"/>
            <w:vMerge w:val="restart"/>
            <w:tcBorders>
              <w:top w:val="single" w:sz="4" w:space="0" w:color="auto"/>
              <w:right w:val="single" w:sz="4" w:space="0" w:color="auto"/>
            </w:tcBorders>
          </w:tcPr>
          <w:p w14:paraId="083DD11C" w14:textId="77777777" w:rsidR="00E073E8" w:rsidRPr="00DF1914" w:rsidRDefault="00E073E8">
            <w:pPr>
              <w:keepNext/>
              <w:keepLines/>
              <w:rPr>
                <w:rFonts w:ascii="Arial Narrow" w:eastAsiaTheme="majorEastAsia" w:hAnsi="Arial Narrow"/>
                <w:bCs/>
                <w:sz w:val="20"/>
                <w:szCs w:val="20"/>
                <w:lang w:bidi="en-US"/>
              </w:rPr>
            </w:pPr>
          </w:p>
        </w:tc>
        <w:tc>
          <w:tcPr>
            <w:tcW w:w="3368" w:type="dxa"/>
            <w:gridSpan w:val="2"/>
            <w:tcBorders>
              <w:top w:val="single" w:sz="4" w:space="0" w:color="auto"/>
              <w:left w:val="single" w:sz="4" w:space="0" w:color="auto"/>
              <w:bottom w:val="single" w:sz="4" w:space="0" w:color="auto"/>
              <w:right w:val="single" w:sz="4" w:space="0" w:color="auto"/>
            </w:tcBorders>
          </w:tcPr>
          <w:p w14:paraId="468BE35B" w14:textId="5D903718" w:rsidR="00E073E8" w:rsidRPr="00670D5B" w:rsidRDefault="00D506F0">
            <w:pPr>
              <w:keepNext/>
              <w:keepLines/>
              <w:jc w:val="center"/>
              <w:rPr>
                <w:rFonts w:ascii="Arial Narrow" w:eastAsiaTheme="majorEastAsia" w:hAnsi="Arial Narrow"/>
                <w:bCs/>
                <w:sz w:val="20"/>
                <w:szCs w:val="20"/>
                <w:lang w:bidi="en-US"/>
              </w:rPr>
            </w:pPr>
            <w:r>
              <w:rPr>
                <w:rFonts w:ascii="Arial Narrow" w:eastAsiaTheme="majorEastAsia" w:hAnsi="Arial Narrow"/>
                <w:bCs/>
                <w:sz w:val="20"/>
                <w:szCs w:val="20"/>
                <w:lang w:bidi="en-US"/>
              </w:rPr>
              <w:t>D</w:t>
            </w:r>
            <w:r w:rsidR="00430804">
              <w:rPr>
                <w:rFonts w:ascii="Arial Narrow" w:eastAsiaTheme="majorEastAsia" w:hAnsi="Arial Narrow"/>
                <w:bCs/>
                <w:sz w:val="20"/>
                <w:szCs w:val="20"/>
                <w:lang w:bidi="en-US"/>
              </w:rPr>
              <w:t>urvalumab</w:t>
            </w:r>
            <w:r w:rsidR="00E073E8" w:rsidRPr="00670D5B">
              <w:rPr>
                <w:rFonts w:ascii="Arial Narrow" w:eastAsiaTheme="majorEastAsia" w:hAnsi="Arial Narrow"/>
                <w:bCs/>
                <w:sz w:val="20"/>
                <w:szCs w:val="20"/>
                <w:lang w:bidi="en-US"/>
              </w:rPr>
              <w:t xml:space="preserve"> + GC </w:t>
            </w:r>
          </w:p>
        </w:tc>
        <w:tc>
          <w:tcPr>
            <w:tcW w:w="1685" w:type="dxa"/>
            <w:tcBorders>
              <w:top w:val="single" w:sz="4" w:space="0" w:color="auto"/>
              <w:left w:val="single" w:sz="4" w:space="0" w:color="auto"/>
              <w:bottom w:val="single" w:sz="4" w:space="0" w:color="auto"/>
            </w:tcBorders>
          </w:tcPr>
          <w:p w14:paraId="7F9DFF22" w14:textId="77777777" w:rsidR="00E073E8" w:rsidRPr="00670D5B" w:rsidRDefault="00E073E8">
            <w:pPr>
              <w:keepNext/>
              <w:keepLines/>
              <w:jc w:val="center"/>
              <w:rPr>
                <w:rFonts w:ascii="Arial Narrow" w:eastAsiaTheme="majorEastAsia" w:hAnsi="Arial Narrow"/>
                <w:bCs/>
                <w:sz w:val="20"/>
                <w:szCs w:val="20"/>
                <w:lang w:bidi="en-US"/>
              </w:rPr>
            </w:pPr>
            <w:r w:rsidRPr="00670D5B">
              <w:rPr>
                <w:rFonts w:ascii="Arial Narrow" w:eastAsiaTheme="majorEastAsia" w:hAnsi="Arial Narrow"/>
                <w:bCs/>
                <w:sz w:val="20"/>
                <w:szCs w:val="20"/>
                <w:lang w:bidi="en-US"/>
              </w:rPr>
              <w:t>CM274</w:t>
            </w:r>
          </w:p>
        </w:tc>
      </w:tr>
      <w:tr w:rsidR="00E073E8" w:rsidRPr="00DF1914" w14:paraId="6F913A2F" w14:textId="77777777" w:rsidTr="00D65594">
        <w:tc>
          <w:tcPr>
            <w:tcW w:w="3964" w:type="dxa"/>
            <w:vMerge/>
            <w:tcBorders>
              <w:bottom w:val="single" w:sz="4" w:space="0" w:color="auto"/>
              <w:right w:val="single" w:sz="4" w:space="0" w:color="auto"/>
            </w:tcBorders>
          </w:tcPr>
          <w:p w14:paraId="39C5E60F" w14:textId="77777777" w:rsidR="00E073E8" w:rsidRPr="00DF1914" w:rsidRDefault="00E073E8">
            <w:pPr>
              <w:keepNext/>
              <w:keepLines/>
              <w:rPr>
                <w:rFonts w:ascii="Arial Narrow" w:eastAsiaTheme="majorEastAsia" w:hAnsi="Arial Narrow"/>
                <w:bCs/>
                <w:sz w:val="20"/>
                <w:szCs w:val="20"/>
                <w:lang w:bidi="en-US"/>
              </w:rPr>
            </w:pPr>
          </w:p>
        </w:tc>
        <w:tc>
          <w:tcPr>
            <w:tcW w:w="1684" w:type="dxa"/>
            <w:tcBorders>
              <w:top w:val="single" w:sz="4" w:space="0" w:color="auto"/>
              <w:left w:val="single" w:sz="4" w:space="0" w:color="auto"/>
              <w:bottom w:val="single" w:sz="4" w:space="0" w:color="auto"/>
              <w:right w:val="single" w:sz="4" w:space="0" w:color="auto"/>
            </w:tcBorders>
          </w:tcPr>
          <w:p w14:paraId="7817AD94" w14:textId="77777777" w:rsidR="00E073E8" w:rsidRPr="00843FC8" w:rsidRDefault="00E073E8">
            <w:pPr>
              <w:keepNext/>
              <w:keepLines/>
              <w:jc w:val="center"/>
              <w:rPr>
                <w:rFonts w:ascii="Arial Narrow" w:eastAsiaTheme="majorEastAsia" w:hAnsi="Arial Narrow"/>
                <w:b/>
                <w:sz w:val="20"/>
                <w:szCs w:val="20"/>
                <w:lang w:bidi="en-US"/>
              </w:rPr>
            </w:pPr>
            <w:r w:rsidRPr="00843FC8">
              <w:rPr>
                <w:rFonts w:ascii="Arial Narrow" w:eastAsiaTheme="majorEastAsia" w:hAnsi="Arial Narrow"/>
                <w:b/>
                <w:sz w:val="20"/>
                <w:szCs w:val="20"/>
                <w:lang w:bidi="en-US"/>
              </w:rPr>
              <w:t>Overall</w:t>
            </w:r>
          </w:p>
          <w:p w14:paraId="3F6B08B1" w14:textId="77777777" w:rsidR="00E073E8" w:rsidRPr="00DF1914" w:rsidRDefault="00E073E8">
            <w:pPr>
              <w:keepNext/>
              <w:keepLines/>
              <w:jc w:val="center"/>
              <w:rPr>
                <w:rFonts w:ascii="Arial Narrow" w:eastAsiaTheme="majorEastAsia" w:hAnsi="Arial Narrow"/>
                <w:bCs/>
                <w:sz w:val="20"/>
                <w:szCs w:val="20"/>
                <w:lang w:bidi="en-US"/>
              </w:rPr>
            </w:pPr>
            <w:r w:rsidRPr="00843FC8">
              <w:rPr>
                <w:rFonts w:ascii="Arial Narrow" w:eastAsiaTheme="majorEastAsia" w:hAnsi="Arial Narrow"/>
                <w:b/>
                <w:sz w:val="20"/>
                <w:szCs w:val="20"/>
                <w:lang w:bidi="en-US"/>
              </w:rPr>
              <w:t>N = 530</w:t>
            </w:r>
          </w:p>
        </w:tc>
        <w:tc>
          <w:tcPr>
            <w:tcW w:w="1684" w:type="dxa"/>
            <w:tcBorders>
              <w:top w:val="single" w:sz="4" w:space="0" w:color="auto"/>
              <w:left w:val="single" w:sz="4" w:space="0" w:color="auto"/>
              <w:bottom w:val="single" w:sz="4" w:space="0" w:color="auto"/>
              <w:right w:val="single" w:sz="4" w:space="0" w:color="auto"/>
            </w:tcBorders>
          </w:tcPr>
          <w:p w14:paraId="083946F2" w14:textId="77777777" w:rsidR="00E073E8" w:rsidRPr="00670D5B" w:rsidRDefault="00E073E8">
            <w:pPr>
              <w:keepNext/>
              <w:keepLines/>
              <w:jc w:val="center"/>
              <w:rPr>
                <w:rFonts w:ascii="Arial Narrow" w:eastAsiaTheme="majorEastAsia" w:hAnsi="Arial Narrow"/>
                <w:b/>
                <w:bCs/>
                <w:sz w:val="20"/>
                <w:szCs w:val="20"/>
                <w:lang w:bidi="en-US"/>
              </w:rPr>
            </w:pPr>
            <w:r w:rsidRPr="00670D5B">
              <w:rPr>
                <w:rFonts w:ascii="Arial Narrow" w:eastAsiaTheme="majorEastAsia" w:hAnsi="Arial Narrow"/>
                <w:b/>
                <w:bCs/>
                <w:sz w:val="20"/>
                <w:szCs w:val="20"/>
                <w:lang w:bidi="en-US"/>
              </w:rPr>
              <w:t xml:space="preserve">Adjuvant </w:t>
            </w:r>
            <w:r>
              <w:rPr>
                <w:rFonts w:ascii="Arial Narrow" w:eastAsiaTheme="majorEastAsia" w:hAnsi="Arial Narrow"/>
                <w:b/>
                <w:bCs/>
                <w:sz w:val="20"/>
                <w:szCs w:val="20"/>
                <w:lang w:bidi="en-US"/>
              </w:rPr>
              <w:t>durvalumab</w:t>
            </w:r>
          </w:p>
          <w:p w14:paraId="186360D2" w14:textId="77777777" w:rsidR="00E073E8" w:rsidRPr="00670D5B" w:rsidRDefault="00E073E8">
            <w:pPr>
              <w:keepNext/>
              <w:keepLines/>
              <w:jc w:val="center"/>
              <w:rPr>
                <w:rFonts w:ascii="Arial Narrow" w:eastAsiaTheme="majorEastAsia" w:hAnsi="Arial Narrow"/>
                <w:b/>
                <w:bCs/>
                <w:sz w:val="20"/>
                <w:szCs w:val="20"/>
                <w:lang w:bidi="en-US"/>
              </w:rPr>
            </w:pPr>
            <w:r w:rsidRPr="00670D5B">
              <w:rPr>
                <w:rFonts w:ascii="Arial Narrow" w:eastAsiaTheme="majorEastAsia" w:hAnsi="Arial Narrow"/>
                <w:b/>
                <w:bCs/>
                <w:sz w:val="20"/>
                <w:szCs w:val="20"/>
                <w:lang w:bidi="en-US"/>
              </w:rPr>
              <w:t>N = 383</w:t>
            </w:r>
          </w:p>
        </w:tc>
        <w:tc>
          <w:tcPr>
            <w:tcW w:w="1685" w:type="dxa"/>
            <w:tcBorders>
              <w:top w:val="single" w:sz="4" w:space="0" w:color="auto"/>
              <w:left w:val="single" w:sz="4" w:space="0" w:color="auto"/>
              <w:bottom w:val="single" w:sz="4" w:space="0" w:color="auto"/>
            </w:tcBorders>
          </w:tcPr>
          <w:p w14:paraId="378626E4" w14:textId="77777777" w:rsidR="00E073E8" w:rsidRPr="00670D5B" w:rsidRDefault="00E073E8">
            <w:pPr>
              <w:keepNext/>
              <w:keepLines/>
              <w:jc w:val="center"/>
              <w:rPr>
                <w:rFonts w:ascii="Arial Narrow" w:eastAsiaTheme="majorEastAsia" w:hAnsi="Arial Narrow"/>
                <w:b/>
                <w:bCs/>
                <w:sz w:val="20"/>
                <w:szCs w:val="20"/>
                <w:lang w:bidi="en-US"/>
              </w:rPr>
            </w:pPr>
            <w:r w:rsidRPr="00670D5B">
              <w:rPr>
                <w:rFonts w:ascii="Arial Narrow" w:eastAsiaTheme="majorEastAsia" w:hAnsi="Arial Narrow"/>
                <w:b/>
                <w:bCs/>
                <w:sz w:val="20"/>
                <w:szCs w:val="20"/>
                <w:lang w:bidi="en-US"/>
              </w:rPr>
              <w:t xml:space="preserve">Adjuvant </w:t>
            </w:r>
            <w:r>
              <w:rPr>
                <w:rFonts w:ascii="Arial Narrow" w:eastAsiaTheme="majorEastAsia" w:hAnsi="Arial Narrow"/>
                <w:b/>
                <w:bCs/>
                <w:sz w:val="20"/>
                <w:szCs w:val="20"/>
                <w:lang w:bidi="en-US"/>
              </w:rPr>
              <w:t>nivolumab</w:t>
            </w:r>
          </w:p>
          <w:p w14:paraId="308EC10F" w14:textId="77777777" w:rsidR="00E073E8" w:rsidRPr="00670D5B" w:rsidRDefault="00E073E8">
            <w:pPr>
              <w:keepNext/>
              <w:keepLines/>
              <w:jc w:val="center"/>
              <w:rPr>
                <w:rFonts w:ascii="Arial Narrow" w:eastAsiaTheme="majorEastAsia" w:hAnsi="Arial Narrow"/>
                <w:b/>
                <w:bCs/>
                <w:sz w:val="20"/>
                <w:szCs w:val="20"/>
                <w:lang w:bidi="en-US"/>
              </w:rPr>
            </w:pPr>
            <w:r w:rsidRPr="00670D5B">
              <w:rPr>
                <w:rFonts w:ascii="Arial Narrow" w:eastAsiaTheme="majorEastAsia" w:hAnsi="Arial Narrow"/>
                <w:b/>
                <w:bCs/>
                <w:sz w:val="20"/>
                <w:szCs w:val="20"/>
                <w:lang w:bidi="en-US"/>
              </w:rPr>
              <w:t>N = 155</w:t>
            </w:r>
          </w:p>
        </w:tc>
      </w:tr>
      <w:tr w:rsidR="00E073E8" w:rsidRPr="00DF1914" w14:paraId="365986CC" w14:textId="77777777" w:rsidTr="00D65594">
        <w:trPr>
          <w:trHeight w:val="237"/>
        </w:trPr>
        <w:tc>
          <w:tcPr>
            <w:tcW w:w="3964" w:type="dxa"/>
            <w:tcBorders>
              <w:top w:val="single" w:sz="4" w:space="0" w:color="auto"/>
              <w:right w:val="single" w:sz="4" w:space="0" w:color="auto"/>
            </w:tcBorders>
          </w:tcPr>
          <w:p w14:paraId="3171FFD5" w14:textId="77777777" w:rsidR="00E073E8" w:rsidRPr="00DF1914" w:rsidRDefault="00E073E8">
            <w:pPr>
              <w:keepNext/>
              <w:keepLines/>
              <w:rPr>
                <w:rFonts w:ascii="Arial Narrow" w:hAnsi="Arial Narrow"/>
                <w:bCs/>
                <w:snapToGrid w:val="0"/>
                <w:sz w:val="20"/>
                <w:szCs w:val="20"/>
              </w:rPr>
            </w:pPr>
            <w:r w:rsidRPr="00DF1914">
              <w:rPr>
                <w:rFonts w:ascii="Arial Narrow" w:hAnsi="Arial Narrow"/>
                <w:bCs/>
                <w:snapToGrid w:val="0"/>
                <w:sz w:val="20"/>
                <w:szCs w:val="20"/>
              </w:rPr>
              <w:t>AEs (any grade), n (%)</w:t>
            </w:r>
          </w:p>
        </w:tc>
        <w:tc>
          <w:tcPr>
            <w:tcW w:w="1684" w:type="dxa"/>
            <w:tcBorders>
              <w:top w:val="single" w:sz="4" w:space="0" w:color="auto"/>
              <w:left w:val="single" w:sz="4" w:space="0" w:color="auto"/>
              <w:bottom w:val="nil"/>
              <w:right w:val="single" w:sz="4" w:space="0" w:color="auto"/>
            </w:tcBorders>
          </w:tcPr>
          <w:p w14:paraId="7D705170"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328 (61.9)</w:t>
            </w:r>
          </w:p>
        </w:tc>
        <w:tc>
          <w:tcPr>
            <w:tcW w:w="1684" w:type="dxa"/>
            <w:tcBorders>
              <w:top w:val="single" w:sz="4" w:space="0" w:color="auto"/>
              <w:left w:val="single" w:sz="4" w:space="0" w:color="auto"/>
              <w:right w:val="single" w:sz="4" w:space="0" w:color="auto"/>
            </w:tcBorders>
          </w:tcPr>
          <w:p w14:paraId="58F12554"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napToGrid w:val="0"/>
                <w:sz w:val="20"/>
                <w:szCs w:val="20"/>
              </w:rPr>
              <w:t>148 (38.6)</w:t>
            </w:r>
          </w:p>
        </w:tc>
        <w:tc>
          <w:tcPr>
            <w:tcW w:w="1685" w:type="dxa"/>
            <w:tcBorders>
              <w:top w:val="single" w:sz="4" w:space="0" w:color="auto"/>
              <w:left w:val="single" w:sz="4" w:space="0" w:color="auto"/>
              <w:bottom w:val="nil"/>
            </w:tcBorders>
          </w:tcPr>
          <w:p w14:paraId="3631FA3B"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127 (81.9)</w:t>
            </w:r>
          </w:p>
        </w:tc>
      </w:tr>
      <w:tr w:rsidR="00E073E8" w:rsidRPr="00DF1914" w14:paraId="34FC2D6A" w14:textId="77777777" w:rsidTr="003A5039">
        <w:trPr>
          <w:trHeight w:val="225"/>
        </w:trPr>
        <w:tc>
          <w:tcPr>
            <w:tcW w:w="3964" w:type="dxa"/>
            <w:tcBorders>
              <w:right w:val="single" w:sz="4" w:space="0" w:color="auto"/>
            </w:tcBorders>
          </w:tcPr>
          <w:p w14:paraId="23950006" w14:textId="77777777" w:rsidR="00E073E8" w:rsidRPr="00DF1914" w:rsidRDefault="00E073E8">
            <w:pPr>
              <w:keepNext/>
              <w:keepLines/>
              <w:rPr>
                <w:rFonts w:ascii="Arial Narrow" w:hAnsi="Arial Narrow"/>
                <w:bCs/>
                <w:snapToGrid w:val="0"/>
                <w:sz w:val="20"/>
                <w:szCs w:val="20"/>
              </w:rPr>
            </w:pPr>
            <w:r w:rsidRPr="00DF1914">
              <w:rPr>
                <w:rFonts w:ascii="Arial Narrow" w:hAnsi="Arial Narrow"/>
                <w:bCs/>
                <w:snapToGrid w:val="0"/>
                <w:sz w:val="20"/>
                <w:szCs w:val="20"/>
              </w:rPr>
              <w:t>Grade ≥ 3 AEs, n (%)</w:t>
            </w:r>
          </w:p>
        </w:tc>
        <w:tc>
          <w:tcPr>
            <w:tcW w:w="1684" w:type="dxa"/>
            <w:tcBorders>
              <w:top w:val="nil"/>
              <w:left w:val="single" w:sz="4" w:space="0" w:color="auto"/>
              <w:bottom w:val="nil"/>
              <w:right w:val="single" w:sz="4" w:space="0" w:color="auto"/>
            </w:tcBorders>
          </w:tcPr>
          <w:p w14:paraId="262EBDB3"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61 (11.5)</w:t>
            </w:r>
          </w:p>
        </w:tc>
        <w:tc>
          <w:tcPr>
            <w:tcW w:w="1684" w:type="dxa"/>
            <w:tcBorders>
              <w:left w:val="single" w:sz="4" w:space="0" w:color="auto"/>
              <w:right w:val="single" w:sz="4" w:space="0" w:color="auto"/>
            </w:tcBorders>
          </w:tcPr>
          <w:p w14:paraId="6A30357F"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napToGrid w:val="0"/>
                <w:sz w:val="20"/>
                <w:szCs w:val="20"/>
              </w:rPr>
              <w:t>17 (4.4)</w:t>
            </w:r>
          </w:p>
        </w:tc>
        <w:tc>
          <w:tcPr>
            <w:tcW w:w="1685" w:type="dxa"/>
            <w:tcBorders>
              <w:top w:val="nil"/>
              <w:left w:val="single" w:sz="4" w:space="0" w:color="auto"/>
              <w:bottom w:val="nil"/>
            </w:tcBorders>
          </w:tcPr>
          <w:p w14:paraId="56812F30"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23 (14.8)</w:t>
            </w:r>
          </w:p>
        </w:tc>
      </w:tr>
      <w:tr w:rsidR="00E073E8" w:rsidRPr="00DF1914" w14:paraId="4CF2EBD6" w14:textId="77777777" w:rsidTr="003A5039">
        <w:trPr>
          <w:trHeight w:val="225"/>
        </w:trPr>
        <w:tc>
          <w:tcPr>
            <w:tcW w:w="3964" w:type="dxa"/>
            <w:tcBorders>
              <w:right w:val="single" w:sz="4" w:space="0" w:color="auto"/>
            </w:tcBorders>
          </w:tcPr>
          <w:p w14:paraId="49670157" w14:textId="78D31CF2" w:rsidR="00E073E8" w:rsidRPr="00DF1914" w:rsidRDefault="00E073E8">
            <w:pPr>
              <w:keepNext/>
              <w:keepLines/>
              <w:rPr>
                <w:rFonts w:ascii="Arial Narrow" w:hAnsi="Arial Narrow"/>
                <w:bCs/>
                <w:snapToGrid w:val="0"/>
                <w:sz w:val="20"/>
                <w:szCs w:val="20"/>
              </w:rPr>
            </w:pPr>
            <w:r w:rsidRPr="00DF1914">
              <w:rPr>
                <w:rFonts w:ascii="Arial Narrow" w:hAnsi="Arial Narrow"/>
                <w:bCs/>
                <w:snapToGrid w:val="0"/>
                <w:sz w:val="20"/>
                <w:szCs w:val="20"/>
              </w:rPr>
              <w:t>Ser</w:t>
            </w:r>
            <w:r w:rsidR="00AE0196">
              <w:rPr>
                <w:rFonts w:ascii="Arial Narrow" w:hAnsi="Arial Narrow"/>
                <w:bCs/>
                <w:snapToGrid w:val="0"/>
                <w:sz w:val="20"/>
                <w:szCs w:val="20"/>
              </w:rPr>
              <w:t>i</w:t>
            </w:r>
            <w:r w:rsidRPr="00DF1914">
              <w:rPr>
                <w:rFonts w:ascii="Arial Narrow" w:hAnsi="Arial Narrow"/>
                <w:bCs/>
                <w:snapToGrid w:val="0"/>
                <w:sz w:val="20"/>
                <w:szCs w:val="20"/>
              </w:rPr>
              <w:t>ous AEs (any grade), n (%)</w:t>
            </w:r>
          </w:p>
        </w:tc>
        <w:tc>
          <w:tcPr>
            <w:tcW w:w="1684" w:type="dxa"/>
            <w:tcBorders>
              <w:top w:val="nil"/>
              <w:left w:val="single" w:sz="4" w:space="0" w:color="auto"/>
              <w:bottom w:val="nil"/>
              <w:right w:val="single" w:sz="4" w:space="0" w:color="auto"/>
            </w:tcBorders>
          </w:tcPr>
          <w:p w14:paraId="0FAB4B8A"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35 (6.6)</w:t>
            </w:r>
          </w:p>
        </w:tc>
        <w:tc>
          <w:tcPr>
            <w:tcW w:w="1684" w:type="dxa"/>
            <w:tcBorders>
              <w:left w:val="single" w:sz="4" w:space="0" w:color="auto"/>
              <w:right w:val="single" w:sz="4" w:space="0" w:color="auto"/>
            </w:tcBorders>
          </w:tcPr>
          <w:p w14:paraId="397D93F2"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napToGrid w:val="0"/>
                <w:sz w:val="20"/>
                <w:szCs w:val="20"/>
              </w:rPr>
              <w:t>12 (3.1)</w:t>
            </w:r>
          </w:p>
        </w:tc>
        <w:tc>
          <w:tcPr>
            <w:tcW w:w="1685" w:type="dxa"/>
            <w:tcBorders>
              <w:top w:val="nil"/>
              <w:left w:val="single" w:sz="4" w:space="0" w:color="auto"/>
              <w:bottom w:val="nil"/>
            </w:tcBorders>
          </w:tcPr>
          <w:p w14:paraId="21A18834"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11 (7.1)</w:t>
            </w:r>
          </w:p>
        </w:tc>
      </w:tr>
      <w:tr w:rsidR="00E073E8" w:rsidRPr="00DF1914" w14:paraId="12755634" w14:textId="77777777" w:rsidTr="003A5039">
        <w:trPr>
          <w:trHeight w:val="101"/>
        </w:trPr>
        <w:tc>
          <w:tcPr>
            <w:tcW w:w="3964" w:type="dxa"/>
            <w:tcBorders>
              <w:right w:val="single" w:sz="4" w:space="0" w:color="auto"/>
            </w:tcBorders>
          </w:tcPr>
          <w:p w14:paraId="1E4E4C62" w14:textId="77777777" w:rsidR="00E073E8" w:rsidRPr="00DF1914" w:rsidRDefault="00E073E8">
            <w:pPr>
              <w:keepNext/>
              <w:keepLines/>
              <w:rPr>
                <w:rFonts w:ascii="Arial Narrow" w:hAnsi="Arial Narrow"/>
                <w:bCs/>
                <w:snapToGrid w:val="0"/>
                <w:sz w:val="20"/>
                <w:szCs w:val="20"/>
              </w:rPr>
            </w:pPr>
            <w:r w:rsidRPr="00DF1914">
              <w:rPr>
                <w:rFonts w:ascii="Arial Narrow" w:hAnsi="Arial Narrow"/>
                <w:bCs/>
                <w:snapToGrid w:val="0"/>
                <w:sz w:val="20"/>
                <w:szCs w:val="20"/>
              </w:rPr>
              <w:t xml:space="preserve">Discontinuation of study treatment due to AEs, n (%) </w:t>
            </w:r>
          </w:p>
        </w:tc>
        <w:tc>
          <w:tcPr>
            <w:tcW w:w="1684" w:type="dxa"/>
            <w:tcBorders>
              <w:top w:val="nil"/>
              <w:left w:val="single" w:sz="4" w:space="0" w:color="auto"/>
              <w:bottom w:val="nil"/>
              <w:right w:val="single" w:sz="4" w:space="0" w:color="auto"/>
            </w:tcBorders>
          </w:tcPr>
          <w:p w14:paraId="3CD504B3"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z w:val="20"/>
                <w:szCs w:val="20"/>
              </w:rPr>
              <w:t>42 (7.9)</w:t>
            </w:r>
          </w:p>
        </w:tc>
        <w:tc>
          <w:tcPr>
            <w:tcW w:w="1684" w:type="dxa"/>
            <w:tcBorders>
              <w:left w:val="single" w:sz="4" w:space="0" w:color="auto"/>
              <w:right w:val="single" w:sz="4" w:space="0" w:color="auto"/>
            </w:tcBorders>
          </w:tcPr>
          <w:p w14:paraId="53220A3D"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napToGrid w:val="0"/>
                <w:sz w:val="20"/>
                <w:szCs w:val="20"/>
              </w:rPr>
              <w:t>19 (5.0)</w:t>
            </w:r>
          </w:p>
        </w:tc>
        <w:tc>
          <w:tcPr>
            <w:tcW w:w="1685" w:type="dxa"/>
            <w:tcBorders>
              <w:top w:val="nil"/>
              <w:left w:val="single" w:sz="4" w:space="0" w:color="auto"/>
              <w:bottom w:val="nil"/>
            </w:tcBorders>
          </w:tcPr>
          <w:p w14:paraId="5BEF9D60"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napToGrid w:val="0"/>
                <w:sz w:val="20"/>
                <w:szCs w:val="20"/>
              </w:rPr>
              <w:t>18 (11.6)</w:t>
            </w:r>
          </w:p>
        </w:tc>
      </w:tr>
      <w:tr w:rsidR="00E073E8" w:rsidRPr="00DF1914" w14:paraId="246362D7" w14:textId="77777777" w:rsidTr="003A5039">
        <w:trPr>
          <w:trHeight w:val="101"/>
        </w:trPr>
        <w:tc>
          <w:tcPr>
            <w:tcW w:w="3964" w:type="dxa"/>
            <w:tcBorders>
              <w:right w:val="single" w:sz="4" w:space="0" w:color="auto"/>
            </w:tcBorders>
          </w:tcPr>
          <w:p w14:paraId="3A78B2B4" w14:textId="77777777" w:rsidR="00E073E8" w:rsidRPr="00DF1914" w:rsidRDefault="00E073E8">
            <w:pPr>
              <w:keepNext/>
              <w:keepLines/>
              <w:rPr>
                <w:rFonts w:ascii="Arial Narrow" w:hAnsi="Arial Narrow"/>
                <w:bCs/>
                <w:snapToGrid w:val="0"/>
                <w:sz w:val="20"/>
                <w:szCs w:val="20"/>
              </w:rPr>
            </w:pPr>
            <w:r w:rsidRPr="00DF1914">
              <w:rPr>
                <w:rFonts w:ascii="Arial Narrow" w:hAnsi="Arial Narrow"/>
                <w:bCs/>
                <w:snapToGrid w:val="0"/>
                <w:sz w:val="20"/>
                <w:szCs w:val="20"/>
              </w:rPr>
              <w:t>AEs leading to death, n (%)</w:t>
            </w:r>
          </w:p>
        </w:tc>
        <w:tc>
          <w:tcPr>
            <w:tcW w:w="1684" w:type="dxa"/>
            <w:tcBorders>
              <w:top w:val="nil"/>
              <w:left w:val="single" w:sz="4" w:space="0" w:color="auto"/>
              <w:bottom w:val="single" w:sz="4" w:space="0" w:color="auto"/>
              <w:right w:val="single" w:sz="4" w:space="0" w:color="auto"/>
            </w:tcBorders>
          </w:tcPr>
          <w:p w14:paraId="436C6481" w14:textId="77777777" w:rsidR="00E073E8" w:rsidRPr="00DF1914" w:rsidRDefault="00E073E8">
            <w:pPr>
              <w:keepNext/>
              <w:keepLines/>
              <w:jc w:val="center"/>
              <w:rPr>
                <w:rFonts w:ascii="Arial Narrow" w:hAnsi="Arial Narrow"/>
                <w:bCs/>
                <w:sz w:val="20"/>
                <w:szCs w:val="20"/>
              </w:rPr>
            </w:pPr>
            <w:r w:rsidRPr="00DF1914">
              <w:rPr>
                <w:rFonts w:ascii="Arial Narrow" w:hAnsi="Arial Narrow"/>
                <w:bCs/>
                <w:sz w:val="20"/>
                <w:szCs w:val="20"/>
              </w:rPr>
              <w:t>1 (0.2)</w:t>
            </w:r>
          </w:p>
        </w:tc>
        <w:tc>
          <w:tcPr>
            <w:tcW w:w="1684" w:type="dxa"/>
            <w:tcBorders>
              <w:left w:val="single" w:sz="4" w:space="0" w:color="auto"/>
              <w:right w:val="single" w:sz="4" w:space="0" w:color="auto"/>
            </w:tcBorders>
          </w:tcPr>
          <w:p w14:paraId="30587CC9" w14:textId="77777777" w:rsidR="00E073E8" w:rsidRPr="00DF1914" w:rsidRDefault="00E073E8">
            <w:pPr>
              <w:keepNext/>
              <w:keepLines/>
              <w:jc w:val="center"/>
              <w:rPr>
                <w:rFonts w:ascii="Arial Narrow" w:hAnsi="Arial Narrow"/>
                <w:bCs/>
                <w:sz w:val="20"/>
                <w:szCs w:val="20"/>
              </w:rPr>
            </w:pPr>
            <w:r w:rsidRPr="00DF1914">
              <w:rPr>
                <w:rFonts w:ascii="Arial Narrow" w:hAnsi="Arial Narrow"/>
                <w:bCs/>
                <w:sz w:val="20"/>
                <w:szCs w:val="20"/>
              </w:rPr>
              <w:t>0</w:t>
            </w:r>
          </w:p>
        </w:tc>
        <w:tc>
          <w:tcPr>
            <w:tcW w:w="1685" w:type="dxa"/>
            <w:tcBorders>
              <w:top w:val="nil"/>
              <w:left w:val="single" w:sz="4" w:space="0" w:color="auto"/>
              <w:bottom w:val="single" w:sz="4" w:space="0" w:color="auto"/>
            </w:tcBorders>
          </w:tcPr>
          <w:p w14:paraId="4DB7EF47" w14:textId="77777777" w:rsidR="00E073E8" w:rsidRPr="00DF1914" w:rsidRDefault="00E073E8">
            <w:pPr>
              <w:keepNext/>
              <w:keepLines/>
              <w:jc w:val="center"/>
              <w:rPr>
                <w:rFonts w:ascii="Arial Narrow" w:hAnsi="Arial Narrow"/>
                <w:bCs/>
                <w:snapToGrid w:val="0"/>
                <w:sz w:val="20"/>
                <w:szCs w:val="20"/>
              </w:rPr>
            </w:pPr>
            <w:r w:rsidRPr="00DF1914">
              <w:rPr>
                <w:rFonts w:ascii="Arial Narrow" w:hAnsi="Arial Narrow"/>
                <w:bCs/>
                <w:snapToGrid w:val="0"/>
                <w:sz w:val="20"/>
                <w:szCs w:val="20"/>
              </w:rPr>
              <w:t>NA</w:t>
            </w:r>
            <w:r w:rsidRPr="00DF1914">
              <w:rPr>
                <w:rFonts w:ascii="Arial Narrow" w:hAnsi="Arial Narrow"/>
                <w:bCs/>
                <w:snapToGrid w:val="0"/>
                <w:sz w:val="20"/>
                <w:szCs w:val="20"/>
                <w:vertAlign w:val="superscript"/>
              </w:rPr>
              <w:t>a</w:t>
            </w:r>
          </w:p>
        </w:tc>
      </w:tr>
    </w:tbl>
    <w:p w14:paraId="13D3A91A" w14:textId="77777777" w:rsidR="00E073E8" w:rsidRPr="00DF1914" w:rsidRDefault="00E073E8" w:rsidP="00E073E8">
      <w:pPr>
        <w:pStyle w:val="TableFigureFooter"/>
        <w:keepNext/>
      </w:pPr>
      <w:r w:rsidRPr="00DF1914">
        <w:t>Source: developed during evaluation; Table 2-35, p92 of the submission; Table 44, pp156-158 of the NIAGARA CSR; Table 9, p23 of the nivolumab PSD (November 2023 PBAC Meeting with March 2024 Addendum)</w:t>
      </w:r>
    </w:p>
    <w:p w14:paraId="3A0AF980" w14:textId="77777777" w:rsidR="00E073E8" w:rsidRPr="00DF1914" w:rsidRDefault="00E073E8" w:rsidP="00E073E8">
      <w:pPr>
        <w:pStyle w:val="TableFigureFooter"/>
        <w:keepNext/>
      </w:pPr>
      <w:r w:rsidRPr="00DF1914">
        <w:t>AE = adverse event; CSR = clinical study report;</w:t>
      </w:r>
      <w:r>
        <w:t xml:space="preserve"> </w:t>
      </w:r>
      <w:r w:rsidRPr="00DF1914">
        <w:t xml:space="preserve">GC = gemcitabine + cisplatin; </w:t>
      </w:r>
      <w:r>
        <w:rPr>
          <w:szCs w:val="18"/>
        </w:rPr>
        <w:t xml:space="preserve">N = number of patients; </w:t>
      </w:r>
      <w:r w:rsidRPr="00DF1914">
        <w:t>NA = not available; NAC = neoadjuvant chemotherapy; PSD = public summary document</w:t>
      </w:r>
    </w:p>
    <w:p w14:paraId="52128009" w14:textId="77777777" w:rsidR="00E073E8" w:rsidRPr="00DF1914" w:rsidRDefault="00E073E8" w:rsidP="00E073E8">
      <w:pPr>
        <w:pStyle w:val="TableFigureFooter"/>
        <w:keepNext/>
      </w:pPr>
      <w:r w:rsidRPr="00DF1914">
        <w:rPr>
          <w:vertAlign w:val="superscript"/>
        </w:rPr>
        <w:t xml:space="preserve">a </w:t>
      </w:r>
      <w:r w:rsidRPr="00DF1914">
        <w:t xml:space="preserve">Data for </w:t>
      </w:r>
      <w:r>
        <w:t>nivolumab</w:t>
      </w:r>
      <w:r w:rsidRPr="00DF1914">
        <w:t xml:space="preserve">-related AEs leading to death in patients who had received NAC in CM274 is not available. In the </w:t>
      </w:r>
      <w:r>
        <w:t>nivolumab</w:t>
      </w:r>
      <w:r w:rsidRPr="00DF1914">
        <w:t xml:space="preserve"> arm (including patients not receiving prior NAC, N = 351) in CM274, two treatment-related deaths due to pneumonitis and one treatment-related death due to bowel perforation were reported.</w:t>
      </w:r>
    </w:p>
    <w:p w14:paraId="2AC6BFA0" w14:textId="71EFCC02" w:rsidR="00E073E8" w:rsidRPr="00DF1914" w:rsidRDefault="00E073E8" w:rsidP="00E073E8">
      <w:pPr>
        <w:pStyle w:val="4-SubsectionHeading"/>
      </w:pPr>
      <w:bookmarkStart w:id="67" w:name="_Toc22897643"/>
      <w:bookmarkStart w:id="68" w:name="_Toc209021285"/>
      <w:bookmarkStart w:id="69" w:name="_Toc209023181"/>
      <w:r w:rsidRPr="00DF1914">
        <w:t>Benefits/harms</w:t>
      </w:r>
      <w:bookmarkEnd w:id="67"/>
      <w:bookmarkEnd w:id="68"/>
      <w:bookmarkEnd w:id="69"/>
    </w:p>
    <w:p w14:paraId="25B21540" w14:textId="2846C9AA" w:rsidR="00E073E8" w:rsidRPr="00A92C0E" w:rsidRDefault="00E073E8" w:rsidP="00E073E8">
      <w:pPr>
        <w:pStyle w:val="3-BodyText"/>
      </w:pPr>
      <w:r w:rsidRPr="00164BC3">
        <w:rPr>
          <w:rFonts w:eastAsia="Calibri"/>
        </w:rPr>
        <w:t>A summary of the comparative benefits and harms for</w:t>
      </w:r>
      <w:r>
        <w:rPr>
          <w:rFonts w:eastAsia="Calibri"/>
        </w:rPr>
        <w:t xml:space="preserve"> perioperative durvalumab + GC compared to GC</w:t>
      </w:r>
      <w:r w:rsidR="001A315A">
        <w:rPr>
          <w:rFonts w:eastAsia="Calibri"/>
        </w:rPr>
        <w:t xml:space="preserve"> </w:t>
      </w:r>
      <w:r w:rsidR="001A315A" w:rsidRPr="00367355">
        <w:rPr>
          <w:rFonts w:eastAsia="Calibri"/>
          <w:iCs/>
        </w:rPr>
        <w:t>in the NIAGARA trial</w:t>
      </w:r>
      <w:r>
        <w:rPr>
          <w:rFonts w:eastAsia="Calibri"/>
        </w:rPr>
        <w:t xml:space="preserve"> is presented in </w:t>
      </w:r>
      <w:r>
        <w:rPr>
          <w:rFonts w:eastAsia="Calibri"/>
        </w:rPr>
        <w:fldChar w:fldCharType="begin"/>
      </w:r>
      <w:r>
        <w:rPr>
          <w:rFonts w:eastAsia="Calibri"/>
        </w:rPr>
        <w:instrText xml:space="preserve"> REF _Ref207492896 \h </w:instrText>
      </w:r>
      <w:r>
        <w:rPr>
          <w:rFonts w:eastAsia="Calibri"/>
        </w:rPr>
      </w:r>
      <w:r>
        <w:rPr>
          <w:rFonts w:eastAsia="Calibri"/>
        </w:rPr>
        <w:fldChar w:fldCharType="separate"/>
      </w:r>
      <w:r w:rsidR="005731FF">
        <w:t xml:space="preserve">Table </w:t>
      </w:r>
      <w:r w:rsidR="005731FF">
        <w:rPr>
          <w:noProof/>
        </w:rPr>
        <w:t>12</w:t>
      </w:r>
      <w:r>
        <w:rPr>
          <w:rFonts w:eastAsia="Calibri"/>
        </w:rPr>
        <w:fldChar w:fldCharType="end"/>
      </w:r>
      <w:r>
        <w:rPr>
          <w:rFonts w:eastAsia="Calibri"/>
        </w:rPr>
        <w:t>.</w:t>
      </w:r>
    </w:p>
    <w:p w14:paraId="3BE5ED99" w14:textId="08142CCA" w:rsidR="00E073E8" w:rsidRDefault="00E073E8" w:rsidP="00E073E8">
      <w:pPr>
        <w:pStyle w:val="Caption"/>
      </w:pPr>
      <w:bookmarkStart w:id="70" w:name="_Ref207492896"/>
      <w:r>
        <w:t xml:space="preserve">Table </w:t>
      </w:r>
      <w:r w:rsidR="0077772B">
        <w:fldChar w:fldCharType="begin"/>
      </w:r>
      <w:r w:rsidR="0077772B">
        <w:instrText xml:space="preserve"> SEQ Table \* ARABIC </w:instrText>
      </w:r>
      <w:r w:rsidR="0077772B">
        <w:fldChar w:fldCharType="separate"/>
      </w:r>
      <w:r w:rsidR="005731FF">
        <w:rPr>
          <w:noProof/>
        </w:rPr>
        <w:t>12</w:t>
      </w:r>
      <w:r w:rsidR="0077772B">
        <w:rPr>
          <w:noProof/>
        </w:rPr>
        <w:fldChar w:fldCharType="end"/>
      </w:r>
      <w:bookmarkEnd w:id="70"/>
      <w:r>
        <w:t>: Summary of comparative benefits and harms for perioperative DURVA + GC vs GC</w:t>
      </w:r>
      <w:r w:rsidRPr="00186EFC">
        <w:rPr>
          <w:vertAlign w:val="superscript"/>
        </w:rPr>
        <w:t>a</w:t>
      </w:r>
    </w:p>
    <w:tbl>
      <w:tblPr>
        <w:tblStyle w:val="TableGrid"/>
        <w:tblW w:w="5000" w:type="pct"/>
        <w:tblCellMar>
          <w:left w:w="28" w:type="dxa"/>
          <w:right w:w="28" w:type="dxa"/>
        </w:tblCellMar>
        <w:tblLook w:val="04A0" w:firstRow="1" w:lastRow="0" w:firstColumn="1" w:lastColumn="0" w:noHBand="0" w:noVBand="1"/>
        <w:tblCaption w:val="Table 12: Summary of comparative benefits and harms for perioperative DURVA + GC vs GC"/>
      </w:tblPr>
      <w:tblGrid>
        <w:gridCol w:w="2701"/>
        <w:gridCol w:w="1443"/>
        <w:gridCol w:w="1434"/>
        <w:gridCol w:w="1719"/>
        <w:gridCol w:w="1720"/>
      </w:tblGrid>
      <w:tr w:rsidR="00E073E8" w:rsidRPr="00164BC3" w14:paraId="63094B2D" w14:textId="77777777" w:rsidTr="00E17792">
        <w:trPr>
          <w:trHeight w:val="20"/>
        </w:trPr>
        <w:tc>
          <w:tcPr>
            <w:tcW w:w="5000" w:type="pct"/>
            <w:gridSpan w:val="5"/>
            <w:tcBorders>
              <w:top w:val="single" w:sz="4" w:space="0" w:color="auto"/>
              <w:left w:val="single" w:sz="4" w:space="0" w:color="auto"/>
              <w:right w:val="single" w:sz="4" w:space="0" w:color="auto"/>
            </w:tcBorders>
          </w:tcPr>
          <w:p w14:paraId="7ED8ED01" w14:textId="77777777" w:rsidR="00E073E8" w:rsidRPr="00164BC3" w:rsidRDefault="00E073E8">
            <w:pPr>
              <w:pStyle w:val="In-tableHeading"/>
              <w:rPr>
                <w:lang w:val="en-AU"/>
              </w:rPr>
            </w:pPr>
            <w:r w:rsidRPr="00164BC3">
              <w:rPr>
                <w:lang w:val="en-AU"/>
              </w:rPr>
              <w:t>Benefits (</w:t>
            </w:r>
            <w:r>
              <w:rPr>
                <w:lang w:val="en-AU"/>
              </w:rPr>
              <w:t>FAS</w:t>
            </w:r>
            <w:r w:rsidRPr="00164BC3">
              <w:rPr>
                <w:lang w:val="en-AU"/>
              </w:rPr>
              <w:t xml:space="preserve"> population)</w:t>
            </w:r>
          </w:p>
        </w:tc>
      </w:tr>
      <w:tr w:rsidR="00E073E8" w:rsidRPr="00164BC3" w14:paraId="78F0F574" w14:textId="77777777" w:rsidTr="00E31BEB">
        <w:trPr>
          <w:trHeight w:val="20"/>
        </w:trPr>
        <w:tc>
          <w:tcPr>
            <w:tcW w:w="1498" w:type="pct"/>
            <w:tcBorders>
              <w:top w:val="single" w:sz="4" w:space="0" w:color="auto"/>
              <w:left w:val="single" w:sz="4" w:space="0" w:color="auto"/>
              <w:bottom w:val="single" w:sz="4" w:space="0" w:color="auto"/>
              <w:right w:val="single" w:sz="4" w:space="0" w:color="auto"/>
            </w:tcBorders>
          </w:tcPr>
          <w:p w14:paraId="7695FB73" w14:textId="77777777" w:rsidR="00E073E8" w:rsidRPr="00164BC3" w:rsidRDefault="00E073E8">
            <w:pPr>
              <w:pStyle w:val="In-tableHeading"/>
              <w:rPr>
                <w:lang w:val="en-AU"/>
              </w:rPr>
            </w:pPr>
          </w:p>
        </w:tc>
        <w:tc>
          <w:tcPr>
            <w:tcW w:w="800" w:type="pct"/>
            <w:tcBorders>
              <w:top w:val="single" w:sz="4" w:space="0" w:color="auto"/>
              <w:left w:val="single" w:sz="4" w:space="0" w:color="auto"/>
              <w:bottom w:val="single" w:sz="4" w:space="0" w:color="auto"/>
              <w:right w:val="single" w:sz="4" w:space="0" w:color="auto"/>
            </w:tcBorders>
          </w:tcPr>
          <w:p w14:paraId="72DC5F83" w14:textId="4FAFE2EB" w:rsidR="00E073E8" w:rsidRPr="00164BC3" w:rsidRDefault="00E073E8">
            <w:pPr>
              <w:pStyle w:val="In-tableHeading"/>
              <w:jc w:val="center"/>
              <w:rPr>
                <w:lang w:val="en-AU"/>
              </w:rPr>
            </w:pPr>
            <w:r>
              <w:rPr>
                <w:lang w:val="en-AU"/>
              </w:rPr>
              <w:t>DURVA + GC</w:t>
            </w:r>
          </w:p>
        </w:tc>
        <w:tc>
          <w:tcPr>
            <w:tcW w:w="795" w:type="pct"/>
            <w:tcBorders>
              <w:top w:val="single" w:sz="4" w:space="0" w:color="auto"/>
              <w:left w:val="single" w:sz="4" w:space="0" w:color="auto"/>
              <w:bottom w:val="single" w:sz="4" w:space="0" w:color="auto"/>
              <w:right w:val="single" w:sz="4" w:space="0" w:color="auto"/>
            </w:tcBorders>
          </w:tcPr>
          <w:p w14:paraId="0B4924CC" w14:textId="77777777" w:rsidR="00E073E8" w:rsidRPr="00164BC3" w:rsidRDefault="00E073E8">
            <w:pPr>
              <w:pStyle w:val="In-tableHeading"/>
              <w:jc w:val="center"/>
              <w:rPr>
                <w:lang w:val="en-AU"/>
              </w:rPr>
            </w:pPr>
            <w:r>
              <w:rPr>
                <w:lang w:val="en-AU"/>
              </w:rPr>
              <w:t>GC</w:t>
            </w:r>
          </w:p>
        </w:tc>
        <w:tc>
          <w:tcPr>
            <w:tcW w:w="953" w:type="pct"/>
            <w:tcBorders>
              <w:top w:val="single" w:sz="4" w:space="0" w:color="auto"/>
              <w:left w:val="single" w:sz="4" w:space="0" w:color="auto"/>
              <w:bottom w:val="single" w:sz="4" w:space="0" w:color="auto"/>
              <w:right w:val="single" w:sz="4" w:space="0" w:color="auto"/>
            </w:tcBorders>
          </w:tcPr>
          <w:p w14:paraId="1015517F" w14:textId="77777777" w:rsidR="00E073E8" w:rsidRPr="00164BC3" w:rsidRDefault="00E073E8">
            <w:pPr>
              <w:pStyle w:val="In-tableHeading"/>
              <w:jc w:val="center"/>
              <w:rPr>
                <w:rFonts w:asciiTheme="minorHAnsi" w:hAnsiTheme="minorHAnsi"/>
                <w:lang w:val="en-AU"/>
              </w:rPr>
            </w:pPr>
            <w:r w:rsidRPr="00164BC3">
              <w:rPr>
                <w:lang w:val="en-AU"/>
              </w:rPr>
              <w:t>Absolute difference</w:t>
            </w:r>
          </w:p>
        </w:tc>
        <w:tc>
          <w:tcPr>
            <w:tcW w:w="953" w:type="pct"/>
            <w:tcBorders>
              <w:top w:val="single" w:sz="4" w:space="0" w:color="auto"/>
              <w:left w:val="single" w:sz="4" w:space="0" w:color="auto"/>
              <w:bottom w:val="single" w:sz="4" w:space="0" w:color="auto"/>
              <w:right w:val="single" w:sz="4" w:space="0" w:color="auto"/>
            </w:tcBorders>
          </w:tcPr>
          <w:p w14:paraId="1CE42F22" w14:textId="77777777" w:rsidR="00E073E8" w:rsidRPr="00164BC3" w:rsidRDefault="00E073E8">
            <w:pPr>
              <w:pStyle w:val="In-tableHeading"/>
              <w:jc w:val="center"/>
              <w:rPr>
                <w:lang w:val="en-AU"/>
              </w:rPr>
            </w:pPr>
            <w:r w:rsidRPr="00164BC3">
              <w:rPr>
                <w:lang w:val="en-AU"/>
              </w:rPr>
              <w:t>HR (95% CI)</w:t>
            </w:r>
          </w:p>
        </w:tc>
      </w:tr>
      <w:tr w:rsidR="00E073E8" w:rsidRPr="00164BC3" w14:paraId="1AB2F04F" w14:textId="7A4F7525" w:rsidTr="00E31BEB">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4F0555A1" w14:textId="6A0FC6EE" w:rsidR="00E073E8" w:rsidRPr="00E31BEB" w:rsidRDefault="00E073E8">
            <w:pPr>
              <w:pStyle w:val="In-tableHeading"/>
              <w:rPr>
                <w:lang w:val="en-AU"/>
              </w:rPr>
            </w:pPr>
            <w:r w:rsidRPr="00E31BEB">
              <w:rPr>
                <w:lang w:val="en-AU"/>
              </w:rPr>
              <w:t>EFS</w:t>
            </w:r>
          </w:p>
        </w:tc>
      </w:tr>
      <w:tr w:rsidR="00E073E8" w:rsidRPr="00164BC3" w14:paraId="737039C3" w14:textId="77777777" w:rsidTr="00E31BEB">
        <w:trPr>
          <w:trHeight w:val="20"/>
        </w:trPr>
        <w:tc>
          <w:tcPr>
            <w:tcW w:w="1498" w:type="pct"/>
            <w:tcBorders>
              <w:top w:val="single" w:sz="4" w:space="0" w:color="auto"/>
              <w:left w:val="single" w:sz="4" w:space="0" w:color="auto"/>
              <w:bottom w:val="single" w:sz="4" w:space="0" w:color="auto"/>
              <w:right w:val="single" w:sz="4" w:space="0" w:color="auto"/>
            </w:tcBorders>
          </w:tcPr>
          <w:p w14:paraId="5DB9D2FA" w14:textId="77777777" w:rsidR="00E073E8" w:rsidRPr="00164BC3" w:rsidRDefault="00E073E8">
            <w:pPr>
              <w:pStyle w:val="TableText0"/>
              <w:widowControl w:val="0"/>
            </w:pPr>
            <w:r w:rsidRPr="00164BC3">
              <w:t>EFS events, n/N (%)</w:t>
            </w:r>
          </w:p>
        </w:tc>
        <w:tc>
          <w:tcPr>
            <w:tcW w:w="800" w:type="pct"/>
            <w:tcBorders>
              <w:top w:val="single" w:sz="4" w:space="0" w:color="auto"/>
              <w:left w:val="single" w:sz="4" w:space="0" w:color="auto"/>
              <w:bottom w:val="single" w:sz="4" w:space="0" w:color="auto"/>
              <w:right w:val="single" w:sz="4" w:space="0" w:color="auto"/>
            </w:tcBorders>
          </w:tcPr>
          <w:p w14:paraId="3CDF9737" w14:textId="3758EFDD" w:rsidR="00E073E8" w:rsidRPr="00164BC3" w:rsidRDefault="00E073E8">
            <w:pPr>
              <w:pStyle w:val="TableText0"/>
              <w:widowControl w:val="0"/>
              <w:jc w:val="center"/>
            </w:pPr>
            <w:r>
              <w:t>187/533 (35.1%)</w:t>
            </w:r>
          </w:p>
        </w:tc>
        <w:tc>
          <w:tcPr>
            <w:tcW w:w="795" w:type="pct"/>
            <w:tcBorders>
              <w:top w:val="single" w:sz="4" w:space="0" w:color="auto"/>
              <w:left w:val="single" w:sz="4" w:space="0" w:color="auto"/>
              <w:bottom w:val="single" w:sz="4" w:space="0" w:color="auto"/>
              <w:right w:val="single" w:sz="4" w:space="0" w:color="auto"/>
            </w:tcBorders>
          </w:tcPr>
          <w:p w14:paraId="68B8DD03" w14:textId="77777777" w:rsidR="00E073E8" w:rsidRPr="00164BC3" w:rsidRDefault="00E073E8">
            <w:pPr>
              <w:pStyle w:val="TableText0"/>
              <w:widowControl w:val="0"/>
              <w:jc w:val="center"/>
            </w:pPr>
            <w:r>
              <w:t>246/530 (46.4%)</w:t>
            </w:r>
          </w:p>
        </w:tc>
        <w:tc>
          <w:tcPr>
            <w:tcW w:w="953" w:type="pct"/>
            <w:tcBorders>
              <w:top w:val="single" w:sz="4" w:space="0" w:color="auto"/>
              <w:left w:val="single" w:sz="4" w:space="0" w:color="auto"/>
              <w:bottom w:val="single" w:sz="4" w:space="0" w:color="auto"/>
              <w:right w:val="single" w:sz="4" w:space="0" w:color="auto"/>
            </w:tcBorders>
          </w:tcPr>
          <w:p w14:paraId="1703B999" w14:textId="77777777" w:rsidR="00E073E8" w:rsidRPr="00164BC3" w:rsidRDefault="00E073E8">
            <w:pPr>
              <w:pStyle w:val="TableText0"/>
              <w:widowControl w:val="0"/>
              <w:jc w:val="center"/>
            </w:pPr>
            <w:r w:rsidRPr="00164BC3">
              <w:t>–</w:t>
            </w:r>
          </w:p>
        </w:tc>
        <w:tc>
          <w:tcPr>
            <w:tcW w:w="953" w:type="pct"/>
            <w:vMerge w:val="restart"/>
            <w:tcBorders>
              <w:top w:val="single" w:sz="4" w:space="0" w:color="auto"/>
              <w:left w:val="single" w:sz="4" w:space="0" w:color="auto"/>
              <w:right w:val="single" w:sz="4" w:space="0" w:color="auto"/>
            </w:tcBorders>
          </w:tcPr>
          <w:p w14:paraId="04F3DF94" w14:textId="77777777" w:rsidR="00E073E8" w:rsidRPr="008B77C8" w:rsidRDefault="00E073E8">
            <w:pPr>
              <w:pStyle w:val="TableText0"/>
              <w:widowControl w:val="0"/>
              <w:ind w:left="-16"/>
              <w:jc w:val="center"/>
              <w:rPr>
                <w:bCs w:val="0"/>
              </w:rPr>
            </w:pPr>
            <w:r w:rsidRPr="008B77C8">
              <w:rPr>
                <w:bCs w:val="0"/>
              </w:rPr>
              <w:t>0.68 (0.558 - 0.817)</w:t>
            </w:r>
          </w:p>
          <w:p w14:paraId="1AD4DEB3" w14:textId="77777777" w:rsidR="00E073E8" w:rsidRPr="008B77C8" w:rsidRDefault="00E073E8">
            <w:pPr>
              <w:pStyle w:val="TableText0"/>
              <w:widowControl w:val="0"/>
              <w:jc w:val="center"/>
              <w:rPr>
                <w:bCs w:val="0"/>
              </w:rPr>
            </w:pPr>
            <w:r>
              <w:rPr>
                <w:bCs w:val="0"/>
              </w:rPr>
              <w:t>P &lt; 0.0001</w:t>
            </w:r>
          </w:p>
        </w:tc>
      </w:tr>
      <w:tr w:rsidR="00E073E8" w:rsidRPr="00164BC3" w14:paraId="20EEE38E" w14:textId="77777777" w:rsidTr="007853FC">
        <w:trPr>
          <w:trHeight w:val="20"/>
        </w:trPr>
        <w:tc>
          <w:tcPr>
            <w:tcW w:w="1498" w:type="pct"/>
            <w:tcBorders>
              <w:left w:val="single" w:sz="4" w:space="0" w:color="auto"/>
              <w:bottom w:val="single" w:sz="4" w:space="0" w:color="auto"/>
              <w:right w:val="single" w:sz="4" w:space="0" w:color="auto"/>
            </w:tcBorders>
          </w:tcPr>
          <w:p w14:paraId="3364EBA5" w14:textId="77777777" w:rsidR="00E073E8" w:rsidRPr="00164BC3" w:rsidRDefault="00E073E8">
            <w:pPr>
              <w:pStyle w:val="TableText0"/>
              <w:widowControl w:val="0"/>
            </w:pPr>
            <w:r w:rsidRPr="00164BC3">
              <w:t xml:space="preserve">Median EFS, months </w:t>
            </w:r>
          </w:p>
        </w:tc>
        <w:tc>
          <w:tcPr>
            <w:tcW w:w="800" w:type="pct"/>
            <w:tcBorders>
              <w:left w:val="single" w:sz="4" w:space="0" w:color="auto"/>
              <w:bottom w:val="single" w:sz="4" w:space="0" w:color="auto"/>
              <w:right w:val="single" w:sz="4" w:space="0" w:color="auto"/>
            </w:tcBorders>
          </w:tcPr>
          <w:p w14:paraId="41B0F1E2" w14:textId="77777777" w:rsidR="00E073E8" w:rsidRPr="00164BC3" w:rsidRDefault="00E073E8">
            <w:pPr>
              <w:pStyle w:val="TableText0"/>
              <w:widowControl w:val="0"/>
              <w:jc w:val="center"/>
              <w:rPr>
                <w:rFonts w:cs="Times New Roman"/>
                <w:szCs w:val="20"/>
              </w:rPr>
            </w:pPr>
            <w:r>
              <w:rPr>
                <w:rFonts w:cs="Times New Roman"/>
                <w:szCs w:val="20"/>
              </w:rPr>
              <w:t>NR</w:t>
            </w:r>
          </w:p>
        </w:tc>
        <w:tc>
          <w:tcPr>
            <w:tcW w:w="795" w:type="pct"/>
            <w:tcBorders>
              <w:left w:val="single" w:sz="4" w:space="0" w:color="auto"/>
              <w:bottom w:val="single" w:sz="4" w:space="0" w:color="auto"/>
              <w:right w:val="single" w:sz="4" w:space="0" w:color="auto"/>
            </w:tcBorders>
          </w:tcPr>
          <w:p w14:paraId="3C3C35E1" w14:textId="77777777" w:rsidR="00E073E8" w:rsidRPr="00164BC3" w:rsidRDefault="00E073E8">
            <w:pPr>
              <w:pStyle w:val="TableText0"/>
              <w:widowControl w:val="0"/>
              <w:jc w:val="center"/>
              <w:rPr>
                <w:rFonts w:cs="Times New Roman"/>
                <w:szCs w:val="20"/>
              </w:rPr>
            </w:pPr>
            <w:r>
              <w:rPr>
                <w:rFonts w:cs="Times New Roman"/>
                <w:szCs w:val="20"/>
              </w:rPr>
              <w:t>46.1</w:t>
            </w:r>
          </w:p>
        </w:tc>
        <w:tc>
          <w:tcPr>
            <w:tcW w:w="953" w:type="pct"/>
            <w:tcBorders>
              <w:left w:val="single" w:sz="4" w:space="0" w:color="auto"/>
              <w:bottom w:val="single" w:sz="4" w:space="0" w:color="auto"/>
              <w:right w:val="single" w:sz="4" w:space="0" w:color="auto"/>
            </w:tcBorders>
          </w:tcPr>
          <w:p w14:paraId="6CEBDD37" w14:textId="77777777" w:rsidR="00E073E8" w:rsidRPr="00164BC3" w:rsidRDefault="00E073E8">
            <w:pPr>
              <w:pStyle w:val="TableText0"/>
              <w:widowControl w:val="0"/>
              <w:jc w:val="center"/>
            </w:pPr>
            <w:r w:rsidRPr="00164BC3">
              <w:t>–</w:t>
            </w:r>
          </w:p>
        </w:tc>
        <w:tc>
          <w:tcPr>
            <w:tcW w:w="953" w:type="pct"/>
            <w:vMerge/>
            <w:tcBorders>
              <w:left w:val="single" w:sz="4" w:space="0" w:color="auto"/>
              <w:right w:val="single" w:sz="4" w:space="0" w:color="auto"/>
            </w:tcBorders>
          </w:tcPr>
          <w:p w14:paraId="2F927713" w14:textId="77777777" w:rsidR="00E073E8" w:rsidRPr="00164BC3" w:rsidRDefault="00E073E8">
            <w:pPr>
              <w:pStyle w:val="TableText0"/>
              <w:widowControl w:val="0"/>
              <w:jc w:val="center"/>
              <w:rPr>
                <w:szCs w:val="20"/>
              </w:rPr>
            </w:pPr>
          </w:p>
        </w:tc>
      </w:tr>
      <w:tr w:rsidR="00825946" w:rsidRPr="00367355" w14:paraId="5199397A"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7A0B869E" w14:textId="7BC67584" w:rsidR="00825946" w:rsidRPr="00367355" w:rsidRDefault="00825946" w:rsidP="00825946">
            <w:pPr>
              <w:pStyle w:val="TableText0"/>
              <w:widowControl w:val="0"/>
              <w:rPr>
                <w:iCs/>
              </w:rPr>
            </w:pPr>
            <w:r w:rsidRPr="00367355">
              <w:rPr>
                <w:iCs/>
              </w:rPr>
              <w:t xml:space="preserve">EFS </w:t>
            </w:r>
            <w:r w:rsidR="00563D66" w:rsidRPr="00367355">
              <w:rPr>
                <w:iCs/>
              </w:rPr>
              <w:t xml:space="preserve">rate </w:t>
            </w:r>
            <w:r w:rsidRPr="00367355">
              <w:rPr>
                <w:iCs/>
              </w:rPr>
              <w:t xml:space="preserve">at </w:t>
            </w:r>
            <w:r w:rsidR="00563D66" w:rsidRPr="00367355">
              <w:rPr>
                <w:iCs/>
              </w:rPr>
              <w:t xml:space="preserve">12 </w:t>
            </w:r>
            <w:r w:rsidRPr="00367355">
              <w:rPr>
                <w:iCs/>
              </w:rPr>
              <w:t>mont</w:t>
            </w:r>
            <w:r w:rsidR="00563D66" w:rsidRPr="00367355">
              <w:rPr>
                <w:iCs/>
              </w:rPr>
              <w:t>hs</w:t>
            </w:r>
            <w:r w:rsidRPr="00367355">
              <w:rPr>
                <w:iCs/>
              </w:rPr>
              <w:t>, % (95% CI)</w:t>
            </w:r>
          </w:p>
        </w:tc>
        <w:tc>
          <w:tcPr>
            <w:tcW w:w="800" w:type="pct"/>
            <w:tcBorders>
              <w:top w:val="single" w:sz="4" w:space="0" w:color="auto"/>
              <w:left w:val="single" w:sz="4" w:space="0" w:color="auto"/>
              <w:bottom w:val="single" w:sz="4" w:space="0" w:color="auto"/>
              <w:right w:val="single" w:sz="4" w:space="0" w:color="auto"/>
            </w:tcBorders>
          </w:tcPr>
          <w:p w14:paraId="273863B2" w14:textId="3445F79F" w:rsidR="00825946" w:rsidRPr="00367355" w:rsidRDefault="00825946" w:rsidP="00825946">
            <w:pPr>
              <w:pStyle w:val="TableText0"/>
              <w:widowControl w:val="0"/>
              <w:jc w:val="center"/>
              <w:rPr>
                <w:iCs/>
              </w:rPr>
            </w:pPr>
            <w:r w:rsidRPr="00367355">
              <w:rPr>
                <w:iCs/>
              </w:rPr>
              <w:t>76.0 (72.0</w:t>
            </w:r>
            <w:r w:rsidR="00563D66" w:rsidRPr="00367355">
              <w:rPr>
                <w:iCs/>
              </w:rPr>
              <w:t>,</w:t>
            </w:r>
            <w:r w:rsidRPr="00367355">
              <w:rPr>
                <w:iCs/>
              </w:rPr>
              <w:t xml:space="preserve"> 79.4)</w:t>
            </w:r>
          </w:p>
        </w:tc>
        <w:tc>
          <w:tcPr>
            <w:tcW w:w="795" w:type="pct"/>
            <w:tcBorders>
              <w:top w:val="single" w:sz="4" w:space="0" w:color="auto"/>
              <w:left w:val="single" w:sz="4" w:space="0" w:color="auto"/>
              <w:bottom w:val="single" w:sz="4" w:space="0" w:color="auto"/>
              <w:right w:val="single" w:sz="4" w:space="0" w:color="auto"/>
            </w:tcBorders>
          </w:tcPr>
          <w:p w14:paraId="395566BA" w14:textId="2B2A33EE" w:rsidR="00825946" w:rsidRPr="00367355" w:rsidRDefault="00825946" w:rsidP="00825946">
            <w:pPr>
              <w:pStyle w:val="TableText0"/>
              <w:widowControl w:val="0"/>
              <w:jc w:val="center"/>
              <w:rPr>
                <w:iCs/>
              </w:rPr>
            </w:pPr>
            <w:r w:rsidRPr="00367355">
              <w:rPr>
                <w:iCs/>
              </w:rPr>
              <w:t>69.9 (65.7</w:t>
            </w:r>
            <w:r w:rsidR="00563D66" w:rsidRPr="00367355">
              <w:rPr>
                <w:iCs/>
              </w:rPr>
              <w:t xml:space="preserve">, </w:t>
            </w:r>
            <w:r w:rsidRPr="00367355">
              <w:rPr>
                <w:iCs/>
              </w:rPr>
              <w:t>73.7)</w:t>
            </w:r>
          </w:p>
        </w:tc>
        <w:tc>
          <w:tcPr>
            <w:tcW w:w="953" w:type="pct"/>
            <w:tcBorders>
              <w:top w:val="single" w:sz="4" w:space="0" w:color="auto"/>
              <w:left w:val="single" w:sz="4" w:space="0" w:color="auto"/>
              <w:bottom w:val="single" w:sz="4" w:space="0" w:color="auto"/>
              <w:right w:val="single" w:sz="4" w:space="0" w:color="auto"/>
            </w:tcBorders>
          </w:tcPr>
          <w:p w14:paraId="1C52B6DA" w14:textId="5928A276" w:rsidR="00825946" w:rsidRPr="00367355" w:rsidRDefault="00563D66" w:rsidP="00825946">
            <w:pPr>
              <w:pStyle w:val="TableText0"/>
              <w:widowControl w:val="0"/>
              <w:jc w:val="center"/>
              <w:rPr>
                <w:iCs/>
              </w:rPr>
            </w:pPr>
            <w:r w:rsidRPr="00367355">
              <w:rPr>
                <w:iCs/>
              </w:rPr>
              <w:t>6.1</w:t>
            </w:r>
          </w:p>
        </w:tc>
        <w:tc>
          <w:tcPr>
            <w:tcW w:w="953" w:type="pct"/>
            <w:vMerge/>
            <w:tcBorders>
              <w:left w:val="single" w:sz="4" w:space="0" w:color="auto"/>
              <w:bottom w:val="nil"/>
              <w:right w:val="single" w:sz="4" w:space="0" w:color="auto"/>
            </w:tcBorders>
          </w:tcPr>
          <w:p w14:paraId="2C3D9566" w14:textId="77777777" w:rsidR="00825946" w:rsidRPr="00367355" w:rsidRDefault="00825946" w:rsidP="00825946">
            <w:pPr>
              <w:pStyle w:val="TableText0"/>
              <w:widowControl w:val="0"/>
              <w:jc w:val="center"/>
            </w:pPr>
          </w:p>
        </w:tc>
      </w:tr>
      <w:tr w:rsidR="00825946" w:rsidRPr="00367355" w14:paraId="362248FC"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53D96477" w14:textId="29047B52" w:rsidR="00825946" w:rsidRPr="00367355" w:rsidRDefault="00825946" w:rsidP="00825946">
            <w:pPr>
              <w:pStyle w:val="TableText0"/>
              <w:widowControl w:val="0"/>
              <w:rPr>
                <w:iCs/>
              </w:rPr>
            </w:pPr>
            <w:r w:rsidRPr="00367355">
              <w:rPr>
                <w:iCs/>
              </w:rPr>
              <w:t xml:space="preserve">EFS </w:t>
            </w:r>
            <w:r w:rsidR="00563D66" w:rsidRPr="00367355">
              <w:rPr>
                <w:iCs/>
              </w:rPr>
              <w:t xml:space="preserve">rate </w:t>
            </w:r>
            <w:r w:rsidRPr="00367355">
              <w:rPr>
                <w:iCs/>
              </w:rPr>
              <w:t xml:space="preserve">at </w:t>
            </w:r>
            <w:r w:rsidR="00563D66" w:rsidRPr="00367355">
              <w:rPr>
                <w:iCs/>
              </w:rPr>
              <w:t xml:space="preserve">24 </w:t>
            </w:r>
            <w:r w:rsidRPr="00367355">
              <w:rPr>
                <w:iCs/>
              </w:rPr>
              <w:t>month</w:t>
            </w:r>
            <w:r w:rsidR="00563D66" w:rsidRPr="00367355">
              <w:rPr>
                <w:iCs/>
              </w:rPr>
              <w:t>s</w:t>
            </w:r>
            <w:r w:rsidRPr="00367355">
              <w:rPr>
                <w:iCs/>
              </w:rPr>
              <w:t>, % (95% CI)</w:t>
            </w:r>
          </w:p>
        </w:tc>
        <w:tc>
          <w:tcPr>
            <w:tcW w:w="800" w:type="pct"/>
            <w:tcBorders>
              <w:top w:val="single" w:sz="4" w:space="0" w:color="auto"/>
              <w:left w:val="single" w:sz="4" w:space="0" w:color="auto"/>
              <w:bottom w:val="single" w:sz="4" w:space="0" w:color="auto"/>
              <w:right w:val="single" w:sz="4" w:space="0" w:color="auto"/>
            </w:tcBorders>
          </w:tcPr>
          <w:p w14:paraId="55F01C65" w14:textId="53417015" w:rsidR="00825946" w:rsidRPr="00367355" w:rsidRDefault="00825946" w:rsidP="00825946">
            <w:pPr>
              <w:pStyle w:val="TableText0"/>
              <w:widowControl w:val="0"/>
              <w:jc w:val="center"/>
              <w:rPr>
                <w:iCs/>
              </w:rPr>
            </w:pPr>
            <w:r w:rsidRPr="00367355">
              <w:rPr>
                <w:iCs/>
              </w:rPr>
              <w:t>67.8 (63.6</w:t>
            </w:r>
            <w:r w:rsidR="00563D66" w:rsidRPr="00367355">
              <w:rPr>
                <w:iCs/>
              </w:rPr>
              <w:t>,</w:t>
            </w:r>
            <w:r w:rsidRPr="00367355">
              <w:rPr>
                <w:iCs/>
              </w:rPr>
              <w:t xml:space="preserve"> 71.7)</w:t>
            </w:r>
          </w:p>
        </w:tc>
        <w:tc>
          <w:tcPr>
            <w:tcW w:w="795" w:type="pct"/>
            <w:tcBorders>
              <w:top w:val="single" w:sz="4" w:space="0" w:color="auto"/>
              <w:left w:val="single" w:sz="4" w:space="0" w:color="auto"/>
              <w:bottom w:val="single" w:sz="4" w:space="0" w:color="auto"/>
              <w:right w:val="single" w:sz="4" w:space="0" w:color="auto"/>
            </w:tcBorders>
          </w:tcPr>
          <w:p w14:paraId="777E2F7F" w14:textId="7FC9B643" w:rsidR="00825946" w:rsidRPr="00367355" w:rsidRDefault="00825946" w:rsidP="00825946">
            <w:pPr>
              <w:pStyle w:val="TableText0"/>
              <w:widowControl w:val="0"/>
              <w:jc w:val="center"/>
              <w:rPr>
                <w:iCs/>
              </w:rPr>
            </w:pPr>
            <w:r w:rsidRPr="00367355">
              <w:rPr>
                <w:iCs/>
              </w:rPr>
              <w:t>59.8 (55.4</w:t>
            </w:r>
            <w:r w:rsidR="00563D66" w:rsidRPr="00367355">
              <w:rPr>
                <w:iCs/>
              </w:rPr>
              <w:t>,</w:t>
            </w:r>
            <w:r w:rsidRPr="00367355">
              <w:rPr>
                <w:iCs/>
              </w:rPr>
              <w:t xml:space="preserve"> 64.0)</w:t>
            </w:r>
          </w:p>
        </w:tc>
        <w:tc>
          <w:tcPr>
            <w:tcW w:w="953" w:type="pct"/>
            <w:tcBorders>
              <w:top w:val="single" w:sz="4" w:space="0" w:color="auto"/>
              <w:left w:val="single" w:sz="4" w:space="0" w:color="auto"/>
              <w:bottom w:val="single" w:sz="4" w:space="0" w:color="auto"/>
              <w:right w:val="single" w:sz="4" w:space="0" w:color="auto"/>
            </w:tcBorders>
          </w:tcPr>
          <w:p w14:paraId="3EF10F0D" w14:textId="42DFC81F" w:rsidR="00825946" w:rsidRPr="00367355" w:rsidRDefault="00563D66" w:rsidP="00825946">
            <w:pPr>
              <w:pStyle w:val="TableText0"/>
              <w:widowControl w:val="0"/>
              <w:jc w:val="center"/>
              <w:rPr>
                <w:iCs/>
              </w:rPr>
            </w:pPr>
            <w:r w:rsidRPr="00367355">
              <w:rPr>
                <w:iCs/>
              </w:rPr>
              <w:t>8.0</w:t>
            </w:r>
          </w:p>
        </w:tc>
        <w:tc>
          <w:tcPr>
            <w:tcW w:w="953" w:type="pct"/>
            <w:vMerge/>
            <w:tcBorders>
              <w:left w:val="single" w:sz="4" w:space="0" w:color="auto"/>
              <w:bottom w:val="nil"/>
              <w:right w:val="single" w:sz="4" w:space="0" w:color="auto"/>
            </w:tcBorders>
          </w:tcPr>
          <w:p w14:paraId="40DB3F90" w14:textId="77777777" w:rsidR="00825946" w:rsidRPr="00367355" w:rsidRDefault="00825946" w:rsidP="00825946">
            <w:pPr>
              <w:pStyle w:val="TableText0"/>
              <w:widowControl w:val="0"/>
              <w:jc w:val="center"/>
            </w:pPr>
          </w:p>
        </w:tc>
      </w:tr>
      <w:tr w:rsidR="00825946" w:rsidRPr="00164BC3" w14:paraId="0D028ACC"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079C754A" w14:textId="2A229981" w:rsidR="00825946" w:rsidRPr="00164BC3" w:rsidRDefault="00825946" w:rsidP="00825946">
            <w:pPr>
              <w:pStyle w:val="TableText0"/>
              <w:widowControl w:val="0"/>
            </w:pPr>
            <w:r>
              <w:t>E</w:t>
            </w:r>
            <w:r w:rsidRPr="00164BC3">
              <w:t xml:space="preserve">FS rate at </w:t>
            </w:r>
            <w:r>
              <w:t>36</w:t>
            </w:r>
            <w:r w:rsidRPr="00164BC3">
              <w:t xml:space="preserve"> months, % (95% CI)</w:t>
            </w:r>
          </w:p>
        </w:tc>
        <w:tc>
          <w:tcPr>
            <w:tcW w:w="800" w:type="pct"/>
            <w:tcBorders>
              <w:top w:val="single" w:sz="4" w:space="0" w:color="auto"/>
              <w:left w:val="single" w:sz="4" w:space="0" w:color="auto"/>
              <w:bottom w:val="single" w:sz="4" w:space="0" w:color="auto"/>
              <w:right w:val="single" w:sz="4" w:space="0" w:color="auto"/>
            </w:tcBorders>
          </w:tcPr>
          <w:p w14:paraId="184C3BED" w14:textId="77777777" w:rsidR="00825946" w:rsidRPr="00164BC3" w:rsidRDefault="00825946" w:rsidP="00825946">
            <w:pPr>
              <w:pStyle w:val="TableText0"/>
              <w:widowControl w:val="0"/>
              <w:jc w:val="center"/>
            </w:pPr>
            <w:r w:rsidRPr="008B77C8">
              <w:t>63.7 (59.3</w:t>
            </w:r>
            <w:r>
              <w:t xml:space="preserve">, </w:t>
            </w:r>
            <w:r w:rsidRPr="008B77C8">
              <w:t>67.7)</w:t>
            </w:r>
          </w:p>
        </w:tc>
        <w:tc>
          <w:tcPr>
            <w:tcW w:w="795" w:type="pct"/>
            <w:tcBorders>
              <w:top w:val="single" w:sz="4" w:space="0" w:color="auto"/>
              <w:left w:val="single" w:sz="4" w:space="0" w:color="auto"/>
              <w:bottom w:val="single" w:sz="4" w:space="0" w:color="auto"/>
              <w:right w:val="single" w:sz="4" w:space="0" w:color="auto"/>
            </w:tcBorders>
          </w:tcPr>
          <w:p w14:paraId="3FA3B4BC" w14:textId="77777777" w:rsidR="00825946" w:rsidRPr="00164BC3" w:rsidRDefault="00825946" w:rsidP="00825946">
            <w:pPr>
              <w:pStyle w:val="TableText0"/>
              <w:widowControl w:val="0"/>
              <w:jc w:val="center"/>
              <w:rPr>
                <w:szCs w:val="20"/>
              </w:rPr>
            </w:pPr>
            <w:r w:rsidRPr="009E29DE">
              <w:t>53.6 (49.0</w:t>
            </w:r>
            <w:r>
              <w:t>,</w:t>
            </w:r>
            <w:r w:rsidRPr="009E29DE">
              <w:t xml:space="preserve"> 57.9)</w:t>
            </w:r>
          </w:p>
        </w:tc>
        <w:tc>
          <w:tcPr>
            <w:tcW w:w="953" w:type="pct"/>
            <w:tcBorders>
              <w:top w:val="single" w:sz="4" w:space="0" w:color="auto"/>
              <w:left w:val="single" w:sz="4" w:space="0" w:color="auto"/>
              <w:bottom w:val="single" w:sz="4" w:space="0" w:color="auto"/>
              <w:right w:val="single" w:sz="4" w:space="0" w:color="auto"/>
            </w:tcBorders>
          </w:tcPr>
          <w:p w14:paraId="06596EA3" w14:textId="77777777" w:rsidR="00825946" w:rsidRPr="00164BC3" w:rsidRDefault="00825946" w:rsidP="00825946">
            <w:pPr>
              <w:pStyle w:val="TableText0"/>
              <w:widowControl w:val="0"/>
              <w:jc w:val="center"/>
            </w:pPr>
            <w:r>
              <w:t>10.4</w:t>
            </w:r>
          </w:p>
        </w:tc>
        <w:tc>
          <w:tcPr>
            <w:tcW w:w="953" w:type="pct"/>
            <w:vMerge/>
            <w:tcBorders>
              <w:left w:val="single" w:sz="4" w:space="0" w:color="auto"/>
              <w:bottom w:val="nil"/>
              <w:right w:val="single" w:sz="4" w:space="0" w:color="auto"/>
            </w:tcBorders>
          </w:tcPr>
          <w:p w14:paraId="2FF60AA1" w14:textId="77777777" w:rsidR="00825946" w:rsidRPr="00164BC3" w:rsidRDefault="00825946" w:rsidP="00825946">
            <w:pPr>
              <w:pStyle w:val="TableText0"/>
              <w:widowControl w:val="0"/>
              <w:jc w:val="center"/>
            </w:pPr>
          </w:p>
        </w:tc>
      </w:tr>
      <w:tr w:rsidR="00825946" w:rsidRPr="00164BC3" w14:paraId="749A8469" w14:textId="77777777" w:rsidTr="003060A9">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35937273" w14:textId="77777777" w:rsidR="00825946" w:rsidRPr="00E31BEB" w:rsidRDefault="00825946" w:rsidP="00825946">
            <w:pPr>
              <w:pStyle w:val="In-tableHeading"/>
              <w:rPr>
                <w:lang w:val="en-AU"/>
              </w:rPr>
            </w:pPr>
            <w:r w:rsidRPr="00E31BEB">
              <w:rPr>
                <w:lang w:val="en-AU"/>
              </w:rPr>
              <w:t xml:space="preserve">OS </w:t>
            </w:r>
          </w:p>
        </w:tc>
      </w:tr>
      <w:tr w:rsidR="00825946" w:rsidRPr="00164BC3" w14:paraId="09B62843"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66D699CB" w14:textId="77777777" w:rsidR="00825946" w:rsidRPr="00164BC3" w:rsidRDefault="00825946" w:rsidP="00825946">
            <w:pPr>
              <w:pStyle w:val="TableText0"/>
              <w:widowControl w:val="0"/>
            </w:pPr>
            <w:r w:rsidRPr="00164BC3">
              <w:t xml:space="preserve">Deaths, n/N (%) </w:t>
            </w:r>
          </w:p>
        </w:tc>
        <w:tc>
          <w:tcPr>
            <w:tcW w:w="800" w:type="pct"/>
            <w:tcBorders>
              <w:top w:val="single" w:sz="4" w:space="0" w:color="auto"/>
              <w:left w:val="single" w:sz="4" w:space="0" w:color="auto"/>
              <w:bottom w:val="single" w:sz="4" w:space="0" w:color="auto"/>
              <w:right w:val="single" w:sz="4" w:space="0" w:color="auto"/>
            </w:tcBorders>
          </w:tcPr>
          <w:p w14:paraId="51D6DF14" w14:textId="77777777" w:rsidR="00825946" w:rsidRPr="00164BC3" w:rsidRDefault="00825946" w:rsidP="00825946">
            <w:pPr>
              <w:pStyle w:val="TableText0"/>
              <w:widowControl w:val="0"/>
              <w:jc w:val="center"/>
            </w:pPr>
            <w:r>
              <w:t>136/533 (25.5%)</w:t>
            </w:r>
          </w:p>
        </w:tc>
        <w:tc>
          <w:tcPr>
            <w:tcW w:w="795" w:type="pct"/>
            <w:tcBorders>
              <w:top w:val="single" w:sz="4" w:space="0" w:color="auto"/>
              <w:left w:val="single" w:sz="4" w:space="0" w:color="auto"/>
              <w:bottom w:val="single" w:sz="4" w:space="0" w:color="auto"/>
              <w:right w:val="single" w:sz="4" w:space="0" w:color="auto"/>
            </w:tcBorders>
          </w:tcPr>
          <w:p w14:paraId="3B38F668" w14:textId="77777777" w:rsidR="00825946" w:rsidRPr="00164BC3" w:rsidRDefault="00825946" w:rsidP="00825946">
            <w:pPr>
              <w:pStyle w:val="TableText0"/>
              <w:widowControl w:val="0"/>
              <w:jc w:val="center"/>
            </w:pPr>
            <w:r>
              <w:t>169/530 (31.9%)</w:t>
            </w:r>
          </w:p>
        </w:tc>
        <w:tc>
          <w:tcPr>
            <w:tcW w:w="953" w:type="pct"/>
            <w:tcBorders>
              <w:top w:val="single" w:sz="4" w:space="0" w:color="auto"/>
              <w:left w:val="single" w:sz="4" w:space="0" w:color="auto"/>
              <w:bottom w:val="single" w:sz="4" w:space="0" w:color="auto"/>
              <w:right w:val="single" w:sz="4" w:space="0" w:color="auto"/>
            </w:tcBorders>
          </w:tcPr>
          <w:p w14:paraId="1351BC17" w14:textId="77777777" w:rsidR="00825946" w:rsidRPr="00164BC3" w:rsidRDefault="00825946" w:rsidP="00825946">
            <w:pPr>
              <w:pStyle w:val="TableText0"/>
              <w:widowControl w:val="0"/>
              <w:jc w:val="center"/>
            </w:pPr>
            <w:r w:rsidRPr="00164BC3">
              <w:t>–</w:t>
            </w:r>
          </w:p>
        </w:tc>
        <w:tc>
          <w:tcPr>
            <w:tcW w:w="953" w:type="pct"/>
            <w:vMerge w:val="restart"/>
            <w:tcBorders>
              <w:top w:val="single" w:sz="4" w:space="0" w:color="auto"/>
              <w:left w:val="single" w:sz="4" w:space="0" w:color="auto"/>
              <w:right w:val="single" w:sz="4" w:space="0" w:color="auto"/>
            </w:tcBorders>
          </w:tcPr>
          <w:p w14:paraId="41A97CB2" w14:textId="77777777" w:rsidR="00825946" w:rsidRDefault="00825946" w:rsidP="00825946">
            <w:pPr>
              <w:pStyle w:val="TableText0"/>
              <w:widowControl w:val="0"/>
              <w:jc w:val="center"/>
              <w:rPr>
                <w:bCs w:val="0"/>
              </w:rPr>
            </w:pPr>
            <w:r w:rsidRPr="00923052">
              <w:rPr>
                <w:bCs w:val="0"/>
              </w:rPr>
              <w:t>0.75 (0.594 - 0.934)</w:t>
            </w:r>
          </w:p>
          <w:p w14:paraId="1E21974D" w14:textId="77777777" w:rsidR="00825946" w:rsidRPr="00923052" w:rsidRDefault="00825946" w:rsidP="00825946">
            <w:pPr>
              <w:pStyle w:val="TableText0"/>
              <w:widowControl w:val="0"/>
              <w:jc w:val="center"/>
              <w:rPr>
                <w:bCs w:val="0"/>
              </w:rPr>
            </w:pPr>
            <w:r>
              <w:rPr>
                <w:bCs w:val="0"/>
              </w:rPr>
              <w:t>0.0106</w:t>
            </w:r>
          </w:p>
        </w:tc>
      </w:tr>
      <w:tr w:rsidR="00825946" w:rsidRPr="00164BC3" w14:paraId="5C523C11"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2C334A2A" w14:textId="77777777" w:rsidR="00825946" w:rsidRPr="00164BC3" w:rsidRDefault="00825946" w:rsidP="00825946">
            <w:pPr>
              <w:pStyle w:val="TableText0"/>
              <w:widowControl w:val="0"/>
            </w:pPr>
            <w:r w:rsidRPr="00164BC3">
              <w:t xml:space="preserve">Median OS, months </w:t>
            </w:r>
          </w:p>
        </w:tc>
        <w:tc>
          <w:tcPr>
            <w:tcW w:w="800" w:type="pct"/>
            <w:tcBorders>
              <w:top w:val="single" w:sz="4" w:space="0" w:color="auto"/>
              <w:left w:val="single" w:sz="4" w:space="0" w:color="auto"/>
              <w:bottom w:val="single" w:sz="4" w:space="0" w:color="auto"/>
              <w:right w:val="single" w:sz="4" w:space="0" w:color="auto"/>
            </w:tcBorders>
          </w:tcPr>
          <w:p w14:paraId="46B0ED19" w14:textId="77777777" w:rsidR="00825946" w:rsidRPr="00164BC3" w:rsidRDefault="00825946" w:rsidP="00825946">
            <w:pPr>
              <w:pStyle w:val="TableText0"/>
              <w:widowControl w:val="0"/>
              <w:jc w:val="center"/>
              <w:rPr>
                <w:rFonts w:cs="Times New Roman"/>
                <w:szCs w:val="20"/>
              </w:rPr>
            </w:pPr>
            <w:r>
              <w:rPr>
                <w:rFonts w:cs="Times New Roman"/>
                <w:szCs w:val="20"/>
              </w:rPr>
              <w:t>NR</w:t>
            </w:r>
          </w:p>
        </w:tc>
        <w:tc>
          <w:tcPr>
            <w:tcW w:w="795" w:type="pct"/>
            <w:tcBorders>
              <w:top w:val="single" w:sz="4" w:space="0" w:color="auto"/>
              <w:left w:val="single" w:sz="4" w:space="0" w:color="auto"/>
              <w:bottom w:val="single" w:sz="4" w:space="0" w:color="auto"/>
              <w:right w:val="single" w:sz="4" w:space="0" w:color="auto"/>
            </w:tcBorders>
          </w:tcPr>
          <w:p w14:paraId="0C84A8A2" w14:textId="77777777" w:rsidR="00825946" w:rsidRPr="00164BC3" w:rsidRDefault="00825946" w:rsidP="00825946">
            <w:pPr>
              <w:pStyle w:val="TableText0"/>
              <w:widowControl w:val="0"/>
              <w:jc w:val="center"/>
              <w:rPr>
                <w:rFonts w:cs="Times New Roman"/>
                <w:szCs w:val="20"/>
              </w:rPr>
            </w:pPr>
            <w:r>
              <w:rPr>
                <w:rFonts w:cs="Times New Roman"/>
                <w:szCs w:val="20"/>
              </w:rPr>
              <w:t>NR</w:t>
            </w:r>
          </w:p>
        </w:tc>
        <w:tc>
          <w:tcPr>
            <w:tcW w:w="953" w:type="pct"/>
            <w:tcBorders>
              <w:top w:val="single" w:sz="4" w:space="0" w:color="auto"/>
              <w:left w:val="single" w:sz="4" w:space="0" w:color="auto"/>
              <w:bottom w:val="single" w:sz="4" w:space="0" w:color="auto"/>
              <w:right w:val="single" w:sz="4" w:space="0" w:color="auto"/>
            </w:tcBorders>
          </w:tcPr>
          <w:p w14:paraId="58460C71" w14:textId="77777777" w:rsidR="00825946" w:rsidRPr="00164BC3" w:rsidRDefault="00825946" w:rsidP="00825946">
            <w:pPr>
              <w:pStyle w:val="TableText0"/>
              <w:widowControl w:val="0"/>
              <w:jc w:val="center"/>
            </w:pPr>
            <w:r>
              <w:t>NE</w:t>
            </w:r>
          </w:p>
        </w:tc>
        <w:tc>
          <w:tcPr>
            <w:tcW w:w="953" w:type="pct"/>
            <w:vMerge/>
            <w:tcBorders>
              <w:left w:val="single" w:sz="4" w:space="0" w:color="auto"/>
              <w:right w:val="single" w:sz="4" w:space="0" w:color="auto"/>
            </w:tcBorders>
          </w:tcPr>
          <w:p w14:paraId="125830BB" w14:textId="77777777" w:rsidR="00825946" w:rsidRPr="00164BC3" w:rsidRDefault="00825946" w:rsidP="00825946">
            <w:pPr>
              <w:pStyle w:val="TableText0"/>
              <w:widowControl w:val="0"/>
              <w:jc w:val="center"/>
              <w:rPr>
                <w:szCs w:val="20"/>
              </w:rPr>
            </w:pPr>
          </w:p>
        </w:tc>
      </w:tr>
      <w:tr w:rsidR="00563D66" w:rsidRPr="00367355" w14:paraId="10FA6D18"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3795DA3D" w14:textId="57C28170" w:rsidR="00563D66" w:rsidRPr="00367355" w:rsidRDefault="00563D66" w:rsidP="00563D66">
            <w:pPr>
              <w:pStyle w:val="TableText0"/>
              <w:widowControl w:val="0"/>
              <w:rPr>
                <w:iCs/>
              </w:rPr>
            </w:pPr>
            <w:r w:rsidRPr="00367355">
              <w:rPr>
                <w:iCs/>
              </w:rPr>
              <w:t>Alive at 24 months</w:t>
            </w:r>
            <w:r w:rsidR="003D205A" w:rsidRPr="00367355">
              <w:rPr>
                <w:iCs/>
              </w:rPr>
              <w:t>, % (95% CI)</w:t>
            </w:r>
          </w:p>
        </w:tc>
        <w:tc>
          <w:tcPr>
            <w:tcW w:w="800" w:type="pct"/>
            <w:tcBorders>
              <w:top w:val="single" w:sz="4" w:space="0" w:color="auto"/>
              <w:left w:val="single" w:sz="4" w:space="0" w:color="auto"/>
              <w:bottom w:val="single" w:sz="4" w:space="0" w:color="auto"/>
              <w:right w:val="single" w:sz="4" w:space="0" w:color="auto"/>
            </w:tcBorders>
          </w:tcPr>
          <w:p w14:paraId="0AE214A7" w14:textId="7CD81E8C" w:rsidR="00563D66" w:rsidRPr="00367355" w:rsidRDefault="00563D66" w:rsidP="00563D66">
            <w:pPr>
              <w:pStyle w:val="TableText0"/>
              <w:widowControl w:val="0"/>
              <w:jc w:val="center"/>
              <w:rPr>
                <w:iCs/>
                <w:szCs w:val="20"/>
              </w:rPr>
            </w:pPr>
            <w:r w:rsidRPr="00367355">
              <w:rPr>
                <w:iCs/>
              </w:rPr>
              <w:t>89.5 (86.6 - 91.9)</w:t>
            </w:r>
          </w:p>
        </w:tc>
        <w:tc>
          <w:tcPr>
            <w:tcW w:w="795" w:type="pct"/>
            <w:tcBorders>
              <w:top w:val="single" w:sz="4" w:space="0" w:color="auto"/>
              <w:left w:val="single" w:sz="4" w:space="0" w:color="auto"/>
              <w:bottom w:val="single" w:sz="4" w:space="0" w:color="auto"/>
              <w:right w:val="single" w:sz="4" w:space="0" w:color="auto"/>
            </w:tcBorders>
          </w:tcPr>
          <w:p w14:paraId="1E3F10E1" w14:textId="0A18D8AC" w:rsidR="00563D66" w:rsidRPr="00367355" w:rsidRDefault="00563D66" w:rsidP="00563D66">
            <w:pPr>
              <w:pStyle w:val="TableText0"/>
              <w:widowControl w:val="0"/>
              <w:jc w:val="center"/>
              <w:rPr>
                <w:iCs/>
                <w:szCs w:val="20"/>
              </w:rPr>
            </w:pPr>
            <w:r w:rsidRPr="00367355">
              <w:rPr>
                <w:iCs/>
              </w:rPr>
              <w:t>86.5 (83.3 - 89.2)</w:t>
            </w:r>
          </w:p>
        </w:tc>
        <w:tc>
          <w:tcPr>
            <w:tcW w:w="953" w:type="pct"/>
            <w:tcBorders>
              <w:top w:val="single" w:sz="4" w:space="0" w:color="auto"/>
              <w:left w:val="single" w:sz="4" w:space="0" w:color="auto"/>
              <w:bottom w:val="single" w:sz="4" w:space="0" w:color="auto"/>
              <w:right w:val="single" w:sz="4" w:space="0" w:color="auto"/>
            </w:tcBorders>
          </w:tcPr>
          <w:p w14:paraId="747742C7" w14:textId="2185AF2A" w:rsidR="00563D66" w:rsidRPr="00367355" w:rsidRDefault="002E0A4F" w:rsidP="00563D66">
            <w:pPr>
              <w:pStyle w:val="TableText0"/>
              <w:widowControl w:val="0"/>
              <w:jc w:val="center"/>
              <w:rPr>
                <w:iCs/>
              </w:rPr>
            </w:pPr>
            <w:r w:rsidRPr="00367355">
              <w:rPr>
                <w:iCs/>
              </w:rPr>
              <w:t>3.0</w:t>
            </w:r>
          </w:p>
        </w:tc>
        <w:tc>
          <w:tcPr>
            <w:tcW w:w="953" w:type="pct"/>
            <w:vMerge/>
            <w:tcBorders>
              <w:left w:val="single" w:sz="4" w:space="0" w:color="auto"/>
              <w:bottom w:val="single" w:sz="4" w:space="0" w:color="auto"/>
              <w:right w:val="single" w:sz="4" w:space="0" w:color="auto"/>
            </w:tcBorders>
          </w:tcPr>
          <w:p w14:paraId="1E49D198" w14:textId="77777777" w:rsidR="00563D66" w:rsidRPr="00367355" w:rsidRDefault="00563D66" w:rsidP="00563D66">
            <w:pPr>
              <w:pStyle w:val="TableText0"/>
              <w:widowControl w:val="0"/>
              <w:jc w:val="center"/>
            </w:pPr>
          </w:p>
        </w:tc>
      </w:tr>
      <w:tr w:rsidR="00563D66" w:rsidRPr="00367355" w14:paraId="386B511C"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6A314C61" w14:textId="70D3F331" w:rsidR="00563D66" w:rsidRPr="00367355" w:rsidRDefault="00563D66" w:rsidP="00563D66">
            <w:pPr>
              <w:pStyle w:val="TableText0"/>
              <w:widowControl w:val="0"/>
              <w:rPr>
                <w:iCs/>
              </w:rPr>
            </w:pPr>
            <w:r w:rsidRPr="00367355">
              <w:rPr>
                <w:iCs/>
              </w:rPr>
              <w:t>Alive at 36 months</w:t>
            </w:r>
            <w:r w:rsidR="003D205A" w:rsidRPr="00367355">
              <w:rPr>
                <w:iCs/>
              </w:rPr>
              <w:t>, % (95% CI)</w:t>
            </w:r>
          </w:p>
        </w:tc>
        <w:tc>
          <w:tcPr>
            <w:tcW w:w="800" w:type="pct"/>
            <w:tcBorders>
              <w:top w:val="single" w:sz="4" w:space="0" w:color="auto"/>
              <w:left w:val="single" w:sz="4" w:space="0" w:color="auto"/>
              <w:bottom w:val="single" w:sz="4" w:space="0" w:color="auto"/>
              <w:right w:val="single" w:sz="4" w:space="0" w:color="auto"/>
            </w:tcBorders>
          </w:tcPr>
          <w:p w14:paraId="004C04C7" w14:textId="1DAA9E8E" w:rsidR="00563D66" w:rsidRPr="00367355" w:rsidRDefault="00563D66" w:rsidP="00563D66">
            <w:pPr>
              <w:pStyle w:val="TableText0"/>
              <w:widowControl w:val="0"/>
              <w:jc w:val="center"/>
              <w:rPr>
                <w:iCs/>
                <w:szCs w:val="20"/>
              </w:rPr>
            </w:pPr>
            <w:r w:rsidRPr="00367355">
              <w:rPr>
                <w:iCs/>
              </w:rPr>
              <w:t>82.2 (78.7 - 85.2)</w:t>
            </w:r>
          </w:p>
        </w:tc>
        <w:tc>
          <w:tcPr>
            <w:tcW w:w="795" w:type="pct"/>
            <w:tcBorders>
              <w:top w:val="single" w:sz="4" w:space="0" w:color="auto"/>
              <w:left w:val="single" w:sz="4" w:space="0" w:color="auto"/>
              <w:bottom w:val="single" w:sz="4" w:space="0" w:color="auto"/>
              <w:right w:val="single" w:sz="4" w:space="0" w:color="auto"/>
            </w:tcBorders>
          </w:tcPr>
          <w:p w14:paraId="7F5FEA1B" w14:textId="3591743F" w:rsidR="00563D66" w:rsidRPr="00367355" w:rsidRDefault="00563D66" w:rsidP="00563D66">
            <w:pPr>
              <w:pStyle w:val="TableText0"/>
              <w:widowControl w:val="0"/>
              <w:jc w:val="center"/>
              <w:rPr>
                <w:iCs/>
                <w:szCs w:val="20"/>
              </w:rPr>
            </w:pPr>
            <w:r w:rsidRPr="00367355">
              <w:rPr>
                <w:iCs/>
              </w:rPr>
              <w:t>75.2 (71.3 - 78.8)</w:t>
            </w:r>
          </w:p>
        </w:tc>
        <w:tc>
          <w:tcPr>
            <w:tcW w:w="953" w:type="pct"/>
            <w:tcBorders>
              <w:top w:val="single" w:sz="4" w:space="0" w:color="auto"/>
              <w:left w:val="single" w:sz="4" w:space="0" w:color="auto"/>
              <w:bottom w:val="single" w:sz="4" w:space="0" w:color="auto"/>
              <w:right w:val="single" w:sz="4" w:space="0" w:color="auto"/>
            </w:tcBorders>
          </w:tcPr>
          <w:p w14:paraId="1DA50745" w14:textId="51A795E6" w:rsidR="00563D66" w:rsidRPr="00367355" w:rsidRDefault="002E0A4F" w:rsidP="00563D66">
            <w:pPr>
              <w:pStyle w:val="TableText0"/>
              <w:widowControl w:val="0"/>
              <w:jc w:val="center"/>
              <w:rPr>
                <w:iCs/>
              </w:rPr>
            </w:pPr>
            <w:r w:rsidRPr="00367355">
              <w:rPr>
                <w:iCs/>
              </w:rPr>
              <w:t>7.0</w:t>
            </w:r>
          </w:p>
        </w:tc>
        <w:tc>
          <w:tcPr>
            <w:tcW w:w="953" w:type="pct"/>
            <w:vMerge/>
            <w:tcBorders>
              <w:left w:val="single" w:sz="4" w:space="0" w:color="auto"/>
              <w:bottom w:val="single" w:sz="4" w:space="0" w:color="auto"/>
              <w:right w:val="single" w:sz="4" w:space="0" w:color="auto"/>
            </w:tcBorders>
          </w:tcPr>
          <w:p w14:paraId="5F14B4DC" w14:textId="77777777" w:rsidR="00563D66" w:rsidRPr="00367355" w:rsidRDefault="00563D66" w:rsidP="00563D66">
            <w:pPr>
              <w:pStyle w:val="TableText0"/>
              <w:widowControl w:val="0"/>
              <w:jc w:val="center"/>
            </w:pPr>
          </w:p>
        </w:tc>
      </w:tr>
      <w:tr w:rsidR="00563D66" w:rsidRPr="00367355" w14:paraId="1246DFB0"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439BAD19" w14:textId="0A48D8AA" w:rsidR="00563D66" w:rsidRPr="00367355" w:rsidRDefault="00563D66" w:rsidP="00563D66">
            <w:pPr>
              <w:pStyle w:val="TableText0"/>
              <w:widowControl w:val="0"/>
              <w:rPr>
                <w:iCs/>
              </w:rPr>
            </w:pPr>
            <w:r w:rsidRPr="00367355">
              <w:rPr>
                <w:iCs/>
              </w:rPr>
              <w:t xml:space="preserve">Alice at </w:t>
            </w:r>
            <w:r w:rsidR="003D205A" w:rsidRPr="00367355">
              <w:rPr>
                <w:iCs/>
              </w:rPr>
              <w:t xml:space="preserve">48 </w:t>
            </w:r>
            <w:r w:rsidRPr="00367355">
              <w:rPr>
                <w:iCs/>
              </w:rPr>
              <w:t>month</w:t>
            </w:r>
            <w:r w:rsidR="003D205A" w:rsidRPr="00367355">
              <w:rPr>
                <w:iCs/>
              </w:rPr>
              <w:t>s, % (95% CI)</w:t>
            </w:r>
          </w:p>
        </w:tc>
        <w:tc>
          <w:tcPr>
            <w:tcW w:w="800" w:type="pct"/>
            <w:tcBorders>
              <w:top w:val="single" w:sz="4" w:space="0" w:color="auto"/>
              <w:left w:val="single" w:sz="4" w:space="0" w:color="auto"/>
              <w:bottom w:val="single" w:sz="4" w:space="0" w:color="auto"/>
              <w:right w:val="single" w:sz="4" w:space="0" w:color="auto"/>
            </w:tcBorders>
          </w:tcPr>
          <w:p w14:paraId="464C7BF6" w14:textId="3AFC7672" w:rsidR="00563D66" w:rsidRPr="00367355" w:rsidRDefault="00563D66" w:rsidP="00563D66">
            <w:pPr>
              <w:pStyle w:val="TableText0"/>
              <w:widowControl w:val="0"/>
              <w:jc w:val="center"/>
              <w:rPr>
                <w:iCs/>
                <w:szCs w:val="20"/>
              </w:rPr>
            </w:pPr>
            <w:r w:rsidRPr="00367355">
              <w:rPr>
                <w:iCs/>
              </w:rPr>
              <w:t>76.6 (72.7 - 80.0)</w:t>
            </w:r>
          </w:p>
        </w:tc>
        <w:tc>
          <w:tcPr>
            <w:tcW w:w="795" w:type="pct"/>
            <w:tcBorders>
              <w:top w:val="single" w:sz="4" w:space="0" w:color="auto"/>
              <w:left w:val="single" w:sz="4" w:space="0" w:color="auto"/>
              <w:bottom w:val="single" w:sz="4" w:space="0" w:color="auto"/>
              <w:right w:val="single" w:sz="4" w:space="0" w:color="auto"/>
            </w:tcBorders>
          </w:tcPr>
          <w:p w14:paraId="7F3C6B13" w14:textId="0258D4D3" w:rsidR="00563D66" w:rsidRPr="00367355" w:rsidRDefault="00563D66" w:rsidP="00563D66">
            <w:pPr>
              <w:pStyle w:val="TableText0"/>
              <w:widowControl w:val="0"/>
              <w:jc w:val="center"/>
              <w:rPr>
                <w:iCs/>
                <w:szCs w:val="20"/>
              </w:rPr>
            </w:pPr>
            <w:r w:rsidRPr="00367355">
              <w:rPr>
                <w:iCs/>
              </w:rPr>
              <w:t>69.8 (65.5 - 73.6)</w:t>
            </w:r>
          </w:p>
        </w:tc>
        <w:tc>
          <w:tcPr>
            <w:tcW w:w="953" w:type="pct"/>
            <w:tcBorders>
              <w:top w:val="single" w:sz="4" w:space="0" w:color="auto"/>
              <w:left w:val="single" w:sz="4" w:space="0" w:color="auto"/>
              <w:bottom w:val="single" w:sz="4" w:space="0" w:color="auto"/>
              <w:right w:val="single" w:sz="4" w:space="0" w:color="auto"/>
            </w:tcBorders>
          </w:tcPr>
          <w:p w14:paraId="4BE4A885" w14:textId="3A3EFBA4" w:rsidR="00563D66" w:rsidRPr="00367355" w:rsidRDefault="00C03BAF" w:rsidP="00563D66">
            <w:pPr>
              <w:pStyle w:val="TableText0"/>
              <w:widowControl w:val="0"/>
              <w:jc w:val="center"/>
              <w:rPr>
                <w:iCs/>
              </w:rPr>
            </w:pPr>
            <w:r w:rsidRPr="00367355">
              <w:rPr>
                <w:iCs/>
              </w:rPr>
              <w:t>6.8</w:t>
            </w:r>
          </w:p>
        </w:tc>
        <w:tc>
          <w:tcPr>
            <w:tcW w:w="953" w:type="pct"/>
            <w:vMerge/>
            <w:tcBorders>
              <w:left w:val="single" w:sz="4" w:space="0" w:color="auto"/>
              <w:bottom w:val="single" w:sz="4" w:space="0" w:color="auto"/>
              <w:right w:val="single" w:sz="4" w:space="0" w:color="auto"/>
            </w:tcBorders>
          </w:tcPr>
          <w:p w14:paraId="1E21D075" w14:textId="77777777" w:rsidR="00563D66" w:rsidRPr="00367355" w:rsidRDefault="00563D66" w:rsidP="00563D66">
            <w:pPr>
              <w:pStyle w:val="TableText0"/>
              <w:widowControl w:val="0"/>
              <w:jc w:val="center"/>
            </w:pPr>
          </w:p>
        </w:tc>
      </w:tr>
      <w:tr w:rsidR="00563D66" w:rsidRPr="00164BC3" w14:paraId="583A49F5" w14:textId="77777777" w:rsidTr="007853FC">
        <w:trPr>
          <w:trHeight w:val="20"/>
        </w:trPr>
        <w:tc>
          <w:tcPr>
            <w:tcW w:w="1498" w:type="pct"/>
            <w:tcBorders>
              <w:top w:val="single" w:sz="4" w:space="0" w:color="auto"/>
              <w:left w:val="single" w:sz="4" w:space="0" w:color="auto"/>
              <w:bottom w:val="single" w:sz="4" w:space="0" w:color="auto"/>
              <w:right w:val="single" w:sz="4" w:space="0" w:color="auto"/>
            </w:tcBorders>
          </w:tcPr>
          <w:p w14:paraId="59D7329D" w14:textId="77777777" w:rsidR="00563D66" w:rsidRPr="00164BC3" w:rsidRDefault="00563D66" w:rsidP="00563D66">
            <w:pPr>
              <w:pStyle w:val="TableText0"/>
              <w:widowControl w:val="0"/>
            </w:pPr>
            <w:r w:rsidRPr="00164BC3">
              <w:t xml:space="preserve">Alive at </w:t>
            </w:r>
            <w:r>
              <w:t>60</w:t>
            </w:r>
            <w:r w:rsidRPr="00164BC3">
              <w:t xml:space="preserve"> months, % (95% CI)</w:t>
            </w:r>
          </w:p>
        </w:tc>
        <w:tc>
          <w:tcPr>
            <w:tcW w:w="800" w:type="pct"/>
            <w:tcBorders>
              <w:top w:val="single" w:sz="4" w:space="0" w:color="auto"/>
              <w:left w:val="single" w:sz="4" w:space="0" w:color="auto"/>
              <w:bottom w:val="single" w:sz="4" w:space="0" w:color="auto"/>
              <w:right w:val="single" w:sz="4" w:space="0" w:color="auto"/>
            </w:tcBorders>
          </w:tcPr>
          <w:p w14:paraId="2FBD9417" w14:textId="77777777" w:rsidR="00563D66" w:rsidRPr="00164BC3" w:rsidRDefault="00563D66" w:rsidP="00563D66">
            <w:pPr>
              <w:pStyle w:val="TableText0"/>
              <w:widowControl w:val="0"/>
              <w:jc w:val="center"/>
              <w:rPr>
                <w:szCs w:val="20"/>
              </w:rPr>
            </w:pPr>
            <w:r w:rsidRPr="00923052">
              <w:rPr>
                <w:szCs w:val="20"/>
              </w:rPr>
              <w:t>71.1 (66.3</w:t>
            </w:r>
            <w:r>
              <w:rPr>
                <w:szCs w:val="20"/>
              </w:rPr>
              <w:t>,</w:t>
            </w:r>
            <w:r w:rsidRPr="00923052">
              <w:rPr>
                <w:szCs w:val="20"/>
              </w:rPr>
              <w:t xml:space="preserve"> 75.3)</w:t>
            </w:r>
          </w:p>
        </w:tc>
        <w:tc>
          <w:tcPr>
            <w:tcW w:w="795" w:type="pct"/>
            <w:tcBorders>
              <w:top w:val="single" w:sz="4" w:space="0" w:color="auto"/>
              <w:left w:val="single" w:sz="4" w:space="0" w:color="auto"/>
              <w:bottom w:val="single" w:sz="4" w:space="0" w:color="auto"/>
              <w:right w:val="single" w:sz="4" w:space="0" w:color="auto"/>
            </w:tcBorders>
          </w:tcPr>
          <w:p w14:paraId="16E71525" w14:textId="77777777" w:rsidR="00563D66" w:rsidRPr="00164BC3" w:rsidRDefault="00563D66" w:rsidP="00563D66">
            <w:pPr>
              <w:pStyle w:val="TableText0"/>
              <w:widowControl w:val="0"/>
              <w:jc w:val="center"/>
              <w:rPr>
                <w:szCs w:val="20"/>
              </w:rPr>
            </w:pPr>
            <w:r w:rsidRPr="00923052">
              <w:rPr>
                <w:szCs w:val="20"/>
              </w:rPr>
              <w:t>63.9 (58.9</w:t>
            </w:r>
            <w:r>
              <w:rPr>
                <w:szCs w:val="20"/>
              </w:rPr>
              <w:t>,</w:t>
            </w:r>
            <w:r w:rsidRPr="00923052">
              <w:rPr>
                <w:szCs w:val="20"/>
              </w:rPr>
              <w:t xml:space="preserve"> 68.5)</w:t>
            </w:r>
          </w:p>
        </w:tc>
        <w:tc>
          <w:tcPr>
            <w:tcW w:w="953" w:type="pct"/>
            <w:tcBorders>
              <w:top w:val="single" w:sz="4" w:space="0" w:color="auto"/>
              <w:left w:val="single" w:sz="4" w:space="0" w:color="auto"/>
              <w:bottom w:val="single" w:sz="4" w:space="0" w:color="auto"/>
              <w:right w:val="single" w:sz="4" w:space="0" w:color="auto"/>
            </w:tcBorders>
          </w:tcPr>
          <w:p w14:paraId="3A22D74D" w14:textId="77777777" w:rsidR="00563D66" w:rsidRPr="00164BC3" w:rsidRDefault="00563D66" w:rsidP="00563D66">
            <w:pPr>
              <w:pStyle w:val="TableText0"/>
              <w:widowControl w:val="0"/>
              <w:jc w:val="center"/>
            </w:pPr>
            <w:r>
              <w:t>7.2</w:t>
            </w:r>
          </w:p>
        </w:tc>
        <w:tc>
          <w:tcPr>
            <w:tcW w:w="953" w:type="pct"/>
            <w:vMerge/>
            <w:tcBorders>
              <w:left w:val="single" w:sz="4" w:space="0" w:color="auto"/>
              <w:bottom w:val="single" w:sz="4" w:space="0" w:color="auto"/>
              <w:right w:val="single" w:sz="4" w:space="0" w:color="auto"/>
            </w:tcBorders>
          </w:tcPr>
          <w:p w14:paraId="65AA7AEA" w14:textId="77777777" w:rsidR="00563D66" w:rsidRPr="00164BC3" w:rsidRDefault="00563D66" w:rsidP="00563D66">
            <w:pPr>
              <w:pStyle w:val="TableText0"/>
              <w:widowControl w:val="0"/>
              <w:jc w:val="center"/>
            </w:pPr>
          </w:p>
        </w:tc>
      </w:tr>
    </w:tbl>
    <w:tbl>
      <w:tblPr>
        <w:tblW w:w="5000" w:type="pct"/>
        <w:tblCellMar>
          <w:left w:w="28" w:type="dxa"/>
          <w:right w:w="28" w:type="dxa"/>
        </w:tblCellMar>
        <w:tblLook w:val="04A0" w:firstRow="1" w:lastRow="0" w:firstColumn="1" w:lastColumn="0" w:noHBand="0" w:noVBand="1"/>
      </w:tblPr>
      <w:tblGrid>
        <w:gridCol w:w="1284"/>
        <w:gridCol w:w="1145"/>
        <w:gridCol w:w="1145"/>
        <w:gridCol w:w="1600"/>
        <w:gridCol w:w="1145"/>
        <w:gridCol w:w="1266"/>
        <w:gridCol w:w="1432"/>
      </w:tblGrid>
      <w:tr w:rsidR="00E073E8" w:rsidRPr="00164BC3" w14:paraId="1F83EB1F" w14:textId="77777777" w:rsidTr="003060A9">
        <w:tc>
          <w:tcPr>
            <w:tcW w:w="5000" w:type="pct"/>
            <w:gridSpan w:val="7"/>
            <w:tcBorders>
              <w:top w:val="double" w:sz="4" w:space="0" w:color="auto"/>
              <w:left w:val="single" w:sz="4" w:space="0" w:color="auto"/>
              <w:bottom w:val="single" w:sz="4" w:space="0" w:color="auto"/>
              <w:right w:val="single" w:sz="4" w:space="0" w:color="auto"/>
            </w:tcBorders>
            <w:vAlign w:val="center"/>
          </w:tcPr>
          <w:p w14:paraId="4F342BDF" w14:textId="77777777" w:rsidR="00E073E8" w:rsidRPr="00164BC3" w:rsidRDefault="00E073E8">
            <w:pPr>
              <w:pStyle w:val="In-tableHeading"/>
              <w:rPr>
                <w:lang w:val="en-AU"/>
              </w:rPr>
            </w:pPr>
            <w:r w:rsidRPr="00164BC3">
              <w:rPr>
                <w:lang w:val="en-AU"/>
              </w:rPr>
              <w:t>Harms (</w:t>
            </w:r>
            <w:r>
              <w:rPr>
                <w:lang w:val="en-AU"/>
              </w:rPr>
              <w:t>SAS</w:t>
            </w:r>
            <w:r w:rsidRPr="00164BC3">
              <w:rPr>
                <w:lang w:val="en-AU"/>
              </w:rPr>
              <w:t xml:space="preserve"> population) </w:t>
            </w:r>
          </w:p>
        </w:tc>
      </w:tr>
      <w:tr w:rsidR="00E073E8" w:rsidRPr="00164BC3" w14:paraId="4C147672" w14:textId="77777777" w:rsidTr="003060A9">
        <w:trPr>
          <w:trHeight w:val="70"/>
        </w:trPr>
        <w:tc>
          <w:tcPr>
            <w:tcW w:w="712" w:type="pct"/>
            <w:vMerge w:val="restart"/>
            <w:tcBorders>
              <w:top w:val="single" w:sz="4" w:space="0" w:color="auto"/>
              <w:left w:val="single" w:sz="4" w:space="0" w:color="auto"/>
              <w:bottom w:val="single" w:sz="4" w:space="0" w:color="auto"/>
              <w:right w:val="single" w:sz="4" w:space="0" w:color="auto"/>
            </w:tcBorders>
            <w:vAlign w:val="center"/>
          </w:tcPr>
          <w:p w14:paraId="22DFC753" w14:textId="77777777" w:rsidR="00E073E8" w:rsidRPr="00164BC3" w:rsidRDefault="00E073E8">
            <w:pPr>
              <w:pStyle w:val="In-tableHeading"/>
              <w:rPr>
                <w:lang w:val="en-AU"/>
              </w:rPr>
            </w:pP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7DEE846E" w14:textId="46A8A2AB" w:rsidR="00E073E8" w:rsidRDefault="00E073E8">
            <w:pPr>
              <w:pStyle w:val="In-tableHeading"/>
              <w:jc w:val="center"/>
              <w:rPr>
                <w:lang w:val="en-AU"/>
              </w:rPr>
            </w:pPr>
            <w:r>
              <w:rPr>
                <w:lang w:val="en-AU"/>
              </w:rPr>
              <w:t>DURVA + GC</w:t>
            </w:r>
          </w:p>
          <w:p w14:paraId="425B6287" w14:textId="77777777" w:rsidR="00E073E8" w:rsidRPr="00164BC3" w:rsidRDefault="00E073E8">
            <w:pPr>
              <w:pStyle w:val="In-tableHeading"/>
              <w:jc w:val="center"/>
              <w:rPr>
                <w:lang w:val="en-AU"/>
              </w:rPr>
            </w:pPr>
            <w:r>
              <w:rPr>
                <w:lang w:val="en-AU"/>
              </w:rPr>
              <w:t>n/N</w:t>
            </w: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46DFA48B" w14:textId="77777777" w:rsidR="00E073E8" w:rsidRPr="00164BC3" w:rsidRDefault="00E073E8">
            <w:pPr>
              <w:pStyle w:val="In-tableHeading"/>
              <w:jc w:val="center"/>
              <w:rPr>
                <w:lang w:val="en-AU"/>
              </w:rPr>
            </w:pPr>
            <w:r>
              <w:rPr>
                <w:lang w:val="en-AU"/>
              </w:rPr>
              <w:t>GC</w:t>
            </w:r>
          </w:p>
          <w:p w14:paraId="0CB837A0" w14:textId="77777777" w:rsidR="00E073E8" w:rsidRPr="00164BC3" w:rsidRDefault="00E073E8">
            <w:pPr>
              <w:pStyle w:val="In-tableHeading"/>
              <w:jc w:val="center"/>
              <w:rPr>
                <w:lang w:val="en-AU"/>
              </w:rPr>
            </w:pPr>
            <w:r w:rsidRPr="00164BC3">
              <w:rPr>
                <w:lang w:val="en-AU"/>
              </w:rPr>
              <w:t>n/N</w:t>
            </w:r>
          </w:p>
        </w:tc>
        <w:tc>
          <w:tcPr>
            <w:tcW w:w="887" w:type="pct"/>
            <w:vMerge w:val="restart"/>
            <w:tcBorders>
              <w:top w:val="single" w:sz="4" w:space="0" w:color="auto"/>
              <w:left w:val="single" w:sz="4" w:space="0" w:color="auto"/>
              <w:bottom w:val="single" w:sz="4" w:space="0" w:color="auto"/>
              <w:right w:val="single" w:sz="4" w:space="0" w:color="auto"/>
            </w:tcBorders>
            <w:vAlign w:val="center"/>
          </w:tcPr>
          <w:p w14:paraId="123AA169" w14:textId="77777777" w:rsidR="00E073E8" w:rsidRPr="00164BC3" w:rsidRDefault="00E073E8">
            <w:pPr>
              <w:pStyle w:val="In-tableHeading"/>
              <w:jc w:val="center"/>
              <w:rPr>
                <w:lang w:val="en-AU"/>
              </w:rPr>
            </w:pPr>
            <w:r w:rsidRPr="00164BC3">
              <w:rPr>
                <w:lang w:val="en-AU"/>
              </w:rPr>
              <w:t>RR</w:t>
            </w:r>
          </w:p>
          <w:p w14:paraId="6E4EFA08" w14:textId="77777777" w:rsidR="00E073E8" w:rsidRPr="00164BC3" w:rsidRDefault="00E073E8">
            <w:pPr>
              <w:pStyle w:val="In-tableHeading"/>
              <w:jc w:val="center"/>
              <w:rPr>
                <w:lang w:val="en-AU"/>
              </w:rPr>
            </w:pPr>
            <w:r w:rsidRPr="00164BC3">
              <w:rPr>
                <w:lang w:val="en-AU"/>
              </w:rPr>
              <w:t>(95% CI)</w:t>
            </w:r>
          </w:p>
        </w:tc>
        <w:tc>
          <w:tcPr>
            <w:tcW w:w="1337" w:type="pct"/>
            <w:gridSpan w:val="2"/>
            <w:tcBorders>
              <w:top w:val="single" w:sz="4" w:space="0" w:color="auto"/>
              <w:left w:val="single" w:sz="4" w:space="0" w:color="auto"/>
              <w:bottom w:val="single" w:sz="4" w:space="0" w:color="auto"/>
              <w:right w:val="single" w:sz="4" w:space="0" w:color="auto"/>
            </w:tcBorders>
            <w:vAlign w:val="center"/>
          </w:tcPr>
          <w:p w14:paraId="66DAEA48" w14:textId="77777777" w:rsidR="00E073E8" w:rsidRPr="00164BC3" w:rsidRDefault="00E073E8">
            <w:pPr>
              <w:pStyle w:val="In-tableHeading"/>
              <w:jc w:val="center"/>
              <w:rPr>
                <w:lang w:val="en-AU"/>
              </w:rPr>
            </w:pPr>
            <w:r w:rsidRPr="00164BC3">
              <w:rPr>
                <w:lang w:val="en-AU"/>
              </w:rPr>
              <w:t>Event rate/100 patients</w:t>
            </w:r>
          </w:p>
        </w:tc>
        <w:tc>
          <w:tcPr>
            <w:tcW w:w="793" w:type="pct"/>
            <w:vMerge w:val="restart"/>
            <w:tcBorders>
              <w:top w:val="single" w:sz="4" w:space="0" w:color="auto"/>
              <w:left w:val="single" w:sz="4" w:space="0" w:color="auto"/>
              <w:bottom w:val="single" w:sz="4" w:space="0" w:color="auto"/>
              <w:right w:val="single" w:sz="4" w:space="0" w:color="auto"/>
            </w:tcBorders>
            <w:vAlign w:val="center"/>
          </w:tcPr>
          <w:p w14:paraId="775AC337" w14:textId="77777777" w:rsidR="00E073E8" w:rsidRPr="00164BC3" w:rsidRDefault="00E073E8">
            <w:pPr>
              <w:pStyle w:val="In-tableHeading"/>
              <w:jc w:val="center"/>
              <w:rPr>
                <w:lang w:val="en-AU"/>
              </w:rPr>
            </w:pPr>
            <w:r w:rsidRPr="00164BC3">
              <w:rPr>
                <w:lang w:val="en-AU"/>
              </w:rPr>
              <w:t>RD</w:t>
            </w:r>
          </w:p>
          <w:p w14:paraId="700006DE" w14:textId="77777777" w:rsidR="00E073E8" w:rsidRPr="00164BC3" w:rsidRDefault="00E073E8">
            <w:pPr>
              <w:pStyle w:val="In-tableHeading"/>
              <w:jc w:val="center"/>
              <w:rPr>
                <w:lang w:val="en-AU"/>
              </w:rPr>
            </w:pPr>
            <w:r w:rsidRPr="00164BC3">
              <w:rPr>
                <w:lang w:val="en-AU"/>
              </w:rPr>
              <w:t>(95% CI)</w:t>
            </w:r>
          </w:p>
        </w:tc>
      </w:tr>
      <w:tr w:rsidR="00E073E8" w:rsidRPr="00164BC3" w14:paraId="265A1CCA" w14:textId="77777777" w:rsidTr="003060A9">
        <w:trPr>
          <w:trHeight w:val="54"/>
        </w:trPr>
        <w:tc>
          <w:tcPr>
            <w:tcW w:w="712" w:type="pct"/>
            <w:vMerge/>
            <w:tcBorders>
              <w:top w:val="single" w:sz="4" w:space="0" w:color="auto"/>
              <w:left w:val="single" w:sz="4" w:space="0" w:color="auto"/>
              <w:bottom w:val="single" w:sz="4" w:space="0" w:color="auto"/>
              <w:right w:val="single" w:sz="4" w:space="0" w:color="auto"/>
            </w:tcBorders>
            <w:vAlign w:val="center"/>
          </w:tcPr>
          <w:p w14:paraId="4810E0BC" w14:textId="77777777" w:rsidR="00E073E8" w:rsidRPr="00164BC3" w:rsidRDefault="00E073E8">
            <w:pPr>
              <w:pStyle w:val="In-tableHeading"/>
              <w:rPr>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4A8A66A9" w14:textId="77777777" w:rsidR="00E073E8" w:rsidRPr="00164BC3" w:rsidRDefault="00E073E8">
            <w:pPr>
              <w:pStyle w:val="In-tableHeading"/>
              <w:rPr>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3A913D7B" w14:textId="77777777" w:rsidR="00E073E8" w:rsidRPr="00164BC3" w:rsidRDefault="00E073E8">
            <w:pPr>
              <w:pStyle w:val="In-tableHeading"/>
              <w:rPr>
                <w:lang w:val="en-AU"/>
              </w:rPr>
            </w:pPr>
          </w:p>
        </w:tc>
        <w:tc>
          <w:tcPr>
            <w:tcW w:w="887" w:type="pct"/>
            <w:vMerge/>
            <w:tcBorders>
              <w:top w:val="single" w:sz="4" w:space="0" w:color="auto"/>
              <w:left w:val="single" w:sz="4" w:space="0" w:color="auto"/>
              <w:bottom w:val="single" w:sz="4" w:space="0" w:color="auto"/>
              <w:right w:val="single" w:sz="4" w:space="0" w:color="auto"/>
            </w:tcBorders>
            <w:vAlign w:val="center"/>
          </w:tcPr>
          <w:p w14:paraId="70F07A96" w14:textId="77777777" w:rsidR="00E073E8" w:rsidRPr="00164BC3" w:rsidRDefault="00E073E8">
            <w:pPr>
              <w:pStyle w:val="In-tableHeading"/>
              <w:rPr>
                <w:lang w:val="en-AU"/>
              </w:rPr>
            </w:pPr>
          </w:p>
        </w:tc>
        <w:tc>
          <w:tcPr>
            <w:tcW w:w="635" w:type="pct"/>
            <w:tcBorders>
              <w:top w:val="single" w:sz="4" w:space="0" w:color="auto"/>
              <w:left w:val="single" w:sz="4" w:space="0" w:color="auto"/>
              <w:bottom w:val="single" w:sz="4" w:space="0" w:color="auto"/>
              <w:right w:val="single" w:sz="4" w:space="0" w:color="auto"/>
            </w:tcBorders>
            <w:vAlign w:val="center"/>
          </w:tcPr>
          <w:p w14:paraId="549BC3B4" w14:textId="4E755F0D" w:rsidR="00E073E8" w:rsidRPr="00164BC3" w:rsidRDefault="00E073E8">
            <w:pPr>
              <w:pStyle w:val="In-tableHeading"/>
              <w:jc w:val="center"/>
              <w:rPr>
                <w:lang w:val="en-AU"/>
              </w:rPr>
            </w:pPr>
            <w:r>
              <w:rPr>
                <w:lang w:val="en-AU"/>
              </w:rPr>
              <w:t>DURVA + GC</w:t>
            </w:r>
          </w:p>
        </w:tc>
        <w:tc>
          <w:tcPr>
            <w:tcW w:w="702" w:type="pct"/>
            <w:tcBorders>
              <w:top w:val="single" w:sz="4" w:space="0" w:color="auto"/>
              <w:left w:val="single" w:sz="4" w:space="0" w:color="auto"/>
              <w:bottom w:val="single" w:sz="4" w:space="0" w:color="auto"/>
              <w:right w:val="single" w:sz="4" w:space="0" w:color="auto"/>
            </w:tcBorders>
            <w:vAlign w:val="center"/>
          </w:tcPr>
          <w:p w14:paraId="76AFA9ED" w14:textId="77777777" w:rsidR="00E073E8" w:rsidRPr="00164BC3" w:rsidRDefault="00E073E8">
            <w:pPr>
              <w:pStyle w:val="In-tableHeading"/>
              <w:jc w:val="center"/>
              <w:rPr>
                <w:lang w:val="en-AU"/>
              </w:rPr>
            </w:pPr>
            <w:r>
              <w:rPr>
                <w:lang w:val="en-AU"/>
              </w:rPr>
              <w:t>GC</w:t>
            </w:r>
          </w:p>
        </w:tc>
        <w:tc>
          <w:tcPr>
            <w:tcW w:w="793" w:type="pct"/>
            <w:vMerge/>
            <w:tcBorders>
              <w:top w:val="single" w:sz="4" w:space="0" w:color="auto"/>
              <w:left w:val="single" w:sz="4" w:space="0" w:color="auto"/>
              <w:bottom w:val="single" w:sz="4" w:space="0" w:color="auto"/>
              <w:right w:val="single" w:sz="4" w:space="0" w:color="auto"/>
            </w:tcBorders>
            <w:vAlign w:val="center"/>
          </w:tcPr>
          <w:p w14:paraId="4C16EB9F" w14:textId="77777777" w:rsidR="00E073E8" w:rsidRPr="00164BC3" w:rsidRDefault="00E073E8">
            <w:pPr>
              <w:pStyle w:val="In-tableHeading"/>
              <w:rPr>
                <w:lang w:val="en-AU"/>
              </w:rPr>
            </w:pPr>
          </w:p>
        </w:tc>
      </w:tr>
      <w:tr w:rsidR="00E073E8" w:rsidRPr="00164BC3" w14:paraId="1D3A859C" w14:textId="77777777" w:rsidTr="003060A9">
        <w:tc>
          <w:tcPr>
            <w:tcW w:w="712" w:type="pct"/>
            <w:tcBorders>
              <w:top w:val="single" w:sz="4" w:space="0" w:color="auto"/>
              <w:left w:val="single" w:sz="4" w:space="0" w:color="auto"/>
              <w:bottom w:val="single" w:sz="4" w:space="0" w:color="auto"/>
              <w:right w:val="single" w:sz="4" w:space="0" w:color="auto"/>
            </w:tcBorders>
            <w:vAlign w:val="center"/>
          </w:tcPr>
          <w:p w14:paraId="6A0F25AE" w14:textId="77777777" w:rsidR="00E073E8" w:rsidRPr="00164BC3" w:rsidRDefault="00E073E8">
            <w:pPr>
              <w:pStyle w:val="TableText0"/>
            </w:pPr>
            <w:r w:rsidRPr="00164BC3">
              <w:t>SAEs</w:t>
            </w:r>
          </w:p>
        </w:tc>
        <w:tc>
          <w:tcPr>
            <w:tcW w:w="635" w:type="pct"/>
            <w:tcBorders>
              <w:top w:val="single" w:sz="4" w:space="0" w:color="auto"/>
              <w:left w:val="single" w:sz="4" w:space="0" w:color="auto"/>
              <w:bottom w:val="single" w:sz="4" w:space="0" w:color="auto"/>
              <w:right w:val="single" w:sz="4" w:space="0" w:color="auto"/>
            </w:tcBorders>
          </w:tcPr>
          <w:p w14:paraId="62257C2B" w14:textId="77777777" w:rsidR="00E073E8" w:rsidRPr="00164BC3" w:rsidRDefault="00E073E8">
            <w:pPr>
              <w:pStyle w:val="TableText0"/>
              <w:jc w:val="center"/>
            </w:pPr>
            <w:r>
              <w:t>326/530</w:t>
            </w:r>
          </w:p>
        </w:tc>
        <w:tc>
          <w:tcPr>
            <w:tcW w:w="635" w:type="pct"/>
            <w:tcBorders>
              <w:top w:val="single" w:sz="4" w:space="0" w:color="auto"/>
              <w:left w:val="single" w:sz="4" w:space="0" w:color="auto"/>
              <w:bottom w:val="single" w:sz="4" w:space="0" w:color="auto"/>
              <w:right w:val="single" w:sz="4" w:space="0" w:color="auto"/>
            </w:tcBorders>
          </w:tcPr>
          <w:p w14:paraId="53197668" w14:textId="77777777" w:rsidR="00E073E8" w:rsidRPr="00164BC3" w:rsidRDefault="00E073E8">
            <w:pPr>
              <w:pStyle w:val="TableText0"/>
              <w:jc w:val="center"/>
            </w:pPr>
            <w:r>
              <w:t>287/526</w:t>
            </w:r>
          </w:p>
        </w:tc>
        <w:tc>
          <w:tcPr>
            <w:tcW w:w="887" w:type="pct"/>
            <w:tcBorders>
              <w:top w:val="single" w:sz="4" w:space="0" w:color="auto"/>
              <w:left w:val="single" w:sz="4" w:space="0" w:color="auto"/>
              <w:bottom w:val="single" w:sz="4" w:space="0" w:color="auto"/>
              <w:right w:val="single" w:sz="4" w:space="0" w:color="auto"/>
            </w:tcBorders>
            <w:vAlign w:val="center"/>
          </w:tcPr>
          <w:p w14:paraId="12E04621" w14:textId="77777777" w:rsidR="00E073E8" w:rsidRPr="00164BC3" w:rsidRDefault="00E073E8">
            <w:pPr>
              <w:pStyle w:val="TableText0"/>
              <w:jc w:val="center"/>
            </w:pPr>
            <w:r>
              <w:t>1.13 (1.02, 1.25)</w:t>
            </w:r>
          </w:p>
        </w:tc>
        <w:tc>
          <w:tcPr>
            <w:tcW w:w="635" w:type="pct"/>
            <w:tcBorders>
              <w:top w:val="single" w:sz="4" w:space="0" w:color="auto"/>
              <w:left w:val="single" w:sz="4" w:space="0" w:color="auto"/>
              <w:bottom w:val="single" w:sz="4" w:space="0" w:color="auto"/>
              <w:right w:val="single" w:sz="4" w:space="0" w:color="auto"/>
            </w:tcBorders>
            <w:vAlign w:val="center"/>
          </w:tcPr>
          <w:p w14:paraId="40EF2B5E" w14:textId="77777777" w:rsidR="00E073E8" w:rsidRPr="00164BC3" w:rsidRDefault="00E073E8">
            <w:pPr>
              <w:pStyle w:val="TableText0"/>
              <w:jc w:val="center"/>
            </w:pPr>
            <w:r>
              <w:t>61.5</w:t>
            </w:r>
          </w:p>
        </w:tc>
        <w:tc>
          <w:tcPr>
            <w:tcW w:w="702" w:type="pct"/>
            <w:tcBorders>
              <w:top w:val="single" w:sz="4" w:space="0" w:color="auto"/>
              <w:left w:val="single" w:sz="4" w:space="0" w:color="auto"/>
              <w:bottom w:val="single" w:sz="4" w:space="0" w:color="auto"/>
              <w:right w:val="single" w:sz="4" w:space="0" w:color="auto"/>
            </w:tcBorders>
            <w:vAlign w:val="center"/>
          </w:tcPr>
          <w:p w14:paraId="325F84A6" w14:textId="77777777" w:rsidR="00E073E8" w:rsidRPr="00164BC3" w:rsidRDefault="00E073E8">
            <w:pPr>
              <w:pStyle w:val="TableText0"/>
              <w:jc w:val="center"/>
            </w:pPr>
            <w:r>
              <w:t>54.6</w:t>
            </w:r>
          </w:p>
        </w:tc>
        <w:tc>
          <w:tcPr>
            <w:tcW w:w="793" w:type="pct"/>
            <w:tcBorders>
              <w:top w:val="single" w:sz="4" w:space="0" w:color="auto"/>
              <w:left w:val="single" w:sz="4" w:space="0" w:color="auto"/>
              <w:bottom w:val="single" w:sz="4" w:space="0" w:color="auto"/>
              <w:right w:val="single" w:sz="4" w:space="0" w:color="auto"/>
            </w:tcBorders>
            <w:vAlign w:val="center"/>
          </w:tcPr>
          <w:p w14:paraId="1570A36F" w14:textId="77777777" w:rsidR="00E073E8" w:rsidRPr="00164BC3" w:rsidRDefault="00E073E8">
            <w:pPr>
              <w:pStyle w:val="TableText0"/>
              <w:jc w:val="center"/>
            </w:pPr>
            <w:r>
              <w:t>0.07 (0.01, 0.13)</w:t>
            </w:r>
          </w:p>
        </w:tc>
      </w:tr>
      <w:tr w:rsidR="00E073E8" w:rsidRPr="00164BC3" w14:paraId="5A191CC2" w14:textId="77777777" w:rsidTr="003060A9">
        <w:tc>
          <w:tcPr>
            <w:tcW w:w="712" w:type="pct"/>
            <w:tcBorders>
              <w:top w:val="single" w:sz="4" w:space="0" w:color="auto"/>
              <w:left w:val="single" w:sz="4" w:space="0" w:color="auto"/>
              <w:bottom w:val="single" w:sz="4" w:space="0" w:color="auto"/>
              <w:right w:val="single" w:sz="4" w:space="0" w:color="auto"/>
            </w:tcBorders>
            <w:vAlign w:val="center"/>
          </w:tcPr>
          <w:p w14:paraId="6924728F" w14:textId="77777777" w:rsidR="00E073E8" w:rsidRPr="00164BC3" w:rsidRDefault="00E073E8">
            <w:pPr>
              <w:pStyle w:val="TableText0"/>
            </w:pPr>
            <w:r w:rsidRPr="00164BC3">
              <w:t>AEs leading to discontinuation</w:t>
            </w:r>
          </w:p>
        </w:tc>
        <w:tc>
          <w:tcPr>
            <w:tcW w:w="635" w:type="pct"/>
            <w:tcBorders>
              <w:top w:val="single" w:sz="4" w:space="0" w:color="auto"/>
              <w:left w:val="single" w:sz="4" w:space="0" w:color="auto"/>
              <w:bottom w:val="single" w:sz="4" w:space="0" w:color="auto"/>
              <w:right w:val="single" w:sz="4" w:space="0" w:color="auto"/>
            </w:tcBorders>
            <w:vAlign w:val="center"/>
          </w:tcPr>
          <w:p w14:paraId="364BBD54" w14:textId="77777777" w:rsidR="00E073E8" w:rsidRPr="00164BC3" w:rsidRDefault="00E073E8">
            <w:pPr>
              <w:pStyle w:val="TableText0"/>
              <w:jc w:val="center"/>
            </w:pPr>
            <w:r>
              <w:t>112/530</w:t>
            </w:r>
          </w:p>
        </w:tc>
        <w:tc>
          <w:tcPr>
            <w:tcW w:w="635" w:type="pct"/>
            <w:tcBorders>
              <w:top w:val="single" w:sz="4" w:space="0" w:color="auto"/>
              <w:left w:val="single" w:sz="4" w:space="0" w:color="auto"/>
              <w:bottom w:val="single" w:sz="4" w:space="0" w:color="auto"/>
              <w:right w:val="single" w:sz="4" w:space="0" w:color="auto"/>
            </w:tcBorders>
            <w:vAlign w:val="center"/>
          </w:tcPr>
          <w:p w14:paraId="12AB1024" w14:textId="77777777" w:rsidR="00E073E8" w:rsidRPr="00164BC3" w:rsidRDefault="00E073E8">
            <w:pPr>
              <w:pStyle w:val="TableText0"/>
              <w:jc w:val="center"/>
            </w:pPr>
            <w:r>
              <w:t>50/526</w:t>
            </w:r>
          </w:p>
        </w:tc>
        <w:tc>
          <w:tcPr>
            <w:tcW w:w="887" w:type="pct"/>
            <w:tcBorders>
              <w:top w:val="single" w:sz="4" w:space="0" w:color="auto"/>
              <w:left w:val="single" w:sz="4" w:space="0" w:color="auto"/>
              <w:bottom w:val="single" w:sz="4" w:space="0" w:color="auto"/>
              <w:right w:val="single" w:sz="4" w:space="0" w:color="auto"/>
            </w:tcBorders>
            <w:vAlign w:val="center"/>
          </w:tcPr>
          <w:p w14:paraId="4796F9A3" w14:textId="77777777" w:rsidR="00E073E8" w:rsidRPr="00164BC3" w:rsidRDefault="00E073E8">
            <w:pPr>
              <w:pStyle w:val="TableText0"/>
              <w:jc w:val="center"/>
            </w:pPr>
            <w:r>
              <w:t>2.22 (1.63, 3.03)</w:t>
            </w:r>
          </w:p>
        </w:tc>
        <w:tc>
          <w:tcPr>
            <w:tcW w:w="635" w:type="pct"/>
            <w:tcBorders>
              <w:top w:val="single" w:sz="4" w:space="0" w:color="auto"/>
              <w:left w:val="single" w:sz="4" w:space="0" w:color="auto"/>
              <w:bottom w:val="single" w:sz="4" w:space="0" w:color="auto"/>
              <w:right w:val="single" w:sz="4" w:space="0" w:color="auto"/>
            </w:tcBorders>
            <w:vAlign w:val="center"/>
          </w:tcPr>
          <w:p w14:paraId="05F3C3C6" w14:textId="77777777" w:rsidR="00E073E8" w:rsidRPr="00164BC3" w:rsidRDefault="00E073E8">
            <w:pPr>
              <w:pStyle w:val="TableText0"/>
              <w:jc w:val="center"/>
            </w:pPr>
            <w:r>
              <w:t>21.1</w:t>
            </w:r>
          </w:p>
        </w:tc>
        <w:tc>
          <w:tcPr>
            <w:tcW w:w="702" w:type="pct"/>
            <w:tcBorders>
              <w:top w:val="single" w:sz="4" w:space="0" w:color="auto"/>
              <w:left w:val="single" w:sz="4" w:space="0" w:color="auto"/>
              <w:bottom w:val="single" w:sz="4" w:space="0" w:color="auto"/>
              <w:right w:val="single" w:sz="4" w:space="0" w:color="auto"/>
            </w:tcBorders>
            <w:vAlign w:val="center"/>
          </w:tcPr>
          <w:p w14:paraId="73AA496F" w14:textId="77777777" w:rsidR="00E073E8" w:rsidRPr="00164BC3" w:rsidRDefault="00E073E8">
            <w:pPr>
              <w:pStyle w:val="TableText0"/>
              <w:jc w:val="center"/>
            </w:pPr>
            <w:r>
              <w:t>9.5</w:t>
            </w:r>
          </w:p>
        </w:tc>
        <w:tc>
          <w:tcPr>
            <w:tcW w:w="793" w:type="pct"/>
            <w:tcBorders>
              <w:top w:val="single" w:sz="4" w:space="0" w:color="auto"/>
              <w:left w:val="single" w:sz="4" w:space="0" w:color="auto"/>
              <w:bottom w:val="single" w:sz="4" w:space="0" w:color="auto"/>
              <w:right w:val="single" w:sz="4" w:space="0" w:color="auto"/>
            </w:tcBorders>
            <w:vAlign w:val="center"/>
          </w:tcPr>
          <w:p w14:paraId="66D0249A" w14:textId="77777777" w:rsidR="00E073E8" w:rsidRPr="00164BC3" w:rsidRDefault="00E073E8">
            <w:pPr>
              <w:pStyle w:val="TableText0"/>
              <w:jc w:val="center"/>
            </w:pPr>
            <w:r>
              <w:t>0.12 (0.07, 0.16)</w:t>
            </w:r>
          </w:p>
        </w:tc>
      </w:tr>
      <w:tr w:rsidR="00E073E8" w:rsidRPr="00164BC3" w14:paraId="69CAA30D" w14:textId="77777777" w:rsidTr="003060A9">
        <w:tc>
          <w:tcPr>
            <w:tcW w:w="712" w:type="pct"/>
            <w:tcBorders>
              <w:top w:val="single" w:sz="4" w:space="0" w:color="auto"/>
              <w:left w:val="single" w:sz="4" w:space="0" w:color="auto"/>
              <w:bottom w:val="single" w:sz="4" w:space="0" w:color="auto"/>
              <w:right w:val="single" w:sz="4" w:space="0" w:color="auto"/>
            </w:tcBorders>
            <w:vAlign w:val="center"/>
          </w:tcPr>
          <w:p w14:paraId="10711F23" w14:textId="7338BF6D" w:rsidR="00E073E8" w:rsidRPr="00164BC3" w:rsidRDefault="00E073E8">
            <w:pPr>
              <w:pStyle w:val="TableText0"/>
            </w:pPr>
            <w:r w:rsidRPr="00164BC3">
              <w:t>AESI</w:t>
            </w:r>
          </w:p>
        </w:tc>
        <w:tc>
          <w:tcPr>
            <w:tcW w:w="635" w:type="pct"/>
            <w:tcBorders>
              <w:top w:val="single" w:sz="4" w:space="0" w:color="auto"/>
              <w:left w:val="single" w:sz="4" w:space="0" w:color="auto"/>
              <w:bottom w:val="single" w:sz="4" w:space="0" w:color="auto"/>
              <w:right w:val="single" w:sz="4" w:space="0" w:color="auto"/>
            </w:tcBorders>
          </w:tcPr>
          <w:p w14:paraId="5EC44154" w14:textId="77777777" w:rsidR="00E073E8" w:rsidRPr="00164BC3" w:rsidRDefault="00E073E8">
            <w:pPr>
              <w:pStyle w:val="TableText0"/>
              <w:jc w:val="center"/>
            </w:pPr>
            <w:r>
              <w:t>377/530</w:t>
            </w:r>
          </w:p>
        </w:tc>
        <w:tc>
          <w:tcPr>
            <w:tcW w:w="635" w:type="pct"/>
            <w:tcBorders>
              <w:top w:val="single" w:sz="4" w:space="0" w:color="auto"/>
              <w:left w:val="single" w:sz="4" w:space="0" w:color="auto"/>
              <w:bottom w:val="single" w:sz="4" w:space="0" w:color="auto"/>
              <w:right w:val="single" w:sz="4" w:space="0" w:color="auto"/>
            </w:tcBorders>
          </w:tcPr>
          <w:p w14:paraId="2A0B1586" w14:textId="77777777" w:rsidR="00E073E8" w:rsidRPr="00164BC3" w:rsidRDefault="00E073E8">
            <w:pPr>
              <w:pStyle w:val="TableText0"/>
              <w:jc w:val="center"/>
            </w:pPr>
            <w:r>
              <w:t>284/526</w:t>
            </w:r>
          </w:p>
        </w:tc>
        <w:tc>
          <w:tcPr>
            <w:tcW w:w="887" w:type="pct"/>
            <w:tcBorders>
              <w:top w:val="single" w:sz="4" w:space="0" w:color="auto"/>
              <w:left w:val="single" w:sz="4" w:space="0" w:color="auto"/>
              <w:bottom w:val="single" w:sz="4" w:space="0" w:color="auto"/>
              <w:right w:val="single" w:sz="4" w:space="0" w:color="auto"/>
            </w:tcBorders>
            <w:vAlign w:val="center"/>
          </w:tcPr>
          <w:p w14:paraId="06457FA3" w14:textId="77777777" w:rsidR="00E073E8" w:rsidRPr="00164BC3" w:rsidRDefault="00E073E8">
            <w:pPr>
              <w:pStyle w:val="TableText0"/>
              <w:jc w:val="center"/>
            </w:pPr>
            <w:r>
              <w:t>1.32 (1.20, 1.45)</w:t>
            </w:r>
          </w:p>
        </w:tc>
        <w:tc>
          <w:tcPr>
            <w:tcW w:w="635" w:type="pct"/>
            <w:tcBorders>
              <w:top w:val="single" w:sz="4" w:space="0" w:color="auto"/>
              <w:left w:val="single" w:sz="4" w:space="0" w:color="auto"/>
              <w:bottom w:val="single" w:sz="4" w:space="0" w:color="auto"/>
              <w:right w:val="single" w:sz="4" w:space="0" w:color="auto"/>
            </w:tcBorders>
            <w:vAlign w:val="center"/>
          </w:tcPr>
          <w:p w14:paraId="333E4E68" w14:textId="77777777" w:rsidR="00E073E8" w:rsidRPr="00164BC3" w:rsidRDefault="00E073E8">
            <w:pPr>
              <w:pStyle w:val="TableText0"/>
              <w:jc w:val="center"/>
            </w:pPr>
            <w:r>
              <w:t>71.1</w:t>
            </w:r>
          </w:p>
        </w:tc>
        <w:tc>
          <w:tcPr>
            <w:tcW w:w="702" w:type="pct"/>
            <w:tcBorders>
              <w:top w:val="single" w:sz="4" w:space="0" w:color="auto"/>
              <w:left w:val="single" w:sz="4" w:space="0" w:color="auto"/>
              <w:bottom w:val="single" w:sz="4" w:space="0" w:color="auto"/>
              <w:right w:val="single" w:sz="4" w:space="0" w:color="auto"/>
            </w:tcBorders>
            <w:vAlign w:val="center"/>
          </w:tcPr>
          <w:p w14:paraId="7852BC7A" w14:textId="77777777" w:rsidR="00E073E8" w:rsidRPr="00164BC3" w:rsidRDefault="00E073E8">
            <w:pPr>
              <w:pStyle w:val="TableText0"/>
              <w:jc w:val="center"/>
            </w:pPr>
            <w:r>
              <w:t>54</w:t>
            </w:r>
          </w:p>
        </w:tc>
        <w:tc>
          <w:tcPr>
            <w:tcW w:w="793" w:type="pct"/>
            <w:tcBorders>
              <w:top w:val="single" w:sz="4" w:space="0" w:color="auto"/>
              <w:left w:val="single" w:sz="4" w:space="0" w:color="auto"/>
              <w:bottom w:val="single" w:sz="4" w:space="0" w:color="auto"/>
              <w:right w:val="single" w:sz="4" w:space="0" w:color="auto"/>
            </w:tcBorders>
            <w:vAlign w:val="center"/>
          </w:tcPr>
          <w:p w14:paraId="19158637" w14:textId="77777777" w:rsidR="00E073E8" w:rsidRPr="00164BC3" w:rsidRDefault="00E073E8">
            <w:pPr>
              <w:pStyle w:val="TableText0"/>
              <w:jc w:val="center"/>
            </w:pPr>
            <w:r>
              <w:t>0.17 (0.11, 0.23)</w:t>
            </w:r>
          </w:p>
        </w:tc>
      </w:tr>
    </w:tbl>
    <w:p w14:paraId="1DDE16F8" w14:textId="77777777" w:rsidR="00E073E8" w:rsidRDefault="00E073E8" w:rsidP="00E073E8">
      <w:pPr>
        <w:pStyle w:val="3-BodyText"/>
        <w:numPr>
          <w:ilvl w:val="0"/>
          <w:numId w:val="0"/>
        </w:numPr>
        <w:spacing w:before="0" w:after="0"/>
        <w:rPr>
          <w:rFonts w:ascii="Arial Narrow" w:hAnsi="Arial Narrow"/>
          <w:sz w:val="18"/>
          <w:szCs w:val="18"/>
        </w:rPr>
      </w:pPr>
      <w:r>
        <w:rPr>
          <w:rFonts w:ascii="Arial Narrow" w:hAnsi="Arial Narrow"/>
          <w:sz w:val="18"/>
          <w:szCs w:val="18"/>
        </w:rPr>
        <w:t>Source: Table 2-16, p60, Table 2-17, p62, Table 2-23, pp71-72, and Table 44, pp156-158 of the Durvalumab Clinical Study Report</w:t>
      </w:r>
    </w:p>
    <w:p w14:paraId="6C23FB7D" w14:textId="77B55F7E" w:rsidR="00E073E8" w:rsidRDefault="001749C3" w:rsidP="00E073E8">
      <w:pPr>
        <w:pStyle w:val="TableFigureFooter"/>
      </w:pPr>
      <w:r>
        <w:t>AESI</w:t>
      </w:r>
      <w:r w:rsidR="000907F9">
        <w:t xml:space="preserve"> = </w:t>
      </w:r>
      <w:r w:rsidRPr="001749C3">
        <w:t>A</w:t>
      </w:r>
      <w:r w:rsidR="000907F9">
        <w:t>d</w:t>
      </w:r>
      <w:r w:rsidRPr="001749C3">
        <w:t>verse event of special interest</w:t>
      </w:r>
      <w:r w:rsidR="000907F9">
        <w:t xml:space="preserve">; </w:t>
      </w:r>
      <w:r w:rsidR="00E073E8">
        <w:t>AEs = Adverse Events; CI = Confidence interval; DURVA = durvalumab; EFS = Event free survival; FAS = Full analysis set; GC = Gemcitabine plus cisplatin; HR = Hazard ratio; NAC = Neoadjuvant chemotherapy; NR = Not reached; OS = Overall survival; PFS = Progression free survival;</w:t>
      </w:r>
      <w:r w:rsidR="00E073E8" w:rsidRPr="0041701F">
        <w:t xml:space="preserve"> </w:t>
      </w:r>
      <w:r w:rsidR="00E073E8">
        <w:t>SAS = Safety analysis set.</w:t>
      </w:r>
    </w:p>
    <w:p w14:paraId="3B73CA9E" w14:textId="77777777" w:rsidR="00E073E8" w:rsidRPr="0069787D" w:rsidRDefault="00E073E8" w:rsidP="00E073E8">
      <w:pPr>
        <w:pStyle w:val="TableFigureFooter"/>
        <w:rPr>
          <w:szCs w:val="18"/>
        </w:rPr>
      </w:pPr>
      <w:r w:rsidRPr="00186EFC">
        <w:rPr>
          <w:szCs w:val="18"/>
          <w:vertAlign w:val="superscript"/>
        </w:rPr>
        <w:t>a</w:t>
      </w:r>
      <w:r>
        <w:rPr>
          <w:szCs w:val="18"/>
        </w:rPr>
        <w:t xml:space="preserve"> Efficacy and safety data were from the NIAGARA trial at IA-2, with a median follow-up of 34.7 months in durvalumab + GC and 27.7 months in GC for EFS, and a median follow-up of 42.3 months in durvalumab + GC and 39.6 months in GC for OS.</w:t>
      </w:r>
    </w:p>
    <w:p w14:paraId="6430F1ED" w14:textId="77777777" w:rsidR="00E073E8" w:rsidRDefault="00E073E8" w:rsidP="00E073E8">
      <w:pPr>
        <w:pStyle w:val="3-BodyText"/>
        <w:rPr>
          <w:rStyle w:val="CommentReference"/>
          <w:rFonts w:asciiTheme="minorHAnsi" w:hAnsiTheme="minorHAnsi"/>
          <w:b w:val="0"/>
          <w:color w:val="000000" w:themeColor="text1"/>
          <w:sz w:val="24"/>
          <w:szCs w:val="22"/>
        </w:rPr>
      </w:pPr>
      <w:r w:rsidRPr="00DF0C0F">
        <w:rPr>
          <w:rStyle w:val="CommentReference"/>
          <w:rFonts w:asciiTheme="minorHAnsi" w:hAnsiTheme="minorHAnsi"/>
          <w:b w:val="0"/>
          <w:color w:val="000000" w:themeColor="text1"/>
          <w:sz w:val="24"/>
          <w:szCs w:val="22"/>
        </w:rPr>
        <w:lastRenderedPageBreak/>
        <w:t>On the basis of direct evidence presented by the submission, for every 100 patients treated with</w:t>
      </w:r>
      <w:r>
        <w:rPr>
          <w:rStyle w:val="CommentReference"/>
          <w:rFonts w:asciiTheme="minorHAnsi" w:hAnsiTheme="minorHAnsi"/>
          <w:b w:val="0"/>
          <w:color w:val="000000" w:themeColor="text1"/>
          <w:sz w:val="24"/>
          <w:szCs w:val="22"/>
        </w:rPr>
        <w:t xml:space="preserve"> neoadjuvant durvalumab in combination with NAC followed by RC and adjuvant durvalumab monotherapy, in comparison with NAC followed by RC, over a median follow-up of 42.3 months:</w:t>
      </w:r>
    </w:p>
    <w:p w14:paraId="44BE0BD5" w14:textId="77777777" w:rsidR="00E073E8" w:rsidRDefault="00E073E8" w:rsidP="00702407">
      <w:pPr>
        <w:pStyle w:val="3-BodyText"/>
        <w:numPr>
          <w:ilvl w:val="0"/>
          <w:numId w:val="11"/>
        </w:numPr>
        <w:ind w:left="1134"/>
        <w:rPr>
          <w:rStyle w:val="CommentReference"/>
          <w:rFonts w:asciiTheme="minorHAnsi" w:hAnsiTheme="minorHAnsi"/>
          <w:b w:val="0"/>
          <w:color w:val="000000" w:themeColor="text1"/>
          <w:sz w:val="24"/>
          <w:szCs w:val="22"/>
        </w:rPr>
      </w:pPr>
      <w:r>
        <w:rPr>
          <w:rStyle w:val="CommentReference"/>
          <w:rFonts w:asciiTheme="minorHAnsi" w:hAnsiTheme="minorHAnsi"/>
          <w:b w:val="0"/>
          <w:color w:val="000000" w:themeColor="text1"/>
          <w:sz w:val="24"/>
          <w:szCs w:val="22"/>
        </w:rPr>
        <w:t>Approximately 10 additional patients will remain free of disease progression, recurrence, or death at 3 years.</w:t>
      </w:r>
    </w:p>
    <w:p w14:paraId="49D8B216" w14:textId="77777777" w:rsidR="00E073E8" w:rsidRDefault="00E073E8" w:rsidP="00702407">
      <w:pPr>
        <w:pStyle w:val="3-BodyText"/>
        <w:numPr>
          <w:ilvl w:val="0"/>
          <w:numId w:val="11"/>
        </w:numPr>
        <w:ind w:left="1134"/>
        <w:rPr>
          <w:rStyle w:val="CommentReference"/>
          <w:rFonts w:asciiTheme="minorHAnsi" w:hAnsiTheme="minorHAnsi"/>
          <w:b w:val="0"/>
          <w:color w:val="000000" w:themeColor="text1"/>
          <w:sz w:val="24"/>
          <w:szCs w:val="22"/>
        </w:rPr>
      </w:pPr>
      <w:r>
        <w:rPr>
          <w:rStyle w:val="CommentReference"/>
          <w:rFonts w:asciiTheme="minorHAnsi" w:hAnsiTheme="minorHAnsi"/>
          <w:b w:val="0"/>
          <w:color w:val="000000" w:themeColor="text1"/>
          <w:sz w:val="24"/>
          <w:szCs w:val="22"/>
        </w:rPr>
        <w:t>Approximately 7 additional patients will remain alive at 5 years.</w:t>
      </w:r>
    </w:p>
    <w:p w14:paraId="1934C951" w14:textId="77777777" w:rsidR="00E073E8" w:rsidRPr="00406AB0" w:rsidRDefault="00E073E8" w:rsidP="00702407">
      <w:pPr>
        <w:pStyle w:val="ListParagraph"/>
        <w:numPr>
          <w:ilvl w:val="0"/>
          <w:numId w:val="11"/>
        </w:numPr>
        <w:ind w:left="1134"/>
        <w:rPr>
          <w:rStyle w:val="CommentReference"/>
          <w:rFonts w:asciiTheme="minorHAnsi" w:eastAsiaTheme="minorHAnsi" w:hAnsiTheme="minorHAnsi" w:cstheme="minorBidi"/>
          <w:b w:val="0"/>
          <w:snapToGrid/>
          <w:color w:val="000000" w:themeColor="text1"/>
          <w:sz w:val="24"/>
          <w:szCs w:val="22"/>
        </w:rPr>
      </w:pPr>
      <w:r w:rsidRPr="00406AB0">
        <w:rPr>
          <w:rStyle w:val="CommentReference"/>
          <w:rFonts w:asciiTheme="minorHAnsi" w:eastAsiaTheme="minorHAnsi" w:hAnsiTheme="minorHAnsi" w:cstheme="minorBidi"/>
          <w:b w:val="0"/>
          <w:snapToGrid/>
          <w:color w:val="000000" w:themeColor="text1"/>
          <w:sz w:val="24"/>
          <w:szCs w:val="22"/>
        </w:rPr>
        <w:t xml:space="preserve">Approximately </w:t>
      </w:r>
      <w:r>
        <w:rPr>
          <w:rStyle w:val="CommentReference"/>
          <w:rFonts w:asciiTheme="minorHAnsi" w:eastAsiaTheme="minorHAnsi" w:hAnsiTheme="minorHAnsi" w:cstheme="minorBidi"/>
          <w:b w:val="0"/>
          <w:snapToGrid/>
          <w:color w:val="000000" w:themeColor="text1"/>
          <w:sz w:val="24"/>
          <w:szCs w:val="22"/>
        </w:rPr>
        <w:t>7</w:t>
      </w:r>
      <w:r w:rsidRPr="00406AB0">
        <w:rPr>
          <w:rStyle w:val="CommentReference"/>
          <w:rFonts w:asciiTheme="minorHAnsi" w:eastAsiaTheme="minorHAnsi" w:hAnsiTheme="minorHAnsi" w:cstheme="minorBidi"/>
          <w:b w:val="0"/>
          <w:snapToGrid/>
          <w:color w:val="000000" w:themeColor="text1"/>
          <w:sz w:val="24"/>
          <w:szCs w:val="22"/>
        </w:rPr>
        <w:t xml:space="preserve"> additional patients will experience a SAE.</w:t>
      </w:r>
    </w:p>
    <w:p w14:paraId="4033711F" w14:textId="65C44FB6" w:rsidR="00E073E8" w:rsidRPr="00DF1914" w:rsidRDefault="00E073E8" w:rsidP="00E073E8">
      <w:pPr>
        <w:pStyle w:val="4-SubsectionHeading"/>
      </w:pPr>
      <w:bookmarkStart w:id="71" w:name="_Toc22897644"/>
      <w:bookmarkStart w:id="72" w:name="_Toc209021286"/>
      <w:bookmarkStart w:id="73" w:name="_Toc209023182"/>
      <w:r w:rsidRPr="00DF1914">
        <w:t>Clinical claim</w:t>
      </w:r>
      <w:bookmarkEnd w:id="71"/>
      <w:bookmarkEnd w:id="72"/>
      <w:bookmarkEnd w:id="73"/>
    </w:p>
    <w:p w14:paraId="70FF27AD" w14:textId="0B2A47EF" w:rsidR="006D40F7" w:rsidRDefault="006D40F7" w:rsidP="006D40F7">
      <w:pPr>
        <w:pStyle w:val="3-BodyText"/>
        <w:numPr>
          <w:ilvl w:val="0"/>
          <w:numId w:val="0"/>
        </w:numPr>
        <w:ind w:left="720" w:hanging="720"/>
        <w:rPr>
          <w:rFonts w:eastAsia="Calibri"/>
        </w:rPr>
      </w:pPr>
      <w:bookmarkStart w:id="74" w:name="_Ref210227643"/>
      <w:r w:rsidRPr="00305019">
        <w:rPr>
          <w:b/>
          <w:bCs/>
        </w:rPr>
        <w:t>Head-to-head</w:t>
      </w:r>
      <w:r>
        <w:rPr>
          <w:b/>
          <w:bCs/>
        </w:rPr>
        <w:t xml:space="preserve"> trial</w:t>
      </w:r>
      <w:r w:rsidRPr="00305019">
        <w:rPr>
          <w:b/>
          <w:bCs/>
        </w:rPr>
        <w:t xml:space="preserve"> </w:t>
      </w:r>
      <w:r>
        <w:rPr>
          <w:b/>
          <w:bCs/>
        </w:rPr>
        <w:t>(</w:t>
      </w:r>
      <w:r w:rsidRPr="00305019">
        <w:rPr>
          <w:b/>
          <w:bCs/>
        </w:rPr>
        <w:t>NIAGARA</w:t>
      </w:r>
      <w:r>
        <w:rPr>
          <w:b/>
          <w:bCs/>
        </w:rPr>
        <w:t>)</w:t>
      </w:r>
      <w:r w:rsidRPr="00305019">
        <w:rPr>
          <w:b/>
          <w:bCs/>
        </w:rPr>
        <w:t xml:space="preserve"> of </w:t>
      </w:r>
      <w:r w:rsidRPr="001631BE">
        <w:rPr>
          <w:b/>
          <w:bCs/>
        </w:rPr>
        <w:t xml:space="preserve">perioperative </w:t>
      </w:r>
      <w:r>
        <w:rPr>
          <w:b/>
          <w:bCs/>
        </w:rPr>
        <w:t>durvalumab vs</w:t>
      </w:r>
      <w:r w:rsidRPr="00305019">
        <w:rPr>
          <w:b/>
          <w:bCs/>
        </w:rPr>
        <w:t xml:space="preserve"> </w:t>
      </w:r>
      <w:r>
        <w:rPr>
          <w:b/>
          <w:bCs/>
        </w:rPr>
        <w:t>neoadjuvant chemotherapy</w:t>
      </w:r>
    </w:p>
    <w:p w14:paraId="6046224F" w14:textId="77777777" w:rsidR="003666CD" w:rsidRDefault="00E073E8" w:rsidP="00AA11DF">
      <w:pPr>
        <w:pStyle w:val="3-BodyText"/>
        <w:rPr>
          <w:rFonts w:eastAsia="Calibri"/>
        </w:rPr>
      </w:pPr>
      <w:bookmarkStart w:id="75" w:name="_Ref211851095"/>
      <w:r w:rsidRPr="00CD3054">
        <w:rPr>
          <w:rFonts w:eastAsia="Calibri"/>
        </w:rPr>
        <w:t xml:space="preserve">The submission described perioperative </w:t>
      </w:r>
      <w:r>
        <w:rPr>
          <w:rStyle w:val="CommentReference"/>
          <w:rFonts w:asciiTheme="minorHAnsi" w:hAnsiTheme="minorHAnsi"/>
          <w:b w:val="0"/>
          <w:color w:val="000000" w:themeColor="text1"/>
          <w:sz w:val="24"/>
          <w:szCs w:val="22"/>
        </w:rPr>
        <w:t>durvalumab</w:t>
      </w:r>
      <w:r w:rsidRPr="00CD3054">
        <w:rPr>
          <w:rFonts w:eastAsia="Calibri"/>
        </w:rPr>
        <w:t xml:space="preserve"> in combination with GC </w:t>
      </w:r>
      <w:r>
        <w:rPr>
          <w:rFonts w:eastAsia="Calibri"/>
        </w:rPr>
        <w:t xml:space="preserve">NAC </w:t>
      </w:r>
      <w:r w:rsidRPr="00CD3054">
        <w:rPr>
          <w:rFonts w:eastAsia="Calibri"/>
        </w:rPr>
        <w:t>as superior in terms of effectiveness compared to</w:t>
      </w:r>
      <w:r w:rsidR="00C81681">
        <w:rPr>
          <w:rFonts w:eastAsia="Calibri"/>
        </w:rPr>
        <w:t xml:space="preserve"> </w:t>
      </w:r>
      <w:r w:rsidR="00C30204">
        <w:rPr>
          <w:rFonts w:eastAsia="Calibri"/>
        </w:rPr>
        <w:t xml:space="preserve">GC </w:t>
      </w:r>
      <w:r w:rsidR="00C81681">
        <w:rPr>
          <w:rFonts w:eastAsia="Calibri"/>
        </w:rPr>
        <w:t>NAC</w:t>
      </w:r>
      <w:r w:rsidRPr="00CD3054">
        <w:rPr>
          <w:rFonts w:eastAsia="Calibri"/>
        </w:rPr>
        <w:t xml:space="preserve">. </w:t>
      </w:r>
    </w:p>
    <w:bookmarkEnd w:id="74"/>
    <w:bookmarkEnd w:id="75"/>
    <w:p w14:paraId="57CB1128" w14:textId="7FAE6A85" w:rsidR="00A9299B" w:rsidRPr="00AA11DF" w:rsidRDefault="007E55FB" w:rsidP="00AA11DF">
      <w:pPr>
        <w:pStyle w:val="3-BodyText"/>
        <w:rPr>
          <w:rFonts w:eastAsia="Calibri"/>
        </w:rPr>
      </w:pPr>
      <w:r>
        <w:rPr>
          <w:rFonts w:eastAsia="Calibri"/>
        </w:rPr>
        <w:t>It was noted by the evaluation that n</w:t>
      </w:r>
      <w:r w:rsidR="00E073E8" w:rsidRPr="00AA11DF">
        <w:rPr>
          <w:rFonts w:eastAsia="Calibri"/>
        </w:rPr>
        <w:t>ivolumab</w:t>
      </w:r>
      <w:r w:rsidR="004C1B32" w:rsidRPr="00AA11DF">
        <w:rPr>
          <w:rFonts w:eastAsia="Calibri"/>
        </w:rPr>
        <w:t>,</w:t>
      </w:r>
      <w:r w:rsidR="00E073E8" w:rsidRPr="00AA11DF">
        <w:rPr>
          <w:rFonts w:eastAsia="Calibri"/>
        </w:rPr>
        <w:t xml:space="preserve"> as adjuvant treatment for patients with high-risk of disease recurrence</w:t>
      </w:r>
      <w:r w:rsidR="004C1B32" w:rsidRPr="00AA11DF">
        <w:rPr>
          <w:rFonts w:eastAsia="Calibri"/>
        </w:rPr>
        <w:t>,</w:t>
      </w:r>
      <w:r w:rsidR="00E073E8" w:rsidRPr="00AA11DF">
        <w:rPr>
          <w:rFonts w:eastAsia="Calibri"/>
        </w:rPr>
        <w:t xml:space="preserve"> was not </w:t>
      </w:r>
      <w:r w:rsidR="00E603D4" w:rsidRPr="00AA11DF">
        <w:rPr>
          <w:rFonts w:eastAsia="Calibri"/>
          <w:iCs/>
        </w:rPr>
        <w:t>accommodated as part of</w:t>
      </w:r>
      <w:r w:rsidR="00FC58ED" w:rsidRPr="00AA11DF">
        <w:rPr>
          <w:rFonts w:eastAsia="Calibri"/>
          <w:iCs/>
        </w:rPr>
        <w:t xml:space="preserve"> </w:t>
      </w:r>
      <w:r w:rsidR="00E073E8" w:rsidRPr="00AA11DF">
        <w:rPr>
          <w:rFonts w:eastAsia="Calibri"/>
        </w:rPr>
        <w:t>the</w:t>
      </w:r>
      <w:r w:rsidR="004C1B32" w:rsidRPr="00AA11DF">
        <w:rPr>
          <w:rFonts w:eastAsia="Calibri"/>
        </w:rPr>
        <w:t xml:space="preserve"> SoC</w:t>
      </w:r>
      <w:r w:rsidR="00E073E8" w:rsidRPr="00AA11DF">
        <w:rPr>
          <w:rFonts w:eastAsia="Calibri"/>
        </w:rPr>
        <w:t xml:space="preserve"> comparator arm. While it is noted that </w:t>
      </w:r>
      <w:r w:rsidR="00E073E8" w:rsidRPr="00133367">
        <w:t xml:space="preserve">adjuvant therapy with nivolumab was not available in clinical practice </w:t>
      </w:r>
      <w:r w:rsidR="00E073E8" w:rsidRPr="00AA11DF">
        <w:rPr>
          <w:rFonts w:eastAsia="Calibri"/>
        </w:rPr>
        <w:t>at the time NIAGARA was designed</w:t>
      </w:r>
      <w:r w:rsidR="00E073E8" w:rsidRPr="00133367">
        <w:t xml:space="preserve">, </w:t>
      </w:r>
      <w:r w:rsidR="00EE4092" w:rsidRPr="00AA11DF">
        <w:rPr>
          <w:rFonts w:eastAsia="Calibri"/>
        </w:rPr>
        <w:t>SoC</w:t>
      </w:r>
      <w:r w:rsidR="004D36A4" w:rsidRPr="00AA11DF">
        <w:rPr>
          <w:rFonts w:eastAsia="Calibri"/>
        </w:rPr>
        <w:t xml:space="preserve"> adjuvant </w:t>
      </w:r>
      <w:r w:rsidR="00AC3387" w:rsidRPr="00AA11DF">
        <w:rPr>
          <w:rFonts w:eastAsia="Calibri"/>
        </w:rPr>
        <w:t>management</w:t>
      </w:r>
      <w:r w:rsidR="00B23FDB" w:rsidRPr="00AA11DF">
        <w:rPr>
          <w:rFonts w:eastAsia="Calibri"/>
        </w:rPr>
        <w:t xml:space="preserve"> </w:t>
      </w:r>
      <w:r w:rsidR="004A735B" w:rsidRPr="00AA11DF">
        <w:rPr>
          <w:rFonts w:eastAsia="Calibri"/>
        </w:rPr>
        <w:t xml:space="preserve">in Australia now </w:t>
      </w:r>
      <w:r w:rsidR="00366CF3" w:rsidRPr="00AA11DF">
        <w:rPr>
          <w:rFonts w:eastAsia="Calibri"/>
        </w:rPr>
        <w:t>comprises</w:t>
      </w:r>
      <w:r w:rsidR="00B23FDB" w:rsidRPr="00AA11DF">
        <w:rPr>
          <w:rFonts w:eastAsia="Calibri"/>
        </w:rPr>
        <w:t xml:space="preserve"> </w:t>
      </w:r>
      <w:r w:rsidR="000B12DF" w:rsidRPr="00AA11DF">
        <w:rPr>
          <w:rFonts w:eastAsia="Calibri"/>
        </w:rPr>
        <w:t xml:space="preserve">patients at high risk of recurrence </w:t>
      </w:r>
      <w:r w:rsidR="008133E8" w:rsidRPr="00AA11DF">
        <w:rPr>
          <w:rFonts w:eastAsia="Calibri"/>
        </w:rPr>
        <w:t>who receive nivolumab</w:t>
      </w:r>
      <w:r w:rsidR="00473173">
        <w:rPr>
          <w:rStyle w:val="FootnoteReference"/>
          <w:rFonts w:eastAsia="Calibri"/>
        </w:rPr>
        <w:footnoteReference w:id="17"/>
      </w:r>
      <w:r w:rsidR="008133E8" w:rsidRPr="00AA11DF">
        <w:rPr>
          <w:rFonts w:eastAsia="Calibri"/>
        </w:rPr>
        <w:t xml:space="preserve"> and all other patients who receive post-surgery active surveillance</w:t>
      </w:r>
      <w:r w:rsidR="00A46C4C" w:rsidRPr="00AA11DF">
        <w:rPr>
          <w:rFonts w:eastAsia="Calibri"/>
        </w:rPr>
        <w:t xml:space="preserve"> (consistent with the comparator accepted by ESC/P</w:t>
      </w:r>
      <w:r w:rsidR="001F01F3" w:rsidRPr="00AA11DF">
        <w:rPr>
          <w:rFonts w:eastAsia="Calibri"/>
        </w:rPr>
        <w:t xml:space="preserve">BAC and the Pre-PBAC response, paragraph </w:t>
      </w:r>
      <w:r w:rsidR="00807E7E" w:rsidRPr="00AA11DF">
        <w:rPr>
          <w:rFonts w:eastAsia="Calibri"/>
        </w:rPr>
        <w:fldChar w:fldCharType="begin"/>
      </w:r>
      <w:r w:rsidR="00807E7E" w:rsidRPr="00AA11DF">
        <w:rPr>
          <w:rFonts w:eastAsia="Calibri"/>
        </w:rPr>
        <w:instrText xml:space="preserve"> REF _Ref209015319 \r \h  \* MERGEFORMAT </w:instrText>
      </w:r>
      <w:r w:rsidR="00807E7E" w:rsidRPr="00AA11DF">
        <w:rPr>
          <w:rFonts w:eastAsia="Calibri"/>
        </w:rPr>
      </w:r>
      <w:r w:rsidR="00807E7E" w:rsidRPr="00AA11DF">
        <w:rPr>
          <w:rFonts w:eastAsia="Calibri"/>
        </w:rPr>
        <w:fldChar w:fldCharType="separate"/>
      </w:r>
      <w:r w:rsidR="005731FF">
        <w:rPr>
          <w:rFonts w:eastAsia="Calibri"/>
        </w:rPr>
        <w:t>5.3</w:t>
      </w:r>
      <w:r w:rsidR="00807E7E" w:rsidRPr="00AA11DF">
        <w:rPr>
          <w:rFonts w:eastAsia="Calibri"/>
        </w:rPr>
        <w:fldChar w:fldCharType="end"/>
      </w:r>
      <w:r w:rsidR="00807E7E" w:rsidRPr="00AA11DF">
        <w:rPr>
          <w:rFonts w:eastAsia="Calibri"/>
        </w:rPr>
        <w:t>)</w:t>
      </w:r>
      <w:r w:rsidR="008133E8" w:rsidRPr="00AA11DF">
        <w:rPr>
          <w:rFonts w:eastAsia="Calibri"/>
        </w:rPr>
        <w:t>.</w:t>
      </w:r>
      <w:r w:rsidR="00B224CF" w:rsidRPr="00AA11DF">
        <w:rPr>
          <w:rFonts w:eastAsia="Calibri"/>
        </w:rPr>
        <w:t xml:space="preserve"> </w:t>
      </w:r>
      <w:r w:rsidR="00DD7165" w:rsidRPr="00AA11DF">
        <w:rPr>
          <w:rFonts w:eastAsia="Calibri"/>
          <w:iCs/>
        </w:rPr>
        <w:t>T</w:t>
      </w:r>
      <w:r w:rsidR="00B224CF" w:rsidRPr="00AA11DF">
        <w:rPr>
          <w:rFonts w:eastAsia="Calibri"/>
          <w:iCs/>
        </w:rPr>
        <w:t>he</w:t>
      </w:r>
      <w:r w:rsidR="004F2DF4" w:rsidRPr="00AA11DF">
        <w:rPr>
          <w:rFonts w:eastAsia="Calibri"/>
          <w:iCs/>
        </w:rPr>
        <w:t>refore, the</w:t>
      </w:r>
      <w:r w:rsidR="00B224CF" w:rsidRPr="00AA11DF">
        <w:rPr>
          <w:rFonts w:eastAsia="Calibri"/>
          <w:iCs/>
        </w:rPr>
        <w:t xml:space="preserve"> NIAGARA trial results</w:t>
      </w:r>
      <w:r w:rsidR="004050B4" w:rsidRPr="00AA11DF">
        <w:rPr>
          <w:rFonts w:eastAsia="Calibri"/>
          <w:iCs/>
        </w:rPr>
        <w:t xml:space="preserve"> may</w:t>
      </w:r>
      <w:r w:rsidR="00B224CF" w:rsidRPr="00AA11DF">
        <w:rPr>
          <w:rFonts w:eastAsia="Calibri"/>
          <w:iCs/>
        </w:rPr>
        <w:t xml:space="preserve"> show a bigger incremental benefit for durvalumab than </w:t>
      </w:r>
      <w:r w:rsidR="00D851A7" w:rsidRPr="00AA11DF">
        <w:rPr>
          <w:rFonts w:eastAsia="Calibri"/>
          <w:iCs/>
        </w:rPr>
        <w:t xml:space="preserve">would be </w:t>
      </w:r>
      <w:r w:rsidR="00B224CF" w:rsidRPr="00AA11DF">
        <w:rPr>
          <w:rFonts w:eastAsia="Calibri"/>
          <w:iCs/>
        </w:rPr>
        <w:t>seen in</w:t>
      </w:r>
      <w:r w:rsidR="004F2DF4" w:rsidRPr="00AA11DF">
        <w:rPr>
          <w:rFonts w:eastAsia="Calibri"/>
          <w:iCs/>
        </w:rPr>
        <w:t xml:space="preserve"> Australian</w:t>
      </w:r>
      <w:r w:rsidR="00B224CF" w:rsidRPr="00AA11DF">
        <w:rPr>
          <w:rFonts w:eastAsia="Calibri"/>
          <w:iCs/>
        </w:rPr>
        <w:t xml:space="preserve"> clinical practice.</w:t>
      </w:r>
      <w:r w:rsidR="00B23FDB" w:rsidRPr="00AA11DF">
        <w:rPr>
          <w:rFonts w:eastAsia="Calibri"/>
          <w:iCs/>
        </w:rPr>
        <w:t xml:space="preserve"> </w:t>
      </w:r>
    </w:p>
    <w:p w14:paraId="3A29A9C3" w14:textId="7E1D9013" w:rsidR="001264B0" w:rsidRPr="00367355" w:rsidRDefault="00EA3F7C" w:rsidP="005B0DF7">
      <w:pPr>
        <w:pStyle w:val="3-BodyText"/>
      </w:pPr>
      <w:r w:rsidRPr="00367355">
        <w:t xml:space="preserve">The ESC </w:t>
      </w:r>
      <w:r w:rsidR="00851C49" w:rsidRPr="00367355">
        <w:t>made</w:t>
      </w:r>
      <w:r w:rsidR="001264B0" w:rsidRPr="00367355">
        <w:t xml:space="preserve"> the following </w:t>
      </w:r>
      <w:r w:rsidR="00851C49" w:rsidRPr="00367355">
        <w:t>comments</w:t>
      </w:r>
      <w:r w:rsidR="001264B0" w:rsidRPr="00367355">
        <w:t>:</w:t>
      </w:r>
    </w:p>
    <w:p w14:paraId="2D9DBF03" w14:textId="4ECFE2D4" w:rsidR="001D76C5" w:rsidRPr="00367355" w:rsidRDefault="005A5136" w:rsidP="00DA5D39">
      <w:pPr>
        <w:pStyle w:val="3-BodyText"/>
        <w:keepNext/>
        <w:keepLines/>
        <w:numPr>
          <w:ilvl w:val="0"/>
          <w:numId w:val="24"/>
        </w:numPr>
        <w:rPr>
          <w:rFonts w:eastAsia="Calibri"/>
          <w:iCs/>
        </w:rPr>
      </w:pPr>
      <w:r w:rsidRPr="00367355">
        <w:rPr>
          <w:rFonts w:eastAsia="Calibri"/>
          <w:iCs/>
        </w:rPr>
        <w:t xml:space="preserve">It </w:t>
      </w:r>
      <w:r w:rsidR="00125710" w:rsidRPr="00367355">
        <w:rPr>
          <w:rFonts w:eastAsia="Calibri"/>
          <w:iCs/>
        </w:rPr>
        <w:t xml:space="preserve">agreed </w:t>
      </w:r>
      <w:r w:rsidR="00316841" w:rsidRPr="00367355">
        <w:rPr>
          <w:rFonts w:eastAsia="Calibri"/>
          <w:iCs/>
        </w:rPr>
        <w:t>with the evaluation that the</w:t>
      </w:r>
      <w:r w:rsidR="00C3472B" w:rsidRPr="00367355">
        <w:rPr>
          <w:rFonts w:eastAsia="Calibri"/>
          <w:iCs/>
        </w:rPr>
        <w:t xml:space="preserve"> </w:t>
      </w:r>
      <w:r w:rsidR="00DB222F" w:rsidRPr="00367355">
        <w:rPr>
          <w:rFonts w:eastAsia="Calibri"/>
          <w:iCs/>
        </w:rPr>
        <w:t>SoC</w:t>
      </w:r>
      <w:r w:rsidR="00C3472B" w:rsidRPr="00367355">
        <w:rPr>
          <w:rFonts w:eastAsia="Calibri"/>
          <w:iCs/>
        </w:rPr>
        <w:t xml:space="preserve"> comparator </w:t>
      </w:r>
      <w:r w:rsidR="0013539D" w:rsidRPr="00367355">
        <w:rPr>
          <w:rFonts w:eastAsia="Calibri"/>
          <w:iCs/>
        </w:rPr>
        <w:t xml:space="preserve">is best represented </w:t>
      </w:r>
      <w:r w:rsidR="002B7E4E" w:rsidRPr="00367355">
        <w:rPr>
          <w:rFonts w:eastAsia="Calibri"/>
          <w:iCs/>
        </w:rPr>
        <w:t>in Australia</w:t>
      </w:r>
      <w:r w:rsidR="0013539D" w:rsidRPr="00367355">
        <w:rPr>
          <w:rFonts w:eastAsia="Calibri"/>
          <w:iCs/>
        </w:rPr>
        <w:t xml:space="preserve"> by</w:t>
      </w:r>
      <w:r w:rsidR="00C3472B" w:rsidRPr="00367355">
        <w:rPr>
          <w:rFonts w:eastAsia="Calibri"/>
          <w:iCs/>
        </w:rPr>
        <w:t xml:space="preserve"> NAC [and RC] followed by post</w:t>
      </w:r>
      <w:r w:rsidR="006E2F50" w:rsidRPr="00367355">
        <w:rPr>
          <w:rFonts w:eastAsia="Calibri"/>
          <w:iCs/>
        </w:rPr>
        <w:t>-</w:t>
      </w:r>
      <w:r w:rsidR="00C3472B" w:rsidRPr="00367355">
        <w:rPr>
          <w:rFonts w:eastAsia="Calibri"/>
          <w:iCs/>
        </w:rPr>
        <w:t xml:space="preserve">surgery active surveillance OR </w:t>
      </w:r>
      <w:r w:rsidR="002E62A4" w:rsidRPr="00367355">
        <w:rPr>
          <w:rFonts w:eastAsia="Calibri"/>
          <w:iCs/>
        </w:rPr>
        <w:t xml:space="preserve">adjuvant </w:t>
      </w:r>
      <w:r w:rsidR="00C3472B" w:rsidRPr="00367355">
        <w:rPr>
          <w:rFonts w:eastAsia="Calibri"/>
          <w:iCs/>
        </w:rPr>
        <w:t>nivo</w:t>
      </w:r>
      <w:r w:rsidR="002E62A4" w:rsidRPr="00367355">
        <w:rPr>
          <w:rFonts w:eastAsia="Calibri"/>
          <w:iCs/>
        </w:rPr>
        <w:t>lumab</w:t>
      </w:r>
      <w:r w:rsidR="00C3472B" w:rsidRPr="00367355">
        <w:rPr>
          <w:rFonts w:eastAsia="Calibri"/>
          <w:iCs/>
        </w:rPr>
        <w:t xml:space="preserve"> in </w:t>
      </w:r>
      <w:r w:rsidR="002E62A4" w:rsidRPr="00367355">
        <w:rPr>
          <w:rFonts w:eastAsia="Calibri"/>
          <w:iCs/>
        </w:rPr>
        <w:t>patients at</w:t>
      </w:r>
      <w:r w:rsidR="00C3472B" w:rsidRPr="00367355">
        <w:rPr>
          <w:rFonts w:eastAsia="Calibri"/>
          <w:iCs/>
        </w:rPr>
        <w:t xml:space="preserve"> high risk</w:t>
      </w:r>
      <w:r w:rsidR="002E62A4" w:rsidRPr="00367355">
        <w:rPr>
          <w:rFonts w:eastAsia="Calibri"/>
          <w:iCs/>
        </w:rPr>
        <w:t xml:space="preserve"> of recurrence</w:t>
      </w:r>
      <w:r w:rsidR="00C3472B" w:rsidRPr="00367355">
        <w:rPr>
          <w:rFonts w:eastAsia="Calibri"/>
          <w:iCs/>
        </w:rPr>
        <w:t>.</w:t>
      </w:r>
    </w:p>
    <w:p w14:paraId="14427652" w14:textId="6F8DE0DF" w:rsidR="001D76C5" w:rsidRPr="00367355" w:rsidRDefault="00D2162C" w:rsidP="00DA5D39">
      <w:pPr>
        <w:pStyle w:val="3-BodyText"/>
        <w:numPr>
          <w:ilvl w:val="0"/>
          <w:numId w:val="24"/>
        </w:numPr>
        <w:rPr>
          <w:rFonts w:eastAsia="Calibri"/>
          <w:iCs/>
        </w:rPr>
      </w:pPr>
      <w:r w:rsidRPr="00367355">
        <w:rPr>
          <w:rFonts w:eastAsia="Calibri"/>
          <w:iCs/>
        </w:rPr>
        <w:t xml:space="preserve">It </w:t>
      </w:r>
      <w:r w:rsidR="00EA3F7C" w:rsidRPr="00367355">
        <w:rPr>
          <w:rFonts w:eastAsia="Calibri"/>
          <w:iCs/>
        </w:rPr>
        <w:t xml:space="preserve">considered that </w:t>
      </w:r>
      <w:r w:rsidR="00B93966" w:rsidRPr="00367355">
        <w:rPr>
          <w:rFonts w:eastAsia="Calibri"/>
          <w:iCs/>
        </w:rPr>
        <w:t xml:space="preserve">superior efficacy of </w:t>
      </w:r>
      <w:r w:rsidR="00356BC8" w:rsidRPr="00367355">
        <w:rPr>
          <w:rFonts w:eastAsia="Calibri"/>
          <w:iCs/>
        </w:rPr>
        <w:t xml:space="preserve">perioperative durvalumab </w:t>
      </w:r>
      <w:r w:rsidR="00373FCB" w:rsidRPr="00367355">
        <w:rPr>
          <w:rFonts w:eastAsia="Calibri"/>
          <w:iCs/>
        </w:rPr>
        <w:t>arm</w:t>
      </w:r>
      <w:r w:rsidR="00356BC8" w:rsidRPr="00367355">
        <w:rPr>
          <w:rFonts w:eastAsia="Calibri"/>
          <w:iCs/>
        </w:rPr>
        <w:t xml:space="preserve"> over </w:t>
      </w:r>
      <w:r w:rsidR="00373FCB" w:rsidRPr="00367355">
        <w:rPr>
          <w:rFonts w:eastAsia="Calibri"/>
          <w:iCs/>
        </w:rPr>
        <w:t>the control arm</w:t>
      </w:r>
      <w:r w:rsidR="00F74810" w:rsidRPr="00367355">
        <w:rPr>
          <w:rFonts w:eastAsia="Calibri"/>
          <w:iCs/>
        </w:rPr>
        <w:t xml:space="preserve"> of the NIAGARA trial</w:t>
      </w:r>
      <w:r w:rsidR="0073150D" w:rsidRPr="00367355">
        <w:rPr>
          <w:rFonts w:eastAsia="Calibri"/>
          <w:iCs/>
        </w:rPr>
        <w:t xml:space="preserve"> </w:t>
      </w:r>
      <w:r w:rsidR="00073156" w:rsidRPr="00367355">
        <w:rPr>
          <w:rFonts w:eastAsia="Calibri"/>
          <w:iCs/>
        </w:rPr>
        <w:t>(NAC [and RC] followed by post-surgery active surveillance)</w:t>
      </w:r>
      <w:r w:rsidR="0073150D" w:rsidRPr="00367355">
        <w:rPr>
          <w:rFonts w:eastAsia="Calibri"/>
          <w:iCs/>
        </w:rPr>
        <w:t xml:space="preserve"> was supported</w:t>
      </w:r>
      <w:r w:rsidR="00672396" w:rsidRPr="00367355">
        <w:rPr>
          <w:rFonts w:eastAsia="Calibri"/>
          <w:iCs/>
        </w:rPr>
        <w:t xml:space="preserve"> based on the </w:t>
      </w:r>
      <w:r w:rsidR="004A1B15" w:rsidRPr="00367355">
        <w:rPr>
          <w:rFonts w:eastAsia="Calibri"/>
          <w:iCs/>
        </w:rPr>
        <w:t>trial</w:t>
      </w:r>
      <w:r w:rsidR="00672396" w:rsidRPr="00367355">
        <w:rPr>
          <w:rFonts w:eastAsia="Calibri"/>
          <w:iCs/>
        </w:rPr>
        <w:t xml:space="preserve"> results</w:t>
      </w:r>
      <w:r w:rsidR="00F661B2" w:rsidRPr="00367355">
        <w:rPr>
          <w:rFonts w:eastAsia="Calibri"/>
          <w:iCs/>
        </w:rPr>
        <w:t xml:space="preserve">. </w:t>
      </w:r>
      <w:r w:rsidR="00DC44A3">
        <w:rPr>
          <w:rFonts w:eastAsia="Calibri"/>
          <w:iCs/>
        </w:rPr>
        <w:t xml:space="preserve">The PBAC agreed with this conclusion and thus considered that </w:t>
      </w:r>
      <w:r w:rsidR="002F31AA">
        <w:rPr>
          <w:rFonts w:eastAsia="Calibri"/>
          <w:iCs/>
        </w:rPr>
        <w:t>the clinical claim of superiority of perioperative durvalumab over SoC could be supported for the majority of patients (i.e., those</w:t>
      </w:r>
      <w:r w:rsidR="00C84824">
        <w:rPr>
          <w:rFonts w:eastAsia="Calibri"/>
          <w:iCs/>
        </w:rPr>
        <w:t xml:space="preserve"> not at high risk of recurrent disease, which applie</w:t>
      </w:r>
      <w:r w:rsidR="00737919">
        <w:rPr>
          <w:rFonts w:eastAsia="Calibri"/>
          <w:iCs/>
        </w:rPr>
        <w:t>s</w:t>
      </w:r>
      <w:r w:rsidR="00C84824">
        <w:rPr>
          <w:rFonts w:eastAsia="Calibri"/>
          <w:iCs/>
        </w:rPr>
        <w:t xml:space="preserve"> to over </w:t>
      </w:r>
      <w:r w:rsidR="00C84824" w:rsidRPr="00793C34">
        <w:rPr>
          <w:rFonts w:eastAsia="Calibri"/>
          <w:iCs/>
        </w:rPr>
        <w:t>70% of</w:t>
      </w:r>
      <w:r w:rsidR="00C84824">
        <w:rPr>
          <w:rFonts w:eastAsia="Calibri"/>
          <w:iCs/>
        </w:rPr>
        <w:t xml:space="preserve"> patients).</w:t>
      </w:r>
    </w:p>
    <w:p w14:paraId="4BAC499D" w14:textId="01DAC8B1" w:rsidR="00EA3F7C" w:rsidRPr="00367355" w:rsidRDefault="001D55B0" w:rsidP="00DA5D39">
      <w:pPr>
        <w:pStyle w:val="3-BodyText"/>
        <w:numPr>
          <w:ilvl w:val="0"/>
          <w:numId w:val="24"/>
        </w:numPr>
        <w:rPr>
          <w:rFonts w:eastAsia="Calibri"/>
          <w:iCs/>
        </w:rPr>
      </w:pPr>
      <w:r w:rsidRPr="00367355">
        <w:rPr>
          <w:rFonts w:eastAsia="Calibri"/>
          <w:iCs/>
        </w:rPr>
        <w:lastRenderedPageBreak/>
        <w:t xml:space="preserve">It </w:t>
      </w:r>
      <w:r w:rsidR="00F661B2" w:rsidRPr="00367355">
        <w:rPr>
          <w:rFonts w:eastAsia="Calibri"/>
          <w:iCs/>
        </w:rPr>
        <w:t xml:space="preserve">noted that </w:t>
      </w:r>
      <w:r w:rsidRPr="00367355">
        <w:rPr>
          <w:rFonts w:eastAsia="Calibri"/>
          <w:iCs/>
        </w:rPr>
        <w:t xml:space="preserve">the </w:t>
      </w:r>
      <w:r w:rsidR="00E578C1" w:rsidRPr="00367355">
        <w:rPr>
          <w:rFonts w:eastAsia="Calibri"/>
          <w:iCs/>
        </w:rPr>
        <w:t>control arm of the</w:t>
      </w:r>
      <w:r w:rsidRPr="00367355">
        <w:rPr>
          <w:rFonts w:eastAsia="Calibri"/>
          <w:iCs/>
        </w:rPr>
        <w:t xml:space="preserve"> NIAGRA</w:t>
      </w:r>
      <w:r w:rsidR="00F661B2" w:rsidRPr="00367355">
        <w:rPr>
          <w:rFonts w:eastAsia="Calibri"/>
          <w:iCs/>
        </w:rPr>
        <w:t xml:space="preserve"> trial </w:t>
      </w:r>
      <w:r w:rsidRPr="00367355">
        <w:rPr>
          <w:rFonts w:eastAsia="Calibri"/>
          <w:iCs/>
        </w:rPr>
        <w:t>does not represent SoC</w:t>
      </w:r>
      <w:r w:rsidR="00290F2E" w:rsidRPr="00367355">
        <w:rPr>
          <w:rFonts w:eastAsia="Calibri"/>
          <w:iCs/>
        </w:rPr>
        <w:t>,</w:t>
      </w:r>
      <w:r w:rsidRPr="00367355">
        <w:rPr>
          <w:rFonts w:eastAsia="Calibri"/>
          <w:iCs/>
        </w:rPr>
        <w:t xml:space="preserve"> as </w:t>
      </w:r>
      <w:r w:rsidR="00290F2E" w:rsidRPr="00367355">
        <w:rPr>
          <w:rFonts w:eastAsia="Calibri"/>
          <w:iCs/>
        </w:rPr>
        <w:t>it</w:t>
      </w:r>
      <w:r w:rsidR="00BE7F8F" w:rsidRPr="00367355">
        <w:rPr>
          <w:rFonts w:eastAsia="Calibri"/>
          <w:iCs/>
        </w:rPr>
        <w:t xml:space="preserve"> did not include </w:t>
      </w:r>
      <w:r w:rsidR="0062613E" w:rsidRPr="00367355">
        <w:rPr>
          <w:rFonts w:eastAsia="Calibri"/>
          <w:iCs/>
        </w:rPr>
        <w:t xml:space="preserve">treatment with </w:t>
      </w:r>
      <w:r w:rsidR="00BE7F8F" w:rsidRPr="00367355">
        <w:rPr>
          <w:rFonts w:eastAsia="Calibri"/>
          <w:iCs/>
        </w:rPr>
        <w:t xml:space="preserve">adjuvant nivolumab for </w:t>
      </w:r>
      <w:r w:rsidR="00C34571" w:rsidRPr="00367355">
        <w:rPr>
          <w:rFonts w:eastAsia="Calibri"/>
          <w:iCs/>
        </w:rPr>
        <w:t xml:space="preserve">the proportion of </w:t>
      </w:r>
      <w:r w:rsidR="00BE7F8F" w:rsidRPr="00367355">
        <w:rPr>
          <w:rFonts w:eastAsia="Calibri"/>
          <w:iCs/>
        </w:rPr>
        <w:t xml:space="preserve">patients at </w:t>
      </w:r>
      <w:r w:rsidR="005068B7" w:rsidRPr="00367355">
        <w:rPr>
          <w:rFonts w:eastAsia="Calibri"/>
          <w:iCs/>
        </w:rPr>
        <w:t>high risk of recurrence</w:t>
      </w:r>
      <w:r w:rsidR="0014791B" w:rsidRPr="00367355">
        <w:rPr>
          <w:rFonts w:eastAsia="Calibri"/>
          <w:iCs/>
        </w:rPr>
        <w:t>.</w:t>
      </w:r>
    </w:p>
    <w:p w14:paraId="6385AA30" w14:textId="010A713F" w:rsidR="00E073E8" w:rsidRDefault="00E073E8" w:rsidP="00E073E8">
      <w:pPr>
        <w:pStyle w:val="3-BodyText"/>
        <w:rPr>
          <w:rFonts w:eastAsia="Calibri"/>
        </w:rPr>
      </w:pPr>
      <w:r w:rsidRPr="00CD3054">
        <w:rPr>
          <w:rFonts w:eastAsia="Calibri"/>
        </w:rPr>
        <w:t>The submission described perioperative</w:t>
      </w:r>
      <w:r>
        <w:rPr>
          <w:rFonts w:eastAsia="Calibri"/>
        </w:rPr>
        <w:t xml:space="preserve"> durvalumab</w:t>
      </w:r>
      <w:r w:rsidRPr="00CD3054">
        <w:rPr>
          <w:rFonts w:eastAsia="Calibri"/>
        </w:rPr>
        <w:t xml:space="preserve"> in combination with GC </w:t>
      </w:r>
      <w:r>
        <w:rPr>
          <w:rFonts w:eastAsia="Calibri"/>
        </w:rPr>
        <w:t xml:space="preserve">NAC </w:t>
      </w:r>
      <w:r w:rsidRPr="00CD3054">
        <w:rPr>
          <w:rFonts w:eastAsia="Calibri"/>
        </w:rPr>
        <w:t xml:space="preserve">as </w:t>
      </w:r>
      <w:r>
        <w:rPr>
          <w:rFonts w:eastAsia="Calibri"/>
        </w:rPr>
        <w:t xml:space="preserve">inferior </w:t>
      </w:r>
      <w:r w:rsidRPr="00CD3054">
        <w:rPr>
          <w:rFonts w:eastAsia="Calibri"/>
        </w:rPr>
        <w:t xml:space="preserve">in terms of </w:t>
      </w:r>
      <w:r>
        <w:rPr>
          <w:rFonts w:eastAsia="Calibri"/>
        </w:rPr>
        <w:t>safety</w:t>
      </w:r>
      <w:r w:rsidRPr="00CD3054">
        <w:rPr>
          <w:rFonts w:eastAsia="Calibri"/>
        </w:rPr>
        <w:t xml:space="preserve"> compared to </w:t>
      </w:r>
      <w:r>
        <w:rPr>
          <w:rFonts w:eastAsia="Calibri"/>
        </w:rPr>
        <w:t>SoC</w:t>
      </w:r>
      <w:r w:rsidR="00B91535">
        <w:rPr>
          <w:rFonts w:eastAsia="Calibri"/>
        </w:rPr>
        <w:t xml:space="preserve"> (</w:t>
      </w:r>
      <w:r w:rsidR="004C7881">
        <w:rPr>
          <w:rFonts w:eastAsia="Calibri"/>
        </w:rPr>
        <w:t>defined as GC NAC in the NIAGARA trial)</w:t>
      </w:r>
      <w:r>
        <w:rPr>
          <w:rFonts w:eastAsia="Calibri"/>
        </w:rPr>
        <w:t xml:space="preserve">. </w:t>
      </w:r>
      <w:r w:rsidRPr="00133367">
        <w:rPr>
          <w:rFonts w:eastAsia="Calibri"/>
        </w:rPr>
        <w:t>Th</w:t>
      </w:r>
      <w:r w:rsidR="00425FCD">
        <w:rPr>
          <w:rFonts w:eastAsia="Calibri"/>
        </w:rPr>
        <w:t>e</w:t>
      </w:r>
      <w:r w:rsidR="00DF6AB2">
        <w:rPr>
          <w:rFonts w:eastAsia="Calibri"/>
        </w:rPr>
        <w:t xml:space="preserve"> PBAC agreed with both the</w:t>
      </w:r>
      <w:r w:rsidR="00425FCD">
        <w:rPr>
          <w:rFonts w:eastAsia="Calibri"/>
        </w:rPr>
        <w:t xml:space="preserve"> </w:t>
      </w:r>
      <w:r w:rsidR="00425FCD" w:rsidRPr="00367355">
        <w:rPr>
          <w:rFonts w:eastAsia="Calibri"/>
          <w:iCs/>
        </w:rPr>
        <w:t xml:space="preserve">ESC </w:t>
      </w:r>
      <w:r w:rsidR="00DF6AB2">
        <w:rPr>
          <w:rFonts w:eastAsia="Calibri"/>
          <w:iCs/>
        </w:rPr>
        <w:t>and</w:t>
      </w:r>
      <w:r w:rsidR="00425FCD" w:rsidRPr="00367355">
        <w:rPr>
          <w:rFonts w:eastAsia="Calibri"/>
          <w:iCs/>
        </w:rPr>
        <w:t xml:space="preserve"> the evaluation</w:t>
      </w:r>
      <w:r w:rsidR="00C9365F">
        <w:rPr>
          <w:rFonts w:eastAsia="Calibri"/>
          <w:iCs/>
        </w:rPr>
        <w:t>,</w:t>
      </w:r>
      <w:r w:rsidR="00425FCD" w:rsidRPr="00367355">
        <w:rPr>
          <w:rFonts w:eastAsia="Calibri"/>
          <w:iCs/>
        </w:rPr>
        <w:t xml:space="preserve"> that</w:t>
      </w:r>
      <w:r w:rsidR="00425FCD">
        <w:rPr>
          <w:rFonts w:eastAsia="Calibri"/>
        </w:rPr>
        <w:t xml:space="preserve"> </w:t>
      </w:r>
      <w:r w:rsidR="00DF6AB2">
        <w:rPr>
          <w:rFonts w:eastAsia="Calibri"/>
        </w:rPr>
        <w:t>th</w:t>
      </w:r>
      <w:r w:rsidRPr="00133367">
        <w:rPr>
          <w:rFonts w:eastAsia="Calibri"/>
        </w:rPr>
        <w:t>is claim</w:t>
      </w:r>
      <w:r w:rsidR="00FF4FA9">
        <w:rPr>
          <w:rFonts w:eastAsia="Calibri"/>
        </w:rPr>
        <w:t xml:space="preserve"> </w:t>
      </w:r>
      <w:r w:rsidR="00FF4FA9" w:rsidRPr="00367355">
        <w:rPr>
          <w:rFonts w:eastAsia="Calibri"/>
          <w:iCs/>
        </w:rPr>
        <w:t>is appropriate based on</w:t>
      </w:r>
      <w:r w:rsidRPr="00133367">
        <w:rPr>
          <w:rFonts w:eastAsia="Calibri"/>
        </w:rPr>
        <w:t xml:space="preserve"> the evidence presented in the submission</w:t>
      </w:r>
      <w:r w:rsidR="00262EDF">
        <w:rPr>
          <w:rFonts w:eastAsia="Calibri"/>
        </w:rPr>
        <w:t xml:space="preserve">; </w:t>
      </w:r>
      <w:r w:rsidR="00C9365F">
        <w:rPr>
          <w:rFonts w:eastAsia="Calibri"/>
          <w:iCs/>
        </w:rPr>
        <w:t>both committees</w:t>
      </w:r>
      <w:r w:rsidR="00262EDF" w:rsidRPr="00367355">
        <w:rPr>
          <w:rFonts w:eastAsia="Calibri"/>
          <w:iCs/>
        </w:rPr>
        <w:t xml:space="preserve"> noted that the safety profile of durvalumab is as expected for this class of drug</w:t>
      </w:r>
      <w:r w:rsidRPr="00133367">
        <w:rPr>
          <w:rFonts w:eastAsia="Calibri"/>
        </w:rPr>
        <w:t>.</w:t>
      </w:r>
    </w:p>
    <w:p w14:paraId="61825803" w14:textId="002EFD22" w:rsidR="002305E6" w:rsidRPr="00133367" w:rsidRDefault="00801BAD" w:rsidP="002305E6">
      <w:pPr>
        <w:pStyle w:val="3-BodyText"/>
        <w:numPr>
          <w:ilvl w:val="0"/>
          <w:numId w:val="0"/>
        </w:numPr>
        <w:rPr>
          <w:rFonts w:eastAsia="Calibri"/>
        </w:rPr>
      </w:pPr>
      <w:r w:rsidRPr="001631BE">
        <w:rPr>
          <w:b/>
          <w:bCs/>
        </w:rPr>
        <w:t>Indirect</w:t>
      </w:r>
      <w:r>
        <w:rPr>
          <w:b/>
          <w:bCs/>
        </w:rPr>
        <w:t xml:space="preserve"> treatment</w:t>
      </w:r>
      <w:r w:rsidRPr="001631BE">
        <w:rPr>
          <w:b/>
          <w:bCs/>
        </w:rPr>
        <w:t xml:space="preserve"> comparison</w:t>
      </w:r>
      <w:r>
        <w:rPr>
          <w:b/>
          <w:bCs/>
        </w:rPr>
        <w:t xml:space="preserve"> based on NIAGARA and CM274 subgroups and construction of a counterfactual arm</w:t>
      </w:r>
    </w:p>
    <w:p w14:paraId="51ED7391" w14:textId="50EAD732" w:rsidR="00B32D5F" w:rsidRPr="00A653C0" w:rsidRDefault="00E073E8" w:rsidP="0026294A">
      <w:pPr>
        <w:pStyle w:val="3-BodyText"/>
        <w:rPr>
          <w:rFonts w:eastAsia="Calibri"/>
        </w:rPr>
      </w:pPr>
      <w:bookmarkStart w:id="76" w:name="_Ref211508363"/>
      <w:bookmarkStart w:id="77" w:name="_Ref211681677"/>
      <w:r w:rsidRPr="00CD3054">
        <w:rPr>
          <w:rFonts w:eastAsia="Calibri"/>
        </w:rPr>
        <w:t xml:space="preserve">The submission </w:t>
      </w:r>
      <w:r>
        <w:rPr>
          <w:rFonts w:eastAsia="Calibri"/>
        </w:rPr>
        <w:t xml:space="preserve">also </w:t>
      </w:r>
      <w:r w:rsidRPr="00CD3054">
        <w:rPr>
          <w:rFonts w:eastAsia="Calibri"/>
        </w:rPr>
        <w:t xml:space="preserve">described perioperative </w:t>
      </w:r>
      <w:r>
        <w:rPr>
          <w:rFonts w:eastAsia="Calibri"/>
        </w:rPr>
        <w:t>durvalumab</w:t>
      </w:r>
      <w:r w:rsidRPr="00CD3054">
        <w:rPr>
          <w:rFonts w:eastAsia="Calibri"/>
        </w:rPr>
        <w:t xml:space="preserve"> in combination with GC </w:t>
      </w:r>
      <w:r>
        <w:rPr>
          <w:rFonts w:eastAsia="Calibri"/>
        </w:rPr>
        <w:t xml:space="preserve">NAC </w:t>
      </w:r>
      <w:r w:rsidRPr="00CD3054">
        <w:rPr>
          <w:rFonts w:eastAsia="Calibri"/>
        </w:rPr>
        <w:t xml:space="preserve">as superior in terms of effectiveness compared to </w:t>
      </w:r>
      <w:r w:rsidR="00DE5726">
        <w:rPr>
          <w:rFonts w:eastAsia="Calibri"/>
        </w:rPr>
        <w:t>SoC</w:t>
      </w:r>
      <w:r w:rsidR="00390D14">
        <w:rPr>
          <w:rFonts w:eastAsia="Calibri"/>
        </w:rPr>
        <w:t>,</w:t>
      </w:r>
      <w:r>
        <w:rPr>
          <w:rFonts w:eastAsia="Calibri"/>
        </w:rPr>
        <w:t xml:space="preserve"> </w:t>
      </w:r>
      <w:r w:rsidR="00085471">
        <w:rPr>
          <w:rFonts w:eastAsia="Calibri"/>
        </w:rPr>
        <w:t xml:space="preserve">noting that </w:t>
      </w:r>
      <w:r w:rsidR="008140A7">
        <w:rPr>
          <w:rFonts w:eastAsia="Calibri"/>
        </w:rPr>
        <w:t>post-surgery</w:t>
      </w:r>
      <w:r w:rsidR="00085471">
        <w:rPr>
          <w:rFonts w:eastAsia="Calibri"/>
        </w:rPr>
        <w:t xml:space="preserve"> SoC includes</w:t>
      </w:r>
      <w:r>
        <w:rPr>
          <w:rFonts w:eastAsia="Calibri"/>
        </w:rPr>
        <w:t xml:space="preserve"> the </w:t>
      </w:r>
      <w:r w:rsidRPr="00A653C0">
        <w:rPr>
          <w:rFonts w:eastAsia="Calibri"/>
        </w:rPr>
        <w:t>subgroup of patients with high risk of disease recurrence</w:t>
      </w:r>
      <w:r w:rsidR="00547EB3" w:rsidRPr="00A653C0">
        <w:rPr>
          <w:rFonts w:eastAsia="Calibri"/>
        </w:rPr>
        <w:t xml:space="preserve"> who would be eligible for nivolumab</w:t>
      </w:r>
      <w:r w:rsidR="00F56BB5" w:rsidRPr="00A653C0">
        <w:rPr>
          <w:rFonts w:eastAsia="Calibri"/>
        </w:rPr>
        <w:t xml:space="preserve"> (paragraph </w:t>
      </w:r>
      <w:r w:rsidR="00213B12" w:rsidRPr="00A653C0">
        <w:rPr>
          <w:rFonts w:eastAsia="Calibri"/>
        </w:rPr>
        <w:fldChar w:fldCharType="begin"/>
      </w:r>
      <w:r w:rsidR="00213B12" w:rsidRPr="00A653C0">
        <w:rPr>
          <w:rFonts w:eastAsia="Calibri"/>
        </w:rPr>
        <w:instrText xml:space="preserve"> REF _Ref209015319 \r \h  \* MERGEFORMAT </w:instrText>
      </w:r>
      <w:r w:rsidR="00213B12" w:rsidRPr="00A653C0">
        <w:rPr>
          <w:rFonts w:eastAsia="Calibri"/>
        </w:rPr>
      </w:r>
      <w:r w:rsidR="00213B12" w:rsidRPr="00A653C0">
        <w:rPr>
          <w:rFonts w:eastAsia="Calibri"/>
        </w:rPr>
        <w:fldChar w:fldCharType="separate"/>
      </w:r>
      <w:r w:rsidR="005731FF">
        <w:rPr>
          <w:rFonts w:eastAsia="Calibri"/>
        </w:rPr>
        <w:t>5.3</w:t>
      </w:r>
      <w:r w:rsidR="00213B12" w:rsidRPr="00A653C0">
        <w:rPr>
          <w:rFonts w:eastAsia="Calibri"/>
        </w:rPr>
        <w:fldChar w:fldCharType="end"/>
      </w:r>
      <w:r w:rsidR="00213B12" w:rsidRPr="00A653C0">
        <w:rPr>
          <w:rFonts w:eastAsia="Calibri"/>
        </w:rPr>
        <w:t>)</w:t>
      </w:r>
      <w:r w:rsidRPr="00A653C0">
        <w:rPr>
          <w:rFonts w:eastAsia="Calibri"/>
        </w:rPr>
        <w:t>. The ITC approach was based on subgroups from the two trials</w:t>
      </w:r>
      <w:r w:rsidR="000F6627" w:rsidRPr="00A653C0">
        <w:rPr>
          <w:rFonts w:eastAsia="Calibri"/>
        </w:rPr>
        <w:t xml:space="preserve"> </w:t>
      </w:r>
      <w:r w:rsidR="000F6627" w:rsidRPr="00A653C0">
        <w:rPr>
          <w:rFonts w:eastAsia="Calibri"/>
          <w:iCs/>
        </w:rPr>
        <w:t>(</w:t>
      </w:r>
      <w:r w:rsidR="000F6627" w:rsidRPr="00A653C0">
        <w:rPr>
          <w:iCs/>
          <w:color w:val="000000" w:themeColor="text1"/>
        </w:rPr>
        <w:t>NIAGARA and CM274</w:t>
      </w:r>
      <w:r w:rsidR="000F6627" w:rsidRPr="00A653C0">
        <w:rPr>
          <w:rFonts w:eastAsia="Calibri"/>
          <w:iCs/>
        </w:rPr>
        <w:t>)</w:t>
      </w:r>
      <w:r w:rsidRPr="00A653C0">
        <w:rPr>
          <w:rFonts w:eastAsia="Calibri"/>
        </w:rPr>
        <w:t xml:space="preserve"> and the construction of a ‘counterfactual</w:t>
      </w:r>
      <w:r w:rsidR="00A25149" w:rsidRPr="00A653C0">
        <w:rPr>
          <w:rFonts w:eastAsia="Calibri"/>
        </w:rPr>
        <w:t>’</w:t>
      </w:r>
      <w:r w:rsidRPr="00A653C0">
        <w:rPr>
          <w:rFonts w:eastAsia="Calibri"/>
        </w:rPr>
        <w:t xml:space="preserve"> survival time for the control arm of the NIAGARA trial</w:t>
      </w:r>
      <w:r w:rsidR="00F52FCF" w:rsidRPr="00A653C0">
        <w:rPr>
          <w:rFonts w:eastAsia="Calibri"/>
        </w:rPr>
        <w:t xml:space="preserve"> (paragraphs </w:t>
      </w:r>
      <w:r w:rsidR="003D069E" w:rsidRPr="00A653C0">
        <w:rPr>
          <w:rFonts w:eastAsia="Calibri"/>
        </w:rPr>
        <w:fldChar w:fldCharType="begin"/>
      </w:r>
      <w:r w:rsidR="003D069E" w:rsidRPr="00A653C0">
        <w:rPr>
          <w:rFonts w:eastAsia="Calibri"/>
        </w:rPr>
        <w:instrText xml:space="preserve"> REF _Ref214375003 \r \h  \* MERGEFORMAT </w:instrText>
      </w:r>
      <w:r w:rsidR="003D069E" w:rsidRPr="00A653C0">
        <w:rPr>
          <w:rFonts w:eastAsia="Calibri"/>
        </w:rPr>
      </w:r>
      <w:r w:rsidR="003D069E" w:rsidRPr="00A653C0">
        <w:rPr>
          <w:rFonts w:eastAsia="Calibri"/>
        </w:rPr>
        <w:fldChar w:fldCharType="separate"/>
      </w:r>
      <w:r w:rsidR="005731FF">
        <w:rPr>
          <w:rFonts w:eastAsia="Calibri"/>
        </w:rPr>
        <w:t>6.12</w:t>
      </w:r>
      <w:r w:rsidR="003D069E" w:rsidRPr="00A653C0">
        <w:rPr>
          <w:rFonts w:eastAsia="Calibri"/>
        </w:rPr>
        <w:fldChar w:fldCharType="end"/>
      </w:r>
      <w:r w:rsidR="003D069E" w:rsidRPr="00A653C0">
        <w:rPr>
          <w:rFonts w:eastAsia="Calibri"/>
        </w:rPr>
        <w:t xml:space="preserve"> to </w:t>
      </w:r>
      <w:r w:rsidR="003D069E" w:rsidRPr="00A653C0">
        <w:rPr>
          <w:rFonts w:eastAsia="Calibri"/>
        </w:rPr>
        <w:fldChar w:fldCharType="begin"/>
      </w:r>
      <w:r w:rsidR="003D069E" w:rsidRPr="00A653C0">
        <w:rPr>
          <w:rFonts w:eastAsia="Calibri"/>
        </w:rPr>
        <w:instrText xml:space="preserve"> REF _Ref214375012 \r \h  \* MERGEFORMAT </w:instrText>
      </w:r>
      <w:r w:rsidR="003D069E" w:rsidRPr="00A653C0">
        <w:rPr>
          <w:rFonts w:eastAsia="Calibri"/>
        </w:rPr>
      </w:r>
      <w:r w:rsidR="003D069E" w:rsidRPr="00A653C0">
        <w:rPr>
          <w:rFonts w:eastAsia="Calibri"/>
        </w:rPr>
        <w:fldChar w:fldCharType="separate"/>
      </w:r>
      <w:r w:rsidR="005731FF">
        <w:rPr>
          <w:rFonts w:eastAsia="Calibri"/>
        </w:rPr>
        <w:t>6.14</w:t>
      </w:r>
      <w:r w:rsidR="003D069E" w:rsidRPr="00A653C0">
        <w:rPr>
          <w:rFonts w:eastAsia="Calibri"/>
        </w:rPr>
        <w:fldChar w:fldCharType="end"/>
      </w:r>
      <w:r w:rsidR="003D069E" w:rsidRPr="00A653C0">
        <w:rPr>
          <w:rFonts w:eastAsia="Calibri"/>
        </w:rPr>
        <w:t>)</w:t>
      </w:r>
      <w:r w:rsidRPr="00A653C0">
        <w:rPr>
          <w:rFonts w:eastAsia="Calibri"/>
        </w:rPr>
        <w:t>.</w:t>
      </w:r>
      <w:r w:rsidR="005F29C4" w:rsidRPr="00A653C0">
        <w:rPr>
          <w:rFonts w:eastAsia="Calibri"/>
        </w:rPr>
        <w:t xml:space="preserve"> </w:t>
      </w:r>
    </w:p>
    <w:p w14:paraId="61709C61" w14:textId="797C0AB1" w:rsidR="00AF05B5" w:rsidRPr="007266BE" w:rsidRDefault="005F29C4" w:rsidP="00E073E8">
      <w:pPr>
        <w:pStyle w:val="3-BodyText"/>
        <w:rPr>
          <w:rFonts w:eastAsia="Calibri"/>
        </w:rPr>
      </w:pPr>
      <w:bookmarkStart w:id="78" w:name="_Ref214010999"/>
      <w:r w:rsidRPr="007266BE">
        <w:rPr>
          <w:rFonts w:eastAsia="Calibri"/>
          <w:iCs/>
        </w:rPr>
        <w:t xml:space="preserve">The evaluation </w:t>
      </w:r>
      <w:r w:rsidR="009C6DB2" w:rsidRPr="007266BE">
        <w:rPr>
          <w:rFonts w:eastAsia="Calibri"/>
          <w:iCs/>
        </w:rPr>
        <w:t xml:space="preserve">identified </w:t>
      </w:r>
      <w:r w:rsidRPr="007266BE">
        <w:rPr>
          <w:iCs/>
          <w:color w:val="000000" w:themeColor="text1"/>
        </w:rPr>
        <w:t>key differences across the</w:t>
      </w:r>
      <w:r w:rsidR="0017067B" w:rsidRPr="007266BE">
        <w:rPr>
          <w:iCs/>
          <w:color w:val="000000" w:themeColor="text1"/>
        </w:rPr>
        <w:t xml:space="preserve"> NIAGARA and CM274</w:t>
      </w:r>
      <w:r w:rsidRPr="007266BE">
        <w:rPr>
          <w:iCs/>
          <w:color w:val="000000" w:themeColor="text1"/>
        </w:rPr>
        <w:t xml:space="preserve"> trials </w:t>
      </w:r>
      <w:r w:rsidR="008D761C" w:rsidRPr="007266BE">
        <w:rPr>
          <w:iCs/>
          <w:color w:val="000000" w:themeColor="text1"/>
        </w:rPr>
        <w:t>with respect</w:t>
      </w:r>
      <w:r w:rsidR="00344360" w:rsidRPr="007266BE">
        <w:rPr>
          <w:iCs/>
          <w:color w:val="000000" w:themeColor="text1"/>
        </w:rPr>
        <w:t xml:space="preserve"> to </w:t>
      </w:r>
      <w:r w:rsidR="008D761C" w:rsidRPr="007266BE">
        <w:rPr>
          <w:iCs/>
          <w:color w:val="000000" w:themeColor="text1"/>
        </w:rPr>
        <w:t>MIBC disease staging, PD-L1 expression,</w:t>
      </w:r>
      <w:r w:rsidR="00202BCB" w:rsidRPr="007266BE">
        <w:rPr>
          <w:iCs/>
          <w:color w:val="000000" w:themeColor="text1"/>
        </w:rPr>
        <w:t xml:space="preserve"> use of prior NAC, </w:t>
      </w:r>
      <w:r w:rsidR="00291D99" w:rsidRPr="007266BE">
        <w:rPr>
          <w:iCs/>
          <w:color w:val="000000" w:themeColor="text1"/>
        </w:rPr>
        <w:t xml:space="preserve">proportion of patients at high risk of recurrence, </w:t>
      </w:r>
      <w:r w:rsidR="00561AB3" w:rsidRPr="007266BE">
        <w:rPr>
          <w:iCs/>
          <w:color w:val="000000" w:themeColor="text1"/>
        </w:rPr>
        <w:t>endpoint definitions, and duration of follow up</w:t>
      </w:r>
      <w:r w:rsidR="008D761C" w:rsidRPr="007266BE">
        <w:rPr>
          <w:iCs/>
          <w:color w:val="000000" w:themeColor="text1"/>
        </w:rPr>
        <w:t xml:space="preserve"> </w:t>
      </w:r>
      <w:r w:rsidR="00DA6D50" w:rsidRPr="007266BE">
        <w:rPr>
          <w:rFonts w:eastAsia="Calibri"/>
          <w:iCs/>
        </w:rPr>
        <w:t xml:space="preserve">(paragraph </w:t>
      </w:r>
      <w:r w:rsidR="00DA6D50" w:rsidRPr="007266BE">
        <w:rPr>
          <w:rFonts w:eastAsia="Calibri"/>
          <w:iCs/>
        </w:rPr>
        <w:fldChar w:fldCharType="begin"/>
      </w:r>
      <w:r w:rsidR="00DA6D50" w:rsidRPr="007266BE">
        <w:rPr>
          <w:rFonts w:eastAsia="Calibri"/>
          <w:iCs/>
        </w:rPr>
        <w:instrText xml:space="preserve"> REF _Ref211441572 \r \h  \* MERGEFORMAT </w:instrText>
      </w:r>
      <w:r w:rsidR="00DA6D50" w:rsidRPr="007266BE">
        <w:rPr>
          <w:rFonts w:eastAsia="Calibri"/>
          <w:iCs/>
        </w:rPr>
      </w:r>
      <w:r w:rsidR="00DA6D50" w:rsidRPr="007266BE">
        <w:rPr>
          <w:rFonts w:eastAsia="Calibri"/>
          <w:iCs/>
        </w:rPr>
        <w:fldChar w:fldCharType="separate"/>
      </w:r>
      <w:r w:rsidR="005731FF">
        <w:rPr>
          <w:rFonts w:eastAsia="Calibri"/>
          <w:iCs/>
        </w:rPr>
        <w:t>6.15</w:t>
      </w:r>
      <w:r w:rsidR="00DA6D50" w:rsidRPr="007266BE">
        <w:rPr>
          <w:rFonts w:eastAsia="Calibri"/>
          <w:iCs/>
        </w:rPr>
        <w:fldChar w:fldCharType="end"/>
      </w:r>
      <w:r w:rsidR="00DA6D50" w:rsidRPr="007266BE">
        <w:rPr>
          <w:rFonts w:eastAsia="Calibri"/>
          <w:iCs/>
        </w:rPr>
        <w:t>)</w:t>
      </w:r>
      <w:r w:rsidR="00DA6D50" w:rsidRPr="007266BE">
        <w:rPr>
          <w:iCs/>
          <w:color w:val="000000" w:themeColor="text1"/>
        </w:rPr>
        <w:t>.</w:t>
      </w:r>
      <w:r w:rsidR="00E073E8" w:rsidRPr="007266BE">
        <w:rPr>
          <w:rFonts w:eastAsia="Calibri"/>
          <w:iCs/>
        </w:rPr>
        <w:t xml:space="preserve"> </w:t>
      </w:r>
      <w:bookmarkEnd w:id="76"/>
    </w:p>
    <w:p w14:paraId="051D96EC" w14:textId="46D40FBE" w:rsidR="00561AB3" w:rsidRPr="00634FBF" w:rsidRDefault="00561AB3" w:rsidP="00634FBF">
      <w:pPr>
        <w:pStyle w:val="3-BodyText"/>
        <w:rPr>
          <w:rFonts w:eastAsia="Calibri"/>
          <w:iCs/>
        </w:rPr>
      </w:pPr>
      <w:r>
        <w:rPr>
          <w:rFonts w:eastAsia="Calibri"/>
          <w:iCs/>
        </w:rPr>
        <w:t>The Pre-PBAC response</w:t>
      </w:r>
      <w:r w:rsidR="00036B24">
        <w:rPr>
          <w:rFonts w:eastAsia="Calibri"/>
          <w:iCs/>
        </w:rPr>
        <w:t xml:space="preserve"> stated that </w:t>
      </w:r>
      <w:r w:rsidR="004B2F3E" w:rsidRPr="004B2F3E">
        <w:rPr>
          <w:rFonts w:eastAsia="Calibri"/>
          <w:iCs/>
        </w:rPr>
        <w:t>by matching</w:t>
      </w:r>
      <w:r w:rsidR="00036B24">
        <w:rPr>
          <w:rFonts w:eastAsia="Calibri"/>
          <w:iCs/>
        </w:rPr>
        <w:t xml:space="preserve"> the NIAGARA and CM274 trials</w:t>
      </w:r>
      <w:r w:rsidR="004B2F3E" w:rsidRPr="004B2F3E">
        <w:rPr>
          <w:rFonts w:eastAsia="Calibri"/>
          <w:iCs/>
        </w:rPr>
        <w:t xml:space="preserve"> on</w:t>
      </w:r>
      <w:r w:rsidR="00856006">
        <w:rPr>
          <w:rFonts w:eastAsia="Calibri"/>
          <w:iCs/>
        </w:rPr>
        <w:t xml:space="preserve"> </w:t>
      </w:r>
      <w:r w:rsidR="004B2F3E" w:rsidRPr="004B2F3E">
        <w:rPr>
          <w:rFonts w:eastAsia="Calibri"/>
          <w:iCs/>
        </w:rPr>
        <w:t>pathological high</w:t>
      </w:r>
      <w:r w:rsidR="004B2F3E" w:rsidRPr="004B2F3E">
        <w:rPr>
          <w:rFonts w:eastAsia="Calibri"/>
          <w:iCs/>
        </w:rPr>
        <w:noBreakHyphen/>
        <w:t>risk status at the adjuvant baseline, restricting efficacy inputs to CM274’s prior</w:t>
      </w:r>
      <w:r w:rsidR="004B2F3E" w:rsidRPr="004B2F3E">
        <w:rPr>
          <w:rFonts w:eastAsia="Calibri"/>
          <w:iCs/>
        </w:rPr>
        <w:noBreakHyphen/>
        <w:t>NAC subgroup, applying the nivolumab benefit only to patients that meet the eligibility criteria</w:t>
      </w:r>
      <w:r w:rsidR="00F4511F">
        <w:rPr>
          <w:rFonts w:eastAsia="Calibri"/>
          <w:iCs/>
        </w:rPr>
        <w:t xml:space="preserve"> for high risk of recurrence</w:t>
      </w:r>
      <w:r w:rsidR="004B2F3E" w:rsidRPr="004B2F3E">
        <w:rPr>
          <w:rFonts w:eastAsia="Calibri"/>
          <w:iCs/>
        </w:rPr>
        <w:t>, and reflecting the interchangeability of the EFS/DFS definitions post-surgery,</w:t>
      </w:r>
      <w:r w:rsidR="00634FBF">
        <w:rPr>
          <w:rFonts w:eastAsia="Calibri"/>
          <w:iCs/>
        </w:rPr>
        <w:t xml:space="preserve"> t</w:t>
      </w:r>
      <w:r w:rsidR="004B2F3E" w:rsidRPr="004B2F3E">
        <w:rPr>
          <w:rFonts w:eastAsia="Calibri"/>
          <w:iCs/>
        </w:rPr>
        <w:t>he</w:t>
      </w:r>
      <w:r w:rsidR="00634FBF" w:rsidRPr="00634FBF">
        <w:rPr>
          <w:rFonts w:eastAsia="Calibri"/>
          <w:iCs/>
        </w:rPr>
        <w:t xml:space="preserve"> potential</w:t>
      </w:r>
      <w:r w:rsidR="004B2F3E" w:rsidRPr="004B2F3E">
        <w:rPr>
          <w:rFonts w:eastAsia="Calibri"/>
          <w:iCs/>
        </w:rPr>
        <w:t xml:space="preserve"> transitivity and generalisability issues do not apply.</w:t>
      </w:r>
    </w:p>
    <w:p w14:paraId="19DEE28F" w14:textId="1A3CD5D3" w:rsidR="00E073E8" w:rsidRPr="00226063" w:rsidRDefault="00D07D57" w:rsidP="00B53DD4">
      <w:pPr>
        <w:pStyle w:val="3-BodyText"/>
        <w:rPr>
          <w:rFonts w:eastAsia="Calibri"/>
          <w:iCs/>
        </w:rPr>
      </w:pPr>
      <w:bookmarkStart w:id="79" w:name="_Ref215217195"/>
      <w:r w:rsidRPr="00367355">
        <w:rPr>
          <w:rFonts w:eastAsia="Calibri"/>
          <w:iCs/>
        </w:rPr>
        <w:t>The ESC</w:t>
      </w:r>
      <w:r w:rsidR="00483F55" w:rsidRPr="00367355">
        <w:rPr>
          <w:rFonts w:eastAsia="Calibri"/>
          <w:iCs/>
        </w:rPr>
        <w:t xml:space="preserve"> </w:t>
      </w:r>
      <w:r w:rsidR="00020528" w:rsidRPr="00367355">
        <w:rPr>
          <w:rFonts w:eastAsia="Calibri"/>
          <w:iCs/>
        </w:rPr>
        <w:t>considered that</w:t>
      </w:r>
      <w:r w:rsidR="00483F55" w:rsidRPr="00367355">
        <w:rPr>
          <w:rFonts w:eastAsia="Calibri"/>
          <w:iCs/>
        </w:rPr>
        <w:t xml:space="preserve"> the superior efficacy of perioperative durvalu</w:t>
      </w:r>
      <w:r w:rsidR="00722734" w:rsidRPr="00367355">
        <w:rPr>
          <w:rFonts w:eastAsia="Calibri"/>
          <w:iCs/>
        </w:rPr>
        <w:t>ma</w:t>
      </w:r>
      <w:r w:rsidR="00483F55" w:rsidRPr="00367355">
        <w:rPr>
          <w:rFonts w:eastAsia="Calibri"/>
          <w:iCs/>
        </w:rPr>
        <w:t>b</w:t>
      </w:r>
      <w:r w:rsidR="00722734" w:rsidRPr="00367355">
        <w:rPr>
          <w:rFonts w:eastAsia="Calibri"/>
          <w:iCs/>
        </w:rPr>
        <w:t xml:space="preserve"> over </w:t>
      </w:r>
      <w:r w:rsidR="00AB7F20" w:rsidRPr="00367355">
        <w:rPr>
          <w:rFonts w:eastAsia="Calibri"/>
          <w:iCs/>
        </w:rPr>
        <w:t>SoC</w:t>
      </w:r>
      <w:r w:rsidR="00020528" w:rsidRPr="00367355">
        <w:rPr>
          <w:rFonts w:eastAsia="Calibri"/>
          <w:iCs/>
        </w:rPr>
        <w:t xml:space="preserve"> could be supported but</w:t>
      </w:r>
      <w:r w:rsidRPr="00367355">
        <w:rPr>
          <w:rFonts w:eastAsia="Calibri"/>
          <w:iCs/>
        </w:rPr>
        <w:t xml:space="preserve"> </w:t>
      </w:r>
      <w:r w:rsidR="00722734" w:rsidRPr="00367355">
        <w:rPr>
          <w:rFonts w:eastAsia="Calibri"/>
          <w:iCs/>
        </w:rPr>
        <w:t>the magnitude</w:t>
      </w:r>
      <w:r w:rsidR="00020528" w:rsidRPr="00367355">
        <w:rPr>
          <w:rFonts w:eastAsia="Calibri"/>
          <w:iCs/>
        </w:rPr>
        <w:t xml:space="preserve"> of effect</w:t>
      </w:r>
      <w:r w:rsidR="00960ED6" w:rsidRPr="00367355">
        <w:rPr>
          <w:rFonts w:eastAsia="Calibri"/>
          <w:iCs/>
        </w:rPr>
        <w:t xml:space="preserve"> is</w:t>
      </w:r>
      <w:r w:rsidR="00722734" w:rsidRPr="00367355">
        <w:rPr>
          <w:rFonts w:eastAsia="Calibri"/>
          <w:iCs/>
        </w:rPr>
        <w:t xml:space="preserve"> uncertain</w:t>
      </w:r>
      <w:bookmarkEnd w:id="77"/>
      <w:r w:rsidR="00BC4DDA">
        <w:rPr>
          <w:rFonts w:eastAsia="Calibri"/>
          <w:iCs/>
        </w:rPr>
        <w:t>.</w:t>
      </w:r>
      <w:r w:rsidR="00AF05B5">
        <w:rPr>
          <w:rFonts w:eastAsia="Calibri"/>
          <w:iCs/>
        </w:rPr>
        <w:t xml:space="preserve"> </w:t>
      </w:r>
      <w:r w:rsidR="00573534">
        <w:rPr>
          <w:rFonts w:eastAsia="Calibri"/>
          <w:iCs/>
        </w:rPr>
        <w:t>T</w:t>
      </w:r>
      <w:r w:rsidR="00AF05B5">
        <w:rPr>
          <w:rFonts w:eastAsia="Calibri"/>
          <w:iCs/>
        </w:rPr>
        <w:t xml:space="preserve">he PBAC </w:t>
      </w:r>
      <w:r w:rsidR="009E1CAE">
        <w:rPr>
          <w:rFonts w:eastAsia="Calibri"/>
          <w:iCs/>
        </w:rPr>
        <w:t>considered</w:t>
      </w:r>
      <w:r w:rsidR="004665DB">
        <w:rPr>
          <w:rFonts w:eastAsia="Calibri"/>
          <w:iCs/>
        </w:rPr>
        <w:t xml:space="preserve"> that</w:t>
      </w:r>
      <w:r w:rsidR="009E1CAE">
        <w:rPr>
          <w:rFonts w:eastAsia="Calibri"/>
          <w:iCs/>
        </w:rPr>
        <w:t xml:space="preserve"> </w:t>
      </w:r>
      <w:r w:rsidR="00D96ABE">
        <w:rPr>
          <w:rFonts w:eastAsia="Calibri"/>
          <w:iCs/>
        </w:rPr>
        <w:t xml:space="preserve">the </w:t>
      </w:r>
      <w:r w:rsidR="00792269">
        <w:rPr>
          <w:rFonts w:eastAsia="Calibri"/>
          <w:iCs/>
        </w:rPr>
        <w:t>data matching performed by the submission ameliorated th</w:t>
      </w:r>
      <w:r w:rsidR="00927F91">
        <w:rPr>
          <w:rFonts w:eastAsia="Calibri"/>
          <w:iCs/>
        </w:rPr>
        <w:t>e differences</w:t>
      </w:r>
      <w:r w:rsidR="00EB18B1">
        <w:rPr>
          <w:rFonts w:eastAsia="Calibri"/>
          <w:iCs/>
        </w:rPr>
        <w:t xml:space="preserve"> across the trials and</w:t>
      </w:r>
      <w:bookmarkEnd w:id="78"/>
      <w:r w:rsidR="002D7E62" w:rsidRPr="00FD732D">
        <w:rPr>
          <w:rFonts w:eastAsia="Calibri"/>
          <w:iCs/>
        </w:rPr>
        <w:t xml:space="preserve"> further</w:t>
      </w:r>
      <w:r w:rsidR="002B1FB8" w:rsidRPr="00FD732D">
        <w:rPr>
          <w:rFonts w:eastAsia="Calibri"/>
          <w:iCs/>
        </w:rPr>
        <w:t xml:space="preserve"> acknowledged that, as stated in the</w:t>
      </w:r>
      <w:r w:rsidR="004F1CAF" w:rsidRPr="00FD732D">
        <w:rPr>
          <w:rFonts w:eastAsia="Calibri"/>
          <w:iCs/>
        </w:rPr>
        <w:t xml:space="preserve"> PSCR</w:t>
      </w:r>
      <w:r w:rsidR="002B1FB8" w:rsidRPr="00FD732D">
        <w:rPr>
          <w:rFonts w:eastAsia="Calibri"/>
          <w:iCs/>
        </w:rPr>
        <w:t>,</w:t>
      </w:r>
      <w:r w:rsidR="004F1CAF" w:rsidRPr="00FD732D">
        <w:rPr>
          <w:rFonts w:eastAsia="Calibri"/>
          <w:iCs/>
        </w:rPr>
        <w:t xml:space="preserve"> perioperative durvalumab is the first immunotherapy to achieve a statistically significant and clinically meaningful OS benefit in the curative treatment setting for cisplatin-eligible MIBC, noting that the PBAC recommendation for adjuvant nivolumab was based on a subgroup analysis</w:t>
      </w:r>
      <w:r w:rsidR="00637994">
        <w:rPr>
          <w:rFonts w:eastAsia="Calibri"/>
          <w:iCs/>
        </w:rPr>
        <w:t xml:space="preserve"> </w:t>
      </w:r>
      <w:r w:rsidR="00ED7C91">
        <w:rPr>
          <w:rFonts w:eastAsia="Calibri"/>
          <w:iCs/>
        </w:rPr>
        <w:t>based on</w:t>
      </w:r>
      <w:r w:rsidR="004F1CAF" w:rsidRPr="00FD732D">
        <w:rPr>
          <w:rFonts w:eastAsia="Calibri"/>
          <w:iCs/>
        </w:rPr>
        <w:t xml:space="preserve"> only</w:t>
      </w:r>
      <w:r w:rsidR="006B7837" w:rsidRPr="00FD732D">
        <w:rPr>
          <w:rFonts w:eastAsia="Calibri"/>
          <w:iCs/>
        </w:rPr>
        <w:t xml:space="preserve"> </w:t>
      </w:r>
      <w:r w:rsidR="004F1CAF" w:rsidRPr="00FD732D">
        <w:rPr>
          <w:rFonts w:eastAsia="Calibri"/>
          <w:iCs/>
        </w:rPr>
        <w:t>DFS without any OS data.</w:t>
      </w:r>
      <w:r w:rsidR="00B02253">
        <w:rPr>
          <w:rFonts w:eastAsia="Calibri"/>
          <w:iCs/>
        </w:rPr>
        <w:t xml:space="preserve"> However, the PBAC considered that </w:t>
      </w:r>
      <w:r w:rsidR="00B5436B">
        <w:rPr>
          <w:rFonts w:eastAsia="Calibri"/>
          <w:iCs/>
        </w:rPr>
        <w:t>it would be impossible to completely address all the potential</w:t>
      </w:r>
      <w:r w:rsidR="004665DB" w:rsidRPr="004665DB">
        <w:rPr>
          <w:rFonts w:eastAsia="Calibri"/>
          <w:iCs/>
        </w:rPr>
        <w:t xml:space="preserve"> transitivity issues arising from differences in the NIAGARA</w:t>
      </w:r>
      <w:r w:rsidR="00B5436B">
        <w:rPr>
          <w:rFonts w:eastAsia="Calibri"/>
          <w:iCs/>
        </w:rPr>
        <w:t xml:space="preserve"> and CM274 trials</w:t>
      </w:r>
      <w:r w:rsidR="00200CA8">
        <w:rPr>
          <w:rFonts w:eastAsia="Calibri"/>
          <w:iCs/>
        </w:rPr>
        <w:t xml:space="preserve"> and considered that the comparative benefit</w:t>
      </w:r>
      <w:r w:rsidR="001A7E77">
        <w:rPr>
          <w:rFonts w:eastAsia="Calibri"/>
          <w:iCs/>
        </w:rPr>
        <w:t xml:space="preserve"> using this method</w:t>
      </w:r>
      <w:r w:rsidR="00200CA8">
        <w:rPr>
          <w:rFonts w:eastAsia="Calibri"/>
          <w:iCs/>
        </w:rPr>
        <w:t xml:space="preserve"> could not be robustly demonstrated.</w:t>
      </w:r>
      <w:r w:rsidR="003E7A9B">
        <w:rPr>
          <w:rFonts w:eastAsia="Calibri"/>
          <w:iCs/>
        </w:rPr>
        <w:t xml:space="preserve"> </w:t>
      </w:r>
      <w:r w:rsidR="003E7A9B" w:rsidRPr="00226063">
        <w:rPr>
          <w:rFonts w:eastAsia="Calibri"/>
          <w:iCs/>
        </w:rPr>
        <w:t xml:space="preserve">Overall, the PBAC considered that </w:t>
      </w:r>
      <w:r w:rsidR="0026324D" w:rsidRPr="00226063">
        <w:rPr>
          <w:rFonts w:eastAsia="Calibri"/>
          <w:iCs/>
        </w:rPr>
        <w:t>the evidence does not support</w:t>
      </w:r>
      <w:r w:rsidR="0026324D" w:rsidRPr="0026324D">
        <w:rPr>
          <w:rFonts w:eastAsia="Calibri"/>
          <w:iCs/>
        </w:rPr>
        <w:t xml:space="preserve"> superiority for those patients </w:t>
      </w:r>
      <w:r w:rsidR="00B53DD4" w:rsidRPr="00226063">
        <w:rPr>
          <w:rFonts w:eastAsia="Calibri"/>
          <w:iCs/>
        </w:rPr>
        <w:t>who</w:t>
      </w:r>
      <w:r w:rsidR="0026324D" w:rsidRPr="0026324D">
        <w:rPr>
          <w:rFonts w:eastAsia="Calibri"/>
          <w:iCs/>
        </w:rPr>
        <w:t xml:space="preserve"> otherwise might have received </w:t>
      </w:r>
      <w:r w:rsidR="0026324D" w:rsidRPr="00226063">
        <w:rPr>
          <w:rFonts w:eastAsia="Calibri"/>
          <w:iCs/>
        </w:rPr>
        <w:t>adjuvant nivolumab</w:t>
      </w:r>
      <w:r w:rsidR="001625E4" w:rsidRPr="00226063">
        <w:rPr>
          <w:rFonts w:eastAsia="Calibri"/>
          <w:iCs/>
        </w:rPr>
        <w:t xml:space="preserve">, noting that </w:t>
      </w:r>
      <w:r w:rsidR="008E356B" w:rsidRPr="00226063">
        <w:rPr>
          <w:rFonts w:eastAsia="Calibri"/>
          <w:iCs/>
        </w:rPr>
        <w:t xml:space="preserve">while </w:t>
      </w:r>
      <w:r w:rsidR="001625E4" w:rsidRPr="00226063">
        <w:rPr>
          <w:rFonts w:eastAsia="Calibri"/>
          <w:iCs/>
        </w:rPr>
        <w:t>perioperative durvalumab</w:t>
      </w:r>
      <w:r w:rsidR="0026324D" w:rsidRPr="0026324D">
        <w:rPr>
          <w:rFonts w:eastAsia="Calibri"/>
          <w:iCs/>
        </w:rPr>
        <w:t xml:space="preserve"> could possibly be similar to</w:t>
      </w:r>
      <w:r w:rsidR="003855C8" w:rsidRPr="00226063">
        <w:rPr>
          <w:rFonts w:eastAsia="Calibri"/>
          <w:iCs/>
        </w:rPr>
        <w:t xml:space="preserve"> adjuvant</w:t>
      </w:r>
      <w:r w:rsidR="0026324D" w:rsidRPr="0026324D">
        <w:rPr>
          <w:rFonts w:eastAsia="Calibri"/>
          <w:iCs/>
        </w:rPr>
        <w:t xml:space="preserve"> nivo</w:t>
      </w:r>
      <w:r w:rsidR="003855C8" w:rsidRPr="00226063">
        <w:rPr>
          <w:rFonts w:eastAsia="Calibri"/>
          <w:iCs/>
        </w:rPr>
        <w:t>lumab</w:t>
      </w:r>
      <w:r w:rsidR="008E356B" w:rsidRPr="00226063">
        <w:rPr>
          <w:rFonts w:eastAsia="Calibri"/>
          <w:iCs/>
        </w:rPr>
        <w:t xml:space="preserve">, </w:t>
      </w:r>
      <w:r w:rsidR="00057C1B" w:rsidRPr="00226063">
        <w:rPr>
          <w:rFonts w:eastAsia="Calibri"/>
          <w:iCs/>
        </w:rPr>
        <w:t>even a claim of non-inferiority would be</w:t>
      </w:r>
      <w:r w:rsidR="0026324D" w:rsidRPr="0026324D">
        <w:rPr>
          <w:rFonts w:eastAsia="Calibri"/>
          <w:iCs/>
        </w:rPr>
        <w:t xml:space="preserve"> uncertain</w:t>
      </w:r>
      <w:r w:rsidR="00057C1B" w:rsidRPr="00226063">
        <w:rPr>
          <w:rFonts w:eastAsia="Calibri"/>
          <w:iCs/>
        </w:rPr>
        <w:t>.</w:t>
      </w:r>
      <w:bookmarkEnd w:id="79"/>
    </w:p>
    <w:p w14:paraId="0A698767" w14:textId="422B6A59" w:rsidR="00FC29F9" w:rsidRPr="003E3467" w:rsidRDefault="00E073E8" w:rsidP="003E3467">
      <w:pPr>
        <w:pStyle w:val="3-BodyText"/>
        <w:rPr>
          <w:rFonts w:eastAsia="Calibri"/>
        </w:rPr>
      </w:pPr>
      <w:r w:rsidRPr="00186D53">
        <w:rPr>
          <w:rFonts w:eastAsia="Calibri"/>
        </w:rPr>
        <w:lastRenderedPageBreak/>
        <w:t xml:space="preserve">The submission described perioperative </w:t>
      </w:r>
      <w:r>
        <w:rPr>
          <w:rFonts w:eastAsia="Calibri"/>
        </w:rPr>
        <w:t>durvalumab</w:t>
      </w:r>
      <w:r w:rsidRPr="00186D53">
        <w:rPr>
          <w:rFonts w:eastAsia="Calibri"/>
        </w:rPr>
        <w:t xml:space="preserve"> in combination with GC NAC as non-inferior in terms of safety compared adjuvant </w:t>
      </w:r>
      <w:r>
        <w:rPr>
          <w:rFonts w:eastAsia="Calibri"/>
        </w:rPr>
        <w:t>nivolumab</w:t>
      </w:r>
      <w:r w:rsidRPr="00186D53">
        <w:rPr>
          <w:rFonts w:eastAsia="Calibri"/>
        </w:rPr>
        <w:t xml:space="preserve"> in the subgroup of MIBC patients with high risk of disease recurrence.</w:t>
      </w:r>
      <w:r>
        <w:rPr>
          <w:rFonts w:eastAsia="Calibri"/>
        </w:rPr>
        <w:t xml:space="preserve"> </w:t>
      </w:r>
      <w:r w:rsidRPr="00133367">
        <w:rPr>
          <w:rFonts w:eastAsia="Calibri"/>
        </w:rPr>
        <w:t>Th</w:t>
      </w:r>
      <w:r w:rsidR="00CA3085">
        <w:rPr>
          <w:rFonts w:eastAsia="Calibri"/>
        </w:rPr>
        <w:t xml:space="preserve">e </w:t>
      </w:r>
      <w:r w:rsidR="00CA3085" w:rsidRPr="00367355">
        <w:rPr>
          <w:rFonts w:eastAsia="Calibri"/>
          <w:iCs/>
        </w:rPr>
        <w:t>evaluation considered that</w:t>
      </w:r>
      <w:r w:rsidR="00CA3085">
        <w:rPr>
          <w:rFonts w:eastAsia="Calibri"/>
        </w:rPr>
        <w:t xml:space="preserve"> th</w:t>
      </w:r>
      <w:r w:rsidRPr="00133367">
        <w:rPr>
          <w:rFonts w:eastAsia="Calibri"/>
        </w:rPr>
        <w:t xml:space="preserve">is claim was not adequately supported by the evidence presented in the submission. The key issues included the moderate-to-high risk of bias associated with the safety outcomes in the NIAGARA trial due to its open-label study design and the safety results from a small patient subgroup in the CM274 trial for comparison. </w:t>
      </w:r>
      <w:r w:rsidR="00301A8A" w:rsidRPr="00367355">
        <w:rPr>
          <w:rFonts w:eastAsia="Calibri"/>
          <w:iCs/>
        </w:rPr>
        <w:t>The</w:t>
      </w:r>
      <w:r w:rsidR="00D93860">
        <w:rPr>
          <w:rFonts w:eastAsia="Calibri"/>
          <w:iCs/>
        </w:rPr>
        <w:t xml:space="preserve"> PBAC agreed with the</w:t>
      </w:r>
      <w:r w:rsidR="00301A8A" w:rsidRPr="00367355">
        <w:rPr>
          <w:rFonts w:eastAsia="Calibri"/>
          <w:iCs/>
        </w:rPr>
        <w:t xml:space="preserve"> ESC that non-inferior safety is </w:t>
      </w:r>
      <w:r w:rsidR="005D0886">
        <w:rPr>
          <w:rFonts w:eastAsia="Calibri"/>
          <w:iCs/>
        </w:rPr>
        <w:t>likely</w:t>
      </w:r>
      <w:r w:rsidR="00301A8A" w:rsidRPr="00367355">
        <w:rPr>
          <w:rFonts w:eastAsia="Calibri"/>
          <w:iCs/>
        </w:rPr>
        <w:t xml:space="preserve"> reasonable but difficult to accurately assess in a side-by</w:t>
      </w:r>
      <w:r w:rsidR="00FA5FCB" w:rsidRPr="00367355">
        <w:rPr>
          <w:rFonts w:eastAsia="Calibri"/>
          <w:iCs/>
        </w:rPr>
        <w:t>-side comparison.</w:t>
      </w:r>
    </w:p>
    <w:p w14:paraId="0A1AAB37" w14:textId="0F43799B" w:rsidR="001A1D0B" w:rsidRPr="00DF1914" w:rsidRDefault="001A1D0B" w:rsidP="001A1D0B">
      <w:pPr>
        <w:pStyle w:val="4-SubsectionHeading"/>
      </w:pPr>
      <w:bookmarkStart w:id="80" w:name="_Toc22897645"/>
      <w:bookmarkStart w:id="81" w:name="_Toc202884179"/>
      <w:bookmarkStart w:id="82" w:name="_Toc209021287"/>
      <w:bookmarkStart w:id="83" w:name="_Toc209023183"/>
      <w:r w:rsidRPr="00DF1914">
        <w:t>Economic analysis</w:t>
      </w:r>
      <w:bookmarkEnd w:id="80"/>
      <w:bookmarkEnd w:id="81"/>
      <w:bookmarkEnd w:id="82"/>
      <w:bookmarkEnd w:id="83"/>
      <w:r w:rsidRPr="00DF1914">
        <w:t xml:space="preserve"> </w:t>
      </w:r>
    </w:p>
    <w:p w14:paraId="097AABEE" w14:textId="28863994" w:rsidR="002B37C0" w:rsidRPr="00AD64DE" w:rsidRDefault="0041701F" w:rsidP="00AD64DE">
      <w:pPr>
        <w:pStyle w:val="3-BodyText"/>
        <w:rPr>
          <w:b/>
          <w:bCs/>
        </w:rPr>
      </w:pPr>
      <w:r w:rsidRPr="00DF1914">
        <w:t xml:space="preserve">The submission presented cost-effectiveness and cost-utility analyses based on the Phase 3 randomised controlled NIAGARA trial </w:t>
      </w:r>
      <w:r w:rsidR="00134961" w:rsidRPr="00367355">
        <w:rPr>
          <w:iCs/>
        </w:rPr>
        <w:t>in MIBC</w:t>
      </w:r>
      <w:r w:rsidR="00134961">
        <w:t xml:space="preserve">, </w:t>
      </w:r>
      <w:r w:rsidR="00622631" w:rsidRPr="00367355">
        <w:rPr>
          <w:iCs/>
        </w:rPr>
        <w:t>which</w:t>
      </w:r>
      <w:r w:rsidR="00622631">
        <w:t xml:space="preserve"> </w:t>
      </w:r>
      <w:r w:rsidRPr="00DF1914">
        <w:t>compar</w:t>
      </w:r>
      <w:r w:rsidR="00622631">
        <w:t>ed</w:t>
      </w:r>
      <w:r w:rsidRPr="00DF1914">
        <w:t xml:space="preserve"> neoadjuvant durvalumab</w:t>
      </w:r>
      <w:r w:rsidRPr="00DF1914">
        <w:rPr>
          <w:rFonts w:cs="Calibri"/>
        </w:rPr>
        <w:t xml:space="preserve"> with GC followed by RC</w:t>
      </w:r>
      <w:r w:rsidRPr="00DF1914">
        <w:t xml:space="preserve"> and adjuvant durvalumab, versus NAC with GC followed by RC</w:t>
      </w:r>
      <w:r w:rsidR="00680EFD">
        <w:t xml:space="preserve"> </w:t>
      </w:r>
      <w:r w:rsidR="00680EFD" w:rsidRPr="00367355">
        <w:rPr>
          <w:iCs/>
        </w:rPr>
        <w:t>and post-surgery active surveillance</w:t>
      </w:r>
      <w:r w:rsidR="00ED7256">
        <w:t>.</w:t>
      </w:r>
      <w:r w:rsidRPr="00DF1914">
        <w:t xml:space="preserve"> Adjuvant nivolumab is reimbursed for high-risk MI</w:t>
      </w:r>
      <w:r>
        <w:t>B</w:t>
      </w:r>
      <w:r w:rsidRPr="00DF1914">
        <w:t xml:space="preserve">C patients who have had prior NAC, while avelumab is </w:t>
      </w:r>
      <w:r>
        <w:t>reimbursed</w:t>
      </w:r>
      <w:r w:rsidRPr="00DF1914">
        <w:t xml:space="preserve"> for those with locally advanced or metastatic urothelial cancer not previously treated with </w:t>
      </w:r>
      <w:r w:rsidR="00F55C48">
        <w:t>immuno</w:t>
      </w:r>
      <w:r w:rsidRPr="00DF1914">
        <w:t>therapy.</w:t>
      </w:r>
      <w:r w:rsidR="00C67CCE">
        <w:t xml:space="preserve"> </w:t>
      </w:r>
      <w:r w:rsidR="00C67CCE" w:rsidRPr="00AD64DE">
        <w:rPr>
          <w:iCs/>
        </w:rPr>
        <w:t>Patients in the GC arm of the NIAGARA trial</w:t>
      </w:r>
      <w:r w:rsidR="00285E7A" w:rsidRPr="00AD64DE">
        <w:rPr>
          <w:iCs/>
        </w:rPr>
        <w:t xml:space="preserve"> </w:t>
      </w:r>
      <w:r w:rsidR="0024397C" w:rsidRPr="00AD64DE">
        <w:rPr>
          <w:iCs/>
        </w:rPr>
        <w:t>receive</w:t>
      </w:r>
      <w:r w:rsidR="00456C99" w:rsidRPr="00AD64DE">
        <w:rPr>
          <w:iCs/>
        </w:rPr>
        <w:t>d</w:t>
      </w:r>
      <w:r w:rsidR="0024397C" w:rsidRPr="00AD64DE">
        <w:rPr>
          <w:iCs/>
        </w:rPr>
        <w:t xml:space="preserve"> post-surgery active surveillance, not nivolumab</w:t>
      </w:r>
      <w:r w:rsidR="008C1CC0" w:rsidRPr="00AD64DE">
        <w:rPr>
          <w:iCs/>
        </w:rPr>
        <w:t xml:space="preserve"> </w:t>
      </w:r>
      <w:r w:rsidR="00E74B11" w:rsidRPr="00AD64DE">
        <w:rPr>
          <w:iCs/>
        </w:rPr>
        <w:t>or</w:t>
      </w:r>
      <w:r w:rsidR="00691C5C" w:rsidRPr="00AD64DE">
        <w:rPr>
          <w:iCs/>
        </w:rPr>
        <w:t xml:space="preserve"> </w:t>
      </w:r>
      <w:r w:rsidR="00E74B11" w:rsidRPr="00AD64DE">
        <w:rPr>
          <w:iCs/>
        </w:rPr>
        <w:t>avelumab</w:t>
      </w:r>
      <w:r w:rsidR="0024397C" w:rsidRPr="00AD64DE">
        <w:rPr>
          <w:iCs/>
        </w:rPr>
        <w:t>.</w:t>
      </w:r>
      <w:r w:rsidRPr="00DF1914">
        <w:t xml:space="preserve"> </w:t>
      </w:r>
      <w:r w:rsidR="00733B96" w:rsidRPr="00AD64DE">
        <w:rPr>
          <w:iCs/>
        </w:rPr>
        <w:t>In contrast</w:t>
      </w:r>
      <w:r w:rsidR="00753652">
        <w:t>,</w:t>
      </w:r>
      <w:r w:rsidR="00EF0114" w:rsidRPr="00DF1914">
        <w:t xml:space="preserve"> </w:t>
      </w:r>
      <w:r w:rsidRPr="00DF1914">
        <w:t>patients in the GC arm</w:t>
      </w:r>
      <w:r w:rsidR="007809E2">
        <w:t xml:space="preserve"> </w:t>
      </w:r>
      <w:r w:rsidR="007809E2" w:rsidRPr="00AD64DE">
        <w:rPr>
          <w:iCs/>
        </w:rPr>
        <w:t xml:space="preserve">of the </w:t>
      </w:r>
      <w:r w:rsidR="00EC4F0F" w:rsidRPr="00AD64DE">
        <w:rPr>
          <w:iCs/>
        </w:rPr>
        <w:t xml:space="preserve">economic </w:t>
      </w:r>
      <w:r w:rsidR="007809E2" w:rsidRPr="00AD64DE">
        <w:rPr>
          <w:iCs/>
        </w:rPr>
        <w:t>model</w:t>
      </w:r>
      <w:r w:rsidRPr="00DF1914">
        <w:t xml:space="preserve"> </w:t>
      </w:r>
      <w:r w:rsidR="00EF0114">
        <w:t>could</w:t>
      </w:r>
      <w:r w:rsidR="00EF0114" w:rsidRPr="00DF1914">
        <w:t xml:space="preserve"> </w:t>
      </w:r>
      <w:r w:rsidRPr="00DF1914">
        <w:t>receive</w:t>
      </w:r>
      <w:r w:rsidR="002711BD">
        <w:t xml:space="preserve"> </w:t>
      </w:r>
      <w:r w:rsidR="002711BD" w:rsidRPr="00AD64DE">
        <w:rPr>
          <w:iCs/>
        </w:rPr>
        <w:t>either drug</w:t>
      </w:r>
      <w:r w:rsidR="00DD30C9" w:rsidRPr="00AD64DE">
        <w:rPr>
          <w:iCs/>
        </w:rPr>
        <w:t xml:space="preserve"> (but not both)</w:t>
      </w:r>
      <w:r w:rsidRPr="00DF1914">
        <w:t xml:space="preserve"> </w:t>
      </w:r>
      <w:r w:rsidR="000D5E99" w:rsidRPr="00AD64DE">
        <w:rPr>
          <w:iCs/>
        </w:rPr>
        <w:t>because</w:t>
      </w:r>
      <w:r w:rsidR="00AC380E">
        <w:t xml:space="preserve"> t</w:t>
      </w:r>
      <w:r w:rsidR="002B37C0" w:rsidRPr="00133367">
        <w:t>his is aligned</w:t>
      </w:r>
      <w:r w:rsidR="00753652" w:rsidRPr="00133367">
        <w:t xml:space="preserve"> with current clinical practice in Australia.</w:t>
      </w:r>
      <w:r w:rsidR="00AB515F">
        <w:t xml:space="preserve"> </w:t>
      </w:r>
    </w:p>
    <w:p w14:paraId="2FD6B806" w14:textId="2B0D81E3" w:rsidR="0041701F" w:rsidRPr="00DF1914" w:rsidRDefault="00BA6FF0" w:rsidP="004B1C2F">
      <w:pPr>
        <w:pStyle w:val="3-BodyText"/>
      </w:pPr>
      <w:r>
        <w:t>The model measured</w:t>
      </w:r>
      <w:r w:rsidRPr="00DF1914">
        <w:t xml:space="preserve"> outcomes in terms of life-years (LYs) gained and quality-adjusted life years (QALYs) gained. </w:t>
      </w:r>
      <w:r w:rsidR="0041701F" w:rsidRPr="00DF1914">
        <w:t>The key components of the cost utility analysis are presented in</w:t>
      </w:r>
      <w:r w:rsidR="00360D26">
        <w:t xml:space="preserve"> </w:t>
      </w:r>
      <w:r w:rsidR="00360D26">
        <w:fldChar w:fldCharType="begin"/>
      </w:r>
      <w:r w:rsidR="00360D26">
        <w:instrText xml:space="preserve"> REF _Ref214453541 \h </w:instrText>
      </w:r>
      <w:r w:rsidR="00360D26">
        <w:fldChar w:fldCharType="separate"/>
      </w:r>
      <w:r w:rsidR="005731FF">
        <w:t xml:space="preserve">Table </w:t>
      </w:r>
      <w:r w:rsidR="005731FF">
        <w:rPr>
          <w:noProof/>
        </w:rPr>
        <w:t>13</w:t>
      </w:r>
      <w:r w:rsidR="00360D26">
        <w:fldChar w:fldCharType="end"/>
      </w:r>
      <w:r w:rsidR="0041701F" w:rsidRPr="00DF1914">
        <w:t>.</w:t>
      </w:r>
    </w:p>
    <w:p w14:paraId="5B5E8656" w14:textId="340E0740" w:rsidR="0041701F" w:rsidRPr="00DF1914" w:rsidRDefault="00360D26" w:rsidP="00B953DA">
      <w:pPr>
        <w:pStyle w:val="Caption"/>
        <w:rPr>
          <w:rStyle w:val="CommentReference"/>
          <w:b/>
          <w:szCs w:val="24"/>
        </w:rPr>
      </w:pPr>
      <w:bookmarkStart w:id="84" w:name="_Ref214453541"/>
      <w:r>
        <w:lastRenderedPageBreak/>
        <w:t xml:space="preserve">Table </w:t>
      </w:r>
      <w:r w:rsidR="0077772B">
        <w:fldChar w:fldCharType="begin"/>
      </w:r>
      <w:r w:rsidR="0077772B">
        <w:instrText xml:space="preserve"> SEQ Table \* ARABIC </w:instrText>
      </w:r>
      <w:r w:rsidR="0077772B">
        <w:fldChar w:fldCharType="separate"/>
      </w:r>
      <w:r w:rsidR="005731FF">
        <w:rPr>
          <w:noProof/>
        </w:rPr>
        <w:t>13</w:t>
      </w:r>
      <w:r w:rsidR="0077772B">
        <w:rPr>
          <w:noProof/>
        </w:rPr>
        <w:fldChar w:fldCharType="end"/>
      </w:r>
      <w:bookmarkEnd w:id="84"/>
      <w:r w:rsidR="0041701F" w:rsidRPr="00DF1914">
        <w:t>:</w:t>
      </w:r>
      <w:r w:rsidR="0041701F" w:rsidRPr="00DF1914">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2518"/>
        <w:gridCol w:w="6499"/>
      </w:tblGrid>
      <w:tr w:rsidR="0041701F" w:rsidRPr="00133367" w14:paraId="038F2BD9" w14:textId="77777777">
        <w:trPr>
          <w:tblHeader/>
        </w:trPr>
        <w:tc>
          <w:tcPr>
            <w:tcW w:w="1396" w:type="pct"/>
            <w:vAlign w:val="center"/>
          </w:tcPr>
          <w:p w14:paraId="54546802" w14:textId="77777777" w:rsidR="0041701F" w:rsidRPr="00133367" w:rsidRDefault="0041701F" w:rsidP="00B953DA">
            <w:pPr>
              <w:pStyle w:val="In-tableHeading"/>
              <w:rPr>
                <w:lang w:val="en-AU"/>
              </w:rPr>
            </w:pPr>
            <w:r w:rsidRPr="00133367">
              <w:rPr>
                <w:lang w:val="en-AU"/>
              </w:rPr>
              <w:t>Component</w:t>
            </w:r>
          </w:p>
        </w:tc>
        <w:tc>
          <w:tcPr>
            <w:tcW w:w="3604" w:type="pct"/>
            <w:vAlign w:val="center"/>
          </w:tcPr>
          <w:p w14:paraId="4526FB9A" w14:textId="77777777" w:rsidR="0041701F" w:rsidRPr="00133367" w:rsidRDefault="0041701F" w:rsidP="00B953DA">
            <w:pPr>
              <w:pStyle w:val="In-tableHeading"/>
              <w:rPr>
                <w:lang w:val="en-AU"/>
              </w:rPr>
            </w:pPr>
            <w:r w:rsidRPr="00133367">
              <w:rPr>
                <w:lang w:val="en-AU"/>
              </w:rPr>
              <w:t>Summary</w:t>
            </w:r>
          </w:p>
        </w:tc>
      </w:tr>
      <w:tr w:rsidR="0041701F" w:rsidRPr="00133367" w14:paraId="730BCC47" w14:textId="77777777">
        <w:tc>
          <w:tcPr>
            <w:tcW w:w="1396" w:type="pct"/>
          </w:tcPr>
          <w:p w14:paraId="2691E2B3" w14:textId="77777777" w:rsidR="0041701F" w:rsidRPr="00133367" w:rsidRDefault="0041701F" w:rsidP="00B953DA">
            <w:pPr>
              <w:pStyle w:val="TableText0"/>
            </w:pPr>
            <w:r w:rsidRPr="00133367">
              <w:t>Type of analysis</w:t>
            </w:r>
          </w:p>
        </w:tc>
        <w:tc>
          <w:tcPr>
            <w:tcW w:w="3604" w:type="pct"/>
          </w:tcPr>
          <w:p w14:paraId="45B2AFB7" w14:textId="6A34B352" w:rsidR="0041701F" w:rsidRPr="00133367" w:rsidRDefault="0041701F" w:rsidP="00B953DA">
            <w:pPr>
              <w:pStyle w:val="TableText0"/>
            </w:pPr>
            <w:r w:rsidRPr="00133367">
              <w:t>Cost-effective</w:t>
            </w:r>
            <w:r w:rsidR="00C059E0">
              <w:t>ness</w:t>
            </w:r>
            <w:r w:rsidRPr="00133367">
              <w:t xml:space="preserve"> analysis and cost-utility analysis</w:t>
            </w:r>
          </w:p>
        </w:tc>
      </w:tr>
      <w:tr w:rsidR="0041701F" w:rsidRPr="00133367" w14:paraId="0FE806EC" w14:textId="77777777">
        <w:tc>
          <w:tcPr>
            <w:tcW w:w="1396" w:type="pct"/>
          </w:tcPr>
          <w:p w14:paraId="26A8C6F7" w14:textId="77777777" w:rsidR="0041701F" w:rsidRPr="00133367" w:rsidRDefault="0041701F" w:rsidP="00B953DA">
            <w:pPr>
              <w:pStyle w:val="TableText0"/>
            </w:pPr>
            <w:r w:rsidRPr="00133367">
              <w:t>Outcomes</w:t>
            </w:r>
          </w:p>
        </w:tc>
        <w:tc>
          <w:tcPr>
            <w:tcW w:w="3604" w:type="pct"/>
          </w:tcPr>
          <w:p w14:paraId="33E5BF48" w14:textId="77777777" w:rsidR="0041701F" w:rsidRPr="00133367" w:rsidRDefault="0041701F" w:rsidP="00B953DA">
            <w:pPr>
              <w:pStyle w:val="TableText0"/>
            </w:pPr>
            <w:r w:rsidRPr="00133367">
              <w:t>Life years gained, quality-adjusted life years gained</w:t>
            </w:r>
          </w:p>
        </w:tc>
      </w:tr>
      <w:tr w:rsidR="0041701F" w:rsidRPr="00133367" w14:paraId="3851C683" w14:textId="77777777">
        <w:tc>
          <w:tcPr>
            <w:tcW w:w="1396" w:type="pct"/>
            <w:vAlign w:val="center"/>
          </w:tcPr>
          <w:p w14:paraId="535E5670" w14:textId="77777777" w:rsidR="0041701F" w:rsidRPr="00133367" w:rsidRDefault="0041701F" w:rsidP="00B953DA">
            <w:pPr>
              <w:pStyle w:val="TableText0"/>
            </w:pPr>
            <w:r w:rsidRPr="00133367">
              <w:t>Time horizon</w:t>
            </w:r>
          </w:p>
        </w:tc>
        <w:tc>
          <w:tcPr>
            <w:tcW w:w="3604" w:type="pct"/>
            <w:vAlign w:val="center"/>
          </w:tcPr>
          <w:p w14:paraId="6526E432" w14:textId="389078EA" w:rsidR="0041701F" w:rsidRPr="00133367" w:rsidRDefault="0041701F" w:rsidP="00B953DA">
            <w:pPr>
              <w:pStyle w:val="TableText0"/>
            </w:pPr>
            <w:r w:rsidRPr="00133367">
              <w:t>20 years in the model base case vs. a median follow-up of 34.7 months in the durvalumab+GC arm and 27.7 months in the GC arm in the key trial (NIAGARA).</w:t>
            </w:r>
          </w:p>
          <w:p w14:paraId="200D4661" w14:textId="3A5A5722" w:rsidR="0041701F" w:rsidRPr="00133367" w:rsidRDefault="0041701F" w:rsidP="00B953DA">
            <w:pPr>
              <w:pStyle w:val="TableText0"/>
            </w:pPr>
          </w:p>
        </w:tc>
      </w:tr>
      <w:tr w:rsidR="0041701F" w:rsidRPr="00133367" w14:paraId="4D91C466" w14:textId="77777777">
        <w:tc>
          <w:tcPr>
            <w:tcW w:w="1396" w:type="pct"/>
            <w:vAlign w:val="center"/>
          </w:tcPr>
          <w:p w14:paraId="3439702C" w14:textId="77777777" w:rsidR="0041701F" w:rsidRPr="00133367" w:rsidRDefault="0041701F" w:rsidP="00B953DA">
            <w:pPr>
              <w:pStyle w:val="TableText0"/>
            </w:pPr>
            <w:r w:rsidRPr="00133367">
              <w:t>Methods used to generate results</w:t>
            </w:r>
          </w:p>
        </w:tc>
        <w:tc>
          <w:tcPr>
            <w:tcW w:w="3604" w:type="pct"/>
          </w:tcPr>
          <w:p w14:paraId="1A9126FF" w14:textId="77777777" w:rsidR="0041701F" w:rsidRPr="00133367" w:rsidRDefault="0041701F" w:rsidP="00B953DA">
            <w:pPr>
              <w:pStyle w:val="TableText0"/>
            </w:pPr>
            <w:r w:rsidRPr="00133367">
              <w:t>Markov cohort model</w:t>
            </w:r>
          </w:p>
        </w:tc>
      </w:tr>
      <w:tr w:rsidR="0041701F" w:rsidRPr="00133367" w14:paraId="6AA6DD7E" w14:textId="77777777">
        <w:tc>
          <w:tcPr>
            <w:tcW w:w="1396" w:type="pct"/>
            <w:vAlign w:val="center"/>
          </w:tcPr>
          <w:p w14:paraId="6C286CFF" w14:textId="77777777" w:rsidR="0041701F" w:rsidRPr="00133367" w:rsidRDefault="0041701F" w:rsidP="00B953DA">
            <w:pPr>
              <w:pStyle w:val="TableText0"/>
            </w:pPr>
            <w:r w:rsidRPr="00133367">
              <w:t>Health states</w:t>
            </w:r>
          </w:p>
        </w:tc>
        <w:tc>
          <w:tcPr>
            <w:tcW w:w="3604" w:type="pct"/>
          </w:tcPr>
          <w:p w14:paraId="65EA5AB6" w14:textId="15F5EF5A" w:rsidR="0041701F" w:rsidRPr="00133367" w:rsidRDefault="0041701F" w:rsidP="00B953DA">
            <w:pPr>
              <w:pStyle w:val="TableText0"/>
            </w:pPr>
            <w:r w:rsidRPr="00133367">
              <w:t>Five core health states: event-free survival (EFS), locoregional recurrence (LR), distant recurrence (DR), cured and death</w:t>
            </w:r>
            <w:r w:rsidR="00971BC9" w:rsidRPr="00133367">
              <w:t xml:space="preserve">. </w:t>
            </w:r>
          </w:p>
        </w:tc>
      </w:tr>
      <w:tr w:rsidR="0041701F" w:rsidRPr="00133367" w14:paraId="444DFC9D" w14:textId="77777777">
        <w:tc>
          <w:tcPr>
            <w:tcW w:w="1396" w:type="pct"/>
            <w:vAlign w:val="center"/>
          </w:tcPr>
          <w:p w14:paraId="1E8C21C3" w14:textId="77777777" w:rsidR="0041701F" w:rsidRPr="00133367" w:rsidRDefault="0041701F" w:rsidP="00B953DA">
            <w:pPr>
              <w:pStyle w:val="TableText0"/>
            </w:pPr>
            <w:r w:rsidRPr="00133367">
              <w:t>Cycle length</w:t>
            </w:r>
          </w:p>
        </w:tc>
        <w:tc>
          <w:tcPr>
            <w:tcW w:w="3604" w:type="pct"/>
          </w:tcPr>
          <w:p w14:paraId="00F7FA67" w14:textId="77777777" w:rsidR="0041701F" w:rsidRPr="00133367" w:rsidRDefault="0041701F" w:rsidP="00B953DA">
            <w:pPr>
              <w:pStyle w:val="TableText0"/>
            </w:pPr>
            <w:r w:rsidRPr="00133367">
              <w:t>One month</w:t>
            </w:r>
            <w:r w:rsidRPr="00133367" w:rsidDel="00044137">
              <w:t xml:space="preserve"> </w:t>
            </w:r>
          </w:p>
        </w:tc>
      </w:tr>
      <w:tr w:rsidR="0041701F" w:rsidRPr="00133367" w14:paraId="2D834FE7" w14:textId="77777777">
        <w:tc>
          <w:tcPr>
            <w:tcW w:w="1396" w:type="pct"/>
            <w:vAlign w:val="center"/>
          </w:tcPr>
          <w:p w14:paraId="7EE0D98A" w14:textId="77777777" w:rsidR="0041701F" w:rsidRPr="00133367" w:rsidRDefault="0041701F" w:rsidP="00B953DA">
            <w:pPr>
              <w:pStyle w:val="TableText0"/>
            </w:pPr>
            <w:r w:rsidRPr="00133367">
              <w:t xml:space="preserve">Transition probabilities </w:t>
            </w:r>
          </w:p>
        </w:tc>
        <w:tc>
          <w:tcPr>
            <w:tcW w:w="3604" w:type="pct"/>
          </w:tcPr>
          <w:p w14:paraId="13068BE1" w14:textId="3E973B1A" w:rsidR="0041701F" w:rsidRPr="00133367" w:rsidRDefault="0041701F" w:rsidP="00B953DA">
            <w:pPr>
              <w:pStyle w:val="TableText0"/>
            </w:pPr>
            <w:r w:rsidRPr="00133367">
              <w:t xml:space="preserve">Probability of disease recurrence in </w:t>
            </w:r>
            <w:r w:rsidR="007A104A" w:rsidRPr="00133367">
              <w:t xml:space="preserve">the </w:t>
            </w:r>
            <w:r w:rsidRPr="00133367">
              <w:t>neoadjuvant setting</w:t>
            </w:r>
            <w:r w:rsidR="007A104A" w:rsidRPr="00133367">
              <w:t xml:space="preserve"> was</w:t>
            </w:r>
            <w:r w:rsidRPr="00133367">
              <w:t xml:space="preserve"> based on the NIAGARA trial for each arm. Probability of death post recurrence and </w:t>
            </w:r>
            <w:r w:rsidR="000F6794" w:rsidRPr="00133367">
              <w:t xml:space="preserve">the </w:t>
            </w:r>
            <w:r w:rsidRPr="00133367">
              <w:t xml:space="preserve">probability of cure after 5 years </w:t>
            </w:r>
            <w:r w:rsidR="000D4E25" w:rsidRPr="00133367">
              <w:t xml:space="preserve">was </w:t>
            </w:r>
            <w:r w:rsidRPr="00133367">
              <w:t xml:space="preserve">based on the inputs used </w:t>
            </w:r>
            <w:r w:rsidR="003D393A" w:rsidRPr="00133367">
              <w:t>for</w:t>
            </w:r>
            <w:r w:rsidRPr="00133367">
              <w:t xml:space="preserve"> the economic mode</w:t>
            </w:r>
            <w:r w:rsidR="00B302CD" w:rsidRPr="00133367">
              <w:t>l for</w:t>
            </w:r>
            <w:r w:rsidRPr="00133367">
              <w:t xml:space="preserve"> adjuvant nivolumab (Tables 11 and 16</w:t>
            </w:r>
            <w:r w:rsidR="00D503B5" w:rsidRPr="00133367">
              <w:t>,</w:t>
            </w:r>
            <w:r w:rsidRPr="00133367">
              <w:t xml:space="preserve"> nivolumab PSD</w:t>
            </w:r>
            <w:r w:rsidR="00D503B5" w:rsidRPr="00133367">
              <w:t>,</w:t>
            </w:r>
            <w:r w:rsidRPr="00133367">
              <w:t xml:space="preserve"> March 2024).</w:t>
            </w:r>
          </w:p>
          <w:p w14:paraId="7D30FD3E" w14:textId="77777777" w:rsidR="0041701F" w:rsidRPr="00133367" w:rsidRDefault="0041701F" w:rsidP="00B953DA">
            <w:pPr>
              <w:pStyle w:val="TableText0"/>
            </w:pPr>
          </w:p>
          <w:p w14:paraId="5B7030CD" w14:textId="74775E1C" w:rsidR="0041701F" w:rsidRPr="00133367" w:rsidRDefault="0041701F" w:rsidP="00B953DA">
            <w:pPr>
              <w:pStyle w:val="TableText0"/>
            </w:pPr>
            <w:r w:rsidRPr="00133367">
              <w:t xml:space="preserve">Health outcomes associated with adjuvant therapy or treatments for metastatic MIBC were estimated based on the previous PBAC submissions of nivolumab and avelumab in </w:t>
            </w:r>
            <w:r w:rsidR="00851631" w:rsidRPr="00133367">
              <w:t xml:space="preserve">the </w:t>
            </w:r>
            <w:r w:rsidRPr="00133367">
              <w:t xml:space="preserve">SoC arm (Table 6, avelumab PSD, March 2021 </w:t>
            </w:r>
            <w:r w:rsidR="00C52853" w:rsidRPr="00133367">
              <w:t xml:space="preserve">PBAC meeting </w:t>
            </w:r>
            <w:r w:rsidRPr="00133367">
              <w:t>and Table 16, nivolumab PSD, March 2024).</w:t>
            </w:r>
          </w:p>
          <w:p w14:paraId="7A0D1D48" w14:textId="77777777" w:rsidR="0041701F" w:rsidRPr="00133367" w:rsidRDefault="0041701F" w:rsidP="00B953DA">
            <w:pPr>
              <w:pStyle w:val="TableText0"/>
            </w:pPr>
          </w:p>
          <w:p w14:paraId="64295A2D" w14:textId="7BAA71E6" w:rsidR="0041701F" w:rsidRDefault="0041701F" w:rsidP="00B953DA">
            <w:pPr>
              <w:pStyle w:val="TableText0"/>
            </w:pPr>
            <w:r w:rsidRPr="00133367">
              <w:t xml:space="preserve">The transition probabilities for EF to health states LR, DR and death were based on </w:t>
            </w:r>
            <w:r w:rsidR="00EF6DCE" w:rsidRPr="00133367">
              <w:t xml:space="preserve">a </w:t>
            </w:r>
            <w:r w:rsidRPr="00133367">
              <w:t>fixed proportion of events observed in the NIAGARA trial in each treatment arm.</w:t>
            </w:r>
          </w:p>
          <w:p w14:paraId="3E9802FA" w14:textId="77777777" w:rsidR="0073167C" w:rsidRDefault="0073167C" w:rsidP="00B953DA">
            <w:pPr>
              <w:pStyle w:val="TableText0"/>
            </w:pPr>
          </w:p>
          <w:p w14:paraId="2175567A" w14:textId="51CA9030" w:rsidR="0041701F" w:rsidRPr="00133367" w:rsidRDefault="0073167C" w:rsidP="00B953DA">
            <w:pPr>
              <w:pStyle w:val="TableText0"/>
            </w:pPr>
            <w:r w:rsidRPr="0073167C">
              <w:rPr>
                <w:color w:val="000000"/>
              </w:rPr>
              <w:t xml:space="preserve">A background mortality risk—1.8 times higher than the general population—was applied to bladder cancer patients in the adjuvant EFS health state, based on Australian life tables and previous consideration of adjuvant nivolumab (nivolumab PSD, March 2024). </w:t>
            </w:r>
          </w:p>
        </w:tc>
      </w:tr>
      <w:tr w:rsidR="0041701F" w:rsidRPr="00133367" w14:paraId="67DB9DBB" w14:textId="77777777">
        <w:tc>
          <w:tcPr>
            <w:tcW w:w="1396" w:type="pct"/>
            <w:vAlign w:val="center"/>
          </w:tcPr>
          <w:p w14:paraId="219D12A2" w14:textId="77777777" w:rsidR="0041701F" w:rsidRPr="00133367" w:rsidRDefault="0041701F" w:rsidP="00B953DA">
            <w:pPr>
              <w:pStyle w:val="TableText0"/>
            </w:pPr>
            <w:r w:rsidRPr="00133367">
              <w:t>Extrapolation method</w:t>
            </w:r>
          </w:p>
        </w:tc>
        <w:tc>
          <w:tcPr>
            <w:tcW w:w="3604" w:type="pct"/>
            <w:vAlign w:val="center"/>
          </w:tcPr>
          <w:p w14:paraId="21E08FCB" w14:textId="14874986" w:rsidR="0041701F" w:rsidRPr="00133367" w:rsidRDefault="0041701F" w:rsidP="00B953DA">
            <w:pPr>
              <w:pStyle w:val="TableText0"/>
            </w:pPr>
            <w:r w:rsidRPr="00133367">
              <w:t>KM data were used until 48 months for EFS. Independent parametric models</w:t>
            </w:r>
            <w:r w:rsidR="00C73E9E" w:rsidRPr="00133367">
              <w:t xml:space="preserve"> </w:t>
            </w:r>
            <w:r w:rsidRPr="00133367">
              <w:t xml:space="preserve">were fitted to the observed data. </w:t>
            </w:r>
            <w:r w:rsidR="00432A95" w:rsidRPr="00133367">
              <w:t>L</w:t>
            </w:r>
            <w:r w:rsidRPr="00133367">
              <w:t>ognormal model</w:t>
            </w:r>
            <w:r w:rsidR="00432A95" w:rsidRPr="00133367">
              <w:t>s</w:t>
            </w:r>
            <w:r w:rsidRPr="00133367">
              <w:t xml:space="preserve"> </w:t>
            </w:r>
            <w:r w:rsidR="00432A95" w:rsidRPr="00133367">
              <w:t xml:space="preserve">were </w:t>
            </w:r>
            <w:r w:rsidR="00C73E9E" w:rsidRPr="00133367">
              <w:t xml:space="preserve">selected </w:t>
            </w:r>
            <w:r w:rsidR="00432A95" w:rsidRPr="00133367">
              <w:t>for the base case</w:t>
            </w:r>
            <w:r w:rsidRPr="00133367">
              <w:t xml:space="preserve"> for both</w:t>
            </w:r>
            <w:r w:rsidR="00F64CFF" w:rsidRPr="00133367">
              <w:t xml:space="preserve"> the</w:t>
            </w:r>
            <w:r w:rsidRPr="00133367">
              <w:t xml:space="preserve"> high and low risk subgroups and</w:t>
            </w:r>
            <w:r w:rsidR="008631FA" w:rsidRPr="00133367">
              <w:t xml:space="preserve"> the</w:t>
            </w:r>
            <w:r w:rsidRPr="00133367">
              <w:t xml:space="preserve"> Gompertz model was </w:t>
            </w:r>
            <w:r w:rsidR="00432A95" w:rsidRPr="00133367">
              <w:t xml:space="preserve">selected </w:t>
            </w:r>
            <w:r w:rsidRPr="00133367">
              <w:t xml:space="preserve">for </w:t>
            </w:r>
            <w:r w:rsidR="00432A95" w:rsidRPr="00133367">
              <w:t xml:space="preserve">the remaining </w:t>
            </w:r>
            <w:r w:rsidRPr="00133367">
              <w:t xml:space="preserve">of the EFS curves. </w:t>
            </w:r>
          </w:p>
          <w:p w14:paraId="3EF92867" w14:textId="77777777" w:rsidR="0041701F" w:rsidRPr="00133367" w:rsidRDefault="0041701F" w:rsidP="00B953DA">
            <w:pPr>
              <w:pStyle w:val="TableText0"/>
            </w:pPr>
          </w:p>
          <w:p w14:paraId="139575F9" w14:textId="1AFD16CD" w:rsidR="0041701F" w:rsidRPr="00133367" w:rsidRDefault="0041701F" w:rsidP="00B953DA">
            <w:pPr>
              <w:pStyle w:val="TableText0"/>
            </w:pPr>
            <w:r w:rsidRPr="00133367">
              <w:t xml:space="preserve">93% of the incremental LYs (undiscounted) were gained in the extrapolated period. </w:t>
            </w:r>
          </w:p>
        </w:tc>
      </w:tr>
      <w:tr w:rsidR="0041701F" w:rsidRPr="00133367" w14:paraId="4C5E75F5" w14:textId="77777777">
        <w:tc>
          <w:tcPr>
            <w:tcW w:w="1396" w:type="pct"/>
            <w:vAlign w:val="center"/>
          </w:tcPr>
          <w:p w14:paraId="6F3F0BB0" w14:textId="77777777" w:rsidR="0041701F" w:rsidRPr="00133367" w:rsidRDefault="0041701F" w:rsidP="00B953DA">
            <w:pPr>
              <w:pStyle w:val="TableText0"/>
            </w:pPr>
            <w:r w:rsidRPr="00133367">
              <w:t>Health related quality of life</w:t>
            </w:r>
          </w:p>
        </w:tc>
        <w:tc>
          <w:tcPr>
            <w:tcW w:w="3604" w:type="pct"/>
            <w:vAlign w:val="center"/>
          </w:tcPr>
          <w:p w14:paraId="60B04956" w14:textId="77777777" w:rsidR="0041701F" w:rsidRPr="00133367" w:rsidRDefault="0041701F" w:rsidP="00B953DA">
            <w:pPr>
              <w:pStyle w:val="TableText0"/>
            </w:pPr>
            <w:r w:rsidRPr="00133367">
              <w:t xml:space="preserve">The utility weights from the PBAC consideration of adjuvant nivolumab were used – pre recurrence: 0.83; locoregional recurrence: 0.746; distant recurrence: 0.727. </w:t>
            </w:r>
          </w:p>
          <w:p w14:paraId="65FA3F62" w14:textId="39FE6191" w:rsidR="0041701F" w:rsidRPr="00133367" w:rsidRDefault="0041701F" w:rsidP="00B953DA">
            <w:pPr>
              <w:pStyle w:val="TableText0"/>
            </w:pPr>
            <w:r w:rsidRPr="00133367">
              <w:t xml:space="preserve">Health state utility was not assumed to vary by treatment arm. A one-off </w:t>
            </w:r>
            <w:r w:rsidR="001C0E24" w:rsidRPr="00133367">
              <w:t>disutility</w:t>
            </w:r>
            <w:r w:rsidRPr="00133367">
              <w:t xml:space="preserve"> of 0.00423 </w:t>
            </w:r>
            <w:r w:rsidR="00C22BF6" w:rsidRPr="00133367">
              <w:t xml:space="preserve">related to adverse events </w:t>
            </w:r>
            <w:r w:rsidRPr="00133367">
              <w:t xml:space="preserve">was applied to the patients </w:t>
            </w:r>
            <w:r w:rsidR="00C22BF6" w:rsidRPr="00133367">
              <w:t xml:space="preserve">receiving </w:t>
            </w:r>
            <w:r w:rsidRPr="00133367">
              <w:t>durvalumab or nivolumab</w:t>
            </w:r>
            <w:r w:rsidR="00C22BF6" w:rsidRPr="00133367">
              <w:t>, based on</w:t>
            </w:r>
            <w:r w:rsidRPr="00133367">
              <w:t xml:space="preserve"> estimates from previous PBAC submissions for nivolumab.</w:t>
            </w:r>
          </w:p>
        </w:tc>
      </w:tr>
      <w:tr w:rsidR="0041701F" w:rsidRPr="00133367" w14:paraId="1F7725D1" w14:textId="77777777">
        <w:tc>
          <w:tcPr>
            <w:tcW w:w="1396" w:type="pct"/>
            <w:vAlign w:val="center"/>
          </w:tcPr>
          <w:p w14:paraId="5EE00C4C" w14:textId="77777777" w:rsidR="0041701F" w:rsidRPr="00133367" w:rsidRDefault="0041701F" w:rsidP="00B953DA">
            <w:pPr>
              <w:pStyle w:val="TableText0"/>
            </w:pPr>
            <w:r w:rsidRPr="00133367">
              <w:t xml:space="preserve">Costs </w:t>
            </w:r>
          </w:p>
        </w:tc>
        <w:tc>
          <w:tcPr>
            <w:tcW w:w="3604" w:type="pct"/>
            <w:vAlign w:val="center"/>
          </w:tcPr>
          <w:p w14:paraId="5444A6B6" w14:textId="77777777" w:rsidR="0041701F" w:rsidRPr="00133367" w:rsidRDefault="0041701F" w:rsidP="00B953DA">
            <w:pPr>
              <w:pStyle w:val="TableText0"/>
            </w:pPr>
            <w:r w:rsidRPr="00133367">
              <w:t>Direct treatment costs, costs for disease management (event free and post recurrence), costs for subsequent treatments (nivolumab, avelumab and PBC induction), costs for treatment of AEs were applied.</w:t>
            </w:r>
          </w:p>
          <w:p w14:paraId="68BC6B8E" w14:textId="24010158" w:rsidR="0041701F" w:rsidRPr="00133367" w:rsidRDefault="0041701F" w:rsidP="00B953DA">
            <w:pPr>
              <w:keepNext/>
              <w:keepLines/>
            </w:pPr>
            <w:r w:rsidRPr="00133367">
              <w:rPr>
                <w:rFonts w:ascii="Arial Narrow" w:hAnsi="Arial Narrow"/>
                <w:sz w:val="20"/>
              </w:rPr>
              <w:t>The</w:t>
            </w:r>
            <w:r w:rsidR="00F54392">
              <w:rPr>
                <w:rFonts w:ascii="Arial Narrow" w:hAnsi="Arial Narrow"/>
                <w:sz w:val="20"/>
              </w:rPr>
              <w:t xml:space="preserve"> </w:t>
            </w:r>
            <w:r w:rsidR="00F54392" w:rsidRPr="00367355">
              <w:rPr>
                <w:rFonts w:ascii="Arial Narrow" w:hAnsi="Arial Narrow"/>
                <w:iCs/>
                <w:sz w:val="20"/>
              </w:rPr>
              <w:t>evaluation considered that the</w:t>
            </w:r>
            <w:r w:rsidRPr="00133367">
              <w:rPr>
                <w:rFonts w:ascii="Arial Narrow" w:hAnsi="Arial Narrow"/>
                <w:sz w:val="20"/>
              </w:rPr>
              <w:t xml:space="preserve"> modelled costs for perioperative durvalumab and neoadjuvant GC were appropriate, but the actual price and duration of subsequent nivolumab and avelumab treatments remain uncertain due to reliance on external trial data from </w:t>
            </w:r>
            <w:r w:rsidR="007E2B4E" w:rsidRPr="00133367">
              <w:rPr>
                <w:rFonts w:ascii="Arial Narrow" w:hAnsi="Arial Narrow"/>
                <w:sz w:val="20"/>
              </w:rPr>
              <w:t>PSDs</w:t>
            </w:r>
            <w:r w:rsidRPr="00133367">
              <w:rPr>
                <w:rFonts w:ascii="Arial Narrow" w:hAnsi="Arial Narrow"/>
                <w:sz w:val="20"/>
              </w:rPr>
              <w:t>.</w:t>
            </w:r>
          </w:p>
        </w:tc>
      </w:tr>
    </w:tbl>
    <w:p w14:paraId="38F286BD" w14:textId="77777777" w:rsidR="0041701F" w:rsidRDefault="0041701F" w:rsidP="00B953DA">
      <w:pPr>
        <w:pStyle w:val="TableFigureFooter"/>
        <w:keepNext/>
      </w:pPr>
      <w:r>
        <w:t>Source: Table 3-1, p108 of the submission.</w:t>
      </w:r>
    </w:p>
    <w:p w14:paraId="4B27C2E5" w14:textId="02BA4A47" w:rsidR="0041701F" w:rsidRPr="00DF1914" w:rsidRDefault="0041701F" w:rsidP="00B953DA">
      <w:pPr>
        <w:pStyle w:val="TableFigureFooter"/>
        <w:keepNext/>
      </w:pPr>
      <w:r>
        <w:t xml:space="preserve">AEs = </w:t>
      </w:r>
      <w:r w:rsidR="005A3EF6">
        <w:t>a</w:t>
      </w:r>
      <w:r>
        <w:t xml:space="preserve">dverse </w:t>
      </w:r>
      <w:r w:rsidR="005A3EF6">
        <w:t>e</w:t>
      </w:r>
      <w:r>
        <w:t xml:space="preserve">vents; AIC = Akaike information criterion; BIC = Bayesian </w:t>
      </w:r>
      <w:r w:rsidR="00C84C1D">
        <w:t>i</w:t>
      </w:r>
      <w:r>
        <w:t xml:space="preserve">nformation </w:t>
      </w:r>
      <w:r w:rsidR="00C84C1D">
        <w:t>c</w:t>
      </w:r>
      <w:r>
        <w:t xml:space="preserve">riterion; DR = </w:t>
      </w:r>
      <w:r w:rsidR="00C84C1D">
        <w:t>d</w:t>
      </w:r>
      <w:r>
        <w:t xml:space="preserve">istant recurrence; EF = </w:t>
      </w:r>
      <w:r w:rsidR="00C84C1D">
        <w:t>e</w:t>
      </w:r>
      <w:r>
        <w:t xml:space="preserve">vent free; EFS = </w:t>
      </w:r>
      <w:r w:rsidR="00C84C1D">
        <w:t>e</w:t>
      </w:r>
      <w:r>
        <w:t xml:space="preserve">vent free survival; GC = </w:t>
      </w:r>
      <w:r w:rsidR="00C84C1D">
        <w:t>g</w:t>
      </w:r>
      <w:r>
        <w:t xml:space="preserve">emcitabine plus cisplatin; ICER = incremental cost-effectiveness ratio; KM = Kaplan-Meier; LR = </w:t>
      </w:r>
      <w:r w:rsidR="006E300F">
        <w:t>l</w:t>
      </w:r>
      <w:r>
        <w:t xml:space="preserve">ocoregional recurrence; LYs = </w:t>
      </w:r>
      <w:r w:rsidR="006E300F">
        <w:t>l</w:t>
      </w:r>
      <w:r>
        <w:t xml:space="preserve">ife-years; MIBC = </w:t>
      </w:r>
      <w:r w:rsidR="006E300F">
        <w:t>m</w:t>
      </w:r>
      <w:r>
        <w:t xml:space="preserve">uscle-invasive bladder cancer; MIUC = </w:t>
      </w:r>
      <w:r w:rsidR="006E300F">
        <w:t>m</w:t>
      </w:r>
      <w:r>
        <w:t xml:space="preserve">uscle-invasive urothelial carcinoma; OS = </w:t>
      </w:r>
      <w:r w:rsidR="006E300F">
        <w:t>o</w:t>
      </w:r>
      <w:r>
        <w:t xml:space="preserve">verall survival; PBAC = Pharmaceutical Benefits Advisory Committee; PBC = </w:t>
      </w:r>
      <w:r w:rsidR="006E300F">
        <w:t>p</w:t>
      </w:r>
      <w:r>
        <w:t xml:space="preserve">latinum-based chemotherapy; </w:t>
      </w:r>
      <w:r w:rsidR="00A31522">
        <w:t xml:space="preserve">PSCR = Pre-Sub-Committee Response; </w:t>
      </w:r>
      <w:r>
        <w:t xml:space="preserve">PSD = Public Summary Document; QALY = </w:t>
      </w:r>
      <w:r w:rsidR="006E300F">
        <w:t>q</w:t>
      </w:r>
      <w:r>
        <w:t xml:space="preserve">uality-adjusted life year; SoC = </w:t>
      </w:r>
      <w:r w:rsidR="006E300F">
        <w:t>s</w:t>
      </w:r>
      <w:r>
        <w:t>tandard of care.</w:t>
      </w:r>
    </w:p>
    <w:p w14:paraId="006AEF4E" w14:textId="58EB4193" w:rsidR="00A30B7E" w:rsidRPr="00133367" w:rsidRDefault="0041701F" w:rsidP="00AF5055">
      <w:pPr>
        <w:pStyle w:val="3-BodyText"/>
      </w:pPr>
      <w:r w:rsidRPr="00DF1914">
        <w:t>The submission presented a decision analytic Markov cohort model that included five main health states</w:t>
      </w:r>
      <w:r w:rsidR="003B0A99">
        <w:t xml:space="preserve">: </w:t>
      </w:r>
      <w:r w:rsidR="003B0A99" w:rsidRPr="00DF1914">
        <w:t xml:space="preserve">event-free survival (EFS), locoregional recurrence (LR), distant </w:t>
      </w:r>
      <w:r w:rsidR="003B0A99" w:rsidRPr="00DF1914">
        <w:lastRenderedPageBreak/>
        <w:t>recurrence (DR), cured</w:t>
      </w:r>
      <w:r w:rsidR="001A125B">
        <w:t>,</w:t>
      </w:r>
      <w:r w:rsidR="003B0A99" w:rsidRPr="00DF1914">
        <w:t xml:space="preserve"> and death</w:t>
      </w:r>
      <w:r w:rsidR="003B0A99">
        <w:t xml:space="preserve">. </w:t>
      </w:r>
      <w:r w:rsidR="003B0A99" w:rsidRPr="00133367">
        <w:t>This</w:t>
      </w:r>
      <w:r w:rsidR="00EB5F19" w:rsidRPr="00133367">
        <w:t xml:space="preserve"> core</w:t>
      </w:r>
      <w:r w:rsidR="003B0A99" w:rsidRPr="00133367">
        <w:t xml:space="preserve"> structure is aligned with previous ESC and PBAC advice for the consideration of adjuvant nivolumab (para</w:t>
      </w:r>
      <w:r w:rsidR="001A125B">
        <w:t>graph</w:t>
      </w:r>
      <w:r w:rsidR="003B0A99" w:rsidRPr="00133367">
        <w:t xml:space="preserve"> 7.8, nivolumab </w:t>
      </w:r>
      <w:r w:rsidR="006426ED">
        <w:t>Public Summary Document [</w:t>
      </w:r>
      <w:r w:rsidR="003B0A99" w:rsidRPr="00133367">
        <w:t>PSD</w:t>
      </w:r>
      <w:r w:rsidR="006426ED">
        <w:t>]</w:t>
      </w:r>
      <w:r w:rsidR="003B0A99" w:rsidRPr="00133367">
        <w:t xml:space="preserve">, July 2022). </w:t>
      </w:r>
    </w:p>
    <w:p w14:paraId="4F6CBAE9" w14:textId="07738ADD" w:rsidR="0041701F" w:rsidRPr="00133367" w:rsidRDefault="003B0A99" w:rsidP="00AF5055">
      <w:pPr>
        <w:pStyle w:val="3-BodyText"/>
      </w:pPr>
      <w:bookmarkStart w:id="85" w:name="_Ref211694099"/>
      <w:r w:rsidRPr="00133367">
        <w:t>Patients were</w:t>
      </w:r>
      <w:r w:rsidR="00DD76B8" w:rsidRPr="00133367">
        <w:t xml:space="preserve"> further</w:t>
      </w:r>
      <w:r w:rsidRPr="00133367">
        <w:t xml:space="preserve"> strati</w:t>
      </w:r>
      <w:r w:rsidR="0022418E" w:rsidRPr="00133367">
        <w:t xml:space="preserve">fied according to </w:t>
      </w:r>
      <w:r w:rsidR="0041701F" w:rsidRPr="00133367">
        <w:t>treatment setting</w:t>
      </w:r>
      <w:r w:rsidR="000733E5" w:rsidRPr="00133367">
        <w:t xml:space="preserve"> (neoadjuvant</w:t>
      </w:r>
      <w:r w:rsidR="00DB5AE5" w:rsidRPr="00133367">
        <w:t xml:space="preserve"> vs adjuvant</w:t>
      </w:r>
      <w:r w:rsidR="00383BC3" w:rsidRPr="00133367">
        <w:t>)</w:t>
      </w:r>
      <w:r w:rsidR="0041701F" w:rsidRPr="00133367">
        <w:t xml:space="preserve">, </w:t>
      </w:r>
      <w:r w:rsidR="00646EF5" w:rsidRPr="00133367">
        <w:t>treatment (durvalumab+GC vs GC +/- nivolumab or avelumab</w:t>
      </w:r>
      <w:r w:rsidR="00DF2F52" w:rsidRPr="00133367">
        <w:t>)</w:t>
      </w:r>
      <w:r w:rsidR="0041701F" w:rsidRPr="00133367">
        <w:t>, and subpopulations</w:t>
      </w:r>
      <w:r w:rsidR="00E472E9" w:rsidRPr="00133367">
        <w:t xml:space="preserve"> (</w:t>
      </w:r>
      <w:r w:rsidR="00742BE3">
        <w:t>RC</w:t>
      </w:r>
      <w:r w:rsidR="00742BE3" w:rsidRPr="00133367">
        <w:t xml:space="preserve"> </w:t>
      </w:r>
      <w:r w:rsidR="00AB74BE" w:rsidRPr="00133367">
        <w:t>vs non-</w:t>
      </w:r>
      <w:r w:rsidR="001D0230">
        <w:t>RC</w:t>
      </w:r>
      <w:r w:rsidR="00AB74BE" w:rsidRPr="00133367">
        <w:t>)</w:t>
      </w:r>
      <w:r w:rsidR="0041701F" w:rsidRPr="00133367">
        <w:t>. After five years, a cure assumption was applied, with cured patients assumed to have mortality rates similar to the general population, adjusted for prior bladder cancer diagnosis.</w:t>
      </w:r>
      <w:r w:rsidR="0041701F" w:rsidRPr="00133367" w:rsidDel="00E104E6">
        <w:t xml:space="preserve"> </w:t>
      </w:r>
      <w:r w:rsidR="0041701F" w:rsidRPr="00133367">
        <w:t xml:space="preserve">The model </w:t>
      </w:r>
      <w:r w:rsidR="0041701F" w:rsidRPr="003B1A55">
        <w:t xml:space="preserve">distinguishes between </w:t>
      </w:r>
      <w:r w:rsidR="00A00C2F">
        <w:t>RC</w:t>
      </w:r>
      <w:r w:rsidR="00A00C2F" w:rsidRPr="003B1A55">
        <w:t xml:space="preserve"> </w:t>
      </w:r>
      <w:r w:rsidR="0041701F" w:rsidRPr="003B1A55">
        <w:t>and non-</w:t>
      </w:r>
      <w:r w:rsidR="005C1C14">
        <w:t xml:space="preserve">RC </w:t>
      </w:r>
      <w:r w:rsidR="0041701F" w:rsidRPr="003B1A55">
        <w:t>patients, tracking</w:t>
      </w:r>
      <w:r w:rsidR="0041701F" w:rsidRPr="00133367">
        <w:t xml:space="preserve"> their transitions between health states after neoadjuvant and adjuvant treatments. </w:t>
      </w:r>
      <w:r w:rsidR="008E2EAA">
        <w:t>RC</w:t>
      </w:r>
      <w:r w:rsidR="008E2EAA" w:rsidRPr="00133367">
        <w:t xml:space="preserve"> </w:t>
      </w:r>
      <w:r w:rsidR="0041701F" w:rsidRPr="00133367">
        <w:t>patients cannot recur during early cycles and move to “</w:t>
      </w:r>
      <w:r w:rsidR="008E2EAA">
        <w:t>e</w:t>
      </w:r>
      <w:r w:rsidR="0041701F" w:rsidRPr="00133367">
        <w:t>vent free” states based on treatment and risk. Non-</w:t>
      </w:r>
      <w:r w:rsidR="002078DF">
        <w:t xml:space="preserve">RC </w:t>
      </w:r>
      <w:r w:rsidR="0041701F" w:rsidRPr="00133367">
        <w:t xml:space="preserve">patients face recurrence risk earlier and their outcomes </w:t>
      </w:r>
      <w:r w:rsidR="009B70A1" w:rsidRPr="00133367">
        <w:t xml:space="preserve">were </w:t>
      </w:r>
      <w:r w:rsidR="0041701F" w:rsidRPr="00133367">
        <w:t>determined by treatment type, recurrence patterns, and eligibility for further therapies.</w:t>
      </w:r>
      <w:r w:rsidR="0041701F" w:rsidRPr="00133367" w:rsidDel="00E104E6">
        <w:t xml:space="preserve"> </w:t>
      </w:r>
      <w:r w:rsidR="0041701F" w:rsidRPr="00133367">
        <w:t>The submission stated that the model structure, Markov cohort approach, and selected health states appropriately reflected key aspects of current and proposed clinical pathways for early MIBC and were consistent with</w:t>
      </w:r>
      <w:r w:rsidR="007B0CB8">
        <w:t xml:space="preserve"> a</w:t>
      </w:r>
      <w:r w:rsidR="0041701F" w:rsidRPr="00133367">
        <w:t xml:space="preserve"> previous submission of adjuvant therapy presented to the PBAC (nivolumab PSD, March 2024). However, </w:t>
      </w:r>
      <w:r w:rsidR="009E4A40" w:rsidRPr="00133367">
        <w:t>the</w:t>
      </w:r>
      <w:r w:rsidR="002C0301">
        <w:t xml:space="preserve"> </w:t>
      </w:r>
      <w:r w:rsidR="002C0301" w:rsidRPr="00367355">
        <w:rPr>
          <w:iCs/>
        </w:rPr>
        <w:t>evaluation considered that the</w:t>
      </w:r>
      <w:r w:rsidR="009E4A40" w:rsidRPr="00133367">
        <w:t xml:space="preserve"> chosen stratification </w:t>
      </w:r>
      <w:r w:rsidR="0041701F" w:rsidRPr="00133367">
        <w:t>introduced complexity and resulted in model validation issues that remain unresolved.</w:t>
      </w:r>
      <w:bookmarkEnd w:id="85"/>
      <w:r w:rsidR="0041701F" w:rsidRPr="00133367">
        <w:t xml:space="preserve"> </w:t>
      </w:r>
    </w:p>
    <w:p w14:paraId="45A940E7" w14:textId="57537185" w:rsidR="00C8765F" w:rsidRPr="00367355" w:rsidRDefault="00C8765F" w:rsidP="0041701F">
      <w:pPr>
        <w:pStyle w:val="3-BodyText"/>
        <w:rPr>
          <w:iCs/>
          <w:color w:val="0066FF"/>
        </w:rPr>
      </w:pPr>
      <w:r w:rsidRPr="00367355">
        <w:rPr>
          <w:iCs/>
        </w:rPr>
        <w:t>The PSCR stated that</w:t>
      </w:r>
      <w:r w:rsidR="003B2F2D" w:rsidRPr="00367355">
        <w:rPr>
          <w:iCs/>
        </w:rPr>
        <w:t xml:space="preserve"> it was necessary to ensure the model was applicable to treatment practices in Australia</w:t>
      </w:r>
      <w:r w:rsidRPr="00367355">
        <w:rPr>
          <w:iCs/>
        </w:rPr>
        <w:t xml:space="preserve"> </w:t>
      </w:r>
      <w:r w:rsidR="003B2F2D" w:rsidRPr="00367355">
        <w:rPr>
          <w:iCs/>
        </w:rPr>
        <w:t>by</w:t>
      </w:r>
      <w:r w:rsidR="00EE4675" w:rsidRPr="00367355">
        <w:rPr>
          <w:iCs/>
        </w:rPr>
        <w:t xml:space="preserve"> stratifying the trial data by treatment setting, treatment group and </w:t>
      </w:r>
      <w:r w:rsidR="00B01104">
        <w:rPr>
          <w:iCs/>
        </w:rPr>
        <w:t>RC</w:t>
      </w:r>
      <w:r w:rsidR="00594607" w:rsidRPr="00367355">
        <w:rPr>
          <w:iCs/>
        </w:rPr>
        <w:t>, and</w:t>
      </w:r>
      <w:r w:rsidR="003B1A55" w:rsidRPr="00367355">
        <w:rPr>
          <w:iCs/>
        </w:rPr>
        <w:t xml:space="preserve"> disagreed with</w:t>
      </w:r>
      <w:r w:rsidR="009B44A5" w:rsidRPr="00367355">
        <w:rPr>
          <w:iCs/>
        </w:rPr>
        <w:t xml:space="preserve"> the evaluation that</w:t>
      </w:r>
      <w:r w:rsidR="003B1A55" w:rsidRPr="00367355">
        <w:rPr>
          <w:iCs/>
        </w:rPr>
        <w:t xml:space="preserve"> the stratification was complex</w:t>
      </w:r>
      <w:r w:rsidR="009B44A5" w:rsidRPr="00367355">
        <w:rPr>
          <w:iCs/>
        </w:rPr>
        <w:t xml:space="preserve">. It </w:t>
      </w:r>
      <w:r w:rsidR="003B1A55" w:rsidRPr="00367355">
        <w:rPr>
          <w:iCs/>
        </w:rPr>
        <w:t xml:space="preserve">stated that </w:t>
      </w:r>
      <w:r w:rsidR="00A10B38" w:rsidRPr="00367355">
        <w:rPr>
          <w:iCs/>
        </w:rPr>
        <w:t>t</w:t>
      </w:r>
      <w:r w:rsidR="0001138A" w:rsidRPr="00367355">
        <w:rPr>
          <w:iCs/>
        </w:rPr>
        <w:t>he model uses subgroup data to populate the event risks in each of the stratum / health states</w:t>
      </w:r>
      <w:r w:rsidR="00040CA9" w:rsidRPr="00367355">
        <w:rPr>
          <w:iCs/>
        </w:rPr>
        <w:t xml:space="preserve">, which allows the </w:t>
      </w:r>
      <w:r w:rsidR="0001138A" w:rsidRPr="00367355">
        <w:rPr>
          <w:iCs/>
        </w:rPr>
        <w:t>appl</w:t>
      </w:r>
      <w:r w:rsidR="00040CA9" w:rsidRPr="00367355">
        <w:rPr>
          <w:iCs/>
        </w:rPr>
        <w:t>ication of</w:t>
      </w:r>
      <w:r w:rsidR="0001138A" w:rsidRPr="00367355">
        <w:rPr>
          <w:iCs/>
        </w:rPr>
        <w:t xml:space="preserve"> the treatment effect of adjuvant nivolumab on event risks in the high-risk population</w:t>
      </w:r>
      <w:r w:rsidR="00B53BC0" w:rsidRPr="00367355">
        <w:rPr>
          <w:iCs/>
        </w:rPr>
        <w:t xml:space="preserve">, </w:t>
      </w:r>
      <w:r w:rsidR="00790A08" w:rsidRPr="00367355">
        <w:rPr>
          <w:iCs/>
        </w:rPr>
        <w:t>and</w:t>
      </w:r>
      <w:r w:rsidR="00594607" w:rsidRPr="00367355">
        <w:rPr>
          <w:iCs/>
        </w:rPr>
        <w:t xml:space="preserve"> allows</w:t>
      </w:r>
      <w:r w:rsidR="0001138A" w:rsidRPr="00367355">
        <w:rPr>
          <w:iCs/>
        </w:rPr>
        <w:t xml:space="preserve"> </w:t>
      </w:r>
      <w:r w:rsidR="00A10B38" w:rsidRPr="00367355">
        <w:rPr>
          <w:iCs/>
        </w:rPr>
        <w:t xml:space="preserve">appropriate downstream treatment options </w:t>
      </w:r>
      <w:r w:rsidR="00465D20" w:rsidRPr="00367355">
        <w:rPr>
          <w:iCs/>
        </w:rPr>
        <w:t>to</w:t>
      </w:r>
      <w:r w:rsidR="00A10B38" w:rsidRPr="00367355">
        <w:rPr>
          <w:iCs/>
        </w:rPr>
        <w:t xml:space="preserve"> be implemented</w:t>
      </w:r>
      <w:r w:rsidR="00594607" w:rsidRPr="00367355">
        <w:rPr>
          <w:iCs/>
        </w:rPr>
        <w:t>,</w:t>
      </w:r>
      <w:r w:rsidR="00A10B38" w:rsidRPr="00367355">
        <w:rPr>
          <w:iCs/>
        </w:rPr>
        <w:t xml:space="preserve"> </w:t>
      </w:r>
      <w:r w:rsidR="00B53BC0" w:rsidRPr="00367355">
        <w:rPr>
          <w:iCs/>
        </w:rPr>
        <w:t>such as</w:t>
      </w:r>
      <w:r w:rsidR="0001138A" w:rsidRPr="00367355">
        <w:rPr>
          <w:iCs/>
        </w:rPr>
        <w:t xml:space="preserve"> patients with prior </w:t>
      </w:r>
      <w:r w:rsidR="00B53BC0" w:rsidRPr="00367355">
        <w:rPr>
          <w:iCs/>
        </w:rPr>
        <w:t>immunotherapy</w:t>
      </w:r>
      <w:r w:rsidR="0001138A" w:rsidRPr="00367355">
        <w:rPr>
          <w:iCs/>
        </w:rPr>
        <w:t xml:space="preserve"> not </w:t>
      </w:r>
      <w:r w:rsidR="002E3965" w:rsidRPr="00367355">
        <w:rPr>
          <w:iCs/>
        </w:rPr>
        <w:t>receiving</w:t>
      </w:r>
      <w:r w:rsidR="0001138A" w:rsidRPr="00367355">
        <w:rPr>
          <w:iCs/>
        </w:rPr>
        <w:t xml:space="preserve"> a second </w:t>
      </w:r>
      <w:r w:rsidR="00B53BC0" w:rsidRPr="00367355">
        <w:rPr>
          <w:iCs/>
        </w:rPr>
        <w:t>immunotherapy</w:t>
      </w:r>
      <w:r w:rsidR="0001138A" w:rsidRPr="00367355">
        <w:rPr>
          <w:iCs/>
        </w:rPr>
        <w:t xml:space="preserve"> treatment</w:t>
      </w:r>
      <w:r w:rsidR="00465D20" w:rsidRPr="00367355">
        <w:rPr>
          <w:iCs/>
        </w:rPr>
        <w:t>,</w:t>
      </w:r>
      <w:r w:rsidR="0001138A" w:rsidRPr="00367355">
        <w:rPr>
          <w:iCs/>
        </w:rPr>
        <w:t xml:space="preserve"> consistent with PBS restrictions.</w:t>
      </w:r>
      <w:r w:rsidR="00177EDC" w:rsidRPr="00367355">
        <w:rPr>
          <w:iCs/>
        </w:rPr>
        <w:t xml:space="preserve"> </w:t>
      </w:r>
      <w:r w:rsidR="004B2E5B" w:rsidRPr="00367355">
        <w:rPr>
          <w:iCs/>
        </w:rPr>
        <w:t>T</w:t>
      </w:r>
      <w:r w:rsidR="00177EDC" w:rsidRPr="00367355">
        <w:rPr>
          <w:iCs/>
        </w:rPr>
        <w:t>he ESC</w:t>
      </w:r>
      <w:r w:rsidR="0013369A" w:rsidRPr="00367355">
        <w:rPr>
          <w:iCs/>
        </w:rPr>
        <w:t xml:space="preserve"> </w:t>
      </w:r>
      <w:r w:rsidR="006304EB" w:rsidRPr="00367355">
        <w:rPr>
          <w:iCs/>
        </w:rPr>
        <w:t xml:space="preserve">agreed with the PSCR </w:t>
      </w:r>
      <w:r w:rsidR="007451A9" w:rsidRPr="00367355">
        <w:rPr>
          <w:iCs/>
        </w:rPr>
        <w:t>that</w:t>
      </w:r>
      <w:r w:rsidR="006304EB" w:rsidRPr="00367355">
        <w:rPr>
          <w:iCs/>
        </w:rPr>
        <w:t xml:space="preserve"> a</w:t>
      </w:r>
      <w:r w:rsidR="00226200" w:rsidRPr="00367355">
        <w:rPr>
          <w:iCs/>
        </w:rPr>
        <w:t>n advantage</w:t>
      </w:r>
      <w:r w:rsidR="006304EB" w:rsidRPr="00367355">
        <w:rPr>
          <w:iCs/>
        </w:rPr>
        <w:t xml:space="preserve"> of the model</w:t>
      </w:r>
      <w:r w:rsidR="0010197C" w:rsidRPr="00367355">
        <w:rPr>
          <w:iCs/>
        </w:rPr>
        <w:t>’s</w:t>
      </w:r>
      <w:r w:rsidR="006304EB" w:rsidRPr="00367355">
        <w:rPr>
          <w:iCs/>
        </w:rPr>
        <w:t xml:space="preserve"> structure</w:t>
      </w:r>
      <w:r w:rsidR="0013369A" w:rsidRPr="00367355">
        <w:rPr>
          <w:iCs/>
        </w:rPr>
        <w:t xml:space="preserve"> </w:t>
      </w:r>
      <w:r w:rsidR="005353F2" w:rsidRPr="00367355">
        <w:rPr>
          <w:iCs/>
        </w:rPr>
        <w:t>was</w:t>
      </w:r>
      <w:r w:rsidR="007877F3" w:rsidRPr="00367355">
        <w:rPr>
          <w:iCs/>
        </w:rPr>
        <w:t xml:space="preserve"> </w:t>
      </w:r>
      <w:r w:rsidR="0010197C" w:rsidRPr="00367355">
        <w:rPr>
          <w:iCs/>
        </w:rPr>
        <w:t>its ability to incorporate the effect of</w:t>
      </w:r>
      <w:r w:rsidR="00FB5389" w:rsidRPr="00367355">
        <w:rPr>
          <w:iCs/>
        </w:rPr>
        <w:t xml:space="preserve"> </w:t>
      </w:r>
      <w:r w:rsidR="007877F3" w:rsidRPr="00367355">
        <w:rPr>
          <w:iCs/>
        </w:rPr>
        <w:t>downstream treatment options</w:t>
      </w:r>
      <w:r w:rsidR="007877F3" w:rsidRPr="00367355">
        <w:t xml:space="preserve">, however considered that </w:t>
      </w:r>
      <w:r w:rsidR="000455E4" w:rsidRPr="00367355">
        <w:rPr>
          <w:iCs/>
        </w:rPr>
        <w:t xml:space="preserve">the </w:t>
      </w:r>
      <w:r w:rsidR="0094608B" w:rsidRPr="00367355">
        <w:t xml:space="preserve">multiple </w:t>
      </w:r>
      <w:r w:rsidR="00732CEF" w:rsidRPr="00367355">
        <w:rPr>
          <w:iCs/>
        </w:rPr>
        <w:t>stratification</w:t>
      </w:r>
      <w:r w:rsidR="0094608B" w:rsidRPr="00367355">
        <w:rPr>
          <w:iCs/>
        </w:rPr>
        <w:t>s</w:t>
      </w:r>
      <w:r w:rsidR="00732CEF" w:rsidRPr="00367355">
        <w:rPr>
          <w:iCs/>
        </w:rPr>
        <w:t xml:space="preserve"> </w:t>
      </w:r>
      <w:r w:rsidR="000455E4" w:rsidRPr="00367355">
        <w:rPr>
          <w:iCs/>
        </w:rPr>
        <w:t>for</w:t>
      </w:r>
      <w:r w:rsidR="00732CEF" w:rsidRPr="00367355">
        <w:rPr>
          <w:rStyle w:val="CommentReference"/>
          <w:rFonts w:asciiTheme="minorHAnsi" w:hAnsiTheme="minorHAnsi" w:cstheme="minorHAnsi"/>
          <w:b w:val="0"/>
          <w:iCs/>
          <w:sz w:val="24"/>
          <w:szCs w:val="24"/>
        </w:rPr>
        <w:t xml:space="preserve"> treatment setting, treatment group, and subpopulations led to </w:t>
      </w:r>
      <w:r w:rsidR="0065480C" w:rsidRPr="00367355">
        <w:rPr>
          <w:rStyle w:val="CommentReference"/>
          <w:rFonts w:asciiTheme="minorHAnsi" w:hAnsiTheme="minorHAnsi" w:cstheme="minorHAnsi"/>
          <w:b w:val="0"/>
          <w:iCs/>
          <w:sz w:val="24"/>
          <w:szCs w:val="24"/>
        </w:rPr>
        <w:t>unnecessary</w:t>
      </w:r>
      <w:r w:rsidR="00732CEF" w:rsidRPr="00367355">
        <w:rPr>
          <w:rStyle w:val="CommentReference"/>
          <w:rFonts w:asciiTheme="minorHAnsi" w:hAnsiTheme="minorHAnsi" w:cstheme="minorHAnsi"/>
          <w:b w:val="0"/>
          <w:iCs/>
          <w:sz w:val="24"/>
          <w:szCs w:val="24"/>
        </w:rPr>
        <w:t xml:space="preserve"> comple</w:t>
      </w:r>
      <w:r w:rsidR="00533FD3" w:rsidRPr="00367355">
        <w:rPr>
          <w:rStyle w:val="CommentReference"/>
          <w:rFonts w:asciiTheme="minorHAnsi" w:hAnsiTheme="minorHAnsi" w:cstheme="minorHAnsi"/>
          <w:b w:val="0"/>
          <w:iCs/>
          <w:sz w:val="24"/>
          <w:szCs w:val="24"/>
        </w:rPr>
        <w:t>xity</w:t>
      </w:r>
      <w:r w:rsidR="0013369A" w:rsidRPr="00367355">
        <w:rPr>
          <w:rStyle w:val="CommentReference"/>
          <w:rFonts w:asciiTheme="minorHAnsi" w:hAnsiTheme="minorHAnsi" w:cstheme="minorHAnsi"/>
          <w:b w:val="0"/>
          <w:iCs/>
          <w:sz w:val="24"/>
          <w:szCs w:val="24"/>
        </w:rPr>
        <w:t xml:space="preserve"> and that </w:t>
      </w:r>
      <w:r w:rsidR="001F6D1E" w:rsidRPr="00367355">
        <w:rPr>
          <w:rStyle w:val="CommentReference"/>
          <w:rFonts w:asciiTheme="minorHAnsi" w:hAnsiTheme="minorHAnsi" w:cstheme="minorHAnsi"/>
          <w:b w:val="0"/>
          <w:iCs/>
          <w:sz w:val="24"/>
          <w:szCs w:val="24"/>
        </w:rPr>
        <w:t>reducing the level of stratification within health states</w:t>
      </w:r>
      <w:r w:rsidR="00732CEF" w:rsidRPr="00367355">
        <w:rPr>
          <w:rStyle w:val="CommentReference"/>
          <w:rFonts w:asciiTheme="minorHAnsi" w:hAnsiTheme="minorHAnsi" w:cstheme="minorHAnsi"/>
          <w:b w:val="0"/>
          <w:iCs/>
          <w:sz w:val="24"/>
          <w:szCs w:val="24"/>
        </w:rPr>
        <w:t xml:space="preserve"> may</w:t>
      </w:r>
      <w:r w:rsidR="000E2245" w:rsidRPr="00367355">
        <w:rPr>
          <w:rStyle w:val="CommentReference"/>
          <w:rFonts w:asciiTheme="minorHAnsi" w:hAnsiTheme="minorHAnsi" w:cstheme="minorHAnsi"/>
          <w:b w:val="0"/>
          <w:iCs/>
          <w:sz w:val="24"/>
          <w:szCs w:val="24"/>
        </w:rPr>
        <w:t xml:space="preserve"> have</w:t>
      </w:r>
      <w:r w:rsidR="00732CEF" w:rsidRPr="00367355">
        <w:rPr>
          <w:rStyle w:val="CommentReference"/>
          <w:rFonts w:asciiTheme="minorHAnsi" w:hAnsiTheme="minorHAnsi" w:cstheme="minorHAnsi"/>
          <w:b w:val="0"/>
          <w:iCs/>
          <w:sz w:val="24"/>
          <w:szCs w:val="24"/>
        </w:rPr>
        <w:t xml:space="preserve"> improve</w:t>
      </w:r>
      <w:r w:rsidR="000E2245" w:rsidRPr="00367355">
        <w:rPr>
          <w:rStyle w:val="CommentReference"/>
          <w:rFonts w:asciiTheme="minorHAnsi" w:hAnsiTheme="minorHAnsi" w:cstheme="minorHAnsi"/>
          <w:b w:val="0"/>
          <w:iCs/>
          <w:sz w:val="24"/>
          <w:szCs w:val="24"/>
        </w:rPr>
        <w:t>d</w:t>
      </w:r>
      <w:r w:rsidR="00732CEF" w:rsidRPr="00367355">
        <w:rPr>
          <w:rStyle w:val="CommentReference"/>
          <w:rFonts w:asciiTheme="minorHAnsi" w:hAnsiTheme="minorHAnsi" w:cstheme="minorHAnsi"/>
          <w:b w:val="0"/>
          <w:iCs/>
          <w:sz w:val="24"/>
          <w:szCs w:val="24"/>
        </w:rPr>
        <w:t xml:space="preserve"> model transparency and validity. </w:t>
      </w:r>
      <w:r w:rsidR="00083FCB" w:rsidRPr="00367355">
        <w:rPr>
          <w:rStyle w:val="CommentReference"/>
          <w:rFonts w:asciiTheme="minorHAnsi" w:hAnsiTheme="minorHAnsi" w:cstheme="minorHAnsi"/>
          <w:b w:val="0"/>
          <w:iCs/>
          <w:sz w:val="24"/>
          <w:szCs w:val="24"/>
        </w:rPr>
        <w:t>The ESC</w:t>
      </w:r>
      <w:r w:rsidR="008A0182" w:rsidRPr="00367355">
        <w:rPr>
          <w:rStyle w:val="CommentReference"/>
          <w:rFonts w:asciiTheme="minorHAnsi" w:hAnsiTheme="minorHAnsi" w:cstheme="minorHAnsi"/>
          <w:b w:val="0"/>
          <w:iCs/>
          <w:sz w:val="24"/>
          <w:szCs w:val="24"/>
        </w:rPr>
        <w:t xml:space="preserve"> also</w:t>
      </w:r>
      <w:r w:rsidR="00083FCB" w:rsidRPr="00367355">
        <w:rPr>
          <w:rStyle w:val="CommentReference"/>
          <w:rFonts w:asciiTheme="minorHAnsi" w:hAnsiTheme="minorHAnsi" w:cstheme="minorHAnsi"/>
          <w:b w:val="0"/>
          <w:iCs/>
          <w:sz w:val="24"/>
          <w:szCs w:val="24"/>
        </w:rPr>
        <w:t xml:space="preserve"> considered that m</w:t>
      </w:r>
      <w:r w:rsidR="00732CEF" w:rsidRPr="00367355">
        <w:rPr>
          <w:rStyle w:val="CommentReference"/>
          <w:rFonts w:asciiTheme="minorHAnsi" w:hAnsiTheme="minorHAnsi" w:cstheme="minorHAnsi"/>
          <w:b w:val="0"/>
          <w:iCs/>
          <w:sz w:val="24"/>
          <w:szCs w:val="24"/>
        </w:rPr>
        <w:t xml:space="preserve">odelling </w:t>
      </w:r>
      <w:r w:rsidR="00E56925" w:rsidRPr="00367355">
        <w:rPr>
          <w:rStyle w:val="CommentReference"/>
          <w:rFonts w:asciiTheme="minorHAnsi" w:hAnsiTheme="minorHAnsi" w:cstheme="minorHAnsi"/>
          <w:b w:val="0"/>
          <w:iCs/>
          <w:sz w:val="24"/>
          <w:szCs w:val="24"/>
        </w:rPr>
        <w:t xml:space="preserve">all </w:t>
      </w:r>
      <w:r w:rsidR="00732CEF" w:rsidRPr="00367355">
        <w:rPr>
          <w:rStyle w:val="CommentReference"/>
          <w:rFonts w:asciiTheme="minorHAnsi" w:hAnsiTheme="minorHAnsi" w:cstheme="minorHAnsi"/>
          <w:b w:val="0"/>
          <w:iCs/>
          <w:sz w:val="24"/>
          <w:szCs w:val="24"/>
        </w:rPr>
        <w:t>OS transition probabilities directly from NIAGARA trial data, with adjustments for improved survival in high-risk patients receiving nivolumab or avelumab</w:t>
      </w:r>
      <w:r w:rsidR="00504B51" w:rsidRPr="00367355">
        <w:rPr>
          <w:rStyle w:val="CommentReference"/>
          <w:rFonts w:asciiTheme="minorHAnsi" w:hAnsiTheme="minorHAnsi" w:cstheme="minorHAnsi"/>
          <w:b w:val="0"/>
          <w:iCs/>
          <w:sz w:val="24"/>
          <w:szCs w:val="24"/>
        </w:rPr>
        <w:t xml:space="preserve"> in the comparator arm</w:t>
      </w:r>
      <w:r w:rsidR="00732CEF" w:rsidRPr="00367355">
        <w:rPr>
          <w:rStyle w:val="CommentReference"/>
          <w:rFonts w:asciiTheme="minorHAnsi" w:hAnsiTheme="minorHAnsi" w:cstheme="minorHAnsi"/>
          <w:b w:val="0"/>
          <w:iCs/>
          <w:sz w:val="24"/>
          <w:szCs w:val="24"/>
        </w:rPr>
        <w:t xml:space="preserve">, could allow </w:t>
      </w:r>
      <w:r w:rsidR="00170BC7" w:rsidRPr="00367355">
        <w:rPr>
          <w:rStyle w:val="CommentReference"/>
          <w:rFonts w:asciiTheme="minorHAnsi" w:hAnsiTheme="minorHAnsi" w:cstheme="minorHAnsi"/>
          <w:b w:val="0"/>
          <w:iCs/>
          <w:sz w:val="24"/>
          <w:szCs w:val="24"/>
        </w:rPr>
        <w:t>for a more transparent</w:t>
      </w:r>
      <w:r w:rsidR="00732CEF" w:rsidRPr="00367355">
        <w:rPr>
          <w:rStyle w:val="CommentReference"/>
          <w:rFonts w:asciiTheme="minorHAnsi" w:hAnsiTheme="minorHAnsi" w:cstheme="minorHAnsi"/>
          <w:b w:val="0"/>
          <w:iCs/>
          <w:sz w:val="24"/>
          <w:szCs w:val="24"/>
        </w:rPr>
        <w:t xml:space="preserve"> testing of OS assumptions</w:t>
      </w:r>
      <w:r w:rsidR="00BC6BD9" w:rsidRPr="00367355">
        <w:rPr>
          <w:rStyle w:val="CommentReference"/>
          <w:rFonts w:asciiTheme="minorHAnsi" w:hAnsiTheme="minorHAnsi" w:cstheme="minorHAnsi"/>
          <w:b w:val="0"/>
          <w:iCs/>
          <w:sz w:val="24"/>
          <w:szCs w:val="24"/>
        </w:rPr>
        <w:t xml:space="preserve"> compared to the submission’s approach</w:t>
      </w:r>
      <w:r w:rsidR="00177EDC" w:rsidRPr="00367355">
        <w:rPr>
          <w:iCs/>
        </w:rPr>
        <w:t>.</w:t>
      </w:r>
    </w:p>
    <w:p w14:paraId="194B4FD1" w14:textId="10009E8E" w:rsidR="0041701F" w:rsidRPr="00133367" w:rsidRDefault="0041701F" w:rsidP="0041701F">
      <w:pPr>
        <w:pStyle w:val="3-BodyText"/>
        <w:rPr>
          <w:color w:val="0066FF"/>
        </w:rPr>
      </w:pPr>
      <w:bookmarkStart w:id="86" w:name="_Ref211959125"/>
      <w:r w:rsidRPr="00133367">
        <w:t>The submission applied a time horizon of 20 years in the base case, based on a median follow-up of 34.7 months in the durvalumab +</w:t>
      </w:r>
      <w:r w:rsidR="00673002">
        <w:t xml:space="preserve"> </w:t>
      </w:r>
      <w:r w:rsidRPr="00133367">
        <w:t xml:space="preserve">GC arm and 27.7 months in the GC arm in the key trial (NIAGARA trial). </w:t>
      </w:r>
      <w:r w:rsidR="006076A8" w:rsidRPr="00133367">
        <w:rPr>
          <w:rFonts w:ascii="Calibri" w:hAnsi="Calibri" w:cs="Calibri"/>
        </w:rPr>
        <w:t xml:space="preserve">The </w:t>
      </w:r>
      <w:r w:rsidRPr="00133367">
        <w:rPr>
          <w:rFonts w:ascii="Calibri" w:hAnsi="Calibri" w:cs="Calibri"/>
        </w:rPr>
        <w:t xml:space="preserve">ESC previously </w:t>
      </w:r>
      <w:r w:rsidR="00F551BC" w:rsidRPr="00133367">
        <w:rPr>
          <w:rFonts w:ascii="Calibri" w:hAnsi="Calibri" w:cs="Calibri"/>
        </w:rPr>
        <w:t>considered that</w:t>
      </w:r>
      <w:r w:rsidR="006076A8" w:rsidRPr="00133367">
        <w:rPr>
          <w:rFonts w:ascii="Calibri" w:hAnsi="Calibri" w:cs="Calibri"/>
        </w:rPr>
        <w:t xml:space="preserve"> </w:t>
      </w:r>
      <w:r w:rsidRPr="00133367">
        <w:rPr>
          <w:rFonts w:ascii="Calibri" w:hAnsi="Calibri" w:cs="Calibri"/>
        </w:rPr>
        <w:t>a 15-year horizon was appropriate for</w:t>
      </w:r>
      <w:r w:rsidR="00DF1DA8" w:rsidRPr="00133367">
        <w:rPr>
          <w:rFonts w:ascii="Calibri" w:hAnsi="Calibri" w:cs="Calibri"/>
        </w:rPr>
        <w:t xml:space="preserve"> the consideration of</w:t>
      </w:r>
      <w:r w:rsidRPr="00133367">
        <w:rPr>
          <w:rFonts w:ascii="Calibri" w:hAnsi="Calibri" w:cs="Calibri"/>
        </w:rPr>
        <w:t xml:space="preserve"> adjuvant</w:t>
      </w:r>
      <w:r w:rsidR="001C6F4B" w:rsidRPr="00133367">
        <w:rPr>
          <w:rFonts w:ascii="Calibri" w:hAnsi="Calibri" w:cs="Calibri"/>
        </w:rPr>
        <w:t xml:space="preserve"> nivolumab with patients with</w:t>
      </w:r>
      <w:r w:rsidRPr="00133367">
        <w:rPr>
          <w:rFonts w:ascii="Calibri" w:hAnsi="Calibri" w:cs="Calibri"/>
        </w:rPr>
        <w:t xml:space="preserve"> MIUC</w:t>
      </w:r>
      <w:r w:rsidR="009430F3" w:rsidRPr="00133367">
        <w:rPr>
          <w:rFonts w:ascii="Calibri" w:hAnsi="Calibri" w:cs="Calibri"/>
        </w:rPr>
        <w:t xml:space="preserve"> who have undergone resection surgery and</w:t>
      </w:r>
      <w:r w:rsidR="00DF1DA8" w:rsidRPr="00133367">
        <w:rPr>
          <w:rFonts w:ascii="Calibri" w:hAnsi="Calibri" w:cs="Calibri"/>
        </w:rPr>
        <w:t xml:space="preserve"> at high risk of recurrence</w:t>
      </w:r>
      <w:r w:rsidRPr="00133367">
        <w:rPr>
          <w:rFonts w:ascii="Calibri" w:hAnsi="Calibri" w:cs="Calibri"/>
        </w:rPr>
        <w:t xml:space="preserve"> (paragraph 6.57, nivolumab PSD, March 2024), but given durvalumab's potential benefits in the neoadjuvant</w:t>
      </w:r>
      <w:r w:rsidR="00B7145D" w:rsidRPr="00133367">
        <w:rPr>
          <w:rFonts w:ascii="Calibri" w:hAnsi="Calibri" w:cs="Calibri"/>
        </w:rPr>
        <w:t xml:space="preserve"> setting, which </w:t>
      </w:r>
      <w:r w:rsidR="00D7176E" w:rsidRPr="00133367">
        <w:rPr>
          <w:rFonts w:ascii="Calibri" w:hAnsi="Calibri" w:cs="Calibri"/>
        </w:rPr>
        <w:t xml:space="preserve">also </w:t>
      </w:r>
      <w:r w:rsidR="00B7145D" w:rsidRPr="00133367">
        <w:rPr>
          <w:rFonts w:ascii="Calibri" w:hAnsi="Calibri" w:cs="Calibri"/>
        </w:rPr>
        <w:t>includes lower risk patients</w:t>
      </w:r>
      <w:r w:rsidRPr="00133367">
        <w:rPr>
          <w:rFonts w:ascii="Calibri" w:hAnsi="Calibri" w:cs="Calibri"/>
        </w:rPr>
        <w:t xml:space="preserve">, </w:t>
      </w:r>
      <w:r w:rsidR="00757CBF" w:rsidRPr="00367355">
        <w:rPr>
          <w:rFonts w:ascii="Calibri" w:hAnsi="Calibri" w:cs="Calibri"/>
          <w:iCs/>
        </w:rPr>
        <w:t>the evaluation noted that</w:t>
      </w:r>
      <w:r w:rsidR="00757CBF">
        <w:rPr>
          <w:rFonts w:ascii="Calibri" w:hAnsi="Calibri" w:cs="Calibri"/>
        </w:rPr>
        <w:t xml:space="preserve"> </w:t>
      </w:r>
      <w:r w:rsidR="00D7176E" w:rsidRPr="00133367">
        <w:rPr>
          <w:rFonts w:ascii="Calibri" w:hAnsi="Calibri" w:cs="Calibri"/>
        </w:rPr>
        <w:lastRenderedPageBreak/>
        <w:t xml:space="preserve">a </w:t>
      </w:r>
      <w:r w:rsidRPr="00133367">
        <w:rPr>
          <w:rFonts w:ascii="Calibri" w:hAnsi="Calibri" w:cs="Calibri"/>
        </w:rPr>
        <w:t xml:space="preserve">longer period may be justified. </w:t>
      </w:r>
      <w:r w:rsidR="007C2C31" w:rsidRPr="00367355">
        <w:rPr>
          <w:rFonts w:ascii="Calibri" w:hAnsi="Calibri" w:cs="Calibri"/>
          <w:iCs/>
        </w:rPr>
        <w:t xml:space="preserve">The ESC considered that 15 years would be </w:t>
      </w:r>
      <w:r w:rsidR="00BD3690" w:rsidRPr="00367355">
        <w:rPr>
          <w:rFonts w:ascii="Calibri" w:hAnsi="Calibri" w:cs="Calibri"/>
          <w:iCs/>
        </w:rPr>
        <w:t>a</w:t>
      </w:r>
      <w:r w:rsidR="007C2C31" w:rsidRPr="00367355">
        <w:rPr>
          <w:rFonts w:ascii="Calibri" w:hAnsi="Calibri" w:cs="Calibri"/>
          <w:iCs/>
        </w:rPr>
        <w:t xml:space="preserve"> more reasonable</w:t>
      </w:r>
      <w:r w:rsidR="00BD3690" w:rsidRPr="00367355">
        <w:rPr>
          <w:rFonts w:ascii="Calibri" w:hAnsi="Calibri" w:cs="Calibri"/>
          <w:iCs/>
        </w:rPr>
        <w:t xml:space="preserve"> time horizon</w:t>
      </w:r>
      <w:r w:rsidR="00AF4FBA" w:rsidRPr="00367355">
        <w:rPr>
          <w:rFonts w:ascii="Calibri" w:hAnsi="Calibri" w:cs="Calibri"/>
          <w:iCs/>
        </w:rPr>
        <w:t xml:space="preserve">, given the </w:t>
      </w:r>
      <w:r w:rsidR="007C2C31" w:rsidRPr="00367355">
        <w:rPr>
          <w:rFonts w:ascii="Calibri" w:hAnsi="Calibri" w:cs="Calibri"/>
          <w:iCs/>
        </w:rPr>
        <w:t xml:space="preserve">expected age and health status of </w:t>
      </w:r>
      <w:r w:rsidR="00AF4FBA" w:rsidRPr="00367355">
        <w:rPr>
          <w:rFonts w:ascii="Calibri" w:hAnsi="Calibri" w:cs="Calibri"/>
          <w:iCs/>
        </w:rPr>
        <w:t>this</w:t>
      </w:r>
      <w:r w:rsidR="007C2C31" w:rsidRPr="00367355">
        <w:rPr>
          <w:rFonts w:ascii="Calibri" w:hAnsi="Calibri" w:cs="Calibri"/>
          <w:iCs/>
        </w:rPr>
        <w:t xml:space="preserve"> patient cohort.</w:t>
      </w:r>
      <w:bookmarkEnd w:id="86"/>
      <w:r w:rsidR="00BA6E8F">
        <w:rPr>
          <w:rFonts w:ascii="Calibri" w:hAnsi="Calibri" w:cs="Calibri"/>
          <w:iCs/>
        </w:rPr>
        <w:t xml:space="preserve"> While the Pre-PBAC response maintained that </w:t>
      </w:r>
      <w:r w:rsidR="00FE6445">
        <w:rPr>
          <w:rFonts w:ascii="Calibri" w:hAnsi="Calibri" w:cs="Calibri"/>
          <w:iCs/>
        </w:rPr>
        <w:t xml:space="preserve">a longer time period is justified given the </w:t>
      </w:r>
      <w:r w:rsidR="00C16821">
        <w:rPr>
          <w:rFonts w:ascii="Calibri" w:hAnsi="Calibri" w:cs="Calibri"/>
          <w:iCs/>
        </w:rPr>
        <w:t>OS benefit</w:t>
      </w:r>
      <w:r w:rsidR="00087674">
        <w:rPr>
          <w:rFonts w:ascii="Calibri" w:hAnsi="Calibri" w:cs="Calibri"/>
          <w:iCs/>
        </w:rPr>
        <w:t xml:space="preserve"> of durvalumab</w:t>
      </w:r>
      <w:r w:rsidR="00C16821">
        <w:rPr>
          <w:rFonts w:ascii="Calibri" w:hAnsi="Calibri" w:cs="Calibri"/>
          <w:iCs/>
        </w:rPr>
        <w:t xml:space="preserve"> in a curative setting</w:t>
      </w:r>
      <w:r w:rsidR="00184CC4">
        <w:rPr>
          <w:rFonts w:ascii="Calibri" w:hAnsi="Calibri" w:cs="Calibri"/>
          <w:iCs/>
        </w:rPr>
        <w:t>,</w:t>
      </w:r>
      <w:r w:rsidR="00184CC4">
        <w:rPr>
          <w:rStyle w:val="FootnoteReference"/>
          <w:rFonts w:ascii="Calibri" w:hAnsi="Calibri" w:cs="Calibri"/>
          <w:iCs/>
        </w:rPr>
        <w:footnoteReference w:id="18"/>
      </w:r>
      <w:r w:rsidR="00C16821">
        <w:rPr>
          <w:rFonts w:ascii="Calibri" w:hAnsi="Calibri" w:cs="Calibri"/>
          <w:iCs/>
        </w:rPr>
        <w:t xml:space="preserve"> it agreed to reduce the time horizon from the base case of 20 years to 15 years to be consistent with previous PBAC decision-making for adjuvant nivolumab.</w:t>
      </w:r>
    </w:p>
    <w:p w14:paraId="7AEA3171" w14:textId="520A2E25" w:rsidR="008836AF" w:rsidRPr="00367355" w:rsidRDefault="008836AF" w:rsidP="008836AF">
      <w:pPr>
        <w:pStyle w:val="3-BodyText"/>
      </w:pPr>
      <w:r w:rsidRPr="00367355">
        <w:rPr>
          <w:iCs/>
        </w:rPr>
        <w:t xml:space="preserve">The NIAGARA trial data (durvalumab + NAC + </w:t>
      </w:r>
      <w:r w:rsidR="001E2454">
        <w:rPr>
          <w:iCs/>
        </w:rPr>
        <w:t>RC</w:t>
      </w:r>
      <w:r w:rsidR="001E2454" w:rsidRPr="00367355">
        <w:rPr>
          <w:iCs/>
        </w:rPr>
        <w:t xml:space="preserve"> </w:t>
      </w:r>
      <w:r w:rsidRPr="00367355">
        <w:rPr>
          <w:iCs/>
        </w:rPr>
        <w:t xml:space="preserve">vs NAC + </w:t>
      </w:r>
      <w:r w:rsidR="001E2454">
        <w:rPr>
          <w:iCs/>
        </w:rPr>
        <w:t>RC</w:t>
      </w:r>
      <w:r w:rsidRPr="00367355">
        <w:rPr>
          <w:iCs/>
        </w:rPr>
        <w:t xml:space="preserve">) were used for </w:t>
      </w:r>
      <w:r w:rsidR="00B3223B" w:rsidRPr="00133367">
        <w:t>transition probabilities for EF to health states LR, DR and</w:t>
      </w:r>
      <w:r w:rsidR="00D47C3D">
        <w:t xml:space="preserve"> death</w:t>
      </w:r>
      <w:r w:rsidRPr="00367355">
        <w:rPr>
          <w:iCs/>
        </w:rPr>
        <w:t>, while external trial</w:t>
      </w:r>
      <w:r w:rsidR="001B24F1">
        <w:rPr>
          <w:iCs/>
        </w:rPr>
        <w:t xml:space="preserve"> data</w:t>
      </w:r>
      <w:r w:rsidRPr="00367355">
        <w:rPr>
          <w:iCs/>
        </w:rPr>
        <w:t xml:space="preserve"> were applied for adjuvant nivolumab in the comparator arm (CM274), and OS was informed by an avelumab study (JAVELIN Bladder 100) in those who had progressed in the comparator arm. The PSCR stated that the submission’s approach combines robust, high-quality randomised controlled trial data from NIAGARA for the initial treatment period</w:t>
      </w:r>
      <w:r w:rsidR="00AB0324" w:rsidRPr="00367355">
        <w:rPr>
          <w:iCs/>
        </w:rPr>
        <w:t>, including</w:t>
      </w:r>
      <w:r w:rsidR="00A15D1D" w:rsidRPr="00367355">
        <w:rPr>
          <w:iCs/>
        </w:rPr>
        <w:t xml:space="preserve"> the primary</w:t>
      </w:r>
      <w:r w:rsidR="009272D8" w:rsidRPr="00367355">
        <w:rPr>
          <w:iCs/>
        </w:rPr>
        <w:t xml:space="preserve"> endpoint data in full</w:t>
      </w:r>
      <w:r w:rsidR="00AB0324" w:rsidRPr="00367355">
        <w:rPr>
          <w:iCs/>
        </w:rPr>
        <w:t>,</w:t>
      </w:r>
      <w:r w:rsidR="009272D8" w:rsidRPr="00367355">
        <w:rPr>
          <w:iCs/>
        </w:rPr>
        <w:t xml:space="preserve"> </w:t>
      </w:r>
      <w:r w:rsidRPr="00367355">
        <w:rPr>
          <w:iCs/>
        </w:rPr>
        <w:t>with PBAC-</w:t>
      </w:r>
      <w:r w:rsidR="008B508E" w:rsidRPr="00367355">
        <w:rPr>
          <w:iCs/>
        </w:rPr>
        <w:t>recommended</w:t>
      </w:r>
      <w:r w:rsidRPr="00367355">
        <w:rPr>
          <w:iCs/>
        </w:rPr>
        <w:t xml:space="preserve"> external assumptions for </w:t>
      </w:r>
      <w:r w:rsidR="008B508E" w:rsidRPr="00367355">
        <w:rPr>
          <w:iCs/>
        </w:rPr>
        <w:t>all</w:t>
      </w:r>
      <w:r w:rsidRPr="00367355">
        <w:rPr>
          <w:iCs/>
        </w:rPr>
        <w:t xml:space="preserve"> downstream treatments and long-term outcomes and provides a sound foundation for decision making. It stated that the methodology accounts for both the demonstrated clinical benefits from the NIAGARA trial and the need for real-world applicability as patients transition through treatment lines. </w:t>
      </w:r>
    </w:p>
    <w:p w14:paraId="738BFCDE" w14:textId="34A7894C" w:rsidR="00A95910" w:rsidRPr="00133367" w:rsidRDefault="00115177" w:rsidP="0041701F">
      <w:pPr>
        <w:pStyle w:val="3-BodyText"/>
        <w:rPr>
          <w:rFonts w:ascii="Calibri" w:hAnsi="Calibri" w:cs="Calibri"/>
          <w:color w:val="000000"/>
        </w:rPr>
      </w:pPr>
      <w:r>
        <w:t xml:space="preserve">The </w:t>
      </w:r>
      <w:r w:rsidR="0041701F" w:rsidRPr="00133367">
        <w:t xml:space="preserve">EFS and disease-free survival </w:t>
      </w:r>
      <w:r w:rsidR="00066B7E" w:rsidRPr="00133367">
        <w:t xml:space="preserve">(DFS) </w:t>
      </w:r>
      <w:r w:rsidR="0041701F" w:rsidRPr="00133367">
        <w:t xml:space="preserve">curves in </w:t>
      </w:r>
      <w:r w:rsidR="00DC7B44">
        <w:t xml:space="preserve">the </w:t>
      </w:r>
      <w:r w:rsidR="0041701F" w:rsidRPr="00133367">
        <w:t xml:space="preserve">NIAGARA trial were used to derive risk of recurrence in the model. </w:t>
      </w:r>
      <w:r w:rsidR="005C5EB5" w:rsidRPr="00133367">
        <w:rPr>
          <w:rFonts w:ascii="Calibri" w:hAnsi="Calibri" w:cs="Calibri"/>
          <w:color w:val="000000"/>
        </w:rPr>
        <w:t xml:space="preserve">The model assumed that </w:t>
      </w:r>
      <w:r w:rsidR="00FE46BC">
        <w:rPr>
          <w:rFonts w:ascii="Calibri" w:hAnsi="Calibri" w:cs="Calibri"/>
          <w:color w:val="000000"/>
        </w:rPr>
        <w:t>all</w:t>
      </w:r>
      <w:r w:rsidR="005C5EB5" w:rsidRPr="00133367">
        <w:rPr>
          <w:rFonts w:ascii="Calibri" w:hAnsi="Calibri" w:cs="Calibri"/>
          <w:color w:val="000000"/>
        </w:rPr>
        <w:t xml:space="preserve"> patients who were disease-free yet at high risk of recurrence following NAC and </w:t>
      </w:r>
      <w:r w:rsidR="001D0230">
        <w:rPr>
          <w:rFonts w:ascii="Calibri" w:hAnsi="Calibri" w:cs="Calibri"/>
          <w:color w:val="000000"/>
        </w:rPr>
        <w:t>RC</w:t>
      </w:r>
      <w:r w:rsidR="001D0230" w:rsidRPr="00133367">
        <w:rPr>
          <w:rFonts w:ascii="Calibri" w:hAnsi="Calibri" w:cs="Calibri"/>
          <w:color w:val="000000"/>
        </w:rPr>
        <w:t xml:space="preserve"> </w:t>
      </w:r>
      <w:r w:rsidR="005C5EB5" w:rsidRPr="00133367">
        <w:rPr>
          <w:rFonts w:ascii="Calibri" w:hAnsi="Calibri" w:cs="Calibri"/>
          <w:color w:val="000000"/>
        </w:rPr>
        <w:t xml:space="preserve">(representing </w:t>
      </w:r>
      <w:r w:rsidR="005C5EB5" w:rsidRPr="00793C34">
        <w:rPr>
          <w:rFonts w:ascii="Calibri" w:hAnsi="Calibri" w:cs="Calibri"/>
          <w:color w:val="000000"/>
        </w:rPr>
        <w:t>27.</w:t>
      </w:r>
      <w:r w:rsidR="00225637" w:rsidRPr="00793C34">
        <w:rPr>
          <w:rFonts w:ascii="Calibri" w:hAnsi="Calibri" w:cs="Calibri"/>
          <w:color w:val="000000"/>
        </w:rPr>
        <w:t>6</w:t>
      </w:r>
      <w:r w:rsidR="00FE46BC" w:rsidRPr="00793C34">
        <w:rPr>
          <w:rFonts w:ascii="Calibri" w:hAnsi="Calibri" w:cs="Calibri"/>
          <w:color w:val="000000"/>
        </w:rPr>
        <w:t>%</w:t>
      </w:r>
      <w:r w:rsidR="005C5EB5" w:rsidRPr="00133367">
        <w:rPr>
          <w:rFonts w:ascii="Calibri" w:hAnsi="Calibri" w:cs="Calibri"/>
          <w:color w:val="000000"/>
        </w:rPr>
        <w:t xml:space="preserve"> of the overall SoC population) would receive nivolumab, which was incorporated into the economic model to reflect current clinical practice. </w:t>
      </w:r>
    </w:p>
    <w:p w14:paraId="77107A28" w14:textId="1F57C5AE" w:rsidR="008A4EAB" w:rsidRPr="00133367" w:rsidRDefault="00D51FDC" w:rsidP="008A4EAB">
      <w:pPr>
        <w:pStyle w:val="3-BodyText"/>
        <w:rPr>
          <w:rFonts w:ascii="Calibri" w:hAnsi="Calibri" w:cs="Calibri"/>
          <w:color w:val="000000"/>
        </w:rPr>
      </w:pPr>
      <w:r w:rsidRPr="00133367">
        <w:t>C</w:t>
      </w:r>
      <w:r w:rsidR="0041701F" w:rsidRPr="00133367">
        <w:t xml:space="preserve">onditional probability estimation and survival matched </w:t>
      </w:r>
      <w:r w:rsidR="00877B01" w:rsidRPr="00133367">
        <w:t>ITC</w:t>
      </w:r>
      <w:r w:rsidR="0041701F" w:rsidRPr="00133367">
        <w:t xml:space="preserve"> were used to disaggregate EFS data into</w:t>
      </w:r>
      <w:r w:rsidRPr="00133367">
        <w:t xml:space="preserve"> the</w:t>
      </w:r>
      <w:r w:rsidR="0041701F" w:rsidRPr="00133367">
        <w:t xml:space="preserve"> required subgroups (based on surgery status, high-risk or low risk of recurrence) for analysis. </w:t>
      </w:r>
    </w:p>
    <w:p w14:paraId="6CDE2FF6" w14:textId="678A3FA6" w:rsidR="0041701F" w:rsidRPr="00090934" w:rsidRDefault="008A4EAB" w:rsidP="008A4EAB">
      <w:pPr>
        <w:pStyle w:val="3-BodyText"/>
        <w:rPr>
          <w:rFonts w:ascii="Calibri" w:hAnsi="Calibri" w:cs="Calibri"/>
          <w:color w:val="000000"/>
        </w:rPr>
      </w:pPr>
      <w:r w:rsidRPr="00133367">
        <w:t xml:space="preserve">The </w:t>
      </w:r>
      <w:r w:rsidR="0041701F" w:rsidRPr="00133367">
        <w:t xml:space="preserve">NIAGARA trial data were used for transitions from the event free health state, while </w:t>
      </w:r>
      <w:r w:rsidR="00DC6DF4">
        <w:t xml:space="preserve">a </w:t>
      </w:r>
      <w:r w:rsidR="001D4F54" w:rsidRPr="00133367">
        <w:t>HR</w:t>
      </w:r>
      <w:r w:rsidR="00117BF7" w:rsidRPr="00133367">
        <w:t xml:space="preserve"> from </w:t>
      </w:r>
      <w:r w:rsidR="0041701F" w:rsidRPr="00133367">
        <w:t xml:space="preserve">CM274 </w:t>
      </w:r>
      <w:r w:rsidR="001D4F54" w:rsidRPr="00133367">
        <w:t xml:space="preserve">was </w:t>
      </w:r>
      <w:r w:rsidR="0041701F" w:rsidRPr="00133367">
        <w:t xml:space="preserve">applied </w:t>
      </w:r>
      <w:r w:rsidR="001D4F54" w:rsidRPr="00133367">
        <w:t xml:space="preserve">to reflect </w:t>
      </w:r>
      <w:r w:rsidR="0041701F" w:rsidRPr="00133367">
        <w:t>adjuvant nivolumab</w:t>
      </w:r>
      <w:r w:rsidR="001D4F54" w:rsidRPr="00133367">
        <w:t xml:space="preserve"> efficacy</w:t>
      </w:r>
      <w:r w:rsidR="0041701F" w:rsidRPr="00133367">
        <w:t xml:space="preserve"> in the comparator </w:t>
      </w:r>
      <w:r w:rsidR="00DC6DF4">
        <w:t>arm (</w:t>
      </w:r>
      <w:r w:rsidR="00731104" w:rsidRPr="00133367">
        <w:t xml:space="preserve">HR </w:t>
      </w:r>
      <w:r w:rsidR="00DC6DF4">
        <w:t>=</w:t>
      </w:r>
      <w:r w:rsidR="00731104" w:rsidRPr="00133367">
        <w:t xml:space="preserve"> 0.54 applied to the high-risk EFS curve for GC</w:t>
      </w:r>
      <w:r w:rsidR="00DC6DF4">
        <w:t xml:space="preserve">; </w:t>
      </w:r>
      <w:r w:rsidR="00731104" w:rsidRPr="00133367">
        <w:t xml:space="preserve">para 7.3, nivolumab PSD, March 2024). </w:t>
      </w:r>
      <w:r w:rsidR="00807F5D" w:rsidRPr="00133367">
        <w:t>This effect was applied to the GC arm’s high-risk subgroup, assuming proportional hazards—an assumption that is often violated with immunotherapies versus chemotherapy, potentially misrepresenting time-varying effects. Sensitivity analyses showed the ICER was highly</w:t>
      </w:r>
      <w:r w:rsidR="0059419A">
        <w:t xml:space="preserve"> sensitive to</w:t>
      </w:r>
      <w:r w:rsidR="00807F5D" w:rsidRPr="00133367">
        <w:t xml:space="preserve"> the assumed treatment effect of nivolumab, with greater efficacy increasing the </w:t>
      </w:r>
      <w:r w:rsidR="00807F5D" w:rsidRPr="00090934">
        <w:t>ICER</w:t>
      </w:r>
      <w:r w:rsidR="00090934" w:rsidRPr="00090934">
        <w:t xml:space="preserve"> </w:t>
      </w:r>
      <w:r w:rsidR="00090934" w:rsidRPr="00367355">
        <w:rPr>
          <w:iCs/>
        </w:rPr>
        <w:t xml:space="preserve">(see </w:t>
      </w:r>
      <w:r w:rsidR="00466F24">
        <w:rPr>
          <w:iCs/>
        </w:rPr>
        <w:fldChar w:fldCharType="begin"/>
      </w:r>
      <w:r w:rsidR="00466F24">
        <w:rPr>
          <w:iCs/>
        </w:rPr>
        <w:instrText xml:space="preserve"> REF _Ref223516218 \h </w:instrText>
      </w:r>
      <w:r w:rsidR="00466F24">
        <w:rPr>
          <w:iCs/>
        </w:rPr>
      </w:r>
      <w:r w:rsidR="00466F24">
        <w:rPr>
          <w:iCs/>
        </w:rPr>
        <w:fldChar w:fldCharType="separate"/>
      </w:r>
      <w:r w:rsidR="005731FF" w:rsidRPr="00DF1914">
        <w:t xml:space="preserve">Table </w:t>
      </w:r>
      <w:r w:rsidR="005731FF">
        <w:rPr>
          <w:noProof/>
        </w:rPr>
        <w:t>18</w:t>
      </w:r>
      <w:r w:rsidR="00466F24">
        <w:rPr>
          <w:iCs/>
        </w:rPr>
        <w:fldChar w:fldCharType="end"/>
      </w:r>
      <w:r w:rsidR="00466F24">
        <w:rPr>
          <w:iCs/>
        </w:rPr>
        <w:t xml:space="preserve"> </w:t>
      </w:r>
      <w:r w:rsidR="00090934" w:rsidRPr="00367355">
        <w:rPr>
          <w:iCs/>
        </w:rPr>
        <w:t>below)</w:t>
      </w:r>
      <w:r w:rsidR="00807F5D" w:rsidRPr="00090934">
        <w:t xml:space="preserve">. </w:t>
      </w:r>
    </w:p>
    <w:p w14:paraId="22E2E9FA" w14:textId="4787EBA1" w:rsidR="0041701F" w:rsidRPr="00133367" w:rsidRDefault="0041701F" w:rsidP="0041701F">
      <w:pPr>
        <w:pStyle w:val="3-BodyText"/>
      </w:pPr>
      <w:r w:rsidRPr="00133367">
        <w:t xml:space="preserve">Observed </w:t>
      </w:r>
      <w:r w:rsidR="00D830E4" w:rsidRPr="00133367">
        <w:t xml:space="preserve">KM </w:t>
      </w:r>
      <w:r w:rsidRPr="00133367">
        <w:t xml:space="preserve">EFS or DFS data were used until 48 months for risk of recurrence. Using Gebski criterion 2, </w:t>
      </w:r>
      <w:r w:rsidR="00B36982" w:rsidRPr="00133367">
        <w:t xml:space="preserve">the truncation point of the </w:t>
      </w:r>
      <w:r w:rsidR="00630A79" w:rsidRPr="00133367">
        <w:t xml:space="preserve">KM </w:t>
      </w:r>
      <w:r w:rsidRPr="00133367">
        <w:t>data could</w:t>
      </w:r>
      <w:r w:rsidR="00630A79" w:rsidRPr="00133367">
        <w:t xml:space="preserve"> have</w:t>
      </w:r>
      <w:r w:rsidRPr="00133367">
        <w:t xml:space="preserve"> be</w:t>
      </w:r>
      <w:r w:rsidR="00630A79" w:rsidRPr="00133367">
        <w:t>en</w:t>
      </w:r>
      <w:r w:rsidRPr="00133367">
        <w:t xml:space="preserve"> extended to 56 months for both </w:t>
      </w:r>
      <w:r w:rsidR="00430804" w:rsidRPr="00133367">
        <w:t>durvalumab</w:t>
      </w:r>
      <w:r w:rsidR="005A5506" w:rsidRPr="00133367">
        <w:t xml:space="preserve"> + GC</w:t>
      </w:r>
      <w:r w:rsidRPr="00133367">
        <w:t xml:space="preserve"> (20 patients at risk, 61% survival) and GC (18 patients at risk, 43% survival), exceeding the base case's</w:t>
      </w:r>
      <w:r w:rsidR="00630A79" w:rsidRPr="00133367">
        <w:t xml:space="preserve"> selected truncation point of</w:t>
      </w:r>
      <w:r w:rsidRPr="00133367">
        <w:t xml:space="preserve"> </w:t>
      </w:r>
      <w:r w:rsidRPr="00133367">
        <w:lastRenderedPageBreak/>
        <w:t xml:space="preserve">48 months. The EFS curves were mostly flat after 32 and 34 months for </w:t>
      </w:r>
      <w:r w:rsidR="00430804" w:rsidRPr="00133367">
        <w:t>durvalumab</w:t>
      </w:r>
      <w:r w:rsidR="005A5506" w:rsidRPr="00133367">
        <w:t xml:space="preserve"> + GC</w:t>
      </w:r>
      <w:r w:rsidRPr="00133367">
        <w:t xml:space="preserve"> and DC, respectively, which may have been influenced by high levels of censoring. Earlier truncation points tended to reduce the incremental LYs generated in the model. </w:t>
      </w:r>
    </w:p>
    <w:p w14:paraId="573D8AFC" w14:textId="6B992F36" w:rsidR="00D056B9" w:rsidRPr="007C44AF" w:rsidRDefault="0041701F" w:rsidP="007C44AF">
      <w:pPr>
        <w:pStyle w:val="3-BodyText"/>
        <w:rPr>
          <w:rFonts w:cs="Calibri"/>
          <w:iCs/>
        </w:rPr>
      </w:pPr>
      <w:r w:rsidRPr="00133367">
        <w:t>Independent parametric models were fitted to the disaggregated observed EFS data. The lognormal model</w:t>
      </w:r>
      <w:r w:rsidR="000922CF" w:rsidRPr="00133367">
        <w:t>s</w:t>
      </w:r>
      <w:r w:rsidRPr="00133367">
        <w:t xml:space="preserve"> </w:t>
      </w:r>
      <w:r w:rsidR="000922CF" w:rsidRPr="00133367">
        <w:t xml:space="preserve">were selected for the base case </w:t>
      </w:r>
      <w:r w:rsidRPr="00133367">
        <w:t>for both high and low risk subgroups and</w:t>
      </w:r>
      <w:r w:rsidR="00556BE0" w:rsidRPr="00133367">
        <w:t xml:space="preserve"> the</w:t>
      </w:r>
      <w:r w:rsidRPr="00133367">
        <w:t xml:space="preserve"> Gompertz model was </w:t>
      </w:r>
      <w:r w:rsidR="00556BE0" w:rsidRPr="00133367">
        <w:t xml:space="preserve">selected </w:t>
      </w:r>
      <w:r w:rsidRPr="00133367">
        <w:t xml:space="preserve">for </w:t>
      </w:r>
      <w:r w:rsidR="00556BE0" w:rsidRPr="00133367">
        <w:t xml:space="preserve">the remaining </w:t>
      </w:r>
      <w:r w:rsidRPr="00133367">
        <w:t xml:space="preserve">of the EFS curves. </w:t>
      </w:r>
      <w:r w:rsidR="003850CB">
        <w:t xml:space="preserve">The evaluation </w:t>
      </w:r>
      <w:r w:rsidR="001A1F75">
        <w:t xml:space="preserve">considered that </w:t>
      </w:r>
      <w:r w:rsidRPr="00133367">
        <w:t>the Weibull function</w:t>
      </w:r>
      <w:r w:rsidR="0086256D">
        <w:t xml:space="preserve"> would also be clinically plausible</w:t>
      </w:r>
      <w:r w:rsidRPr="00133367">
        <w:t xml:space="preserve"> for extrapolating all the EFS curves</w:t>
      </w:r>
      <w:r w:rsidR="005D0E52" w:rsidRPr="00133367">
        <w:t xml:space="preserve"> in the submission’s base case</w:t>
      </w:r>
      <w:r w:rsidR="00535B93" w:rsidRPr="00367355">
        <w:rPr>
          <w:iCs/>
        </w:rPr>
        <w:t>.</w:t>
      </w:r>
      <w:r w:rsidR="00E71941">
        <w:rPr>
          <w:rStyle w:val="FootnoteReference"/>
          <w:iCs/>
        </w:rPr>
        <w:footnoteReference w:id="19"/>
      </w:r>
      <w:r w:rsidR="00535B93" w:rsidRPr="00367355">
        <w:rPr>
          <w:iCs/>
        </w:rPr>
        <w:t xml:space="preserve"> This increased </w:t>
      </w:r>
      <w:r w:rsidRPr="00367355">
        <w:rPr>
          <w:iCs/>
        </w:rPr>
        <w:t>the ICER by 7%</w:t>
      </w:r>
      <w:r w:rsidR="00535B93" w:rsidRPr="00367355">
        <w:rPr>
          <w:rFonts w:ascii="Calibri" w:hAnsi="Calibri" w:cs="Calibri"/>
          <w:iCs/>
        </w:rPr>
        <w:t xml:space="preserve"> (evaluation’s re</w:t>
      </w:r>
      <w:r w:rsidR="003B6C46" w:rsidRPr="00367355">
        <w:rPr>
          <w:rFonts w:ascii="Calibri" w:hAnsi="Calibri" w:cs="Calibri"/>
          <w:iCs/>
        </w:rPr>
        <w:t>-specified base case)</w:t>
      </w:r>
      <w:r w:rsidR="00822407" w:rsidRPr="00367355">
        <w:rPr>
          <w:rFonts w:ascii="Calibri" w:hAnsi="Calibri" w:cs="Calibri"/>
          <w:iCs/>
        </w:rPr>
        <w:t>.</w:t>
      </w:r>
      <w:r w:rsidR="007C6E24">
        <w:rPr>
          <w:rFonts w:ascii="Calibri" w:hAnsi="Calibri" w:cs="Calibri"/>
          <w:iCs/>
        </w:rPr>
        <w:t xml:space="preserve"> </w:t>
      </w:r>
      <w:r w:rsidR="00C92B86">
        <w:t>The Pre-PBAC response stated that</w:t>
      </w:r>
      <w:r w:rsidR="003434C6">
        <w:t xml:space="preserve"> given</w:t>
      </w:r>
      <w:r w:rsidR="00C92B86">
        <w:t xml:space="preserve"> </w:t>
      </w:r>
      <w:r w:rsidR="00B005FF">
        <w:t xml:space="preserve">a cure </w:t>
      </w:r>
      <w:r w:rsidR="003434C6">
        <w:t>is</w:t>
      </w:r>
      <w:r w:rsidR="00B005FF">
        <w:t xml:space="preserve"> a reasonable assumption</w:t>
      </w:r>
      <w:r w:rsidR="00DB4760">
        <w:t xml:space="preserve"> after 5 years, the Weibull function is not appropriate </w:t>
      </w:r>
      <w:r w:rsidR="00F01119">
        <w:t xml:space="preserve">as it </w:t>
      </w:r>
      <w:r w:rsidR="00DB4760">
        <w:t>allow</w:t>
      </w:r>
      <w:r w:rsidR="00F01119">
        <w:t>s</w:t>
      </w:r>
      <w:r w:rsidR="00DB4760">
        <w:t xml:space="preserve"> patients to</w:t>
      </w:r>
      <w:r w:rsidR="00F01119">
        <w:t xml:space="preserve"> continue to</w:t>
      </w:r>
      <w:r w:rsidR="00DB4760">
        <w:t xml:space="preserve"> recur </w:t>
      </w:r>
      <w:r w:rsidR="00F01119">
        <w:t>beyond this</w:t>
      </w:r>
      <w:r w:rsidR="002146FD">
        <w:t xml:space="preserve"> period. The response maintained that the submission’s base case</w:t>
      </w:r>
      <w:r w:rsidR="00F24A18">
        <w:t xml:space="preserve"> used the most appropriate and best-fitting curves</w:t>
      </w:r>
      <w:r w:rsidR="002146FD">
        <w:t>.</w:t>
      </w:r>
    </w:p>
    <w:p w14:paraId="5E118AA3" w14:textId="167FB392" w:rsidR="0029701E" w:rsidRPr="00133367" w:rsidRDefault="0041701F" w:rsidP="004E1378">
      <w:pPr>
        <w:pStyle w:val="3-BodyText"/>
      </w:pPr>
      <w:r w:rsidRPr="00133367">
        <w:t xml:space="preserve">Recurrence events in the Markov model were assigned using fixed transition probabilities from </w:t>
      </w:r>
      <w:r w:rsidR="00486128">
        <w:t>the</w:t>
      </w:r>
      <w:r w:rsidRPr="00133367">
        <w:t xml:space="preserve"> NIAGARA trial data, distinguishing fatal, locoregional, and distant recurrences according to neoadjuvant or adjuvant phases. Recurrences were assumed to occur for up to 5 years, after which cure was assumed and only locoregional progression to distant metastasis was modelled. </w:t>
      </w:r>
      <w:r w:rsidR="004E6020" w:rsidRPr="00133367">
        <w:t>The cured assumption was applied to all patients who were event free after 5 years.</w:t>
      </w:r>
      <w:r w:rsidR="00B729F5" w:rsidRPr="00133367">
        <w:t xml:space="preserve"> A cure assumption at five years in MIUC was</w:t>
      </w:r>
      <w:r w:rsidR="00012BE8">
        <w:t xml:space="preserve"> </w:t>
      </w:r>
      <w:r w:rsidR="00012BE8" w:rsidRPr="00367355">
        <w:rPr>
          <w:iCs/>
        </w:rPr>
        <w:t>previously</w:t>
      </w:r>
      <w:r w:rsidR="00B729F5" w:rsidRPr="00133367">
        <w:t xml:space="preserve"> considered likely reasonable by the PBAC (para</w:t>
      </w:r>
      <w:r w:rsidR="003766E0">
        <w:t>graph</w:t>
      </w:r>
      <w:r w:rsidR="00B729F5" w:rsidRPr="00133367">
        <w:t xml:space="preserve"> 6.49, nivolumab PSD, July 2022) and</w:t>
      </w:r>
      <w:r w:rsidR="00DB0FDC" w:rsidRPr="00133367">
        <w:t xml:space="preserve"> the</w:t>
      </w:r>
      <w:r w:rsidR="00B729F5" w:rsidRPr="00133367">
        <w:t xml:space="preserve"> ESC (para</w:t>
      </w:r>
      <w:r w:rsidR="00B92822">
        <w:t>graph</w:t>
      </w:r>
      <w:r w:rsidR="00B729F5" w:rsidRPr="00133367">
        <w:t xml:space="preserve"> 6.57, nivolumab PSD, March 2024).</w:t>
      </w:r>
      <w:r w:rsidR="006C1FED" w:rsidRPr="00133367">
        <w:t xml:space="preserve"> </w:t>
      </w:r>
      <w:r w:rsidR="000C5134" w:rsidRPr="00133367">
        <w:rPr>
          <w:rFonts w:ascii="Calibri" w:hAnsi="Calibri" w:cs="Calibri"/>
          <w:color w:val="000000"/>
        </w:rPr>
        <w:t>The</w:t>
      </w:r>
      <w:r w:rsidR="000E4D09">
        <w:rPr>
          <w:rFonts w:ascii="Calibri" w:hAnsi="Calibri" w:cs="Calibri"/>
          <w:color w:val="000000"/>
        </w:rPr>
        <w:t xml:space="preserve"> </w:t>
      </w:r>
      <w:r w:rsidR="000E4D09" w:rsidRPr="00367355">
        <w:rPr>
          <w:rFonts w:ascii="Calibri" w:hAnsi="Calibri" w:cs="Calibri"/>
          <w:iCs/>
          <w:color w:val="000000"/>
        </w:rPr>
        <w:t>evaluation noted that the</w:t>
      </w:r>
      <w:r w:rsidR="000C5134" w:rsidRPr="00133367">
        <w:rPr>
          <w:rFonts w:ascii="Calibri" w:hAnsi="Calibri" w:cs="Calibri"/>
          <w:color w:val="000000"/>
        </w:rPr>
        <w:t xml:space="preserve"> submission </w:t>
      </w:r>
      <w:r w:rsidR="00F21B5C">
        <w:rPr>
          <w:rFonts w:ascii="Calibri" w:hAnsi="Calibri" w:cs="Calibri"/>
          <w:color w:val="000000"/>
        </w:rPr>
        <w:t>did</w:t>
      </w:r>
      <w:r w:rsidR="000C5134" w:rsidRPr="00133367">
        <w:rPr>
          <w:rFonts w:ascii="Calibri" w:hAnsi="Calibri" w:cs="Calibri"/>
          <w:color w:val="000000"/>
        </w:rPr>
        <w:t xml:space="preserve"> not justif</w:t>
      </w:r>
      <w:r w:rsidR="00F21B5C">
        <w:rPr>
          <w:rFonts w:ascii="Calibri" w:hAnsi="Calibri" w:cs="Calibri"/>
          <w:color w:val="000000"/>
        </w:rPr>
        <w:t>y</w:t>
      </w:r>
      <w:r w:rsidR="000C5134" w:rsidRPr="00133367">
        <w:rPr>
          <w:rFonts w:ascii="Calibri" w:hAnsi="Calibri" w:cs="Calibri"/>
          <w:color w:val="000000"/>
        </w:rPr>
        <w:t xml:space="preserve"> applying the same cut-off time for a cure across the model arms. It may not be reasonable to assume that remaining event free at 5 years in the absence of immunotherapy represents the same likelihood of cure as having received immunotherapy in the neoadjuvant and adjuvant setting. Where the addition of durvalumab results in tumour suppression, an event that otherwise may have occurred close to 5 years may be time-shifted to beyond 5 years. </w:t>
      </w:r>
      <w:r w:rsidR="004E1378" w:rsidRPr="00133367">
        <w:t>When</w:t>
      </w:r>
      <w:r w:rsidR="00DB0FDC" w:rsidRPr="00133367">
        <w:t xml:space="preserve"> </w:t>
      </w:r>
      <w:r w:rsidR="004E1378" w:rsidRPr="00133367">
        <w:t xml:space="preserve">the </w:t>
      </w:r>
      <w:r w:rsidR="00DB0FDC" w:rsidRPr="00133367">
        <w:t xml:space="preserve">cure assumption </w:t>
      </w:r>
      <w:r w:rsidR="004E1378" w:rsidRPr="00133367">
        <w:t>for</w:t>
      </w:r>
      <w:r w:rsidR="00DB0FDC" w:rsidRPr="00133367">
        <w:t xml:space="preserve"> the durvalumab</w:t>
      </w:r>
      <w:r w:rsidR="004E1378" w:rsidRPr="00133367">
        <w:t xml:space="preserve"> treatment arm</w:t>
      </w:r>
      <w:r w:rsidR="00DB0FDC" w:rsidRPr="00133367">
        <w:t xml:space="preserve"> </w:t>
      </w:r>
      <w:r w:rsidR="004E1378" w:rsidRPr="00133367">
        <w:t xml:space="preserve">was postponed </w:t>
      </w:r>
      <w:r w:rsidR="00DB0FDC" w:rsidRPr="00133367">
        <w:t>by 6 months</w:t>
      </w:r>
      <w:r w:rsidR="004E1378" w:rsidRPr="00133367">
        <w:t>, the ICERs increased by 16%.</w:t>
      </w:r>
    </w:p>
    <w:p w14:paraId="31AD7B5E" w14:textId="1215BCD1" w:rsidR="0041701F" w:rsidRPr="00133367" w:rsidRDefault="0041701F" w:rsidP="0041701F">
      <w:pPr>
        <w:pStyle w:val="3-BodyText"/>
      </w:pPr>
      <w:r w:rsidRPr="00133367">
        <w:t xml:space="preserve">Transition probability from </w:t>
      </w:r>
      <w:r w:rsidR="00F8239D">
        <w:t>LR</w:t>
      </w:r>
      <w:r w:rsidR="00F8239D" w:rsidRPr="00133367">
        <w:t xml:space="preserve"> </w:t>
      </w:r>
      <w:r w:rsidRPr="00133367">
        <w:t xml:space="preserve">to DR health state (0.2811 per month) was estimated using data from the JAVELIN Bladder 100 trial, applying a median time to progression of 2.1 months for both treatment arms. </w:t>
      </w:r>
    </w:p>
    <w:p w14:paraId="67628F8D" w14:textId="3BC9CB77" w:rsidR="0041701F" w:rsidRPr="00133367" w:rsidRDefault="0041701F" w:rsidP="0041701F">
      <w:pPr>
        <w:pStyle w:val="3-BodyText"/>
      </w:pPr>
      <w:r w:rsidRPr="00133367">
        <w:t xml:space="preserve">The DR survival estimates were based on median </w:t>
      </w:r>
      <w:r w:rsidR="00272B91">
        <w:t>OS</w:t>
      </w:r>
      <w:r w:rsidRPr="00133367">
        <w:t xml:space="preserve"> of 24.9 months and 16.3 months for patients who were and were not treated with avelumab (43% uptake assumed) in the metastatic setting, respectively</w:t>
      </w:r>
      <w:r w:rsidR="00231752">
        <w:t>,</w:t>
      </w:r>
      <w:r w:rsidRPr="00133367">
        <w:t xml:space="preserve"> based on previously accepted estimates (Table </w:t>
      </w:r>
      <w:r w:rsidRPr="00133367">
        <w:lastRenderedPageBreak/>
        <w:t xml:space="preserve">16, </w:t>
      </w:r>
      <w:r w:rsidR="008269F6">
        <w:t>n</w:t>
      </w:r>
      <w:r w:rsidRPr="00133367">
        <w:t xml:space="preserve">ivolumab PSD, March 2024). </w:t>
      </w:r>
      <w:r w:rsidR="008F6ACB">
        <w:t>The evaluation noted that using</w:t>
      </w:r>
      <w:r w:rsidRPr="00133367">
        <w:t xml:space="preserve"> a single median ignores the full distribution of survival (the tail of the curve is critical in immunotherapy, where long-term survivors exist). </w:t>
      </w:r>
    </w:p>
    <w:p w14:paraId="24BDF50B" w14:textId="5FC3A707" w:rsidR="0041701F" w:rsidRPr="00133367" w:rsidRDefault="0041701F" w:rsidP="0041701F">
      <w:pPr>
        <w:pStyle w:val="3-BodyText"/>
      </w:pPr>
      <w:r w:rsidRPr="00133367">
        <w:t xml:space="preserve">Comparisons of the observed KM EFS and OS data to the modelled curves for both arms are presented in </w:t>
      </w:r>
      <w:r w:rsidRPr="00133367">
        <w:fldChar w:fldCharType="begin"/>
      </w:r>
      <w:r w:rsidRPr="00133367">
        <w:instrText xml:space="preserve"> REF _Ref208234369 \h </w:instrText>
      </w:r>
      <w:r w:rsidR="00133367">
        <w:instrText xml:space="preserve"> \* MERGEFORMAT </w:instrText>
      </w:r>
      <w:r w:rsidRPr="00133367">
        <w:fldChar w:fldCharType="separate"/>
      </w:r>
      <w:r w:rsidR="005731FF">
        <w:t xml:space="preserve">Figure </w:t>
      </w:r>
      <w:r w:rsidR="005731FF">
        <w:rPr>
          <w:noProof/>
        </w:rPr>
        <w:t>6</w:t>
      </w:r>
      <w:r w:rsidRPr="00133367">
        <w:fldChar w:fldCharType="end"/>
      </w:r>
      <w:r w:rsidRPr="00133367">
        <w:t xml:space="preserve"> and </w:t>
      </w:r>
      <w:r w:rsidRPr="00133367">
        <w:fldChar w:fldCharType="begin"/>
      </w:r>
      <w:r w:rsidRPr="00133367">
        <w:instrText xml:space="preserve"> REF _Ref207368480 \h </w:instrText>
      </w:r>
      <w:r w:rsidR="00133367">
        <w:instrText xml:space="preserve"> \* MERGEFORMAT </w:instrText>
      </w:r>
      <w:r w:rsidRPr="00133367">
        <w:fldChar w:fldCharType="separate"/>
      </w:r>
      <w:r w:rsidR="005731FF" w:rsidRPr="00813981">
        <w:t xml:space="preserve">Figure </w:t>
      </w:r>
      <w:r w:rsidR="005731FF">
        <w:rPr>
          <w:noProof/>
        </w:rPr>
        <w:t>7</w:t>
      </w:r>
      <w:r w:rsidRPr="00133367">
        <w:fldChar w:fldCharType="end"/>
      </w:r>
      <w:r w:rsidRPr="00133367">
        <w:t xml:space="preserve"> for both treatment arms. From the figure it is evident that patients treated with </w:t>
      </w:r>
      <w:r w:rsidR="00430804" w:rsidRPr="00133367">
        <w:t>durvalumab</w:t>
      </w:r>
      <w:r w:rsidR="005A5506" w:rsidRPr="00133367">
        <w:t xml:space="preserve"> + GC</w:t>
      </w:r>
      <w:r w:rsidRPr="00133367">
        <w:t xml:space="preserve"> spend a longer time in the EFS/cured health state compared to those treated with SoC.</w:t>
      </w:r>
      <w:r w:rsidR="004F5E96">
        <w:t xml:space="preserve"> </w:t>
      </w:r>
    </w:p>
    <w:p w14:paraId="266E74C6" w14:textId="7CD0D389" w:rsidR="0041701F" w:rsidRDefault="0041701F" w:rsidP="0041701F">
      <w:pPr>
        <w:pStyle w:val="Caption"/>
      </w:pPr>
      <w:bookmarkStart w:id="87" w:name="_Ref208234369"/>
      <w:r>
        <w:t xml:space="preserve">Figure </w:t>
      </w:r>
      <w:r w:rsidR="0077772B">
        <w:fldChar w:fldCharType="begin"/>
      </w:r>
      <w:r w:rsidR="0077772B">
        <w:instrText xml:space="preserve"> SEQ Figure \* ARABIC </w:instrText>
      </w:r>
      <w:r w:rsidR="0077772B">
        <w:fldChar w:fldCharType="separate"/>
      </w:r>
      <w:r w:rsidR="005731FF">
        <w:rPr>
          <w:noProof/>
        </w:rPr>
        <w:t>6</w:t>
      </w:r>
      <w:r w:rsidR="0077772B">
        <w:rPr>
          <w:noProof/>
        </w:rPr>
        <w:fldChar w:fldCharType="end"/>
      </w:r>
      <w:bookmarkEnd w:id="87"/>
      <w:r>
        <w:t>:</w:t>
      </w:r>
      <w:r w:rsidRPr="006F0C78">
        <w:t xml:space="preserve"> Modelled versus observed EFS curves</w:t>
      </w:r>
      <w:r w:rsidR="005B7D52">
        <w:t xml:space="preserve"> (submission base case)</w:t>
      </w:r>
    </w:p>
    <w:p w14:paraId="7682983C" w14:textId="77777777" w:rsidR="0041701F" w:rsidRPr="00DF1914" w:rsidRDefault="0041701F" w:rsidP="0041701F">
      <w:r w:rsidRPr="00DF1914">
        <w:rPr>
          <w:noProof/>
        </w:rPr>
        <w:drawing>
          <wp:inline distT="0" distB="0" distL="0" distR="0" wp14:anchorId="16FD5C78" wp14:editId="53A84B66">
            <wp:extent cx="5397430" cy="3514725"/>
            <wp:effectExtent l="0" t="0" r="0" b="0"/>
            <wp:docPr id="490770043" name="Picture 2" descr="Figure 6: Modelled versus observed EFS curves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70043" name="Picture 2" descr="Figure 6: Modelled versus observed EFS curves (submission base ca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4297" cy="3525708"/>
                    </a:xfrm>
                    <a:prstGeom prst="rect">
                      <a:avLst/>
                    </a:prstGeom>
                    <a:noFill/>
                  </pic:spPr>
                </pic:pic>
              </a:graphicData>
            </a:graphic>
          </wp:inline>
        </w:drawing>
      </w:r>
    </w:p>
    <w:p w14:paraId="0B171A81" w14:textId="77777777" w:rsidR="0041701F" w:rsidRPr="00DF1914" w:rsidRDefault="0041701F" w:rsidP="0041701F">
      <w:pPr>
        <w:pStyle w:val="TableFigureFooter"/>
      </w:pPr>
      <w:r w:rsidRPr="00DF1914">
        <w:t>Source: constructed during the evaluation using Attachment 3.2 ‘Model_Inputs_workbook_Jul25.xls’ provided with the submission</w:t>
      </w:r>
    </w:p>
    <w:p w14:paraId="10607F23" w14:textId="77777777" w:rsidR="0041701F" w:rsidRPr="00DF1914" w:rsidRDefault="0041701F" w:rsidP="0041701F">
      <w:pPr>
        <w:pStyle w:val="TableFigureFooter"/>
      </w:pPr>
      <w:r w:rsidRPr="00DF1914">
        <w:t xml:space="preserve">DGC = durvalumab + GC; EFS = event free survival; GC = gemcitabine plus cisplatin; </w:t>
      </w:r>
      <w:r>
        <w:t>GCN = GC arm with the addition of avelumab and nivolumab in eligible patients</w:t>
      </w:r>
      <w:r w:rsidRPr="00DF1914">
        <w:t>.</w:t>
      </w:r>
    </w:p>
    <w:p w14:paraId="69B7F643" w14:textId="3FEC77F5" w:rsidR="00FA71E0" w:rsidRPr="005B7D52" w:rsidRDefault="00FA71E0" w:rsidP="00FA71E0">
      <w:pPr>
        <w:pStyle w:val="3-BodyText"/>
        <w:rPr>
          <w:iCs/>
        </w:rPr>
      </w:pPr>
      <w:r w:rsidRPr="00FA71E0">
        <w:rPr>
          <w:iCs/>
        </w:rPr>
        <w:t xml:space="preserve">The treatment of resectable MIBC in the Australian setting involves the use of nivolumab in the adjuvant setting and avelumab in the recurrent setting. </w:t>
      </w:r>
      <w:r w:rsidR="00D11622" w:rsidRPr="00367355">
        <w:t>The ESC noted that</w:t>
      </w:r>
      <w:r w:rsidR="00D11622">
        <w:rPr>
          <w:iCs/>
        </w:rPr>
        <w:t xml:space="preserve"> a</w:t>
      </w:r>
      <w:r w:rsidRPr="00FA71E0">
        <w:rPr>
          <w:iCs/>
        </w:rPr>
        <w:t xml:space="preserve">s the treatments received in the NIAGARA study do not include nivolumab or avelumab, the submission’s economic evaluation has sought to structure the model to permit the inclusion of these treatments. The model is informed by the EFS/DFS curves, high risk status (to determine eligibility for nivolumab in the comparator arm) and distributions across </w:t>
      </w:r>
      <w:r w:rsidR="000014CE">
        <w:rPr>
          <w:iCs/>
        </w:rPr>
        <w:t>LR</w:t>
      </w:r>
      <w:r w:rsidRPr="00FA71E0">
        <w:rPr>
          <w:iCs/>
        </w:rPr>
        <w:t xml:space="preserve">, </w:t>
      </w:r>
      <w:r w:rsidR="000014CE">
        <w:rPr>
          <w:iCs/>
        </w:rPr>
        <w:t>DR</w:t>
      </w:r>
      <w:r w:rsidRPr="00FA71E0">
        <w:rPr>
          <w:iCs/>
        </w:rPr>
        <w:t xml:space="preserve"> and death in the absence of recurrence directly from the NIAGARA study.</w:t>
      </w:r>
      <w:r w:rsidRPr="00367355">
        <w:t xml:space="preserve"> </w:t>
      </w:r>
      <w:r w:rsidRPr="00133367">
        <w:rPr>
          <w:iCs/>
        </w:rPr>
        <w:t>The model traces appear to reasonably reflect the EFS/DFS curves in the NIAGARA study, and</w:t>
      </w:r>
      <w:r w:rsidR="008E7EF9">
        <w:rPr>
          <w:iCs/>
        </w:rPr>
        <w:t xml:space="preserve"> </w:t>
      </w:r>
      <w:r w:rsidR="008E7EF9" w:rsidRPr="00367355">
        <w:t>the evaluation considered that</w:t>
      </w:r>
      <w:r w:rsidRPr="00133367">
        <w:rPr>
          <w:iCs/>
        </w:rPr>
        <w:t xml:space="preserve"> this is appropriate. After including the use of adjuvant nivolumab, the EFS/DFS curve for the comparator arm is slightly above the trial comparator arm. </w:t>
      </w:r>
      <w:r w:rsidR="00CF7A3F" w:rsidRPr="00367355">
        <w:t>The ESC considered this to be reasonab</w:t>
      </w:r>
      <w:r w:rsidR="00686EA4" w:rsidRPr="00367355">
        <w:t>le but noted</w:t>
      </w:r>
      <w:r w:rsidR="00686EA4">
        <w:rPr>
          <w:iCs/>
        </w:rPr>
        <w:t xml:space="preserve"> </w:t>
      </w:r>
      <w:r w:rsidR="00686EA4" w:rsidRPr="00367355">
        <w:t>that</w:t>
      </w:r>
      <w:r w:rsidRPr="00133367">
        <w:rPr>
          <w:iCs/>
        </w:rPr>
        <w:t xml:space="preserve"> the magnitude of this benefit is difficult to validate</w:t>
      </w:r>
      <w:r w:rsidR="00F03FF5">
        <w:rPr>
          <w:iCs/>
        </w:rPr>
        <w:t xml:space="preserve"> </w:t>
      </w:r>
      <w:r w:rsidR="00F03FF5" w:rsidRPr="00367355">
        <w:t>given the uncertainty ass</w:t>
      </w:r>
      <w:r w:rsidR="00F03FF5" w:rsidRPr="005B7D52">
        <w:t>ociated with the ITC (paragraph</w:t>
      </w:r>
      <w:r w:rsidR="006849FF">
        <w:t xml:space="preserve"> </w:t>
      </w:r>
      <w:r w:rsidR="00FF4EF9">
        <w:fldChar w:fldCharType="begin"/>
      </w:r>
      <w:r w:rsidR="00FF4EF9">
        <w:instrText xml:space="preserve"> REF _Ref215217195 \r \h </w:instrText>
      </w:r>
      <w:r w:rsidR="00FF4EF9">
        <w:fldChar w:fldCharType="separate"/>
      </w:r>
      <w:r w:rsidR="005731FF">
        <w:t>6.38</w:t>
      </w:r>
      <w:r w:rsidR="00FF4EF9">
        <w:fldChar w:fldCharType="end"/>
      </w:r>
      <w:r w:rsidR="00F03FF5" w:rsidRPr="005B7D52">
        <w:t>)</w:t>
      </w:r>
      <w:r w:rsidR="009C6B34" w:rsidRPr="005B7D52">
        <w:rPr>
          <w:iCs/>
        </w:rPr>
        <w:t>.</w:t>
      </w:r>
      <w:r w:rsidRPr="005B7D52">
        <w:rPr>
          <w:iCs/>
        </w:rPr>
        <w:t xml:space="preserve"> </w:t>
      </w:r>
    </w:p>
    <w:p w14:paraId="0C76AB99" w14:textId="6EB5086D" w:rsidR="00D176C5" w:rsidRPr="00367355" w:rsidRDefault="00FA71E0" w:rsidP="00D176C5">
      <w:pPr>
        <w:pStyle w:val="3-BodyText"/>
      </w:pPr>
      <w:bookmarkStart w:id="88" w:name="_Ref211959186"/>
      <w:bookmarkStart w:id="89" w:name="_Ref211679895"/>
      <w:r w:rsidRPr="00133367">
        <w:rPr>
          <w:iCs/>
        </w:rPr>
        <w:lastRenderedPageBreak/>
        <w:t>The modelled OS</w:t>
      </w:r>
      <w:r w:rsidR="006E47AD" w:rsidRPr="00133367">
        <w:rPr>
          <w:iCs/>
        </w:rPr>
        <w:t xml:space="preserve"> appears to</w:t>
      </w:r>
      <w:r w:rsidRPr="00133367">
        <w:rPr>
          <w:iCs/>
        </w:rPr>
        <w:t xml:space="preserve"> underestimate the trial OS data after the second and or third year following </w:t>
      </w:r>
      <w:r w:rsidR="00430804" w:rsidRPr="00133367">
        <w:rPr>
          <w:iCs/>
        </w:rPr>
        <w:t>durvalumab</w:t>
      </w:r>
      <w:r w:rsidRPr="00133367">
        <w:rPr>
          <w:iCs/>
        </w:rPr>
        <w:t xml:space="preserve"> + GC and GC treatment, respectively. The underestimate is more noticeable in the GC arm. </w:t>
      </w:r>
      <w:r w:rsidR="003033D4" w:rsidRPr="00367355">
        <w:t xml:space="preserve">The modelled OS was not consistent with </w:t>
      </w:r>
      <w:r w:rsidR="00D176C5" w:rsidRPr="00367355">
        <w:t xml:space="preserve">internal (NIAGARA KM curves) </w:t>
      </w:r>
      <w:r w:rsidR="003033D4" w:rsidRPr="00367355">
        <w:t>or</w:t>
      </w:r>
      <w:r w:rsidR="00D176C5" w:rsidRPr="00367355">
        <w:t xml:space="preserve"> external benchmarks (Australian BLADDA registry), which showed higher OS estimates for resected MIBC than produced by the model. The PSCR stated that the underestimation of OS in the durvalumab model is a direct consequence of the conservative assumptions used by the PBAC for the [adjuvant] nivolumab model, reflecting the lack of OS data provided in the nivolumab submission. The PSCR stated that this approach is biased against durvalumab because the model uses the same assumptions used in the nivolumab assessment despite perioperative durvalumab showing an OS benefit where nivolumab did not. However, the model may favour the treatment group if it undervalues later treatments’ effectiveness.</w:t>
      </w:r>
      <w:bookmarkEnd w:id="88"/>
    </w:p>
    <w:p w14:paraId="75A197CE" w14:textId="45041947" w:rsidR="00E5073F" w:rsidRPr="00420CFC" w:rsidRDefault="00FA71E0" w:rsidP="000874DE">
      <w:pPr>
        <w:pStyle w:val="3-BodyText"/>
        <w:rPr>
          <w:iCs/>
        </w:rPr>
      </w:pPr>
      <w:r w:rsidRPr="001B57D9">
        <w:rPr>
          <w:iCs/>
        </w:rPr>
        <w:t>The submission presented a sensitivity analysis calibrating modelled post progression survival to match modelled OS with observed OS at 48 months (</w:t>
      </w:r>
      <w:r w:rsidRPr="001B57D9">
        <w:rPr>
          <w:iCs/>
        </w:rPr>
        <w:fldChar w:fldCharType="begin"/>
      </w:r>
      <w:r w:rsidRPr="001B57D9">
        <w:rPr>
          <w:iCs/>
        </w:rPr>
        <w:instrText xml:space="preserve"> REF _Ref207368480 \h </w:instrText>
      </w:r>
      <w:r w:rsidR="00133367" w:rsidRPr="001B57D9">
        <w:rPr>
          <w:iCs/>
        </w:rPr>
        <w:instrText xml:space="preserve"> \* MERGEFORMAT </w:instrText>
      </w:r>
      <w:r w:rsidRPr="001B57D9">
        <w:rPr>
          <w:iCs/>
        </w:rPr>
      </w:r>
      <w:r w:rsidRPr="001B57D9">
        <w:rPr>
          <w:iCs/>
        </w:rPr>
        <w:fldChar w:fldCharType="separate"/>
      </w:r>
      <w:r w:rsidR="005731FF" w:rsidRPr="005731FF">
        <w:rPr>
          <w:iCs/>
        </w:rPr>
        <w:t xml:space="preserve">Figure </w:t>
      </w:r>
      <w:r w:rsidR="005731FF" w:rsidRPr="005731FF">
        <w:rPr>
          <w:iCs/>
          <w:noProof/>
        </w:rPr>
        <w:t>7</w:t>
      </w:r>
      <w:r w:rsidRPr="001B57D9">
        <w:rPr>
          <w:iCs/>
        </w:rPr>
        <w:fldChar w:fldCharType="end"/>
      </w:r>
      <w:r w:rsidRPr="001B57D9">
        <w:rPr>
          <w:iCs/>
        </w:rPr>
        <w:t xml:space="preserve">). To enable accurate prediction of outcomes from the NIAGARA trial, calibration factors were applied to the transition from DR to death in both treatment arms. The purpose of this calibration was to adjust these values so that the model would precisely replicate the proportion of patients alive at 48 months in each arm of the NIAGARA trial (74.5% for </w:t>
      </w:r>
      <w:r w:rsidR="00430804" w:rsidRPr="001B57D9">
        <w:rPr>
          <w:iCs/>
        </w:rPr>
        <w:t>durvalumab</w:t>
      </w:r>
      <w:r w:rsidRPr="001B57D9">
        <w:rPr>
          <w:iCs/>
        </w:rPr>
        <w:t xml:space="preserve"> + GC and 66.5% for GC). This analysis identified calibration factor</w:t>
      </w:r>
      <w:r w:rsidR="00A170DF">
        <w:rPr>
          <w:iCs/>
        </w:rPr>
        <w:t>s</w:t>
      </w:r>
      <w:r w:rsidRPr="001B57D9">
        <w:rPr>
          <w:iCs/>
        </w:rPr>
        <w:t xml:space="preserve"> of 2.07 and 2.05 to be applied to median </w:t>
      </w:r>
      <w:r w:rsidR="005B7B17" w:rsidRPr="001B57D9">
        <w:rPr>
          <w:iCs/>
        </w:rPr>
        <w:t>OS</w:t>
      </w:r>
      <w:r w:rsidRPr="001B57D9">
        <w:rPr>
          <w:iCs/>
        </w:rPr>
        <w:t xml:space="preserve"> used to estimate transitions from DR health state to dead for</w:t>
      </w:r>
      <w:r w:rsidR="00216395">
        <w:rPr>
          <w:iCs/>
        </w:rPr>
        <w:t xml:space="preserve"> the</w:t>
      </w:r>
      <w:r w:rsidRPr="001B57D9">
        <w:rPr>
          <w:iCs/>
        </w:rPr>
        <w:t xml:space="preserve"> </w:t>
      </w:r>
      <w:r w:rsidR="00430804" w:rsidRPr="001B57D9">
        <w:rPr>
          <w:iCs/>
        </w:rPr>
        <w:t>durvalumab</w:t>
      </w:r>
      <w:r w:rsidRPr="001B57D9">
        <w:rPr>
          <w:iCs/>
        </w:rPr>
        <w:t xml:space="preserve"> + GC arm and GC arm</w:t>
      </w:r>
      <w:r w:rsidR="00352321" w:rsidRPr="001B57D9">
        <w:rPr>
          <w:iCs/>
        </w:rPr>
        <w:t>,</w:t>
      </w:r>
      <w:r w:rsidRPr="001B57D9">
        <w:rPr>
          <w:iCs/>
        </w:rPr>
        <w:t xml:space="preserve"> </w:t>
      </w:r>
      <w:r w:rsidRPr="00420CFC">
        <w:rPr>
          <w:iCs/>
        </w:rPr>
        <w:t>respectively.</w:t>
      </w:r>
      <w:r w:rsidR="004710BF" w:rsidRPr="00420CFC">
        <w:rPr>
          <w:iCs/>
        </w:rPr>
        <w:t xml:space="preserve"> </w:t>
      </w:r>
      <w:r w:rsidR="004710BF" w:rsidRPr="00420CFC">
        <w:t>The submission argued that the calibrated version of the model could be considered biased against durvalumab + GC because it inflates the survival benefits of avelumab in the comparator arm of the model from 8.6 months (24.9-16.3) to 18.5 months (54.0-35.5).</w:t>
      </w:r>
      <w:r w:rsidRPr="00420CFC">
        <w:rPr>
          <w:iCs/>
        </w:rPr>
        <w:t xml:space="preserve"> </w:t>
      </w:r>
      <w:r w:rsidR="005E564E" w:rsidRPr="00420CFC">
        <w:t>The ESC noted this analysis increased the ICER by 16% (</w:t>
      </w:r>
      <w:r w:rsidR="00CC3CC9">
        <w:fldChar w:fldCharType="begin"/>
      </w:r>
      <w:r w:rsidR="00CC3CC9">
        <w:instrText xml:space="preserve"> REF _Ref223516218 \h </w:instrText>
      </w:r>
      <w:r w:rsidR="00CC3CC9">
        <w:fldChar w:fldCharType="separate"/>
      </w:r>
      <w:r w:rsidR="005731FF" w:rsidRPr="00DF1914">
        <w:t xml:space="preserve">Table </w:t>
      </w:r>
      <w:r w:rsidR="005731FF">
        <w:rPr>
          <w:noProof/>
        </w:rPr>
        <w:t>18</w:t>
      </w:r>
      <w:r w:rsidR="00CC3CC9">
        <w:fldChar w:fldCharType="end"/>
      </w:r>
      <w:r w:rsidR="00CC3CC9">
        <w:t>)</w:t>
      </w:r>
      <w:r w:rsidR="000874DE" w:rsidRPr="00420CFC">
        <w:rPr>
          <w:iCs/>
        </w:rPr>
        <w:t xml:space="preserve"> </w:t>
      </w:r>
    </w:p>
    <w:bookmarkStart w:id="90" w:name="_Ref211959196"/>
    <w:p w14:paraId="6B9A1C07" w14:textId="60825834" w:rsidR="00184643" w:rsidRPr="006E4C24" w:rsidRDefault="00E5073F" w:rsidP="00D66064">
      <w:pPr>
        <w:pStyle w:val="3-BodyText"/>
        <w:rPr>
          <w:iCs/>
        </w:rPr>
      </w:pPr>
      <w:r>
        <w:fldChar w:fldCharType="begin"/>
      </w:r>
      <w:r>
        <w:instrText xml:space="preserve"> REF _Ref211947011 \h </w:instrText>
      </w:r>
      <w:r>
        <w:fldChar w:fldCharType="separate"/>
      </w:r>
      <w:r w:rsidR="005731FF" w:rsidRPr="00367355">
        <w:t xml:space="preserve">Figure </w:t>
      </w:r>
      <w:r w:rsidR="005731FF">
        <w:rPr>
          <w:noProof/>
        </w:rPr>
        <w:t>8</w:t>
      </w:r>
      <w:r>
        <w:fldChar w:fldCharType="end"/>
      </w:r>
      <w:r>
        <w:t xml:space="preserve"> </w:t>
      </w:r>
      <w:r w:rsidRPr="00367355">
        <w:rPr>
          <w:iCs/>
        </w:rPr>
        <w:t xml:space="preserve">shows the modelled and observed OS curves for the SoC treatment arm, </w:t>
      </w:r>
      <w:r w:rsidRPr="00367355">
        <w:rPr>
          <w:rFonts w:ascii="Calibri" w:hAnsi="Calibri" w:cs="Calibri"/>
          <w:iCs/>
          <w:color w:val="000000"/>
        </w:rPr>
        <w:t>illustrating the effects of applying a calibration factor to align the modelled data with the observed OS KM data for the GC arm, as well as the influence of nivolumab and avelumab on the OS curve.</w:t>
      </w:r>
      <w:r w:rsidR="00635566">
        <w:rPr>
          <w:iCs/>
        </w:rPr>
        <w:t xml:space="preserve"> </w:t>
      </w:r>
      <w:r w:rsidR="00F4385D" w:rsidRPr="00367355">
        <w:t>T</w:t>
      </w:r>
      <w:r w:rsidR="00263C0D" w:rsidRPr="00367355">
        <w:t>he</w:t>
      </w:r>
      <w:r w:rsidR="009F5D3B" w:rsidRPr="00367355">
        <w:t xml:space="preserve"> ESC </w:t>
      </w:r>
      <w:r w:rsidR="00E56802" w:rsidRPr="00367355">
        <w:t xml:space="preserve">noted the limitations of this calibration </w:t>
      </w:r>
      <w:r w:rsidR="00CC4E6F" w:rsidRPr="00367355">
        <w:t>raised</w:t>
      </w:r>
      <w:r w:rsidR="00E56802" w:rsidRPr="00367355">
        <w:t xml:space="preserve"> by the evaluation</w:t>
      </w:r>
      <w:r w:rsidR="008F572F" w:rsidRPr="00367355">
        <w:t>, that</w:t>
      </w:r>
      <w:r w:rsidR="00FA71E0" w:rsidRPr="00367355">
        <w:t xml:space="preserve"> </w:t>
      </w:r>
      <w:r w:rsidR="00FA71E0" w:rsidRPr="00133367">
        <w:rPr>
          <w:iCs/>
        </w:rPr>
        <w:t>survival post recurrence is not the only driver for the predicted mortality in the model. The model also used treatment based fixed proportions from the NIAGARA trial to allocate patients to fatal (dead) and non-fatal recurrence health states (LR and DR), ignoring time-dependent hazard rates. Since recurrence risk changes over time, and the type of recurrence may also change over time, the use of static proportions moving from event free to death, LR and DR may skew predicted OS</w:t>
      </w:r>
      <w:r w:rsidR="00FA71E0" w:rsidRPr="00D66064">
        <w:rPr>
          <w:iCs/>
        </w:rPr>
        <w:t>.</w:t>
      </w:r>
      <w:bookmarkEnd w:id="89"/>
      <w:r w:rsidR="00F17B7F">
        <w:rPr>
          <w:iCs/>
        </w:rPr>
        <w:t xml:space="preserve"> </w:t>
      </w:r>
      <w:r w:rsidR="00F17B7F" w:rsidRPr="00367355">
        <w:t xml:space="preserve">However, the ESC </w:t>
      </w:r>
      <w:r w:rsidR="00125004" w:rsidRPr="00367355">
        <w:t>also</w:t>
      </w:r>
      <w:r w:rsidR="00F17B7F" w:rsidRPr="00367355">
        <w:t xml:space="preserve"> acknowledged that</w:t>
      </w:r>
      <w:r w:rsidR="002C5896" w:rsidRPr="00367355">
        <w:t xml:space="preserve"> more</w:t>
      </w:r>
      <w:r w:rsidR="00F17B7F" w:rsidRPr="00367355">
        <w:t xml:space="preserve"> robust data are unlikely to be available to inform downstream transitions required </w:t>
      </w:r>
      <w:r w:rsidR="002923FC" w:rsidRPr="00367355">
        <w:t xml:space="preserve">and </w:t>
      </w:r>
      <w:r w:rsidR="00F17B7F" w:rsidRPr="00367355">
        <w:t xml:space="preserve">it may be a pragmatic approach to refine downstream transitions to calibrate the </w:t>
      </w:r>
      <w:r w:rsidR="00647B18">
        <w:t>OS</w:t>
      </w:r>
      <w:r w:rsidR="00F17B7F" w:rsidRPr="00367355">
        <w:t xml:space="preserve"> curves in the model to those observed in the NIAGARA study.</w:t>
      </w:r>
      <w:bookmarkEnd w:id="90"/>
      <w:r w:rsidR="00BB508F">
        <w:t xml:space="preserve"> The Pre-PBAC response maintained that</w:t>
      </w:r>
      <w:r w:rsidR="006F1D90">
        <w:t xml:space="preserve"> an 18.5 month OS gain </w:t>
      </w:r>
      <w:r w:rsidR="00752ECB">
        <w:t xml:space="preserve">from 10 months of avelumab treatment in the metastatic setting </w:t>
      </w:r>
      <w:r w:rsidR="00D85594">
        <w:t xml:space="preserve">is clinically implausible </w:t>
      </w:r>
      <w:r w:rsidR="00126E43">
        <w:t>and</w:t>
      </w:r>
      <w:r w:rsidR="00043563">
        <w:t xml:space="preserve"> would </w:t>
      </w:r>
      <w:r w:rsidR="00043563" w:rsidRPr="00043563">
        <w:t xml:space="preserve">inappropriately penalise durvalumab </w:t>
      </w:r>
      <w:r w:rsidR="004433D6">
        <w:t>given that</w:t>
      </w:r>
      <w:r w:rsidR="00043563">
        <w:t xml:space="preserve"> the</w:t>
      </w:r>
      <w:r w:rsidR="00043563" w:rsidRPr="00043563">
        <w:t xml:space="preserve"> </w:t>
      </w:r>
      <w:r w:rsidR="00043563" w:rsidRPr="00043563">
        <w:lastRenderedPageBreak/>
        <w:t>NIAGARA</w:t>
      </w:r>
      <w:r w:rsidR="009E0A17">
        <w:t xml:space="preserve"> trial</w:t>
      </w:r>
      <w:r w:rsidR="00043563" w:rsidRPr="00043563">
        <w:t xml:space="preserve"> provides OS data</w:t>
      </w:r>
      <w:r w:rsidR="009E0A17">
        <w:t>.</w:t>
      </w:r>
      <w:r w:rsidR="00E0129A">
        <w:t xml:space="preserve"> The response stated that i</w:t>
      </w:r>
      <w:r w:rsidR="00B92FA2">
        <w:t>t</w:t>
      </w:r>
      <w:r w:rsidR="00E0129A">
        <w:t xml:space="preserve"> would be appropriate to</w:t>
      </w:r>
      <w:r w:rsidR="00D90268">
        <w:t xml:space="preserve"> use</w:t>
      </w:r>
      <w:r w:rsidR="00D90268" w:rsidRPr="00D90268">
        <w:t xml:space="preserve"> the same downstream survival assumptions as the adjuvant nivolumab model (and not appl</w:t>
      </w:r>
      <w:r w:rsidR="00D90268">
        <w:t>y</w:t>
      </w:r>
      <w:r w:rsidR="00D90268" w:rsidRPr="00D90268">
        <w:t xml:space="preserve"> the OS calibrations)</w:t>
      </w:r>
      <w:r w:rsidR="00D90268">
        <w:t xml:space="preserve">, </w:t>
      </w:r>
      <w:r w:rsidR="00CF383B">
        <w:t>and this</w:t>
      </w:r>
      <w:r w:rsidR="00164EC6">
        <w:t xml:space="preserve"> approach</w:t>
      </w:r>
      <w:r w:rsidR="00CF383B">
        <w:t xml:space="preserve"> would</w:t>
      </w:r>
      <w:r w:rsidR="00D90268" w:rsidRPr="00D90268">
        <w:t xml:space="preserve"> </w:t>
      </w:r>
      <w:r w:rsidR="00164EC6">
        <w:t>be</w:t>
      </w:r>
      <w:r w:rsidR="00D90268" w:rsidRPr="00D90268">
        <w:t xml:space="preserve"> consisten</w:t>
      </w:r>
      <w:r w:rsidR="00164EC6">
        <w:t>t</w:t>
      </w:r>
      <w:r w:rsidR="00D90268" w:rsidRPr="00D90268">
        <w:t xml:space="preserve"> with previous PBAC decision-making.</w:t>
      </w:r>
    </w:p>
    <w:p w14:paraId="446CA447" w14:textId="0D39BA72" w:rsidR="0041701F" w:rsidRPr="00813981" w:rsidRDefault="0041701F" w:rsidP="0041701F">
      <w:pPr>
        <w:pStyle w:val="Caption"/>
      </w:pPr>
      <w:bookmarkStart w:id="91" w:name="_Ref207368480"/>
      <w:r w:rsidRPr="00813981">
        <w:t xml:space="preserve">Figure </w:t>
      </w:r>
      <w:r w:rsidR="0077772B">
        <w:fldChar w:fldCharType="begin"/>
      </w:r>
      <w:r w:rsidR="0077772B">
        <w:instrText xml:space="preserve"> SEQ Figure \* ARABIC </w:instrText>
      </w:r>
      <w:r w:rsidR="0077772B">
        <w:fldChar w:fldCharType="separate"/>
      </w:r>
      <w:r w:rsidR="005731FF">
        <w:rPr>
          <w:noProof/>
        </w:rPr>
        <w:t>7</w:t>
      </w:r>
      <w:r w:rsidR="0077772B">
        <w:rPr>
          <w:noProof/>
        </w:rPr>
        <w:fldChar w:fldCharType="end"/>
      </w:r>
      <w:bookmarkEnd w:id="91"/>
      <w:r w:rsidRPr="00813981">
        <w:t>: Modelled versus observed OS curves</w:t>
      </w:r>
    </w:p>
    <w:p w14:paraId="27215E31" w14:textId="462749EE" w:rsidR="000A2BD3" w:rsidRDefault="000A2BD3" w:rsidP="000A2BD3">
      <w:r>
        <w:rPr>
          <w:noProof/>
        </w:rPr>
        <w:drawing>
          <wp:inline distT="0" distB="0" distL="0" distR="0" wp14:anchorId="6C4BF7EA" wp14:editId="2590627F">
            <wp:extent cx="5707172" cy="3625795"/>
            <wp:effectExtent l="0" t="0" r="8255" b="0"/>
            <wp:docPr id="370924842" name="Picture 1" descr="Figure 7: Modelled versus observed OS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24842" name="Picture 1" descr="Figure 7: Modelled versus observed OS curv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0310" cy="3634141"/>
                    </a:xfrm>
                    <a:prstGeom prst="rect">
                      <a:avLst/>
                    </a:prstGeom>
                    <a:noFill/>
                  </pic:spPr>
                </pic:pic>
              </a:graphicData>
            </a:graphic>
          </wp:inline>
        </w:drawing>
      </w:r>
    </w:p>
    <w:p w14:paraId="5C52AC37" w14:textId="77777777" w:rsidR="00813981" w:rsidRPr="00DF1914" w:rsidRDefault="00813981" w:rsidP="00813981">
      <w:pPr>
        <w:pStyle w:val="TableFigureFooter"/>
      </w:pPr>
      <w:r w:rsidRPr="00DF1914">
        <w:t>Source: constructed during the evaluation using Attachment 3.2 ‘Model_Inputs_workbook_Jul25.xls’ provided with the submission</w:t>
      </w:r>
    </w:p>
    <w:p w14:paraId="70FB8E5E" w14:textId="4232CD43" w:rsidR="000A2BD3" w:rsidRDefault="00813981" w:rsidP="00813981">
      <w:pPr>
        <w:pStyle w:val="TableFigureFooter"/>
      </w:pPr>
      <w:r w:rsidRPr="00DF1914">
        <w:t xml:space="preserve">DGC = durvalumab + GC; GC = gemcitabine plus cisplatin; </w:t>
      </w:r>
      <w:r>
        <w:t>GCN = GC arm with the addition of avelumab and nivolumab in eligible patients</w:t>
      </w:r>
      <w:r w:rsidRPr="00DF1914">
        <w:t>; OS = overall survival.</w:t>
      </w:r>
    </w:p>
    <w:p w14:paraId="54915847" w14:textId="290E4445" w:rsidR="000A2BD3" w:rsidRPr="00367355" w:rsidRDefault="00813981" w:rsidP="00813981">
      <w:pPr>
        <w:pStyle w:val="Caption"/>
      </w:pPr>
      <w:bookmarkStart w:id="92" w:name="_Ref211947011"/>
      <w:bookmarkStart w:id="93" w:name="_Ref211947007"/>
      <w:r w:rsidRPr="00367355">
        <w:lastRenderedPageBreak/>
        <w:t xml:space="preserve">Figure </w:t>
      </w:r>
      <w:r w:rsidR="0077772B">
        <w:fldChar w:fldCharType="begin"/>
      </w:r>
      <w:r w:rsidR="0077772B">
        <w:instrText xml:space="preserve"> SEQ Figure \* ARABIC </w:instrText>
      </w:r>
      <w:r w:rsidR="0077772B">
        <w:fldChar w:fldCharType="separate"/>
      </w:r>
      <w:r w:rsidR="005731FF">
        <w:rPr>
          <w:noProof/>
        </w:rPr>
        <w:t>8</w:t>
      </w:r>
      <w:r w:rsidR="0077772B">
        <w:rPr>
          <w:noProof/>
        </w:rPr>
        <w:fldChar w:fldCharType="end"/>
      </w:r>
      <w:bookmarkEnd w:id="92"/>
      <w:r w:rsidRPr="00367355">
        <w:rPr>
          <w:iCs/>
        </w:rPr>
        <w:t>:</w:t>
      </w:r>
      <w:r w:rsidR="00341995" w:rsidRPr="00367355">
        <w:rPr>
          <w:iCs/>
        </w:rPr>
        <w:t xml:space="preserve"> Modelled versus observed KM OS curves for SoC showing modelled incremental benefits of additional therapies</w:t>
      </w:r>
      <w:bookmarkEnd w:id="93"/>
    </w:p>
    <w:p w14:paraId="16E70858" w14:textId="0860A074" w:rsidR="0041701F" w:rsidRPr="00DF1914" w:rsidRDefault="00F839A8" w:rsidP="0041701F">
      <w:r>
        <w:rPr>
          <w:noProof/>
        </w:rPr>
        <w:drawing>
          <wp:inline distT="0" distB="0" distL="0" distR="0" wp14:anchorId="7DF83EE7" wp14:editId="6B09D3B8">
            <wp:extent cx="5671419" cy="3673502"/>
            <wp:effectExtent l="0" t="0" r="5715" b="3175"/>
            <wp:docPr id="1621090595" name="Picture 3" descr="Figure 8: Modelled versus observed KM OS curves for SoC showing modelled incremental benefits of additional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90595" name="Picture 3" descr="Figure 8: Modelled versus observed KM OS curves for SoC showing modelled incremental benefits of additional therap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8044" cy="3684270"/>
                    </a:xfrm>
                    <a:prstGeom prst="rect">
                      <a:avLst/>
                    </a:prstGeom>
                    <a:noFill/>
                  </pic:spPr>
                </pic:pic>
              </a:graphicData>
            </a:graphic>
          </wp:inline>
        </w:drawing>
      </w:r>
    </w:p>
    <w:p w14:paraId="3837D590" w14:textId="77777777" w:rsidR="0041701F" w:rsidRPr="00367355" w:rsidRDefault="0041701F" w:rsidP="0041701F">
      <w:pPr>
        <w:pStyle w:val="TableFigureFooter"/>
      </w:pPr>
      <w:r w:rsidRPr="00367355">
        <w:t>Source: constructed during the evaluation using Attachment 3.2 ‘Model_Inputs_workbook_Jul25.xls’ provided with the submission</w:t>
      </w:r>
    </w:p>
    <w:p w14:paraId="43E88BF5" w14:textId="77777777" w:rsidR="003C35E6" w:rsidRPr="00367355" w:rsidRDefault="003C35E6" w:rsidP="003C35E6">
      <w:pPr>
        <w:pStyle w:val="TableFigureFooter"/>
        <w:rPr>
          <w:iCs/>
        </w:rPr>
      </w:pPr>
      <w:r w:rsidRPr="00367355">
        <w:rPr>
          <w:iCs/>
        </w:rPr>
        <w:t>DR = distant recurrence; EFS = event free survival; GC = gemcitabine plus cisplatin; GC +Nivolumab = GC arm with the addition of nivolumab in eligible patients; GC+Nivolumab+Avel = GC arm with the addition of avelumab and nivolumab in eligible patients; OS = overall survival; SoC = standard of care; Tp = transition probability.</w:t>
      </w:r>
    </w:p>
    <w:p w14:paraId="73DDFE06" w14:textId="7AC525D5" w:rsidR="003C35E6" w:rsidRPr="00367355" w:rsidRDefault="003C35E6" w:rsidP="0041701F">
      <w:pPr>
        <w:pStyle w:val="TableFigureFooter"/>
        <w:rPr>
          <w:iCs/>
        </w:rPr>
      </w:pPr>
      <w:r w:rsidRPr="00367355">
        <w:rPr>
          <w:iCs/>
        </w:rPr>
        <w:t>Respecified base case included better fitting Weibull parametric functions for extrapolating all EFs curves and had the cure function, that was incorrectly applied in the submission’s base case to the second cycle of recurrence, switched off in the locoregional and distant recurrence health sates.</w:t>
      </w:r>
    </w:p>
    <w:p w14:paraId="4A699033" w14:textId="7D9427AA" w:rsidR="0041701F" w:rsidRPr="00133367" w:rsidRDefault="0041701F" w:rsidP="009B4C8B">
      <w:pPr>
        <w:pStyle w:val="3-BodyText"/>
      </w:pPr>
      <w:r w:rsidRPr="00AE2683">
        <w:t xml:space="preserve">Additional validation was conducted during the evaluation comparing the modelled distant recurrence-free survival (DRFS) curves with observed metastasis-free survival (MFS) from the NIAGARA </w:t>
      </w:r>
      <w:r w:rsidRPr="0081618D">
        <w:t>trial (</w:t>
      </w:r>
      <w:r w:rsidRPr="0081618D">
        <w:fldChar w:fldCharType="begin"/>
      </w:r>
      <w:r w:rsidRPr="0081618D">
        <w:instrText xml:space="preserve"> REF _Ref208234698 \h  \* MERGEFORMAT </w:instrText>
      </w:r>
      <w:r w:rsidRPr="0081618D">
        <w:fldChar w:fldCharType="separate"/>
      </w:r>
      <w:r w:rsidR="005731FF">
        <w:t xml:space="preserve">Figure </w:t>
      </w:r>
      <w:r w:rsidR="005731FF">
        <w:rPr>
          <w:noProof/>
        </w:rPr>
        <w:t>9</w:t>
      </w:r>
      <w:r w:rsidRPr="0081618D">
        <w:fldChar w:fldCharType="end"/>
      </w:r>
      <w:r w:rsidRPr="0081618D">
        <w:t>)</w:t>
      </w:r>
      <w:r>
        <w:t xml:space="preserve">. </w:t>
      </w:r>
      <w:r w:rsidRPr="00133367">
        <w:t xml:space="preserve">The model </w:t>
      </w:r>
      <w:r w:rsidR="006516C6" w:rsidRPr="00133367">
        <w:t xml:space="preserve">appears to </w:t>
      </w:r>
      <w:r w:rsidRPr="00133367">
        <w:t>underestimate DRFS compared to trial data</w:t>
      </w:r>
      <w:r w:rsidR="00EB4640" w:rsidRPr="00133367">
        <w:t xml:space="preserve"> early in the model</w:t>
      </w:r>
      <w:r w:rsidRPr="00133367">
        <w:t xml:space="preserve"> </w:t>
      </w:r>
      <w:r w:rsidR="009B4C8B" w:rsidRPr="00133367">
        <w:t>because it used fixed distribution for recurrence event</w:t>
      </w:r>
      <w:r w:rsidR="00045154" w:rsidRPr="00133367">
        <w:t>s</w:t>
      </w:r>
      <w:r w:rsidR="009B4C8B" w:rsidRPr="00133367">
        <w:t>. This caused differences between what the model predicted and what was seen in the trial. As a result, the</w:t>
      </w:r>
      <w:r w:rsidR="00193FBD">
        <w:t xml:space="preserve"> </w:t>
      </w:r>
      <w:r w:rsidR="00193FBD" w:rsidRPr="00367355">
        <w:rPr>
          <w:iCs/>
        </w:rPr>
        <w:t>evaluation noted that the</w:t>
      </w:r>
      <w:r w:rsidR="009B4C8B" w:rsidRPr="00133367">
        <w:t xml:space="preserve"> model may favour the treatment group if it underestimates how effective later treatments are.</w:t>
      </w:r>
      <w:r w:rsidR="0093014E" w:rsidRPr="00133367">
        <w:t xml:space="preserve"> Use of fixed distributions breaks internal consistency between EFS, OS and post-recurrence health states. The split for recurrence events should be calibrated so that the total events and deaths match trial KM data.</w:t>
      </w:r>
    </w:p>
    <w:p w14:paraId="4ECDD795" w14:textId="5BEFCC94" w:rsidR="0041701F" w:rsidRDefault="0041701F" w:rsidP="0041701F">
      <w:pPr>
        <w:pStyle w:val="Caption"/>
      </w:pPr>
      <w:bookmarkStart w:id="94" w:name="_Ref208234698"/>
      <w:r>
        <w:lastRenderedPageBreak/>
        <w:t xml:space="preserve">Figure </w:t>
      </w:r>
      <w:r w:rsidR="0077772B">
        <w:fldChar w:fldCharType="begin"/>
      </w:r>
      <w:r w:rsidR="0077772B">
        <w:instrText xml:space="preserve"> SEQ Figure \* ARABIC </w:instrText>
      </w:r>
      <w:r w:rsidR="0077772B">
        <w:fldChar w:fldCharType="separate"/>
      </w:r>
      <w:r w:rsidR="005731FF">
        <w:rPr>
          <w:noProof/>
        </w:rPr>
        <w:t>9</w:t>
      </w:r>
      <w:r w:rsidR="0077772B">
        <w:rPr>
          <w:noProof/>
        </w:rPr>
        <w:fldChar w:fldCharType="end"/>
      </w:r>
      <w:bookmarkEnd w:id="94"/>
      <w:r>
        <w:t xml:space="preserve">: </w:t>
      </w:r>
      <w:r w:rsidRPr="00F40D86">
        <w:t>Observed versus modelled metastasis or distant recurrence free survival</w:t>
      </w:r>
    </w:p>
    <w:p w14:paraId="49D44DEA" w14:textId="77777777" w:rsidR="0041701F" w:rsidRDefault="0041701F" w:rsidP="0041701F">
      <w:r w:rsidRPr="00BB6371">
        <w:rPr>
          <w:noProof/>
        </w:rPr>
        <w:drawing>
          <wp:inline distT="0" distB="0" distL="0" distR="0" wp14:anchorId="48D5E401" wp14:editId="6FA4D79C">
            <wp:extent cx="5762625" cy="3681343"/>
            <wp:effectExtent l="0" t="0" r="0" b="0"/>
            <wp:docPr id="895893719" name="Picture 2" descr="Figure 9: Observed versus modelled metastasis or distant recurrence free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93719" name="Picture 2" descr="Figure 9: Observed versus modelled metastasis or distant recurrence free survival"/>
                    <pic:cNvPicPr>
                      <a:picLocks noChangeAspect="1" noChangeArrowheads="1"/>
                    </pic:cNvPicPr>
                  </pic:nvPicPr>
                  <pic:blipFill rotWithShape="1">
                    <a:blip r:embed="rId19">
                      <a:extLst>
                        <a:ext uri="{28A0092B-C50C-407E-A947-70E740481C1C}">
                          <a14:useLocalDpi xmlns:a14="http://schemas.microsoft.com/office/drawing/2010/main" val="0"/>
                        </a:ext>
                      </a:extLst>
                    </a:blip>
                    <a:srcRect l="6314" t="11847" r="14091" b="3839"/>
                    <a:stretch>
                      <a:fillRect/>
                    </a:stretch>
                  </pic:blipFill>
                  <pic:spPr bwMode="auto">
                    <a:xfrm>
                      <a:off x="0" y="0"/>
                      <a:ext cx="5769108" cy="3685484"/>
                    </a:xfrm>
                    <a:prstGeom prst="rect">
                      <a:avLst/>
                    </a:prstGeom>
                    <a:noFill/>
                    <a:ln>
                      <a:noFill/>
                    </a:ln>
                    <a:extLst>
                      <a:ext uri="{53640926-AAD7-44D8-BBD7-CCE9431645EC}">
                        <a14:shadowObscured xmlns:a14="http://schemas.microsoft.com/office/drawing/2010/main"/>
                      </a:ext>
                    </a:extLst>
                  </pic:spPr>
                </pic:pic>
              </a:graphicData>
            </a:graphic>
          </wp:inline>
        </w:drawing>
      </w:r>
    </w:p>
    <w:p w14:paraId="70BDDB3A" w14:textId="77777777" w:rsidR="0041701F" w:rsidRDefault="0041701F" w:rsidP="0041701F">
      <w:pPr>
        <w:pStyle w:val="TableFigureFooter"/>
      </w:pPr>
      <w:r>
        <w:t>Source: constructed during the evaluation using Figure 11, NIAGARA CSR and “Attachment 3.2 Model_Inputs_Workbook_Jul25.xlsx” provided with the submission.</w:t>
      </w:r>
    </w:p>
    <w:p w14:paraId="3E903C60" w14:textId="77777777" w:rsidR="0041701F" w:rsidRPr="00DF1914" w:rsidRDefault="0041701F" w:rsidP="0041701F">
      <w:pPr>
        <w:pStyle w:val="TableFigureFooter"/>
      </w:pPr>
      <w:r w:rsidRPr="00DF1914">
        <w:t xml:space="preserve">DGC = durvalumab + GC; GC = gemcitabine plus cisplatin; </w:t>
      </w:r>
      <w:r>
        <w:t>GCN = GC arm with the addition of avelumab and nivolumab in eligible patients</w:t>
      </w:r>
      <w:r w:rsidRPr="00DF1914">
        <w:t>.</w:t>
      </w:r>
    </w:p>
    <w:p w14:paraId="3E6915E7" w14:textId="41ABCE7E" w:rsidR="0041701F" w:rsidRPr="00133367" w:rsidRDefault="0041701F" w:rsidP="0041701F">
      <w:pPr>
        <w:pStyle w:val="3-BodyText"/>
      </w:pPr>
      <w:r w:rsidRPr="00DF1914">
        <w:t xml:space="preserve">The submission applied the utility weights from the PBAC consideration of adjuvant nivolumab (pre recurrence: 0.83; </w:t>
      </w:r>
      <w:r w:rsidR="006163F4">
        <w:t>LR</w:t>
      </w:r>
      <w:r w:rsidRPr="00DF1914">
        <w:t xml:space="preserve">: 0.746; </w:t>
      </w:r>
      <w:r w:rsidR="006163F4">
        <w:t>DR</w:t>
      </w:r>
      <w:r w:rsidRPr="00DF1914">
        <w:t xml:space="preserve">: 0.727) arguing that relatively higher utility weights collected from the NIAGARA trial (baseline: 0.93, pre-regression: 0.92; post-regression: 0.89) were likely implausible. </w:t>
      </w:r>
      <w:r w:rsidRPr="00133367">
        <w:t xml:space="preserve">The ICER was not found to be sensitive to the alternate utility estimates for event free, pre-regression and post-regression when tested in a sensitivity analysis. The submission claimed that nivolumab and durvalumab have similar safety profiles and applied similar </w:t>
      </w:r>
      <w:r w:rsidR="00FD1969" w:rsidRPr="00133367">
        <w:t xml:space="preserve">disutility for </w:t>
      </w:r>
      <w:r w:rsidRPr="00133367">
        <w:t>treatment associated</w:t>
      </w:r>
      <w:r w:rsidR="00FD1969" w:rsidRPr="00133367">
        <w:t xml:space="preserve"> AE</w:t>
      </w:r>
      <w:r w:rsidRPr="00133367">
        <w:t xml:space="preserve"> (0.00423). Th</w:t>
      </w:r>
      <w:r w:rsidR="00193FBD">
        <w:t xml:space="preserve">e </w:t>
      </w:r>
      <w:r w:rsidR="00193FBD" w:rsidRPr="00367355">
        <w:rPr>
          <w:iCs/>
        </w:rPr>
        <w:t>evaluation considered that</w:t>
      </w:r>
      <w:r w:rsidR="00193FBD">
        <w:t xml:space="preserve"> th</w:t>
      </w:r>
      <w:r w:rsidRPr="00133367">
        <w:t>is was reasonable.</w:t>
      </w:r>
    </w:p>
    <w:p w14:paraId="607A0F64" w14:textId="342A6481" w:rsidR="0041701F" w:rsidRPr="00133367" w:rsidRDefault="0041701F" w:rsidP="0041701F">
      <w:pPr>
        <w:pStyle w:val="3-BodyText"/>
      </w:pPr>
      <w:r w:rsidRPr="00133367">
        <w:t>The treatment costs were estimated based on the mean number of doses of durvalumab (8.8) and GC (3.8 cycles with durvalumab and 3.6 cycles in the comparator arm) from the NIAGARA trial. No patients remained on durvalumab treatment at the time of the data cut. Therefore, the</w:t>
      </w:r>
      <w:r w:rsidR="00010925">
        <w:t xml:space="preserve"> </w:t>
      </w:r>
      <w:r w:rsidR="00010925" w:rsidRPr="00367355">
        <w:rPr>
          <w:iCs/>
        </w:rPr>
        <w:t>evaluation considered that the</w:t>
      </w:r>
      <w:r w:rsidRPr="00133367">
        <w:t xml:space="preserve"> use of the trial reported mean duration of treatment was reasonable.</w:t>
      </w:r>
    </w:p>
    <w:p w14:paraId="45AD4C50" w14:textId="346D1167" w:rsidR="0041701F" w:rsidRPr="00133367" w:rsidRDefault="0041701F" w:rsidP="0041701F">
      <w:pPr>
        <w:pStyle w:val="3-BodyText"/>
      </w:pPr>
      <w:r w:rsidRPr="00133367">
        <w:t>The model included subsequent use of nivolumab in the high-risk patients post-</w:t>
      </w:r>
      <w:r w:rsidR="001D0230">
        <w:t>RC</w:t>
      </w:r>
      <w:r w:rsidR="001D0230" w:rsidRPr="00133367">
        <w:t xml:space="preserve"> </w:t>
      </w:r>
      <w:r w:rsidRPr="00133367">
        <w:t>in the comparator arm (</w:t>
      </w:r>
      <w:r w:rsidRPr="00793C34">
        <w:t>usage: 27.</w:t>
      </w:r>
      <w:r w:rsidR="00225637" w:rsidRPr="00793C34">
        <w:t>6</w:t>
      </w:r>
      <w:r w:rsidRPr="00793C34">
        <w:t>%).</w:t>
      </w:r>
      <w:r w:rsidRPr="00133367">
        <w:t xml:space="preserve"> The economic model priced nivolumab (480 mg</w:t>
      </w:r>
      <w:r w:rsidR="006B317D">
        <w:t>; published prices</w:t>
      </w:r>
      <w:r w:rsidRPr="00133367">
        <w:t>) at $9,739.06 (private</w:t>
      </w:r>
      <w:r w:rsidR="00FE2308">
        <w:t xml:space="preserve"> hospital</w:t>
      </w:r>
      <w:r w:rsidRPr="00133367">
        <w:t>) and $9,560.79 (public</w:t>
      </w:r>
      <w:r w:rsidR="00FE2308">
        <w:t xml:space="preserve"> hospital</w:t>
      </w:r>
      <w:r w:rsidRPr="00133367">
        <w:t xml:space="preserve">), with patients receiving an average of 8.9 cycles every four weeks as consistent with nivolumab evaluation (Table 17, </w:t>
      </w:r>
      <w:r w:rsidR="00CD1CB5">
        <w:t>n</w:t>
      </w:r>
      <w:r w:rsidRPr="00133367">
        <w:t xml:space="preserve">ivolumab PSD, March 2024). A total treatment cost </w:t>
      </w:r>
      <w:r w:rsidRPr="00133367">
        <w:lastRenderedPageBreak/>
        <w:t xml:space="preserve">of </w:t>
      </w:r>
      <w:r w:rsidRPr="00001378">
        <w:t>$</w:t>
      </w:r>
      <w:r w:rsidR="000F4FEC" w:rsidRPr="000F4FEC">
        <w:rPr>
          <w:highlight w:val="black"/>
        </w:rPr>
        <w:t>@@@@</w:t>
      </w:r>
      <w:r w:rsidRPr="00001378">
        <w:t>per</w:t>
      </w:r>
      <w:r w:rsidRPr="00133367">
        <w:t xml:space="preserve"> patient was estimated after applying a hypothetical </w:t>
      </w:r>
      <w:r w:rsidR="000F4FEC" w:rsidRPr="000F4FEC">
        <w:rPr>
          <w:highlight w:val="black"/>
        </w:rPr>
        <w:t>@@@@</w:t>
      </w:r>
      <w:r w:rsidRPr="00D924D6">
        <w:t xml:space="preserve">% </w:t>
      </w:r>
      <w:r w:rsidR="00475F77">
        <w:t xml:space="preserve">discount </w:t>
      </w:r>
      <w:r w:rsidR="00F816CF">
        <w:t>(</w:t>
      </w:r>
      <w:r w:rsidR="00475F77">
        <w:t xml:space="preserve">to account for the undisclosed </w:t>
      </w:r>
      <w:r w:rsidR="00857239">
        <w:t>special pricing arrangement</w:t>
      </w:r>
      <w:r w:rsidR="00F816CF">
        <w:t>)</w:t>
      </w:r>
      <w:r w:rsidRPr="00133367">
        <w:t>.</w:t>
      </w:r>
    </w:p>
    <w:p w14:paraId="7F8A1E0A" w14:textId="0D8499D0" w:rsidR="0041701F" w:rsidRPr="00133367" w:rsidRDefault="0041701F" w:rsidP="0041701F">
      <w:pPr>
        <w:pStyle w:val="3-BodyText"/>
      </w:pPr>
      <w:r w:rsidRPr="00133367">
        <w:t>A proportion of patients with metastatic recurrence and without prior use of nivolumab were eligible for avelumab in the SoC arm of the model. The base case assumes uptake of 43% (nivolumab PSD, March 2024). The dispensed prices for avelumab (800 mg</w:t>
      </w:r>
      <w:r w:rsidR="00E4470D">
        <w:t>, published prices</w:t>
      </w:r>
      <w:r w:rsidRPr="00133367">
        <w:t xml:space="preserve">) were $5,367.06 in the private sector and $5,249.19 in the public sector. The model used a public/private treatment split and a hypothetical </w:t>
      </w:r>
      <w:r w:rsidR="005D6C81">
        <w:t>discount</w:t>
      </w:r>
      <w:r w:rsidRPr="00133367">
        <w:t xml:space="preserve"> of </w:t>
      </w:r>
      <w:r w:rsidR="000F4FEC" w:rsidRPr="000F4FEC">
        <w:rPr>
          <w:highlight w:val="black"/>
        </w:rPr>
        <w:t>@@@@</w:t>
      </w:r>
      <w:r w:rsidRPr="00133367">
        <w:t xml:space="preserve">% </w:t>
      </w:r>
      <w:r w:rsidR="00891BA9">
        <w:t xml:space="preserve">(to account for the undisclosed special pricing arrangement) </w:t>
      </w:r>
      <w:r w:rsidRPr="00133367">
        <w:t>to estimate the cost per dose of avelumab, $</w:t>
      </w:r>
      <w:r w:rsidR="000F4FEC" w:rsidRPr="000F4FEC">
        <w:rPr>
          <w:highlight w:val="black"/>
        </w:rPr>
        <w:t>@@@@</w:t>
      </w:r>
      <w:r w:rsidRPr="00133367">
        <w:t>. A total treatment cost of $</w:t>
      </w:r>
      <w:r w:rsidR="000F4FEC" w:rsidRPr="000F4FEC">
        <w:rPr>
          <w:highlight w:val="black"/>
        </w:rPr>
        <w:t>@@@@</w:t>
      </w:r>
      <w:r w:rsidRPr="00133367">
        <w:t xml:space="preserve"> per patient was estimated </w:t>
      </w:r>
      <w:r w:rsidR="00226998" w:rsidRPr="00133367">
        <w:t xml:space="preserve">based on a </w:t>
      </w:r>
      <w:r w:rsidRPr="00133367">
        <w:t xml:space="preserve">mean treatment duration of 10 months (over 21.67 cycles). </w:t>
      </w:r>
    </w:p>
    <w:p w14:paraId="70AF69F4" w14:textId="547E0DA5" w:rsidR="0041701F" w:rsidRPr="00133367" w:rsidRDefault="0041701F" w:rsidP="0041701F">
      <w:pPr>
        <w:pStyle w:val="3-BodyText"/>
      </w:pPr>
      <w:r w:rsidRPr="00133367">
        <w:t>Key model drivers are presented in</w:t>
      </w:r>
      <w:r w:rsidR="006E5E16">
        <w:t xml:space="preserve"> </w:t>
      </w:r>
      <w:r w:rsidR="006E5E16">
        <w:fldChar w:fldCharType="begin"/>
      </w:r>
      <w:r w:rsidR="006E5E16">
        <w:instrText xml:space="preserve"> REF _Ref214453592 \h </w:instrText>
      </w:r>
      <w:r w:rsidR="006E5E16">
        <w:fldChar w:fldCharType="separate"/>
      </w:r>
      <w:r w:rsidR="005731FF" w:rsidRPr="006E5E16">
        <w:t xml:space="preserve">Table </w:t>
      </w:r>
      <w:r w:rsidR="005731FF">
        <w:rPr>
          <w:noProof/>
        </w:rPr>
        <w:t>14</w:t>
      </w:r>
      <w:r w:rsidR="006E5E16">
        <w:fldChar w:fldCharType="end"/>
      </w:r>
      <w:r w:rsidRPr="00133367">
        <w:t xml:space="preserve">. </w:t>
      </w:r>
    </w:p>
    <w:p w14:paraId="1480AD74" w14:textId="59F07E09" w:rsidR="0041701F" w:rsidRPr="00DF1914" w:rsidRDefault="006E5E16" w:rsidP="006E5E16">
      <w:pPr>
        <w:pStyle w:val="Caption"/>
        <w:rPr>
          <w:rStyle w:val="CommentReference"/>
          <w:b/>
          <w:szCs w:val="24"/>
        </w:rPr>
      </w:pPr>
      <w:bookmarkStart w:id="95" w:name="_Ref214453592"/>
      <w:r w:rsidRPr="006E5E16">
        <w:t xml:space="preserve">Table </w:t>
      </w:r>
      <w:r w:rsidR="0077772B">
        <w:fldChar w:fldCharType="begin"/>
      </w:r>
      <w:r w:rsidR="0077772B">
        <w:instrText xml:space="preserve"> SEQ Table \* ARABIC </w:instrText>
      </w:r>
      <w:r w:rsidR="0077772B">
        <w:fldChar w:fldCharType="separate"/>
      </w:r>
      <w:r w:rsidR="005731FF">
        <w:rPr>
          <w:noProof/>
        </w:rPr>
        <w:t>14</w:t>
      </w:r>
      <w:r w:rsidR="0077772B">
        <w:rPr>
          <w:noProof/>
        </w:rPr>
        <w:fldChar w:fldCharType="end"/>
      </w:r>
      <w:bookmarkEnd w:id="95"/>
      <w:r w:rsidR="0041701F" w:rsidRPr="006E5E16">
        <w:t>:</w:t>
      </w:r>
      <w:r w:rsidR="0041701F" w:rsidRPr="006E5E16">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127"/>
        <w:gridCol w:w="4680"/>
        <w:gridCol w:w="3210"/>
      </w:tblGrid>
      <w:tr w:rsidR="0041701F" w:rsidRPr="00133367" w14:paraId="28C27FD3" w14:textId="77777777">
        <w:trPr>
          <w:tblHeader/>
        </w:trPr>
        <w:tc>
          <w:tcPr>
            <w:tcW w:w="625" w:type="pct"/>
            <w:vAlign w:val="center"/>
          </w:tcPr>
          <w:p w14:paraId="278AFFB4" w14:textId="77777777" w:rsidR="0041701F" w:rsidRPr="00133367" w:rsidRDefault="0041701F">
            <w:pPr>
              <w:pStyle w:val="In-tableHeading"/>
              <w:rPr>
                <w:lang w:val="en-AU"/>
              </w:rPr>
            </w:pPr>
            <w:r w:rsidRPr="00133367">
              <w:rPr>
                <w:lang w:val="en-AU"/>
              </w:rPr>
              <w:t>Description</w:t>
            </w:r>
          </w:p>
        </w:tc>
        <w:tc>
          <w:tcPr>
            <w:tcW w:w="2595" w:type="pct"/>
            <w:vAlign w:val="center"/>
          </w:tcPr>
          <w:p w14:paraId="1A805796" w14:textId="77777777" w:rsidR="0041701F" w:rsidRPr="00133367" w:rsidRDefault="0041701F">
            <w:pPr>
              <w:pStyle w:val="In-tableHeading"/>
              <w:rPr>
                <w:lang w:val="en-AU"/>
              </w:rPr>
            </w:pPr>
            <w:r w:rsidRPr="00133367">
              <w:rPr>
                <w:lang w:val="en-AU"/>
              </w:rPr>
              <w:t>Method/Value</w:t>
            </w:r>
          </w:p>
        </w:tc>
        <w:tc>
          <w:tcPr>
            <w:tcW w:w="1780" w:type="pct"/>
            <w:vAlign w:val="center"/>
          </w:tcPr>
          <w:p w14:paraId="48ACDC00" w14:textId="77777777" w:rsidR="0041701F" w:rsidRPr="00133367" w:rsidRDefault="0041701F">
            <w:pPr>
              <w:pStyle w:val="In-tableHeading"/>
              <w:rPr>
                <w:lang w:val="en-AU"/>
              </w:rPr>
            </w:pPr>
            <w:r w:rsidRPr="00133367">
              <w:rPr>
                <w:lang w:val="en-AU"/>
              </w:rPr>
              <w:t>Impact</w:t>
            </w:r>
          </w:p>
          <w:p w14:paraId="2A80C2EB" w14:textId="241B6CF9" w:rsidR="0041701F" w:rsidRPr="00133367" w:rsidRDefault="0041701F">
            <w:pPr>
              <w:pStyle w:val="In-tableHeading"/>
              <w:rPr>
                <w:lang w:val="en-AU"/>
              </w:rPr>
            </w:pPr>
            <w:r w:rsidRPr="00133367">
              <w:rPr>
                <w:lang w:val="en-AU"/>
              </w:rPr>
              <w:t>Base case: $</w:t>
            </w:r>
            <w:r w:rsidR="000F4FEC" w:rsidRPr="000F4FEC">
              <w:rPr>
                <w:highlight w:val="black"/>
                <w:lang w:val="en-AU"/>
              </w:rPr>
              <w:t>@@@@</w:t>
            </w:r>
            <w:r w:rsidR="00C72E8C" w:rsidRPr="00C72E8C">
              <w:rPr>
                <w:vertAlign w:val="superscript"/>
                <w:lang w:val="en-AU"/>
              </w:rPr>
              <w:t>1</w:t>
            </w:r>
            <w:r w:rsidRPr="00946978">
              <w:rPr>
                <w:lang w:val="en-AU"/>
              </w:rPr>
              <w:t>/</w:t>
            </w:r>
            <w:r w:rsidRPr="00133367">
              <w:rPr>
                <w:lang w:val="en-AU"/>
              </w:rPr>
              <w:t>QALY gained.</w:t>
            </w:r>
          </w:p>
        </w:tc>
      </w:tr>
      <w:tr w:rsidR="0041701F" w:rsidRPr="00133367" w14:paraId="4FAEC44B" w14:textId="77777777" w:rsidTr="004B6566">
        <w:tc>
          <w:tcPr>
            <w:tcW w:w="625" w:type="pct"/>
          </w:tcPr>
          <w:p w14:paraId="48AE7BF2" w14:textId="77777777" w:rsidR="0041701F" w:rsidRPr="00133367" w:rsidDel="001E7F85" w:rsidRDefault="0041701F" w:rsidP="004B6566">
            <w:pPr>
              <w:pStyle w:val="TableText0"/>
            </w:pPr>
            <w:r w:rsidRPr="00133367">
              <w:t>Time horizon</w:t>
            </w:r>
          </w:p>
        </w:tc>
        <w:tc>
          <w:tcPr>
            <w:tcW w:w="2595" w:type="pct"/>
          </w:tcPr>
          <w:p w14:paraId="6EEE84D5" w14:textId="2CC26F56" w:rsidR="0041701F" w:rsidRPr="00133367" w:rsidDel="001E7F85" w:rsidRDefault="0041701F" w:rsidP="004B6566">
            <w:pPr>
              <w:pStyle w:val="TableText0"/>
            </w:pPr>
            <w:r w:rsidRPr="00133367">
              <w:t xml:space="preserve">20 years in the model base case vs. a median follow-up of 34.7 months in the durvalumab +GC arm and 27.7 months in the GC arm in the key trial (NIAGARA trial). </w:t>
            </w:r>
          </w:p>
        </w:tc>
        <w:tc>
          <w:tcPr>
            <w:tcW w:w="1780" w:type="pct"/>
          </w:tcPr>
          <w:p w14:paraId="4F6ACFB2" w14:textId="18C8FAB1" w:rsidR="0041701F" w:rsidRPr="00133367" w:rsidDel="001E7F85" w:rsidRDefault="0041701F" w:rsidP="004B6566">
            <w:pPr>
              <w:pStyle w:val="TableText0"/>
            </w:pPr>
            <w:r w:rsidRPr="00133367">
              <w:t xml:space="preserve">High, favours </w:t>
            </w:r>
            <w:r w:rsidR="00430804" w:rsidRPr="00133367">
              <w:t>durvalumab</w:t>
            </w:r>
            <w:r w:rsidR="005A5506" w:rsidRPr="00133367">
              <w:t xml:space="preserve"> + GC</w:t>
            </w:r>
            <w:r w:rsidRPr="00133367">
              <w:t>. Use of time horizon of 15 years increased the ICER to $</w:t>
            </w:r>
            <w:r w:rsidR="000F4FEC" w:rsidRPr="000F4FEC">
              <w:rPr>
                <w:highlight w:val="black"/>
              </w:rPr>
              <w:t>@@@@</w:t>
            </w:r>
            <w:r w:rsidR="00946978" w:rsidRPr="00C72E8C">
              <w:rPr>
                <w:vertAlign w:val="superscript"/>
              </w:rPr>
              <w:t>1</w:t>
            </w:r>
            <w:r w:rsidRPr="00133367">
              <w:t>/QALY gained.</w:t>
            </w:r>
          </w:p>
        </w:tc>
      </w:tr>
      <w:tr w:rsidR="0041701F" w:rsidRPr="00133367" w14:paraId="3DB8AD05" w14:textId="77777777" w:rsidTr="004B6566">
        <w:tc>
          <w:tcPr>
            <w:tcW w:w="625" w:type="pct"/>
          </w:tcPr>
          <w:p w14:paraId="7EAD48E9" w14:textId="068B3F9E" w:rsidR="0041701F" w:rsidRPr="00133367" w:rsidRDefault="0041701F" w:rsidP="004B6566">
            <w:pPr>
              <w:pStyle w:val="TableText0"/>
            </w:pPr>
            <w:r w:rsidRPr="00133367">
              <w:t xml:space="preserve">OS </w:t>
            </w:r>
            <w:r w:rsidR="00B84E4C">
              <w:t>projections</w:t>
            </w:r>
          </w:p>
        </w:tc>
        <w:tc>
          <w:tcPr>
            <w:tcW w:w="2595" w:type="pct"/>
          </w:tcPr>
          <w:p w14:paraId="58D3006A" w14:textId="50965F5E" w:rsidR="0041701F" w:rsidRPr="00133367" w:rsidRDefault="002A3ADD" w:rsidP="004B6566">
            <w:pPr>
              <w:pStyle w:val="TableText0"/>
            </w:pPr>
            <w:r w:rsidRPr="00367355">
              <w:t>The modelled OS was not consistent with internal (NIAGARA KM curves) or external benchmarks (Australian BLADDA registry)</w:t>
            </w:r>
            <w:r>
              <w:t xml:space="preserve"> and </w:t>
            </w:r>
            <w:r w:rsidR="00B809CA">
              <w:t>was</w:t>
            </w:r>
            <w:r w:rsidR="00116B46">
              <w:t xml:space="preserve"> </w:t>
            </w:r>
            <w:r>
              <w:t>likely underestimated</w:t>
            </w:r>
            <w:r w:rsidR="0041701F" w:rsidRPr="00133367">
              <w:t xml:space="preserve">. </w:t>
            </w:r>
          </w:p>
        </w:tc>
        <w:tc>
          <w:tcPr>
            <w:tcW w:w="1780" w:type="pct"/>
          </w:tcPr>
          <w:p w14:paraId="31C3C065" w14:textId="29B9E663" w:rsidR="0041701F" w:rsidRPr="00133367" w:rsidRDefault="0041701F" w:rsidP="004B6566">
            <w:pPr>
              <w:pStyle w:val="TableText0"/>
            </w:pPr>
            <w:r w:rsidRPr="00133367">
              <w:t xml:space="preserve">Moderate, favours </w:t>
            </w:r>
            <w:r w:rsidR="00430804" w:rsidRPr="00133367">
              <w:t>durvalumab</w:t>
            </w:r>
            <w:r w:rsidR="005A5506" w:rsidRPr="00133367">
              <w:t xml:space="preserve"> + GC</w:t>
            </w:r>
            <w:r w:rsidRPr="00133367">
              <w:t>. Calibrating modelled OS curves to match observed OS, increased the ICER to $</w:t>
            </w:r>
            <w:r w:rsidR="000F4FEC" w:rsidRPr="000F4FEC">
              <w:rPr>
                <w:highlight w:val="black"/>
              </w:rPr>
              <w:t>@@@@</w:t>
            </w:r>
            <w:r w:rsidR="00946978" w:rsidRPr="00C72E8C">
              <w:rPr>
                <w:vertAlign w:val="superscript"/>
              </w:rPr>
              <w:t>1</w:t>
            </w:r>
            <w:r w:rsidRPr="00133367">
              <w:t xml:space="preserve">/QALY gained </w:t>
            </w:r>
          </w:p>
        </w:tc>
      </w:tr>
      <w:tr w:rsidR="0041701F" w:rsidRPr="00133367" w14:paraId="25849E02" w14:textId="77777777" w:rsidTr="004B6566">
        <w:tc>
          <w:tcPr>
            <w:tcW w:w="625" w:type="pct"/>
          </w:tcPr>
          <w:p w14:paraId="1F8AF1B4" w14:textId="77777777" w:rsidR="0041701F" w:rsidRPr="00133367" w:rsidRDefault="0041701F" w:rsidP="004B6566">
            <w:pPr>
              <w:pStyle w:val="TableText0"/>
            </w:pPr>
            <w:r w:rsidRPr="00133367">
              <w:t>Nivolumab effectiveness</w:t>
            </w:r>
          </w:p>
        </w:tc>
        <w:tc>
          <w:tcPr>
            <w:tcW w:w="2595" w:type="pct"/>
          </w:tcPr>
          <w:p w14:paraId="30674C00" w14:textId="77777777" w:rsidR="0041701F" w:rsidRPr="00133367" w:rsidRDefault="0041701F" w:rsidP="004B6566">
            <w:pPr>
              <w:pStyle w:val="TableText0"/>
            </w:pPr>
            <w:r w:rsidRPr="00133367">
              <w:t>Values for lower (HR: 0.41) and upper confidence limit (HR:0.72) used for effectiveness of adjuvant nivolumab (HR:0.54 applied in the base case).</w:t>
            </w:r>
          </w:p>
        </w:tc>
        <w:tc>
          <w:tcPr>
            <w:tcW w:w="1780" w:type="pct"/>
          </w:tcPr>
          <w:p w14:paraId="05DB6C07" w14:textId="27A80B2C" w:rsidR="0041701F" w:rsidRPr="00133367" w:rsidRDefault="0041701F" w:rsidP="004B6566">
            <w:pPr>
              <w:pStyle w:val="TableText0"/>
            </w:pPr>
            <w:r w:rsidRPr="00133367">
              <w:t>Moderate. Increasing effectiveness of nivolumab (</w:t>
            </w:r>
            <w:r w:rsidR="00BD7553">
              <w:t>HR</w:t>
            </w:r>
            <w:r w:rsidRPr="00133367">
              <w:t>: 0.41) increased the ICER to $</w:t>
            </w:r>
            <w:r w:rsidR="000F4FEC" w:rsidRPr="000F4FEC">
              <w:rPr>
                <w:highlight w:val="black"/>
              </w:rPr>
              <w:t>@@@@</w:t>
            </w:r>
            <w:r w:rsidR="00946978" w:rsidRPr="00C72E8C">
              <w:rPr>
                <w:vertAlign w:val="superscript"/>
              </w:rPr>
              <w:t>1</w:t>
            </w:r>
            <w:r w:rsidRPr="00133367">
              <w:t xml:space="preserve">/QALY gained </w:t>
            </w:r>
          </w:p>
          <w:p w14:paraId="4DCBFBB8" w14:textId="77777777" w:rsidR="0041701F" w:rsidRPr="00133367" w:rsidRDefault="0041701F" w:rsidP="004B6566">
            <w:pPr>
              <w:pStyle w:val="TableText0"/>
            </w:pPr>
          </w:p>
        </w:tc>
      </w:tr>
    </w:tbl>
    <w:p w14:paraId="7FC8B41D" w14:textId="77777777" w:rsidR="0041701F" w:rsidRDefault="0041701F" w:rsidP="0041701F">
      <w:pPr>
        <w:pStyle w:val="TableFigureFooter"/>
      </w:pPr>
      <w:r>
        <w:t>Source: Table ES 12, pp11-12 of the submission.</w:t>
      </w:r>
    </w:p>
    <w:p w14:paraId="51B2B11F" w14:textId="5A3C1A89" w:rsidR="0041701F" w:rsidRDefault="0041701F" w:rsidP="00946978">
      <w:pPr>
        <w:pStyle w:val="TableFigureFooter"/>
        <w:jc w:val="left"/>
        <w:rPr>
          <w:i/>
          <w:iCs/>
        </w:rPr>
      </w:pPr>
      <w:r>
        <w:t>GC = Gemcitabine plus cisplatin; HR = Hazard ratio; ICER = incremental cost-effectiveness ratio; MIUC = Muscle-invasive urothelial carcinoma; OS = Overall survival; PBAC = Pharmaceutical Benefits Advisory Committee; PSD = Public Summary Document; QALY = Quality-adjusted life year; SoC = Standard of care; SPA = Special pricing arrangement</w:t>
      </w:r>
      <w:r w:rsidR="00946978">
        <w:br/>
      </w:r>
      <w:r w:rsidR="00946978">
        <w:rPr>
          <w:i/>
          <w:iCs/>
        </w:rPr>
        <w:t>The redacted values correspond to the following range:</w:t>
      </w:r>
    </w:p>
    <w:p w14:paraId="3B75CDA7" w14:textId="088ADB0B" w:rsidR="00946978" w:rsidRPr="00946978" w:rsidRDefault="00946978" w:rsidP="00946978">
      <w:pPr>
        <w:pStyle w:val="TableFigureFooter"/>
        <w:jc w:val="left"/>
        <w:rPr>
          <w:i/>
          <w:iCs/>
        </w:rPr>
      </w:pPr>
      <w:r>
        <w:rPr>
          <w:i/>
          <w:iCs/>
          <w:vertAlign w:val="superscript"/>
        </w:rPr>
        <w:t>1</w:t>
      </w:r>
      <w:r>
        <w:rPr>
          <w:i/>
          <w:iCs/>
        </w:rPr>
        <w:t xml:space="preserve"> $35,000 to &lt; $45,000</w:t>
      </w:r>
    </w:p>
    <w:p w14:paraId="4F41E460" w14:textId="15AD0A3C" w:rsidR="0041701F" w:rsidRPr="00E23A58" w:rsidRDefault="0041701F" w:rsidP="00E23A58">
      <w:pPr>
        <w:pStyle w:val="3-BodyText"/>
      </w:pPr>
      <w:r w:rsidRPr="0068749D">
        <w:t>The submission provided an economic evaluation in 13 steps, which included OS calibration to the NIAGARA trial through to step 8. The submission incorrectly applied cure in the LR and DR health states within the model</w:t>
      </w:r>
      <w:r w:rsidR="00C41E4C" w:rsidRPr="0068749D">
        <w:t xml:space="preserve"> to the second cycle of recurrence rather than after surviving five years in these health states</w:t>
      </w:r>
      <w:r w:rsidR="00E23A58">
        <w:t xml:space="preserve">. </w:t>
      </w:r>
      <w:r w:rsidRPr="00411A94">
        <w:t xml:space="preserve">The evaluation performed a more concise stepped analysis starting with the trial-based time horizon and progressing to a fully modelled evaluation. The Weibull function was selected for extrapolation and </w:t>
      </w:r>
      <w:r w:rsidR="00C41E4C" w:rsidRPr="00411A94">
        <w:t>t</w:t>
      </w:r>
      <w:r w:rsidR="004700DF" w:rsidRPr="00411A94">
        <w:t xml:space="preserve">he </w:t>
      </w:r>
      <w:r w:rsidRPr="00411A94">
        <w:t xml:space="preserve">assumption of cure in LR and DR was </w:t>
      </w:r>
      <w:r w:rsidR="00E85D3E" w:rsidRPr="00411A94">
        <w:t>removed</w:t>
      </w:r>
      <w:r w:rsidRPr="00411A94">
        <w:t xml:space="preserve"> in the stepped analysis. Step 1 describes a modelled evaluation for a 48-month time horizon matched to trial period. Results for stepped analysis are presented in</w:t>
      </w:r>
      <w:r w:rsidR="00321623">
        <w:t xml:space="preserve"> </w:t>
      </w:r>
      <w:r w:rsidR="00321623">
        <w:fldChar w:fldCharType="begin"/>
      </w:r>
      <w:r w:rsidR="00321623">
        <w:instrText xml:space="preserve"> REF _Ref214451267 \h </w:instrText>
      </w:r>
      <w:r w:rsidR="00321623">
        <w:fldChar w:fldCharType="separate"/>
      </w:r>
      <w:r w:rsidR="005731FF" w:rsidRPr="00DF1914">
        <w:t xml:space="preserve">Table </w:t>
      </w:r>
      <w:r w:rsidR="005731FF">
        <w:rPr>
          <w:noProof/>
        </w:rPr>
        <w:t>15</w:t>
      </w:r>
      <w:r w:rsidR="00321623">
        <w:fldChar w:fldCharType="end"/>
      </w:r>
      <w:r w:rsidRPr="00411A94">
        <w:t>.</w:t>
      </w:r>
    </w:p>
    <w:p w14:paraId="2DE32938" w14:textId="0B017703" w:rsidR="0041701F" w:rsidRPr="00DF1914" w:rsidRDefault="0041701F" w:rsidP="0041701F">
      <w:pPr>
        <w:pStyle w:val="Caption"/>
      </w:pPr>
      <w:bookmarkStart w:id="96" w:name="_Ref214451267"/>
      <w:r w:rsidRPr="00DF1914">
        <w:lastRenderedPageBreak/>
        <w:t xml:space="preserve">Table </w:t>
      </w:r>
      <w:r w:rsidR="0077772B">
        <w:fldChar w:fldCharType="begin"/>
      </w:r>
      <w:r w:rsidR="0077772B">
        <w:instrText xml:space="preserve"> SEQ Table \* ARABIC </w:instrText>
      </w:r>
      <w:r w:rsidR="0077772B">
        <w:fldChar w:fldCharType="separate"/>
      </w:r>
      <w:r w:rsidR="005731FF">
        <w:rPr>
          <w:noProof/>
        </w:rPr>
        <w:t>15</w:t>
      </w:r>
      <w:r w:rsidR="0077772B">
        <w:rPr>
          <w:noProof/>
        </w:rPr>
        <w:fldChar w:fldCharType="end"/>
      </w:r>
      <w:bookmarkEnd w:id="96"/>
      <w:r w:rsidRPr="00DF1914">
        <w:t xml:space="preserve">: </w:t>
      </w:r>
      <w:r w:rsidRPr="00DF1914">
        <w:rPr>
          <w:rStyle w:val="CommentReference"/>
          <w:b/>
          <w:szCs w:val="24"/>
        </w:rPr>
        <w:t xml:space="preserve">Results of the stepped economic evaluation, </w:t>
      </w:r>
      <w:r w:rsidRPr="00DF1914">
        <w:t>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conducted during the evaluation"/>
      </w:tblPr>
      <w:tblGrid>
        <w:gridCol w:w="2757"/>
        <w:gridCol w:w="2341"/>
        <w:gridCol w:w="1986"/>
        <w:gridCol w:w="1933"/>
      </w:tblGrid>
      <w:tr w:rsidR="00EF08D5" w:rsidRPr="0068749D" w14:paraId="1AF45445" w14:textId="77777777">
        <w:trPr>
          <w:tblHeader/>
        </w:trPr>
        <w:tc>
          <w:tcPr>
            <w:tcW w:w="1529" w:type="pct"/>
            <w:vAlign w:val="center"/>
          </w:tcPr>
          <w:p w14:paraId="7F8DE1AD" w14:textId="77777777"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Step and component</w:t>
            </w:r>
          </w:p>
        </w:tc>
        <w:tc>
          <w:tcPr>
            <w:tcW w:w="1298" w:type="pct"/>
            <w:vAlign w:val="center"/>
          </w:tcPr>
          <w:p w14:paraId="0117B49F" w14:textId="77777777" w:rsidR="00EF08D5" w:rsidRPr="0068749D" w:rsidRDefault="00EF08D5" w:rsidP="00523190">
            <w:pPr>
              <w:keepNext/>
              <w:keepLines/>
              <w:jc w:val="center"/>
              <w:rPr>
                <w:rFonts w:ascii="Arial Narrow" w:eastAsiaTheme="majorEastAsia" w:hAnsi="Arial Narrow" w:cs="Times New Roman"/>
                <w:b/>
                <w:sz w:val="20"/>
              </w:rPr>
            </w:pPr>
            <w:r w:rsidRPr="0068749D">
              <w:rPr>
                <w:rFonts w:ascii="Arial Narrow" w:eastAsiaTheme="majorEastAsia" w:hAnsi="Arial Narrow" w:cs="Times New Roman"/>
                <w:b/>
                <w:sz w:val="20"/>
              </w:rPr>
              <w:t>Durva + GC</w:t>
            </w:r>
          </w:p>
        </w:tc>
        <w:tc>
          <w:tcPr>
            <w:tcW w:w="1101" w:type="pct"/>
            <w:vAlign w:val="center"/>
          </w:tcPr>
          <w:p w14:paraId="0578EB3E" w14:textId="77777777" w:rsidR="00EF08D5" w:rsidRPr="0068749D" w:rsidRDefault="00EF08D5" w:rsidP="00523190">
            <w:pPr>
              <w:keepNext/>
              <w:keepLines/>
              <w:jc w:val="center"/>
              <w:rPr>
                <w:rFonts w:ascii="Arial Narrow" w:eastAsiaTheme="majorEastAsia" w:hAnsi="Arial Narrow" w:cs="Times New Roman"/>
                <w:b/>
                <w:sz w:val="20"/>
              </w:rPr>
            </w:pPr>
            <w:r w:rsidRPr="0068749D">
              <w:rPr>
                <w:rFonts w:ascii="Arial Narrow" w:eastAsiaTheme="majorEastAsia" w:hAnsi="Arial Narrow" w:cs="Times New Roman"/>
                <w:b/>
                <w:sz w:val="20"/>
              </w:rPr>
              <w:t>SoC</w:t>
            </w:r>
          </w:p>
        </w:tc>
        <w:tc>
          <w:tcPr>
            <w:tcW w:w="1072" w:type="pct"/>
            <w:vAlign w:val="center"/>
          </w:tcPr>
          <w:p w14:paraId="0AE554D6" w14:textId="3913C189" w:rsidR="00EF08D5" w:rsidRPr="0068749D" w:rsidRDefault="00EF08D5" w:rsidP="00523190">
            <w:pPr>
              <w:keepNext/>
              <w:keepLines/>
              <w:jc w:val="center"/>
              <w:rPr>
                <w:rFonts w:ascii="Arial Narrow" w:eastAsiaTheme="majorEastAsia" w:hAnsi="Arial Narrow" w:cs="Times New Roman"/>
                <w:b/>
                <w:sz w:val="20"/>
              </w:rPr>
            </w:pPr>
            <w:r w:rsidRPr="0068749D">
              <w:rPr>
                <w:rFonts w:ascii="Arial Narrow" w:eastAsiaTheme="majorEastAsia" w:hAnsi="Arial Narrow" w:cs="Times New Roman"/>
                <w:b/>
                <w:sz w:val="20"/>
              </w:rPr>
              <w:t>Increment</w:t>
            </w:r>
            <w:r w:rsidR="006A7B58" w:rsidRPr="006A7B58">
              <w:rPr>
                <w:rFonts w:ascii="Arial Narrow" w:eastAsiaTheme="majorEastAsia" w:hAnsi="Arial Narrow" w:cs="Times New Roman"/>
                <w:b/>
                <w:sz w:val="20"/>
                <w:vertAlign w:val="superscript"/>
              </w:rPr>
              <w:t>a</w:t>
            </w:r>
          </w:p>
        </w:tc>
      </w:tr>
      <w:tr w:rsidR="00EF08D5" w:rsidRPr="0068749D" w14:paraId="15262C1C" w14:textId="77777777">
        <w:tc>
          <w:tcPr>
            <w:tcW w:w="5000" w:type="pct"/>
            <w:gridSpan w:val="4"/>
            <w:vAlign w:val="center"/>
          </w:tcPr>
          <w:p w14:paraId="2A5189F4" w14:textId="77777777" w:rsidR="00EF08D5" w:rsidRPr="0068749D" w:rsidRDefault="00EF08D5">
            <w:pPr>
              <w:keepNext/>
              <w:keepLines/>
              <w:jc w:val="left"/>
              <w:rPr>
                <w:rFonts w:ascii="Arial Narrow" w:eastAsiaTheme="majorEastAsia" w:hAnsi="Arial Narrow" w:cstheme="majorBidi"/>
                <w:b/>
                <w:sz w:val="20"/>
              </w:rPr>
            </w:pPr>
            <w:r w:rsidRPr="0068749D">
              <w:rPr>
                <w:rFonts w:ascii="Arial Narrow" w:eastAsiaTheme="majorEastAsia" w:hAnsi="Arial Narrow" w:cstheme="majorBidi"/>
                <w:b/>
                <w:sz w:val="20"/>
              </w:rPr>
              <w:t>Step 1: Costs and outcomes for study drugs only (trial based 48-month time horizon)</w:t>
            </w:r>
          </w:p>
        </w:tc>
      </w:tr>
      <w:tr w:rsidR="00EF08D5" w:rsidRPr="0068749D" w14:paraId="43347B16" w14:textId="77777777">
        <w:tc>
          <w:tcPr>
            <w:tcW w:w="1529" w:type="pct"/>
            <w:vAlign w:val="center"/>
          </w:tcPr>
          <w:p w14:paraId="7476F92C" w14:textId="559A8330"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r w:rsidR="00B3429F">
              <w:rPr>
                <w:rFonts w:ascii="Arial Narrow" w:eastAsiaTheme="majorEastAsia" w:hAnsi="Arial Narrow" w:cstheme="majorBidi"/>
                <w:bCs/>
                <w:sz w:val="20"/>
              </w:rPr>
              <w:t xml:space="preserve"> </w:t>
            </w:r>
          </w:p>
        </w:tc>
        <w:tc>
          <w:tcPr>
            <w:tcW w:w="1298" w:type="pct"/>
            <w:vAlign w:val="center"/>
          </w:tcPr>
          <w:p w14:paraId="1342065F" w14:textId="37B112C3" w:rsidR="00EF08D5" w:rsidRPr="00B3429F" w:rsidRDefault="00EF08D5">
            <w:pPr>
              <w:keepNext/>
              <w:keepLines/>
              <w:jc w:val="right"/>
              <w:rPr>
                <w:rFonts w:ascii="Times" w:eastAsiaTheme="majorEastAsia" w:hAnsi="Times" w:cstheme="majorBidi"/>
                <w:bCs/>
                <w:sz w:val="20"/>
                <w:highlight w:val="darkGray"/>
              </w:rPr>
            </w:pPr>
            <w:r w:rsidRPr="009367C5">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66FB27E0" w14:textId="77777777" w:rsidR="00EF08D5" w:rsidRPr="000B5C32" w:rsidRDefault="00EF08D5">
            <w:pPr>
              <w:keepNext/>
              <w:keepLines/>
              <w:jc w:val="right"/>
              <w:rPr>
                <w:rFonts w:ascii="Times" w:eastAsiaTheme="majorEastAsia" w:hAnsi="Times" w:cstheme="majorBidi"/>
                <w:bCs/>
                <w:sz w:val="20"/>
              </w:rPr>
            </w:pPr>
            <w:r w:rsidRPr="000B5C32">
              <w:rPr>
                <w:rFonts w:ascii="Arial Narrow" w:eastAsiaTheme="majorEastAsia" w:hAnsi="Arial Narrow" w:cstheme="majorBidi"/>
                <w:bCs/>
                <w:color w:val="000000"/>
                <w:sz w:val="20"/>
                <w:szCs w:val="20"/>
              </w:rPr>
              <w:t>$2,609</w:t>
            </w:r>
          </w:p>
        </w:tc>
        <w:tc>
          <w:tcPr>
            <w:tcW w:w="1072" w:type="pct"/>
            <w:vAlign w:val="center"/>
          </w:tcPr>
          <w:p w14:paraId="4C35B383" w14:textId="19C018A5" w:rsidR="00EF08D5" w:rsidRPr="00B3429F" w:rsidRDefault="00EF08D5">
            <w:pPr>
              <w:keepNext/>
              <w:keepLines/>
              <w:jc w:val="right"/>
              <w:rPr>
                <w:rFonts w:ascii="Arial Narrow" w:eastAsiaTheme="majorEastAsia" w:hAnsi="Arial Narrow" w:cstheme="majorBidi"/>
                <w:bCs/>
                <w:sz w:val="20"/>
                <w:highlight w:val="darkGray"/>
              </w:rPr>
            </w:pPr>
            <w:r w:rsidRPr="009367C5">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r>
      <w:tr w:rsidR="00EF08D5" w:rsidRPr="0068749D" w14:paraId="025FE003" w14:textId="77777777">
        <w:tc>
          <w:tcPr>
            <w:tcW w:w="1529" w:type="pct"/>
            <w:vAlign w:val="center"/>
          </w:tcPr>
          <w:p w14:paraId="4F62D44E"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LYG</w:t>
            </w:r>
          </w:p>
        </w:tc>
        <w:tc>
          <w:tcPr>
            <w:tcW w:w="1298" w:type="pct"/>
            <w:vAlign w:val="center"/>
          </w:tcPr>
          <w:p w14:paraId="1D77A1F5"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2.9651</w:t>
            </w:r>
          </w:p>
        </w:tc>
        <w:tc>
          <w:tcPr>
            <w:tcW w:w="1101" w:type="pct"/>
            <w:vAlign w:val="center"/>
          </w:tcPr>
          <w:p w14:paraId="118D03E1"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2.7646</w:t>
            </w:r>
          </w:p>
        </w:tc>
        <w:tc>
          <w:tcPr>
            <w:tcW w:w="1072" w:type="pct"/>
            <w:vAlign w:val="center"/>
          </w:tcPr>
          <w:p w14:paraId="69DA9A57" w14:textId="77777777" w:rsidR="00EF08D5" w:rsidRPr="0068749D" w:rsidRDefault="00EF08D5" w:rsidP="00946978">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0.2005</w:t>
            </w:r>
          </w:p>
        </w:tc>
      </w:tr>
      <w:tr w:rsidR="00EF08D5" w:rsidRPr="0068749D" w14:paraId="56CBBA6B" w14:textId="77777777">
        <w:tc>
          <w:tcPr>
            <w:tcW w:w="3928" w:type="pct"/>
            <w:gridSpan w:val="3"/>
            <w:vAlign w:val="center"/>
          </w:tcPr>
          <w:p w14:paraId="332195DA" w14:textId="27EA1F29"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LYG gained</w:t>
            </w:r>
          </w:p>
        </w:tc>
        <w:tc>
          <w:tcPr>
            <w:tcW w:w="1072" w:type="pct"/>
            <w:vAlign w:val="center"/>
          </w:tcPr>
          <w:p w14:paraId="2A7E9FF8" w14:textId="79EC6ED4" w:rsidR="00EF08D5" w:rsidRPr="002000E4" w:rsidRDefault="00EF08D5">
            <w:pPr>
              <w:keepNext/>
              <w:keepLines/>
              <w:jc w:val="right"/>
              <w:rPr>
                <w:rFonts w:ascii="Arial Narrow" w:eastAsiaTheme="majorEastAsia" w:hAnsi="Arial Narrow" w:cstheme="majorBidi"/>
                <w:bCs/>
                <w:sz w:val="20"/>
                <w:vertAlign w:val="superscript"/>
              </w:rPr>
            </w:pPr>
            <w:r w:rsidRPr="009367C5">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2000E4">
              <w:rPr>
                <w:rFonts w:ascii="Arial Narrow" w:eastAsiaTheme="majorEastAsia" w:hAnsi="Arial Narrow" w:cstheme="majorBidi"/>
                <w:bCs/>
                <w:sz w:val="20"/>
                <w:vertAlign w:val="superscript"/>
              </w:rPr>
              <w:t>1</w:t>
            </w:r>
          </w:p>
        </w:tc>
      </w:tr>
      <w:tr w:rsidR="00EF08D5" w:rsidRPr="0068749D" w14:paraId="15141DCA" w14:textId="77777777">
        <w:tc>
          <w:tcPr>
            <w:tcW w:w="5000" w:type="pct"/>
            <w:gridSpan w:val="4"/>
            <w:vAlign w:val="center"/>
          </w:tcPr>
          <w:p w14:paraId="60BB8618" w14:textId="1A0511DF"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 xml:space="preserve">Step 2: Include cost of </w:t>
            </w:r>
            <w:r w:rsidR="00847091">
              <w:rPr>
                <w:rFonts w:ascii="Arial Narrow" w:eastAsiaTheme="majorEastAsia" w:hAnsi="Arial Narrow" w:cs="Times New Roman"/>
                <w:b/>
                <w:sz w:val="20"/>
              </w:rPr>
              <w:t>RC</w:t>
            </w:r>
            <w:r w:rsidRPr="0068749D">
              <w:rPr>
                <w:rFonts w:ascii="Arial Narrow" w:eastAsiaTheme="majorEastAsia" w:hAnsi="Arial Narrow" w:cs="Times New Roman"/>
                <w:b/>
                <w:sz w:val="20"/>
              </w:rPr>
              <w:t>, adverse events and disease monitoring</w:t>
            </w:r>
          </w:p>
        </w:tc>
      </w:tr>
      <w:tr w:rsidR="00EF08D5" w:rsidRPr="0068749D" w14:paraId="225171DB" w14:textId="77777777">
        <w:tc>
          <w:tcPr>
            <w:tcW w:w="1529" w:type="pct"/>
            <w:vAlign w:val="center"/>
          </w:tcPr>
          <w:p w14:paraId="3FC78468" w14:textId="06A7ECBE"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r w:rsidR="002000E4">
              <w:rPr>
                <w:rFonts w:ascii="Arial Narrow" w:eastAsiaTheme="majorEastAsia" w:hAnsi="Arial Narrow" w:cstheme="majorBidi"/>
                <w:bCs/>
                <w:sz w:val="20"/>
              </w:rPr>
              <w:t xml:space="preserve"> </w:t>
            </w:r>
          </w:p>
        </w:tc>
        <w:tc>
          <w:tcPr>
            <w:tcW w:w="1298" w:type="pct"/>
            <w:vAlign w:val="center"/>
          </w:tcPr>
          <w:p w14:paraId="642F6232" w14:textId="7A3E1BC7" w:rsidR="00EF08D5" w:rsidRPr="002000E4" w:rsidRDefault="00EF08D5">
            <w:pPr>
              <w:keepNext/>
              <w:keepLines/>
              <w:jc w:val="right"/>
              <w:rPr>
                <w:rFonts w:ascii="Times" w:eastAsiaTheme="majorEastAsia" w:hAnsi="Times" w:cstheme="majorBidi"/>
                <w:bCs/>
                <w:sz w:val="20"/>
                <w:highlight w:val="darkGray"/>
              </w:rPr>
            </w:pPr>
            <w:r w:rsidRPr="009367C5">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08D6FEE5" w14:textId="77777777" w:rsidR="00EF08D5" w:rsidRPr="002000E4" w:rsidRDefault="00EF08D5">
            <w:pPr>
              <w:keepNext/>
              <w:keepLines/>
              <w:jc w:val="right"/>
              <w:rPr>
                <w:rFonts w:ascii="Times" w:eastAsiaTheme="majorEastAsia" w:hAnsi="Times" w:cstheme="majorBidi"/>
                <w:bCs/>
                <w:sz w:val="20"/>
                <w:highlight w:val="darkGray"/>
              </w:rPr>
            </w:pPr>
            <w:r w:rsidRPr="000B5C32">
              <w:rPr>
                <w:rFonts w:ascii="Arial Narrow" w:eastAsiaTheme="majorEastAsia" w:hAnsi="Arial Narrow" w:cstheme="majorBidi"/>
                <w:bCs/>
                <w:color w:val="000000"/>
                <w:sz w:val="20"/>
                <w:szCs w:val="20"/>
              </w:rPr>
              <w:t>$24,266</w:t>
            </w:r>
          </w:p>
        </w:tc>
        <w:tc>
          <w:tcPr>
            <w:tcW w:w="1072" w:type="pct"/>
          </w:tcPr>
          <w:p w14:paraId="3AFD4BCB" w14:textId="4B507C21" w:rsidR="00EF08D5" w:rsidRPr="002000E4" w:rsidRDefault="00EF08D5">
            <w:pPr>
              <w:keepNext/>
              <w:keepLines/>
              <w:jc w:val="right"/>
              <w:rPr>
                <w:rFonts w:ascii="Arial Narrow" w:eastAsiaTheme="majorEastAsia" w:hAnsi="Arial Narrow" w:cstheme="majorBidi"/>
                <w:bCs/>
                <w:sz w:val="20"/>
                <w:highlight w:val="darkGray"/>
              </w:rPr>
            </w:pPr>
            <w:r w:rsidRPr="009367C5">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p>
        </w:tc>
      </w:tr>
      <w:tr w:rsidR="00EF08D5" w:rsidRPr="0068749D" w14:paraId="00488544" w14:textId="77777777">
        <w:tc>
          <w:tcPr>
            <w:tcW w:w="1529" w:type="pct"/>
            <w:vAlign w:val="center"/>
          </w:tcPr>
          <w:p w14:paraId="2989A07F"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LYG</w:t>
            </w:r>
          </w:p>
        </w:tc>
        <w:tc>
          <w:tcPr>
            <w:tcW w:w="1298" w:type="pct"/>
            <w:vAlign w:val="center"/>
          </w:tcPr>
          <w:p w14:paraId="1FDEFBFC"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2.9651</w:t>
            </w:r>
          </w:p>
        </w:tc>
        <w:tc>
          <w:tcPr>
            <w:tcW w:w="1101" w:type="pct"/>
            <w:vAlign w:val="center"/>
          </w:tcPr>
          <w:p w14:paraId="4875AFD7"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2.7646</w:t>
            </w:r>
          </w:p>
        </w:tc>
        <w:tc>
          <w:tcPr>
            <w:tcW w:w="1072" w:type="pct"/>
          </w:tcPr>
          <w:p w14:paraId="65E794E8" w14:textId="77777777" w:rsidR="00EF08D5" w:rsidRPr="0068749D" w:rsidRDefault="00EF08D5" w:rsidP="00946978">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sz w:val="20"/>
              </w:rPr>
              <w:t>0.2005</w:t>
            </w:r>
          </w:p>
        </w:tc>
      </w:tr>
      <w:tr w:rsidR="00EF08D5" w:rsidRPr="0068749D" w14:paraId="429B5BB1" w14:textId="77777777">
        <w:tc>
          <w:tcPr>
            <w:tcW w:w="3928" w:type="pct"/>
            <w:gridSpan w:val="3"/>
            <w:vAlign w:val="center"/>
          </w:tcPr>
          <w:p w14:paraId="792D3447" w14:textId="45BE34D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LYG gained</w:t>
            </w:r>
          </w:p>
        </w:tc>
        <w:tc>
          <w:tcPr>
            <w:tcW w:w="1072" w:type="pct"/>
            <w:vAlign w:val="center"/>
          </w:tcPr>
          <w:p w14:paraId="563B78EF" w14:textId="2720CA94" w:rsidR="00EF08D5" w:rsidRPr="0068749D" w:rsidRDefault="00EF08D5">
            <w:pPr>
              <w:keepNext/>
              <w:keepLines/>
              <w:jc w:val="right"/>
              <w:rPr>
                <w:rFonts w:ascii="Arial Narrow" w:eastAsiaTheme="majorEastAsia" w:hAnsi="Arial Narrow" w:cstheme="majorBidi"/>
                <w:bCs/>
                <w:sz w:val="20"/>
              </w:rPr>
            </w:pPr>
            <w:r w:rsidRPr="009367C5">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9A6CCB">
              <w:rPr>
                <w:rFonts w:ascii="Arial Narrow" w:eastAsiaTheme="majorEastAsia" w:hAnsi="Arial Narrow" w:cstheme="majorBidi"/>
                <w:bCs/>
                <w:sz w:val="20"/>
                <w:vertAlign w:val="superscript"/>
              </w:rPr>
              <w:t>1</w:t>
            </w:r>
          </w:p>
        </w:tc>
      </w:tr>
      <w:tr w:rsidR="00EF08D5" w:rsidRPr="0068749D" w14:paraId="30A78DD5" w14:textId="77777777">
        <w:tc>
          <w:tcPr>
            <w:tcW w:w="5000" w:type="pct"/>
            <w:gridSpan w:val="4"/>
            <w:vAlign w:val="center"/>
          </w:tcPr>
          <w:p w14:paraId="5D195A3C" w14:textId="1D786821"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Step 3: Include adjuvant nivolumab outcomes and costs</w:t>
            </w:r>
          </w:p>
        </w:tc>
      </w:tr>
      <w:tr w:rsidR="00EF08D5" w:rsidRPr="0068749D" w14:paraId="37B2B7BE" w14:textId="77777777">
        <w:tc>
          <w:tcPr>
            <w:tcW w:w="1529" w:type="pct"/>
            <w:vAlign w:val="center"/>
          </w:tcPr>
          <w:p w14:paraId="26F8FCA5"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39011EBB" w14:textId="487E4DE5" w:rsidR="00EF08D5" w:rsidRPr="0068749D" w:rsidRDefault="00EF08D5">
            <w:pPr>
              <w:keepNext/>
              <w:keepLines/>
              <w:jc w:val="right"/>
              <w:rPr>
                <w:rFonts w:ascii="Arial Narrow" w:eastAsiaTheme="majorEastAsia" w:hAnsi="Arial Narrow" w:cstheme="majorBidi"/>
                <w:bCs/>
                <w:color w:val="000000"/>
                <w:sz w:val="20"/>
                <w:szCs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7B04CF23" w14:textId="77777777" w:rsidR="00EF08D5" w:rsidRPr="0068749D" w:rsidRDefault="00EF08D5">
            <w:pPr>
              <w:keepNext/>
              <w:keepLines/>
              <w:jc w:val="right"/>
              <w:rPr>
                <w:rFonts w:ascii="Arial Narrow" w:eastAsiaTheme="majorEastAsia" w:hAnsi="Arial Narrow" w:cstheme="majorBidi"/>
                <w:bCs/>
                <w:color w:val="000000"/>
                <w:sz w:val="20"/>
                <w:szCs w:val="20"/>
              </w:rPr>
            </w:pPr>
            <w:r w:rsidRPr="0068749D">
              <w:rPr>
                <w:rFonts w:ascii="Arial Narrow" w:eastAsiaTheme="majorEastAsia" w:hAnsi="Arial Narrow" w:cstheme="majorBidi"/>
                <w:bCs/>
                <w:color w:val="000000"/>
                <w:sz w:val="20"/>
                <w:szCs w:val="20"/>
              </w:rPr>
              <w:t>$36,562</w:t>
            </w:r>
          </w:p>
        </w:tc>
        <w:tc>
          <w:tcPr>
            <w:tcW w:w="1072" w:type="pct"/>
            <w:vAlign w:val="center"/>
          </w:tcPr>
          <w:p w14:paraId="028B5E71" w14:textId="1631D421" w:rsidR="00EF08D5" w:rsidRPr="0068749D" w:rsidRDefault="00EF08D5">
            <w:pPr>
              <w:keepNext/>
              <w:keepLines/>
              <w:jc w:val="right"/>
              <w:rPr>
                <w:rFonts w:ascii="Arial Narrow" w:eastAsiaTheme="majorEastAsia" w:hAnsi="Arial Narrow" w:cstheme="majorBidi"/>
                <w:bCs/>
                <w:color w:val="000000"/>
                <w:sz w:val="20"/>
                <w:szCs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r>
      <w:tr w:rsidR="00EF08D5" w:rsidRPr="0068749D" w14:paraId="66EE6131" w14:textId="77777777">
        <w:tc>
          <w:tcPr>
            <w:tcW w:w="1529" w:type="pct"/>
            <w:vAlign w:val="center"/>
          </w:tcPr>
          <w:p w14:paraId="5E3FD1AF"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LYG</w:t>
            </w:r>
          </w:p>
        </w:tc>
        <w:tc>
          <w:tcPr>
            <w:tcW w:w="1298" w:type="pct"/>
            <w:vAlign w:val="center"/>
          </w:tcPr>
          <w:p w14:paraId="515C195D" w14:textId="77777777" w:rsidR="00EF08D5" w:rsidRPr="0068749D" w:rsidRDefault="00EF08D5" w:rsidP="00946978">
            <w:pPr>
              <w:keepNext/>
              <w:keepLines/>
              <w:jc w:val="right"/>
              <w:rPr>
                <w:rFonts w:ascii="Arial Narrow" w:eastAsiaTheme="majorEastAsia" w:hAnsi="Arial Narrow" w:cstheme="majorBidi"/>
                <w:bCs/>
                <w:color w:val="000000"/>
                <w:sz w:val="20"/>
                <w:szCs w:val="20"/>
              </w:rPr>
            </w:pPr>
            <w:r w:rsidRPr="0068749D">
              <w:rPr>
                <w:rFonts w:ascii="Arial Narrow" w:eastAsiaTheme="majorEastAsia" w:hAnsi="Arial Narrow" w:cstheme="majorBidi"/>
                <w:bCs/>
                <w:color w:val="000000"/>
                <w:sz w:val="20"/>
                <w:szCs w:val="20"/>
              </w:rPr>
              <w:t>2.9651</w:t>
            </w:r>
          </w:p>
        </w:tc>
        <w:tc>
          <w:tcPr>
            <w:tcW w:w="1101" w:type="pct"/>
            <w:vAlign w:val="center"/>
          </w:tcPr>
          <w:p w14:paraId="5545E91D" w14:textId="77777777" w:rsidR="00EF08D5" w:rsidRPr="0068749D" w:rsidRDefault="00EF08D5" w:rsidP="00946978">
            <w:pPr>
              <w:keepNext/>
              <w:keepLines/>
              <w:jc w:val="right"/>
              <w:rPr>
                <w:rFonts w:ascii="Arial Narrow" w:eastAsiaTheme="majorEastAsia" w:hAnsi="Arial Narrow" w:cstheme="majorBidi"/>
                <w:bCs/>
                <w:color w:val="000000"/>
                <w:sz w:val="20"/>
                <w:szCs w:val="20"/>
              </w:rPr>
            </w:pPr>
            <w:r w:rsidRPr="0068749D">
              <w:rPr>
                <w:rFonts w:ascii="Arial Narrow" w:eastAsiaTheme="majorEastAsia" w:hAnsi="Arial Narrow" w:cstheme="majorBidi"/>
                <w:bCs/>
                <w:color w:val="000000"/>
                <w:sz w:val="20"/>
                <w:szCs w:val="20"/>
              </w:rPr>
              <w:t>2.8437</w:t>
            </w:r>
          </w:p>
        </w:tc>
        <w:tc>
          <w:tcPr>
            <w:tcW w:w="1072" w:type="pct"/>
            <w:vAlign w:val="center"/>
          </w:tcPr>
          <w:p w14:paraId="760CDFB0" w14:textId="77777777" w:rsidR="00EF08D5" w:rsidRPr="0068749D" w:rsidRDefault="00EF08D5" w:rsidP="00946978">
            <w:pPr>
              <w:keepNext/>
              <w:keepLines/>
              <w:jc w:val="right"/>
              <w:rPr>
                <w:rFonts w:ascii="Arial Narrow" w:eastAsiaTheme="majorEastAsia" w:hAnsi="Arial Narrow" w:cstheme="majorBidi"/>
                <w:bCs/>
                <w:color w:val="000000"/>
                <w:sz w:val="20"/>
                <w:szCs w:val="20"/>
              </w:rPr>
            </w:pPr>
            <w:r w:rsidRPr="0068749D">
              <w:rPr>
                <w:rFonts w:ascii="Arial Narrow" w:eastAsiaTheme="majorEastAsia" w:hAnsi="Arial Narrow" w:cstheme="majorBidi"/>
                <w:bCs/>
                <w:color w:val="000000"/>
                <w:sz w:val="20"/>
                <w:szCs w:val="20"/>
              </w:rPr>
              <w:t>0.1214</w:t>
            </w:r>
          </w:p>
        </w:tc>
      </w:tr>
      <w:tr w:rsidR="00EF08D5" w:rsidRPr="0068749D" w14:paraId="157B8FED" w14:textId="77777777">
        <w:tc>
          <w:tcPr>
            <w:tcW w:w="3928" w:type="pct"/>
            <w:gridSpan w:val="3"/>
            <w:vAlign w:val="center"/>
          </w:tcPr>
          <w:p w14:paraId="62137130"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LYG gained</w:t>
            </w:r>
          </w:p>
        </w:tc>
        <w:tc>
          <w:tcPr>
            <w:tcW w:w="1072" w:type="pct"/>
            <w:vAlign w:val="center"/>
          </w:tcPr>
          <w:p w14:paraId="1EEA16DB" w14:textId="70E87491"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9367C5">
              <w:rPr>
                <w:rFonts w:ascii="Arial Narrow" w:eastAsiaTheme="majorEastAsia" w:hAnsi="Arial Narrow" w:cstheme="majorBidi"/>
                <w:bCs/>
                <w:sz w:val="20"/>
                <w:vertAlign w:val="superscript"/>
              </w:rPr>
              <w:t>2</w:t>
            </w:r>
          </w:p>
        </w:tc>
      </w:tr>
      <w:tr w:rsidR="00EF08D5" w:rsidRPr="0068749D" w14:paraId="6B923922" w14:textId="77777777">
        <w:tc>
          <w:tcPr>
            <w:tcW w:w="5000" w:type="pct"/>
            <w:gridSpan w:val="4"/>
            <w:vAlign w:val="center"/>
          </w:tcPr>
          <w:p w14:paraId="404D2BB3" w14:textId="77777777"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Step 4: Include LR and DR downstream treatment costs including avelumab use for DR</w:t>
            </w:r>
          </w:p>
        </w:tc>
      </w:tr>
      <w:tr w:rsidR="00EF08D5" w:rsidRPr="0068749D" w14:paraId="1E89E2FF" w14:textId="77777777">
        <w:tc>
          <w:tcPr>
            <w:tcW w:w="1529" w:type="pct"/>
            <w:vAlign w:val="center"/>
          </w:tcPr>
          <w:p w14:paraId="63A6B5A6"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0D939B84" w14:textId="69E0857D"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72C1D43E" w14:textId="77777777"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$44,925</w:t>
            </w:r>
          </w:p>
        </w:tc>
        <w:tc>
          <w:tcPr>
            <w:tcW w:w="1072" w:type="pct"/>
            <w:vAlign w:val="center"/>
          </w:tcPr>
          <w:p w14:paraId="10F83EB2" w14:textId="44FE8D39"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r>
      <w:tr w:rsidR="00EF08D5" w:rsidRPr="0068749D" w14:paraId="17BF3A15" w14:textId="77777777">
        <w:tc>
          <w:tcPr>
            <w:tcW w:w="1529" w:type="pct"/>
            <w:vAlign w:val="center"/>
          </w:tcPr>
          <w:p w14:paraId="2AD60A2F"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LYG</w:t>
            </w:r>
          </w:p>
        </w:tc>
        <w:tc>
          <w:tcPr>
            <w:tcW w:w="1298" w:type="pct"/>
            <w:vAlign w:val="center"/>
          </w:tcPr>
          <w:p w14:paraId="705173BB"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2.9651</w:t>
            </w:r>
          </w:p>
        </w:tc>
        <w:tc>
          <w:tcPr>
            <w:tcW w:w="1101" w:type="pct"/>
            <w:vAlign w:val="center"/>
          </w:tcPr>
          <w:p w14:paraId="7FD1B1C9"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2.8786</w:t>
            </w:r>
          </w:p>
        </w:tc>
        <w:tc>
          <w:tcPr>
            <w:tcW w:w="1072" w:type="pct"/>
            <w:vAlign w:val="center"/>
          </w:tcPr>
          <w:p w14:paraId="2A9E58BE" w14:textId="77777777" w:rsidR="00EF08D5" w:rsidRPr="0068749D" w:rsidRDefault="00EF08D5" w:rsidP="00946978">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0.0865</w:t>
            </w:r>
          </w:p>
        </w:tc>
      </w:tr>
      <w:tr w:rsidR="00EF08D5" w:rsidRPr="0068749D" w14:paraId="6CC72C7F" w14:textId="77777777">
        <w:tc>
          <w:tcPr>
            <w:tcW w:w="3928" w:type="pct"/>
            <w:gridSpan w:val="3"/>
            <w:vAlign w:val="center"/>
          </w:tcPr>
          <w:p w14:paraId="1E23EEEE"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LYG gained</w:t>
            </w:r>
          </w:p>
        </w:tc>
        <w:tc>
          <w:tcPr>
            <w:tcW w:w="1072" w:type="pct"/>
            <w:vAlign w:val="center"/>
          </w:tcPr>
          <w:p w14:paraId="6391D5E2" w14:textId="6B503A0E"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9367C5">
              <w:rPr>
                <w:rFonts w:ascii="Arial Narrow" w:eastAsiaTheme="majorEastAsia" w:hAnsi="Arial Narrow" w:cstheme="majorBidi"/>
                <w:bCs/>
                <w:sz w:val="20"/>
                <w:vertAlign w:val="superscript"/>
              </w:rPr>
              <w:t>2</w:t>
            </w:r>
          </w:p>
        </w:tc>
      </w:tr>
      <w:tr w:rsidR="00EF08D5" w:rsidRPr="0068749D" w14:paraId="7A2A04A2" w14:textId="77777777">
        <w:tc>
          <w:tcPr>
            <w:tcW w:w="5000" w:type="pct"/>
            <w:gridSpan w:val="4"/>
            <w:vAlign w:val="center"/>
          </w:tcPr>
          <w:p w14:paraId="3002E578" w14:textId="77777777"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Step 5: Time horizon extended to 20 years (using better fitting Weibull function)</w:t>
            </w:r>
          </w:p>
        </w:tc>
      </w:tr>
      <w:tr w:rsidR="00EF08D5" w:rsidRPr="0068749D" w14:paraId="1E71C86B" w14:textId="77777777">
        <w:tc>
          <w:tcPr>
            <w:tcW w:w="1529" w:type="pct"/>
            <w:vAlign w:val="center"/>
          </w:tcPr>
          <w:p w14:paraId="3900A51A"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68CA9FCC" w14:textId="6EA9982E"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40614EA5" w14:textId="77777777"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$58,141</w:t>
            </w:r>
          </w:p>
        </w:tc>
        <w:tc>
          <w:tcPr>
            <w:tcW w:w="1072" w:type="pct"/>
            <w:vAlign w:val="center"/>
          </w:tcPr>
          <w:p w14:paraId="7012DB3E" w14:textId="652F13ED"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r>
      <w:tr w:rsidR="00EF08D5" w:rsidRPr="0068749D" w14:paraId="0ACCBED1" w14:textId="77777777">
        <w:tc>
          <w:tcPr>
            <w:tcW w:w="1529" w:type="pct"/>
            <w:vAlign w:val="center"/>
          </w:tcPr>
          <w:p w14:paraId="0E22841F"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LYG</w:t>
            </w:r>
          </w:p>
        </w:tc>
        <w:tc>
          <w:tcPr>
            <w:tcW w:w="1298" w:type="pct"/>
            <w:vAlign w:val="center"/>
          </w:tcPr>
          <w:p w14:paraId="5D33452B"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6.8105</w:t>
            </w:r>
          </w:p>
        </w:tc>
        <w:tc>
          <w:tcPr>
            <w:tcW w:w="1101" w:type="pct"/>
            <w:vAlign w:val="center"/>
          </w:tcPr>
          <w:p w14:paraId="12F16D66"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5.8622</w:t>
            </w:r>
          </w:p>
        </w:tc>
        <w:tc>
          <w:tcPr>
            <w:tcW w:w="1072" w:type="pct"/>
            <w:vAlign w:val="center"/>
          </w:tcPr>
          <w:p w14:paraId="52FE8F50" w14:textId="77777777" w:rsidR="00EF08D5" w:rsidRPr="0068749D" w:rsidRDefault="00EF08D5" w:rsidP="00946978">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0.9484</w:t>
            </w:r>
          </w:p>
        </w:tc>
      </w:tr>
      <w:tr w:rsidR="00EF08D5" w:rsidRPr="0068749D" w14:paraId="5F30472D" w14:textId="77777777">
        <w:tc>
          <w:tcPr>
            <w:tcW w:w="3928" w:type="pct"/>
            <w:gridSpan w:val="3"/>
            <w:vAlign w:val="center"/>
          </w:tcPr>
          <w:p w14:paraId="6BC107BA"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LYG gained</w:t>
            </w:r>
          </w:p>
        </w:tc>
        <w:tc>
          <w:tcPr>
            <w:tcW w:w="1072" w:type="pct"/>
            <w:vAlign w:val="center"/>
          </w:tcPr>
          <w:p w14:paraId="6752666D" w14:textId="0C3F5DD3"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9367C5">
              <w:rPr>
                <w:rFonts w:ascii="Arial Narrow" w:eastAsiaTheme="majorEastAsia" w:hAnsi="Arial Narrow" w:cstheme="majorBidi"/>
                <w:bCs/>
                <w:sz w:val="20"/>
                <w:vertAlign w:val="superscript"/>
              </w:rPr>
              <w:t>3</w:t>
            </w:r>
          </w:p>
        </w:tc>
      </w:tr>
      <w:tr w:rsidR="00EF08D5" w:rsidRPr="0068749D" w14:paraId="36623F99" w14:textId="77777777">
        <w:tc>
          <w:tcPr>
            <w:tcW w:w="5000" w:type="pct"/>
            <w:gridSpan w:val="4"/>
            <w:vAlign w:val="center"/>
          </w:tcPr>
          <w:p w14:paraId="5A27728C" w14:textId="77777777"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Step 6: Allow cure in all event free after 5 years</w:t>
            </w:r>
          </w:p>
        </w:tc>
      </w:tr>
      <w:tr w:rsidR="00EF08D5" w:rsidRPr="0068749D" w14:paraId="4017187E" w14:textId="77777777">
        <w:tc>
          <w:tcPr>
            <w:tcW w:w="1529" w:type="pct"/>
            <w:vAlign w:val="center"/>
          </w:tcPr>
          <w:p w14:paraId="722EA925"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031BE51C" w14:textId="57F144F3"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60310F9A" w14:textId="77777777"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$48,202</w:t>
            </w:r>
          </w:p>
        </w:tc>
        <w:tc>
          <w:tcPr>
            <w:tcW w:w="1072" w:type="pct"/>
            <w:vAlign w:val="center"/>
          </w:tcPr>
          <w:p w14:paraId="55307C22" w14:textId="3726C0BD"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r>
      <w:tr w:rsidR="00EF08D5" w:rsidRPr="00367355" w14:paraId="0FD7E067" w14:textId="77777777">
        <w:tc>
          <w:tcPr>
            <w:tcW w:w="1529" w:type="pct"/>
            <w:vAlign w:val="center"/>
          </w:tcPr>
          <w:p w14:paraId="51136214" w14:textId="77777777" w:rsidR="00EF08D5" w:rsidRPr="00367355" w:rsidRDefault="00EF08D5">
            <w:pPr>
              <w:keepNext/>
              <w:keepLines/>
              <w:jc w:val="left"/>
              <w:rPr>
                <w:rFonts w:ascii="Times" w:eastAsiaTheme="majorEastAsia" w:hAnsi="Times" w:cstheme="majorBidi"/>
                <w:bCs/>
                <w:sz w:val="20"/>
              </w:rPr>
            </w:pPr>
            <w:r w:rsidRPr="00367355">
              <w:rPr>
                <w:rFonts w:ascii="Arial Narrow" w:eastAsiaTheme="majorEastAsia" w:hAnsi="Arial Narrow" w:cstheme="majorBidi"/>
                <w:bCs/>
                <w:sz w:val="20"/>
              </w:rPr>
              <w:t>LYG</w:t>
            </w:r>
          </w:p>
        </w:tc>
        <w:tc>
          <w:tcPr>
            <w:tcW w:w="1298" w:type="pct"/>
            <w:vAlign w:val="center"/>
          </w:tcPr>
          <w:p w14:paraId="6FA67DF7" w14:textId="05C0FE8A" w:rsidR="00EF08D5" w:rsidRPr="00367355" w:rsidRDefault="0004320B" w:rsidP="00946978">
            <w:pPr>
              <w:keepNext/>
              <w:keepLines/>
              <w:jc w:val="right"/>
              <w:rPr>
                <w:rFonts w:ascii="Arial Narrow" w:eastAsiaTheme="majorEastAsia" w:hAnsi="Arial Narrow" w:cstheme="majorBidi"/>
                <w:bCs/>
                <w:iCs/>
                <w:color w:val="000000"/>
                <w:sz w:val="20"/>
                <w:szCs w:val="20"/>
              </w:rPr>
            </w:pPr>
            <w:r w:rsidRPr="00367355">
              <w:rPr>
                <w:rFonts w:ascii="Arial Narrow" w:eastAsiaTheme="majorEastAsia" w:hAnsi="Arial Narrow" w:cstheme="majorBidi"/>
                <w:bCs/>
                <w:iCs/>
                <w:color w:val="000000"/>
                <w:sz w:val="20"/>
                <w:szCs w:val="20"/>
              </w:rPr>
              <w:t>7.3</w:t>
            </w:r>
            <w:r w:rsidR="00613A13" w:rsidRPr="00367355">
              <w:rPr>
                <w:rFonts w:ascii="Arial Narrow" w:eastAsiaTheme="majorEastAsia" w:hAnsi="Arial Narrow" w:cstheme="majorBidi"/>
                <w:bCs/>
                <w:iCs/>
                <w:color w:val="000000"/>
                <w:sz w:val="20"/>
                <w:szCs w:val="20"/>
              </w:rPr>
              <w:t>870</w:t>
            </w:r>
          </w:p>
        </w:tc>
        <w:tc>
          <w:tcPr>
            <w:tcW w:w="1101" w:type="pct"/>
            <w:vAlign w:val="center"/>
          </w:tcPr>
          <w:p w14:paraId="613B71BA" w14:textId="4B7930B5" w:rsidR="00EF08D5" w:rsidRPr="00367355" w:rsidRDefault="00613A13" w:rsidP="00946978">
            <w:pPr>
              <w:keepNext/>
              <w:keepLines/>
              <w:jc w:val="right"/>
              <w:rPr>
                <w:rFonts w:ascii="Arial Narrow" w:eastAsiaTheme="majorEastAsia" w:hAnsi="Arial Narrow" w:cstheme="majorBidi"/>
                <w:bCs/>
                <w:iCs/>
                <w:color w:val="000000"/>
                <w:sz w:val="20"/>
                <w:szCs w:val="20"/>
              </w:rPr>
            </w:pPr>
            <w:r w:rsidRPr="00367355">
              <w:rPr>
                <w:rFonts w:ascii="Arial Narrow" w:eastAsiaTheme="majorEastAsia" w:hAnsi="Arial Narrow" w:cstheme="majorBidi"/>
                <w:bCs/>
                <w:iCs/>
                <w:color w:val="000000"/>
                <w:sz w:val="20"/>
                <w:szCs w:val="20"/>
              </w:rPr>
              <w:t>6.5977</w:t>
            </w:r>
          </w:p>
        </w:tc>
        <w:tc>
          <w:tcPr>
            <w:tcW w:w="1072" w:type="pct"/>
            <w:vAlign w:val="center"/>
          </w:tcPr>
          <w:p w14:paraId="4086D64B" w14:textId="049EE3D4" w:rsidR="00EF08D5" w:rsidRPr="00367355" w:rsidRDefault="00EF08D5" w:rsidP="00946978">
            <w:pPr>
              <w:keepNext/>
              <w:keepLines/>
              <w:jc w:val="right"/>
              <w:rPr>
                <w:rFonts w:ascii="Arial Narrow" w:eastAsiaTheme="majorEastAsia" w:hAnsi="Arial Narrow" w:cstheme="majorBidi"/>
                <w:bCs/>
                <w:sz w:val="20"/>
              </w:rPr>
            </w:pPr>
            <w:r w:rsidRPr="00367355">
              <w:rPr>
                <w:rFonts w:ascii="Arial Narrow" w:eastAsiaTheme="majorEastAsia" w:hAnsi="Arial Narrow" w:cstheme="majorBidi"/>
                <w:bCs/>
                <w:color w:val="000000"/>
                <w:sz w:val="20"/>
                <w:szCs w:val="20"/>
              </w:rPr>
              <w:t>0.7894</w:t>
            </w:r>
          </w:p>
        </w:tc>
      </w:tr>
      <w:tr w:rsidR="00EF08D5" w:rsidRPr="0068749D" w14:paraId="5F02E3A5" w14:textId="77777777">
        <w:tc>
          <w:tcPr>
            <w:tcW w:w="3928" w:type="pct"/>
            <w:gridSpan w:val="3"/>
            <w:vAlign w:val="center"/>
          </w:tcPr>
          <w:p w14:paraId="67C88B22"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LYG gained</w:t>
            </w:r>
          </w:p>
        </w:tc>
        <w:tc>
          <w:tcPr>
            <w:tcW w:w="1072" w:type="pct"/>
            <w:vAlign w:val="center"/>
          </w:tcPr>
          <w:p w14:paraId="138E8EA4" w14:textId="3E3A02A3"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r w:rsidR="009367C5">
              <w:rPr>
                <w:rFonts w:ascii="Arial Narrow" w:eastAsiaTheme="majorEastAsia" w:hAnsi="Arial Narrow" w:cstheme="majorBidi"/>
                <w:bCs/>
                <w:sz w:val="20"/>
                <w:vertAlign w:val="superscript"/>
              </w:rPr>
              <w:t>3</w:t>
            </w:r>
          </w:p>
        </w:tc>
      </w:tr>
      <w:tr w:rsidR="00EF08D5" w:rsidRPr="0068749D" w14:paraId="27EDD93F" w14:textId="77777777">
        <w:trPr>
          <w:trHeight w:val="119"/>
        </w:trPr>
        <w:tc>
          <w:tcPr>
            <w:tcW w:w="5000" w:type="pct"/>
            <w:gridSpan w:val="4"/>
            <w:vAlign w:val="center"/>
          </w:tcPr>
          <w:p w14:paraId="0CE42861" w14:textId="77777777" w:rsidR="00EF08D5" w:rsidRPr="0068749D" w:rsidRDefault="00EF08D5">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Step 7: Transformation to QALYs</w:t>
            </w:r>
          </w:p>
        </w:tc>
      </w:tr>
      <w:tr w:rsidR="00EF08D5" w:rsidRPr="0068749D" w14:paraId="19C712CA" w14:textId="77777777">
        <w:tc>
          <w:tcPr>
            <w:tcW w:w="1529" w:type="pct"/>
            <w:vAlign w:val="center"/>
          </w:tcPr>
          <w:p w14:paraId="6AB40EB7"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18A5719A" w14:textId="2F3A2FF7"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c>
          <w:tcPr>
            <w:tcW w:w="1101" w:type="pct"/>
            <w:vAlign w:val="center"/>
          </w:tcPr>
          <w:p w14:paraId="1E03E2BC" w14:textId="77777777" w:rsidR="00EF08D5" w:rsidRPr="0068749D" w:rsidRDefault="00EF08D5">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$48,202</w:t>
            </w:r>
          </w:p>
        </w:tc>
        <w:tc>
          <w:tcPr>
            <w:tcW w:w="1072" w:type="pct"/>
            <w:vAlign w:val="center"/>
          </w:tcPr>
          <w:p w14:paraId="161E0C35" w14:textId="78F7D62E"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w:t>
            </w:r>
            <w:r w:rsidR="000F4FEC" w:rsidRPr="000F4FEC">
              <w:rPr>
                <w:rFonts w:ascii="Arial Narrow" w:eastAsiaTheme="majorEastAsia" w:hAnsi="Arial Narrow" w:cstheme="majorBidi"/>
                <w:bCs/>
                <w:color w:val="000000"/>
                <w:sz w:val="20"/>
                <w:szCs w:val="20"/>
                <w:highlight w:val="black"/>
              </w:rPr>
              <w:t>@@@@</w:t>
            </w:r>
          </w:p>
        </w:tc>
      </w:tr>
      <w:tr w:rsidR="00EF08D5" w:rsidRPr="0068749D" w14:paraId="017FFE0C" w14:textId="77777777" w:rsidTr="00946978">
        <w:trPr>
          <w:trHeight w:val="211"/>
        </w:trPr>
        <w:tc>
          <w:tcPr>
            <w:tcW w:w="1529" w:type="pct"/>
            <w:vAlign w:val="center"/>
          </w:tcPr>
          <w:p w14:paraId="05289871" w14:textId="77777777" w:rsidR="00EF08D5" w:rsidRPr="0068749D" w:rsidRDefault="00EF08D5">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QALYs</w:t>
            </w:r>
          </w:p>
        </w:tc>
        <w:tc>
          <w:tcPr>
            <w:tcW w:w="1298" w:type="pct"/>
            <w:vAlign w:val="center"/>
          </w:tcPr>
          <w:p w14:paraId="016CDE5A"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6.0801</w:t>
            </w:r>
          </w:p>
        </w:tc>
        <w:tc>
          <w:tcPr>
            <w:tcW w:w="1101" w:type="pct"/>
            <w:vAlign w:val="center"/>
          </w:tcPr>
          <w:p w14:paraId="489AD81E" w14:textId="77777777" w:rsidR="00EF08D5" w:rsidRPr="0068749D" w:rsidRDefault="00EF08D5" w:rsidP="00946978">
            <w:pPr>
              <w:keepNext/>
              <w:keepLines/>
              <w:jc w:val="right"/>
              <w:rPr>
                <w:rFonts w:ascii="Times" w:eastAsiaTheme="majorEastAsia" w:hAnsi="Times" w:cstheme="majorBidi"/>
                <w:bCs/>
                <w:sz w:val="20"/>
              </w:rPr>
            </w:pPr>
            <w:r w:rsidRPr="0068749D">
              <w:rPr>
                <w:rFonts w:ascii="Arial Narrow" w:eastAsiaTheme="majorEastAsia" w:hAnsi="Arial Narrow" w:cstheme="majorBidi"/>
                <w:bCs/>
                <w:color w:val="000000"/>
                <w:sz w:val="20"/>
                <w:szCs w:val="20"/>
              </w:rPr>
              <w:t>5.4054</w:t>
            </w:r>
          </w:p>
        </w:tc>
        <w:tc>
          <w:tcPr>
            <w:tcW w:w="1072" w:type="pct"/>
            <w:vAlign w:val="center"/>
          </w:tcPr>
          <w:p w14:paraId="7761E44B" w14:textId="77777777" w:rsidR="00EF08D5" w:rsidRPr="0068749D" w:rsidRDefault="00EF08D5" w:rsidP="00946978">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color w:val="000000"/>
                <w:sz w:val="20"/>
                <w:szCs w:val="20"/>
              </w:rPr>
              <w:t>0.6747</w:t>
            </w:r>
          </w:p>
        </w:tc>
      </w:tr>
      <w:tr w:rsidR="00EF08D5" w:rsidRPr="0068749D" w14:paraId="5AE351D4" w14:textId="77777777">
        <w:tc>
          <w:tcPr>
            <w:tcW w:w="3928" w:type="pct"/>
            <w:gridSpan w:val="3"/>
            <w:vAlign w:val="center"/>
          </w:tcPr>
          <w:p w14:paraId="2641BBF2" w14:textId="54169D05" w:rsidR="00EF08D5" w:rsidRPr="0068749D" w:rsidRDefault="00EF08D5">
            <w:pPr>
              <w:keepNext/>
              <w:keepLines/>
              <w:jc w:val="left"/>
              <w:rPr>
                <w:rFonts w:ascii="Times" w:eastAsiaTheme="majorEastAsia" w:hAnsi="Times" w:cstheme="majorBidi"/>
                <w:bCs/>
                <w:sz w:val="20"/>
                <w:vertAlign w:val="superscript"/>
              </w:rPr>
            </w:pPr>
            <w:r w:rsidRPr="0068749D">
              <w:rPr>
                <w:rFonts w:ascii="Arial Narrow" w:eastAsiaTheme="majorEastAsia" w:hAnsi="Arial Narrow" w:cstheme="majorBidi"/>
                <w:bCs/>
                <w:sz w:val="20"/>
              </w:rPr>
              <w:t>Incremental cost/extra QALY gained (respecified base case)</w:t>
            </w:r>
            <w:r w:rsidR="009B593E" w:rsidRPr="0068749D">
              <w:rPr>
                <w:rFonts w:ascii="Arial Narrow" w:eastAsiaTheme="majorEastAsia" w:hAnsi="Arial Narrow" w:cstheme="majorBidi"/>
                <w:bCs/>
                <w:sz w:val="20"/>
              </w:rPr>
              <w:t xml:space="preserve"> </w:t>
            </w:r>
            <w:r w:rsidR="006A7B58">
              <w:rPr>
                <w:rFonts w:ascii="Arial Narrow" w:eastAsiaTheme="majorEastAsia" w:hAnsi="Arial Narrow" w:cstheme="majorBidi"/>
                <w:bCs/>
                <w:sz w:val="20"/>
                <w:vertAlign w:val="superscript"/>
              </w:rPr>
              <w:t>b</w:t>
            </w:r>
          </w:p>
        </w:tc>
        <w:tc>
          <w:tcPr>
            <w:tcW w:w="1072" w:type="pct"/>
            <w:vAlign w:val="center"/>
          </w:tcPr>
          <w:p w14:paraId="42D4057D" w14:textId="015B4DD4" w:rsidR="00EF08D5" w:rsidRPr="0068749D" w:rsidRDefault="00EF08D5">
            <w:pPr>
              <w:keepNext/>
              <w:keepLines/>
              <w:jc w:val="right"/>
              <w:rPr>
                <w:rFonts w:ascii="Arial Narrow" w:eastAsiaTheme="majorEastAsia" w:hAnsi="Arial Narrow" w:cstheme="majorBidi"/>
                <w:bCs/>
                <w:sz w:val="20"/>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9367C5">
              <w:rPr>
                <w:rFonts w:ascii="Arial Narrow" w:eastAsiaTheme="majorEastAsia" w:hAnsi="Arial Narrow" w:cstheme="majorBidi"/>
                <w:bCs/>
                <w:sz w:val="20"/>
                <w:vertAlign w:val="superscript"/>
              </w:rPr>
              <w:t>4</w:t>
            </w:r>
          </w:p>
        </w:tc>
      </w:tr>
    </w:tbl>
    <w:p w14:paraId="467D559F" w14:textId="16AE1E89" w:rsidR="0041701F" w:rsidRDefault="0041701F" w:rsidP="0041701F">
      <w:pPr>
        <w:pStyle w:val="TableFigureFooter"/>
      </w:pPr>
      <w:r>
        <w:t>Source: Constructed during the evaluation from the Attachment</w:t>
      </w:r>
      <w:r w:rsidR="00FA6B73">
        <w:t xml:space="preserve"> </w:t>
      </w:r>
      <w:r>
        <w:t>3.1 TreeAgeModel_Jul25.trex provided with the submission.</w:t>
      </w:r>
    </w:p>
    <w:p w14:paraId="514A8CE0" w14:textId="7732812C" w:rsidR="0041701F" w:rsidRDefault="0041701F" w:rsidP="0041701F">
      <w:pPr>
        <w:pStyle w:val="TableFigureFooter"/>
      </w:pPr>
      <w:r>
        <w:t>DR = Distant recurrence; GC = Gemcitabine plus cisplatin; LR = Locoregional recurrence; QALYs = Quality-adjusted life years; SoC = Standard of care.</w:t>
      </w:r>
    </w:p>
    <w:p w14:paraId="7EC3A96D" w14:textId="01A2494D" w:rsidR="00104134" w:rsidRDefault="00104134" w:rsidP="0041701F">
      <w:pPr>
        <w:pStyle w:val="TableFigureFooter"/>
      </w:pPr>
      <w:r w:rsidRPr="00104134">
        <w:rPr>
          <w:vertAlign w:val="superscript"/>
        </w:rPr>
        <w:t>a</w:t>
      </w:r>
      <w:r>
        <w:t xml:space="preserve"> Uses the published prices of nivolumab and avelumab</w:t>
      </w:r>
      <w:r w:rsidR="0055180C">
        <w:t xml:space="preserve"> with a hypothetical </w:t>
      </w:r>
      <w:r w:rsidR="000F4FEC" w:rsidRPr="000F4FEC">
        <w:rPr>
          <w:highlight w:val="black"/>
        </w:rPr>
        <w:t>@@@@</w:t>
      </w:r>
      <w:r w:rsidR="0055180C" w:rsidRPr="00937314">
        <w:t>%</w:t>
      </w:r>
      <w:r w:rsidR="0055180C">
        <w:t xml:space="preserve"> </w:t>
      </w:r>
      <w:r w:rsidR="00891BA9">
        <w:t>discount</w:t>
      </w:r>
    </w:p>
    <w:p w14:paraId="1A82E119" w14:textId="4BE38803" w:rsidR="009B593E" w:rsidRDefault="006A7B58" w:rsidP="0041701F">
      <w:pPr>
        <w:pStyle w:val="TableFigureFooter"/>
        <w:rPr>
          <w:i/>
          <w:iCs/>
        </w:rPr>
      </w:pPr>
      <w:r>
        <w:rPr>
          <w:vertAlign w:val="superscript"/>
        </w:rPr>
        <w:t>b</w:t>
      </w:r>
      <w:r>
        <w:t xml:space="preserve"> </w:t>
      </w:r>
      <w:r w:rsidR="009B593E">
        <w:t>Respecified base case included Weibull parametric functions for extrapolating all EFs curves and had the cure function, that was incorrectly applied in the submission’s base case to the second cycle of recurrence, switched off in the locoregional and distant recurrence health sates.</w:t>
      </w:r>
      <w:r w:rsidR="002000E4">
        <w:br/>
      </w:r>
      <w:r w:rsidR="002000E4">
        <w:rPr>
          <w:i/>
          <w:iCs/>
        </w:rPr>
        <w:t>The redacted values correspond to the following ranges:</w:t>
      </w:r>
    </w:p>
    <w:p w14:paraId="0705A2E2" w14:textId="416BE7CB" w:rsidR="009A6CCB" w:rsidRDefault="009A6CCB" w:rsidP="0041701F">
      <w:pPr>
        <w:pStyle w:val="TableFigureFooter"/>
        <w:rPr>
          <w:i/>
          <w:iCs/>
        </w:rPr>
      </w:pPr>
      <w:r w:rsidRPr="009A6CCB">
        <w:rPr>
          <w:i/>
          <w:iCs/>
          <w:vertAlign w:val="superscript"/>
        </w:rPr>
        <w:t>1</w:t>
      </w:r>
      <w:r>
        <w:rPr>
          <w:i/>
          <w:iCs/>
        </w:rPr>
        <w:t xml:space="preserve"> $155,000 to &lt; $255,000</w:t>
      </w:r>
    </w:p>
    <w:p w14:paraId="0ADC20EF" w14:textId="1CD94671" w:rsidR="009A6CCB" w:rsidRDefault="009367C5" w:rsidP="0041701F">
      <w:pPr>
        <w:pStyle w:val="TableFigureFooter"/>
        <w:rPr>
          <w:i/>
          <w:iCs/>
        </w:rPr>
      </w:pPr>
      <w:r w:rsidRPr="009367C5">
        <w:rPr>
          <w:i/>
          <w:iCs/>
          <w:vertAlign w:val="superscript"/>
        </w:rPr>
        <w:t>2</w:t>
      </w:r>
      <w:r>
        <w:rPr>
          <w:i/>
          <w:iCs/>
        </w:rPr>
        <w:t xml:space="preserve"> $255,000 to &lt; $355,000</w:t>
      </w:r>
    </w:p>
    <w:p w14:paraId="7B1487DC" w14:textId="75C874BC" w:rsidR="009367C5" w:rsidRDefault="009367C5" w:rsidP="0041701F">
      <w:pPr>
        <w:pStyle w:val="TableFigureFooter"/>
        <w:rPr>
          <w:i/>
          <w:iCs/>
        </w:rPr>
      </w:pPr>
      <w:r w:rsidRPr="009367C5">
        <w:rPr>
          <w:i/>
          <w:iCs/>
          <w:vertAlign w:val="superscript"/>
        </w:rPr>
        <w:t xml:space="preserve">3 </w:t>
      </w:r>
      <w:r>
        <w:rPr>
          <w:i/>
          <w:iCs/>
        </w:rPr>
        <w:t>$25,000 to &lt; $35,000</w:t>
      </w:r>
    </w:p>
    <w:p w14:paraId="2E993D68" w14:textId="7719C5C6" w:rsidR="009367C5" w:rsidRPr="002000E4" w:rsidRDefault="009367C5" w:rsidP="0041701F">
      <w:pPr>
        <w:pStyle w:val="TableFigureFooter"/>
        <w:rPr>
          <w:i/>
          <w:iCs/>
        </w:rPr>
      </w:pPr>
      <w:r w:rsidRPr="009367C5">
        <w:rPr>
          <w:i/>
          <w:iCs/>
          <w:vertAlign w:val="superscript"/>
        </w:rPr>
        <w:t>4</w:t>
      </w:r>
      <w:r>
        <w:rPr>
          <w:i/>
          <w:iCs/>
        </w:rPr>
        <w:t xml:space="preserve"> $35,000 to &lt; $45,000</w:t>
      </w:r>
    </w:p>
    <w:p w14:paraId="340B5E98" w14:textId="39B843DC" w:rsidR="0041701F" w:rsidRPr="0068749D" w:rsidRDefault="0041701F" w:rsidP="0041701F">
      <w:pPr>
        <w:pStyle w:val="3-BodyText"/>
      </w:pPr>
      <w:r w:rsidRPr="0068749D">
        <w:fldChar w:fldCharType="begin"/>
      </w:r>
      <w:r w:rsidRPr="0068749D">
        <w:instrText xml:space="preserve"> REF _Ref208239010 \h </w:instrText>
      </w:r>
      <w:r w:rsidR="0068749D" w:rsidRPr="0068749D">
        <w:instrText xml:space="preserve"> \* MERGEFORMAT </w:instrText>
      </w:r>
      <w:r w:rsidRPr="0068749D">
        <w:fldChar w:fldCharType="separate"/>
      </w:r>
      <w:r w:rsidR="005731FF" w:rsidRPr="00DF1914">
        <w:t xml:space="preserve">Figure </w:t>
      </w:r>
      <w:r w:rsidR="005731FF">
        <w:rPr>
          <w:noProof/>
        </w:rPr>
        <w:t>10</w:t>
      </w:r>
      <w:r w:rsidRPr="0068749D">
        <w:fldChar w:fldCharType="end"/>
      </w:r>
      <w:r w:rsidRPr="0068749D">
        <w:t xml:space="preserve"> depicts life years gained over the time horizon. The base case economic evaluation indicates that 93% of incremental LYs are accrued during the extrapolated period.</w:t>
      </w:r>
    </w:p>
    <w:p w14:paraId="3338B24E" w14:textId="2906F20D" w:rsidR="0041701F" w:rsidRPr="00DF1914" w:rsidRDefault="0041701F" w:rsidP="0041701F">
      <w:pPr>
        <w:pStyle w:val="Caption"/>
      </w:pPr>
      <w:bookmarkStart w:id="97" w:name="_Ref208239010"/>
      <w:r w:rsidRPr="00DF1914">
        <w:lastRenderedPageBreak/>
        <w:t xml:space="preserve">Figure </w:t>
      </w:r>
      <w:r w:rsidR="0077772B">
        <w:fldChar w:fldCharType="begin"/>
      </w:r>
      <w:r w:rsidR="0077772B">
        <w:instrText xml:space="preserve"> SEQ Figure \* ARABIC </w:instrText>
      </w:r>
      <w:r w:rsidR="0077772B">
        <w:fldChar w:fldCharType="separate"/>
      </w:r>
      <w:r w:rsidR="005731FF">
        <w:rPr>
          <w:noProof/>
        </w:rPr>
        <w:t>10</w:t>
      </w:r>
      <w:r w:rsidR="0077772B">
        <w:rPr>
          <w:noProof/>
        </w:rPr>
        <w:fldChar w:fldCharType="end"/>
      </w:r>
      <w:bookmarkEnd w:id="97"/>
      <w:r w:rsidRPr="00DF1914">
        <w:t>: Cumulative LYs gained over the time horizon, undiscounted</w:t>
      </w:r>
    </w:p>
    <w:p w14:paraId="211D1FF2" w14:textId="77777777" w:rsidR="0041701F" w:rsidRPr="00DF1914" w:rsidRDefault="0041701F" w:rsidP="0041701F">
      <w:r>
        <w:rPr>
          <w:noProof/>
        </w:rPr>
        <w:drawing>
          <wp:inline distT="0" distB="0" distL="0" distR="0" wp14:anchorId="102BD66C" wp14:editId="298D06AF">
            <wp:extent cx="5638734" cy="3951798"/>
            <wp:effectExtent l="0" t="0" r="635" b="0"/>
            <wp:docPr id="879127446" name="Picture 1" descr="Figure 10: Cumulative LYs gained over the time horizon,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27446" name="Picture 1" descr="Figure 10: Cumulative LYs gained over the time horizon, undiscoun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7947" cy="3958255"/>
                    </a:xfrm>
                    <a:prstGeom prst="rect">
                      <a:avLst/>
                    </a:prstGeom>
                    <a:noFill/>
                  </pic:spPr>
                </pic:pic>
              </a:graphicData>
            </a:graphic>
          </wp:inline>
        </w:drawing>
      </w:r>
    </w:p>
    <w:p w14:paraId="755F56EF" w14:textId="77777777" w:rsidR="0041701F" w:rsidRPr="00367355" w:rsidRDefault="0041701F" w:rsidP="0041701F">
      <w:pPr>
        <w:pStyle w:val="TableFigureFooter"/>
        <w:rPr>
          <w:iCs/>
        </w:rPr>
      </w:pPr>
      <w:r w:rsidRPr="00DF1914">
        <w:t xml:space="preserve">Source: </w:t>
      </w:r>
      <w:r w:rsidRPr="00367355">
        <w:t xml:space="preserve">Constructed during the evaluation using the Attachment 3.1 ‘TreeAgeModel_Jul25.trex’ provided with the submission. </w:t>
      </w:r>
    </w:p>
    <w:p w14:paraId="65970EBA" w14:textId="77777777" w:rsidR="0041701F" w:rsidRPr="00DF1914" w:rsidRDefault="0041701F" w:rsidP="0041701F">
      <w:pPr>
        <w:pStyle w:val="TableFigureFooter"/>
        <w:rPr>
          <w:rFonts w:eastAsia="Calibri"/>
        </w:rPr>
      </w:pPr>
      <w:r w:rsidRPr="00DF1914">
        <w:t>C = cisplatin; D = durvalumab; G = gemcitabine;</w:t>
      </w:r>
      <w:r>
        <w:t xml:space="preserve"> GC±N = </w:t>
      </w:r>
      <w:r w:rsidRPr="00DF1914">
        <w:t xml:space="preserve">GC </w:t>
      </w:r>
      <w:r>
        <w:t xml:space="preserve">arm </w:t>
      </w:r>
      <w:r w:rsidRPr="00DF1914">
        <w:t>with</w:t>
      </w:r>
      <w:r>
        <w:t xml:space="preserve"> the addition of avelumab and</w:t>
      </w:r>
      <w:r w:rsidRPr="00DF1914">
        <w:t xml:space="preserve"> nivolumab in eligible patients</w:t>
      </w:r>
      <w:r>
        <w:t>;</w:t>
      </w:r>
      <w:r w:rsidRPr="00DF1914">
        <w:t xml:space="preserve"> LYG = life years gained; LYs = life years</w:t>
      </w:r>
      <w:r>
        <w:t>.</w:t>
      </w:r>
    </w:p>
    <w:p w14:paraId="6F1CD1CE" w14:textId="758CD7CB" w:rsidR="0041701F" w:rsidRPr="0068749D" w:rsidRDefault="0041701F" w:rsidP="0041701F">
      <w:pPr>
        <w:pStyle w:val="3-BodyText"/>
      </w:pPr>
      <w:r w:rsidRPr="0068749D">
        <w:t xml:space="preserve">The disaggregated summary for costs and health outcomes </w:t>
      </w:r>
      <w:r w:rsidR="007107F4">
        <w:t>is</w:t>
      </w:r>
      <w:r w:rsidRPr="0068749D">
        <w:t xml:space="preserve"> presented in </w:t>
      </w:r>
      <w:r w:rsidRPr="0068749D">
        <w:fldChar w:fldCharType="begin"/>
      </w:r>
      <w:r w:rsidRPr="0068749D">
        <w:instrText xml:space="preserve"> REF _Ref207371418 \h </w:instrText>
      </w:r>
      <w:r w:rsidR="0068749D" w:rsidRPr="0068749D">
        <w:instrText xml:space="preserve"> \* MERGEFORMAT </w:instrText>
      </w:r>
      <w:r w:rsidRPr="0068749D">
        <w:fldChar w:fldCharType="separate"/>
      </w:r>
      <w:r w:rsidR="005731FF" w:rsidRPr="00DF1914">
        <w:t xml:space="preserve">Table </w:t>
      </w:r>
      <w:r w:rsidR="005731FF">
        <w:rPr>
          <w:noProof/>
        </w:rPr>
        <w:t>16</w:t>
      </w:r>
      <w:r w:rsidRPr="0068749D">
        <w:fldChar w:fldCharType="end"/>
      </w:r>
      <w:r w:rsidRPr="0068749D">
        <w:t xml:space="preserve">. Costs associated with durvalumab acquisition account for most of the incremental costs between the two groups. Most cost savings are due to nivolumab and avelumab drug costs. The estimates for nivolumab and avelumab are based on published prices with </w:t>
      </w:r>
      <w:r w:rsidRPr="009F6381">
        <w:t xml:space="preserve">a </w:t>
      </w:r>
      <w:r w:rsidR="000F4FEC" w:rsidRPr="000F4FEC">
        <w:rPr>
          <w:highlight w:val="black"/>
        </w:rPr>
        <w:t>@@@@</w:t>
      </w:r>
      <w:r w:rsidRPr="009F6381">
        <w:t xml:space="preserve">% </w:t>
      </w:r>
      <w:r w:rsidR="00891BA9" w:rsidRPr="009F6381">
        <w:t>discount</w:t>
      </w:r>
      <w:r w:rsidRPr="0068749D">
        <w:t xml:space="preserve"> applied</w:t>
      </w:r>
      <w:r w:rsidR="00891BA9">
        <w:t xml:space="preserve"> (to account for the undisclosed special pricing arrangement)</w:t>
      </w:r>
      <w:r w:rsidRPr="0068749D">
        <w:t xml:space="preserve">. Variability in the treatment duration for nivolumab and avelumab influences the total incremental cost. </w:t>
      </w:r>
    </w:p>
    <w:p w14:paraId="3FA9BCAE" w14:textId="77BC5978" w:rsidR="0041701F" w:rsidRPr="00DF1914" w:rsidRDefault="0041701F" w:rsidP="0041701F">
      <w:pPr>
        <w:pStyle w:val="Caption"/>
      </w:pPr>
      <w:bookmarkStart w:id="98" w:name="_Ref207371418"/>
      <w:r w:rsidRPr="00DF1914">
        <w:lastRenderedPageBreak/>
        <w:t xml:space="preserve">Table </w:t>
      </w:r>
      <w:r w:rsidR="0077772B">
        <w:fldChar w:fldCharType="begin"/>
      </w:r>
      <w:r w:rsidR="0077772B">
        <w:instrText xml:space="preserve"> SEQ Table \* ARABIC </w:instrText>
      </w:r>
      <w:r w:rsidR="0077772B">
        <w:fldChar w:fldCharType="separate"/>
      </w:r>
      <w:r w:rsidR="005731FF">
        <w:rPr>
          <w:noProof/>
        </w:rPr>
        <w:t>16</w:t>
      </w:r>
      <w:r w:rsidR="0077772B">
        <w:rPr>
          <w:noProof/>
        </w:rPr>
        <w:fldChar w:fldCharType="end"/>
      </w:r>
      <w:bookmarkEnd w:id="98"/>
      <w:r w:rsidRPr="00DF1914">
        <w:t>: Disaggregated summary of cost impacts and health outcomes</w:t>
      </w:r>
      <w:r w:rsidR="009B593E">
        <w:t xml:space="preserve"> for respecified base case </w:t>
      </w:r>
      <w:r w:rsidR="009B593E">
        <w:rPr>
          <w:vertAlign w:val="superscript"/>
        </w:rPr>
        <w:t>a</w:t>
      </w:r>
      <w:r w:rsidRPr="00DF1914">
        <w:t xml:space="preserve"> (discounted)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Disaggregated summary of cost impacts and health outcomes for respecified base case a (discounted)"/>
      </w:tblPr>
      <w:tblGrid>
        <w:gridCol w:w="2830"/>
        <w:gridCol w:w="1812"/>
        <w:gridCol w:w="1601"/>
        <w:gridCol w:w="1412"/>
        <w:gridCol w:w="1362"/>
      </w:tblGrid>
      <w:tr w:rsidR="0041701F" w:rsidRPr="0068749D" w14:paraId="5A295BC7" w14:textId="77777777">
        <w:trPr>
          <w:tblHeader/>
        </w:trPr>
        <w:tc>
          <w:tcPr>
            <w:tcW w:w="2830" w:type="dxa"/>
            <w:vAlign w:val="center"/>
          </w:tcPr>
          <w:p w14:paraId="6DB827F7" w14:textId="77777777" w:rsidR="0041701F" w:rsidRPr="0068749D" w:rsidRDefault="0041701F">
            <w:pPr>
              <w:pStyle w:val="TableFigureHeading"/>
            </w:pPr>
            <w:r w:rsidRPr="0068749D">
              <w:t>Resource item</w:t>
            </w:r>
          </w:p>
        </w:tc>
        <w:tc>
          <w:tcPr>
            <w:tcW w:w="1812" w:type="dxa"/>
            <w:vAlign w:val="center"/>
          </w:tcPr>
          <w:p w14:paraId="4CE216E1" w14:textId="77777777" w:rsidR="0041701F" w:rsidRPr="0068749D" w:rsidRDefault="0041701F">
            <w:pPr>
              <w:pStyle w:val="TableFigureHeading"/>
            </w:pPr>
            <w:r w:rsidRPr="0068749D">
              <w:t>Durva + GC</w:t>
            </w:r>
          </w:p>
        </w:tc>
        <w:tc>
          <w:tcPr>
            <w:tcW w:w="1601" w:type="dxa"/>
            <w:vAlign w:val="center"/>
          </w:tcPr>
          <w:p w14:paraId="1894A22A" w14:textId="0B17C617" w:rsidR="0041701F" w:rsidRPr="0068749D" w:rsidRDefault="0041701F">
            <w:pPr>
              <w:pStyle w:val="TableFigureHeading"/>
            </w:pPr>
            <w:r w:rsidRPr="0068749D">
              <w:t>SoC</w:t>
            </w:r>
          </w:p>
        </w:tc>
        <w:tc>
          <w:tcPr>
            <w:tcW w:w="1412" w:type="dxa"/>
            <w:vAlign w:val="center"/>
          </w:tcPr>
          <w:p w14:paraId="191DD25E" w14:textId="2A170945" w:rsidR="0041701F" w:rsidRPr="0068749D" w:rsidRDefault="0041701F">
            <w:pPr>
              <w:pStyle w:val="TableFigureHeading"/>
            </w:pPr>
            <w:r w:rsidRPr="0068749D">
              <w:t>Increment</w:t>
            </w:r>
          </w:p>
        </w:tc>
        <w:tc>
          <w:tcPr>
            <w:tcW w:w="1362" w:type="dxa"/>
            <w:vAlign w:val="center"/>
          </w:tcPr>
          <w:p w14:paraId="281C20F7" w14:textId="77777777" w:rsidR="0041701F" w:rsidRPr="0068749D" w:rsidRDefault="0041701F">
            <w:pPr>
              <w:pStyle w:val="TableFigureHeading"/>
            </w:pPr>
            <w:r w:rsidRPr="0068749D">
              <w:t>% of total increment</w:t>
            </w:r>
          </w:p>
        </w:tc>
      </w:tr>
      <w:tr w:rsidR="0041701F" w:rsidRPr="0068749D" w14:paraId="05FE61D2" w14:textId="77777777">
        <w:tc>
          <w:tcPr>
            <w:tcW w:w="9017" w:type="dxa"/>
            <w:gridSpan w:val="5"/>
            <w:vAlign w:val="center"/>
          </w:tcPr>
          <w:p w14:paraId="7FB2B609" w14:textId="77777777" w:rsidR="0041701F" w:rsidRPr="0068749D" w:rsidRDefault="0041701F">
            <w:pPr>
              <w:pStyle w:val="In-tableHeading"/>
              <w:rPr>
                <w:lang w:val="en-AU"/>
              </w:rPr>
            </w:pPr>
            <w:r w:rsidRPr="0068749D">
              <w:rPr>
                <w:lang w:val="en-AU"/>
              </w:rPr>
              <w:t>Costs</w:t>
            </w:r>
          </w:p>
        </w:tc>
      </w:tr>
      <w:tr w:rsidR="0041701F" w:rsidRPr="0068749D" w14:paraId="0D420621" w14:textId="77777777">
        <w:tc>
          <w:tcPr>
            <w:tcW w:w="2830" w:type="dxa"/>
            <w:vAlign w:val="center"/>
          </w:tcPr>
          <w:p w14:paraId="0AFB7428" w14:textId="77777777" w:rsidR="0041701F" w:rsidRPr="0068749D" w:rsidRDefault="0041701F">
            <w:pPr>
              <w:pStyle w:val="TableText0"/>
            </w:pPr>
            <w:r w:rsidRPr="0068749D">
              <w:t>Durvalumab</w:t>
            </w:r>
          </w:p>
        </w:tc>
        <w:tc>
          <w:tcPr>
            <w:tcW w:w="1812" w:type="dxa"/>
            <w:vAlign w:val="bottom"/>
          </w:tcPr>
          <w:p w14:paraId="6BA3E537" w14:textId="3E9EAA2E" w:rsidR="0041701F" w:rsidRPr="00CE5F03" w:rsidRDefault="0041701F">
            <w:pPr>
              <w:pStyle w:val="TableText0"/>
              <w:jc w:val="center"/>
              <w:rPr>
                <w:vertAlign w:val="superscript"/>
              </w:rPr>
            </w:pPr>
            <w:r w:rsidRPr="0068749D">
              <w:rPr>
                <w:color w:val="000000"/>
                <w:szCs w:val="20"/>
              </w:rPr>
              <w:t>$</w:t>
            </w:r>
            <w:r w:rsidR="000F4FEC" w:rsidRPr="000F4FEC">
              <w:rPr>
                <w:color w:val="000000"/>
                <w:szCs w:val="20"/>
                <w:highlight w:val="black"/>
              </w:rPr>
              <w:t>@@@@</w:t>
            </w:r>
          </w:p>
        </w:tc>
        <w:tc>
          <w:tcPr>
            <w:tcW w:w="1601" w:type="dxa"/>
            <w:vAlign w:val="bottom"/>
          </w:tcPr>
          <w:p w14:paraId="099D6226" w14:textId="77777777" w:rsidR="0041701F" w:rsidRPr="0068749D" w:rsidRDefault="0041701F">
            <w:pPr>
              <w:pStyle w:val="TableText0"/>
              <w:jc w:val="center"/>
            </w:pPr>
            <w:r w:rsidRPr="0068749D">
              <w:rPr>
                <w:color w:val="000000"/>
                <w:szCs w:val="20"/>
              </w:rPr>
              <w:t>$0</w:t>
            </w:r>
          </w:p>
        </w:tc>
        <w:tc>
          <w:tcPr>
            <w:tcW w:w="1412" w:type="dxa"/>
            <w:vAlign w:val="bottom"/>
          </w:tcPr>
          <w:p w14:paraId="75CB0652" w14:textId="02B17D3F" w:rsidR="0041701F" w:rsidRPr="00872F25" w:rsidRDefault="0041701F">
            <w:pPr>
              <w:pStyle w:val="TableText0"/>
              <w:jc w:val="center"/>
              <w:rPr>
                <w:vertAlign w:val="superscript"/>
              </w:rPr>
            </w:pPr>
            <w:r w:rsidRPr="0068749D">
              <w:rPr>
                <w:color w:val="000000"/>
                <w:szCs w:val="20"/>
              </w:rPr>
              <w:t>$</w:t>
            </w:r>
            <w:r w:rsidR="000F4FEC" w:rsidRPr="000F4FEC">
              <w:rPr>
                <w:color w:val="000000"/>
                <w:szCs w:val="20"/>
                <w:highlight w:val="black"/>
              </w:rPr>
              <w:t>@@@@</w:t>
            </w:r>
          </w:p>
        </w:tc>
        <w:tc>
          <w:tcPr>
            <w:tcW w:w="1362" w:type="dxa"/>
            <w:vAlign w:val="bottom"/>
          </w:tcPr>
          <w:p w14:paraId="08BE72AD" w14:textId="2C2AEE1E" w:rsidR="0041701F" w:rsidRPr="0068749D" w:rsidRDefault="00183F76">
            <w:pPr>
              <w:pStyle w:val="TableText0"/>
              <w:jc w:val="center"/>
            </w:pPr>
            <w:r w:rsidRPr="00183F76">
              <w:rPr>
                <w:color w:val="000000" w:themeColor="text1"/>
                <w:szCs w:val="20"/>
                <w:highlight w:val="black"/>
              </w:rPr>
              <w:t>&amp;&amp;&amp;&amp;</w:t>
            </w:r>
            <w:r w:rsidR="0041701F" w:rsidRPr="008E5662">
              <w:rPr>
                <w:color w:val="000000"/>
                <w:szCs w:val="20"/>
              </w:rPr>
              <w:t>%</w:t>
            </w:r>
          </w:p>
        </w:tc>
      </w:tr>
      <w:tr w:rsidR="0041701F" w:rsidRPr="0068749D" w14:paraId="343E71B4" w14:textId="77777777">
        <w:tc>
          <w:tcPr>
            <w:tcW w:w="2830" w:type="dxa"/>
            <w:vAlign w:val="center"/>
          </w:tcPr>
          <w:p w14:paraId="38F1EB11" w14:textId="77777777" w:rsidR="0041701F" w:rsidRPr="0068749D" w:rsidDel="000A28D4" w:rsidRDefault="0041701F">
            <w:pPr>
              <w:pStyle w:val="TableText0"/>
            </w:pPr>
            <w:r w:rsidRPr="0068749D">
              <w:t>GC</w:t>
            </w:r>
          </w:p>
        </w:tc>
        <w:tc>
          <w:tcPr>
            <w:tcW w:w="1812" w:type="dxa"/>
            <w:vAlign w:val="bottom"/>
          </w:tcPr>
          <w:p w14:paraId="33D3C52A" w14:textId="77777777" w:rsidR="0041701F" w:rsidRPr="0068749D" w:rsidRDefault="0041701F">
            <w:pPr>
              <w:pStyle w:val="TableText0"/>
              <w:jc w:val="center"/>
            </w:pPr>
            <w:r w:rsidRPr="0068749D">
              <w:rPr>
                <w:color w:val="000000"/>
                <w:szCs w:val="20"/>
              </w:rPr>
              <w:t>$1,796</w:t>
            </w:r>
          </w:p>
        </w:tc>
        <w:tc>
          <w:tcPr>
            <w:tcW w:w="1601" w:type="dxa"/>
            <w:vAlign w:val="bottom"/>
          </w:tcPr>
          <w:p w14:paraId="5E3FBBDD" w14:textId="77777777" w:rsidR="0041701F" w:rsidRPr="0068749D" w:rsidRDefault="0041701F">
            <w:pPr>
              <w:pStyle w:val="TableText0"/>
              <w:jc w:val="center"/>
            </w:pPr>
            <w:r w:rsidRPr="0068749D">
              <w:rPr>
                <w:color w:val="000000"/>
                <w:szCs w:val="20"/>
              </w:rPr>
              <w:t>$1,701</w:t>
            </w:r>
          </w:p>
        </w:tc>
        <w:tc>
          <w:tcPr>
            <w:tcW w:w="1412" w:type="dxa"/>
            <w:vAlign w:val="bottom"/>
          </w:tcPr>
          <w:p w14:paraId="4E1704CC" w14:textId="77777777" w:rsidR="0041701F" w:rsidRPr="0068749D" w:rsidRDefault="0041701F">
            <w:pPr>
              <w:pStyle w:val="TableText0"/>
              <w:jc w:val="center"/>
            </w:pPr>
            <w:r w:rsidRPr="0068749D">
              <w:rPr>
                <w:color w:val="000000"/>
                <w:szCs w:val="20"/>
              </w:rPr>
              <w:t>$95</w:t>
            </w:r>
          </w:p>
        </w:tc>
        <w:tc>
          <w:tcPr>
            <w:tcW w:w="1362" w:type="dxa"/>
            <w:vAlign w:val="bottom"/>
          </w:tcPr>
          <w:p w14:paraId="641FD515" w14:textId="2B59439C" w:rsidR="0041701F" w:rsidRPr="0068749D" w:rsidRDefault="00183F76">
            <w:pPr>
              <w:pStyle w:val="TableText0"/>
              <w:jc w:val="center"/>
            </w:pPr>
            <w:r w:rsidRPr="00183F76">
              <w:rPr>
                <w:color w:val="000000" w:themeColor="text1"/>
                <w:szCs w:val="20"/>
                <w:highlight w:val="black"/>
              </w:rPr>
              <w:t>&amp;&amp;&amp;&amp;</w:t>
            </w:r>
            <w:r w:rsidR="0041701F" w:rsidRPr="0068749D">
              <w:rPr>
                <w:color w:val="000000"/>
                <w:szCs w:val="20"/>
              </w:rPr>
              <w:t>%</w:t>
            </w:r>
          </w:p>
        </w:tc>
      </w:tr>
      <w:tr w:rsidR="0041701F" w:rsidRPr="0068749D" w14:paraId="4748977D" w14:textId="77777777">
        <w:tc>
          <w:tcPr>
            <w:tcW w:w="2830" w:type="dxa"/>
            <w:vAlign w:val="center"/>
          </w:tcPr>
          <w:p w14:paraId="5A9CCF85" w14:textId="77777777" w:rsidR="0041701F" w:rsidRPr="0068749D" w:rsidRDefault="0041701F">
            <w:pPr>
              <w:pStyle w:val="TableText0"/>
            </w:pPr>
            <w:r w:rsidRPr="0068749D">
              <w:t>Administration of infusion</w:t>
            </w:r>
          </w:p>
        </w:tc>
        <w:tc>
          <w:tcPr>
            <w:tcW w:w="1812" w:type="dxa"/>
            <w:vAlign w:val="bottom"/>
          </w:tcPr>
          <w:p w14:paraId="4CD205F2" w14:textId="77777777" w:rsidR="0041701F" w:rsidRPr="0068749D" w:rsidRDefault="0041701F">
            <w:pPr>
              <w:pStyle w:val="TableText0"/>
              <w:jc w:val="center"/>
            </w:pPr>
            <w:r w:rsidRPr="0068749D">
              <w:rPr>
                <w:color w:val="000000"/>
                <w:szCs w:val="20"/>
              </w:rPr>
              <w:t>$1,588</w:t>
            </w:r>
          </w:p>
        </w:tc>
        <w:tc>
          <w:tcPr>
            <w:tcW w:w="1601" w:type="dxa"/>
            <w:vAlign w:val="bottom"/>
          </w:tcPr>
          <w:p w14:paraId="303AEC95" w14:textId="77777777" w:rsidR="0041701F" w:rsidRPr="0068749D" w:rsidRDefault="0041701F">
            <w:pPr>
              <w:pStyle w:val="TableText0"/>
              <w:jc w:val="center"/>
            </w:pPr>
            <w:r w:rsidRPr="0068749D">
              <w:rPr>
                <w:color w:val="000000"/>
                <w:szCs w:val="20"/>
              </w:rPr>
              <w:t>$907</w:t>
            </w:r>
          </w:p>
        </w:tc>
        <w:tc>
          <w:tcPr>
            <w:tcW w:w="1412" w:type="dxa"/>
            <w:vAlign w:val="bottom"/>
          </w:tcPr>
          <w:p w14:paraId="5F92D789" w14:textId="77777777" w:rsidR="0041701F" w:rsidRPr="0068749D" w:rsidRDefault="0041701F">
            <w:pPr>
              <w:pStyle w:val="TableText0"/>
              <w:jc w:val="center"/>
            </w:pPr>
            <w:r w:rsidRPr="0068749D">
              <w:rPr>
                <w:color w:val="000000"/>
                <w:szCs w:val="20"/>
              </w:rPr>
              <w:t>$680</w:t>
            </w:r>
          </w:p>
        </w:tc>
        <w:tc>
          <w:tcPr>
            <w:tcW w:w="1362" w:type="dxa"/>
            <w:vAlign w:val="bottom"/>
          </w:tcPr>
          <w:p w14:paraId="1F638095" w14:textId="5FB405D5" w:rsidR="0041701F" w:rsidRPr="0068749D" w:rsidRDefault="00183F76">
            <w:pPr>
              <w:pStyle w:val="TableText0"/>
              <w:jc w:val="center"/>
            </w:pPr>
            <w:r w:rsidRPr="00183F76">
              <w:rPr>
                <w:color w:val="000000"/>
                <w:szCs w:val="20"/>
                <w:highlight w:val="black"/>
              </w:rPr>
              <w:t>&amp;&amp;&amp;&amp;</w:t>
            </w:r>
            <w:r w:rsidR="0041701F" w:rsidRPr="0068749D">
              <w:rPr>
                <w:color w:val="000000"/>
                <w:szCs w:val="20"/>
              </w:rPr>
              <w:t>%</w:t>
            </w:r>
          </w:p>
        </w:tc>
      </w:tr>
      <w:tr w:rsidR="0041701F" w:rsidRPr="0068749D" w14:paraId="74CC5720" w14:textId="77777777">
        <w:tc>
          <w:tcPr>
            <w:tcW w:w="2830" w:type="dxa"/>
            <w:vAlign w:val="center"/>
          </w:tcPr>
          <w:p w14:paraId="46E87B90" w14:textId="367DA549" w:rsidR="0041701F" w:rsidRPr="0068749D" w:rsidRDefault="0041701F">
            <w:pPr>
              <w:pStyle w:val="TableText0"/>
            </w:pPr>
            <w:r w:rsidRPr="0068749D">
              <w:t>Hospital cost (</w:t>
            </w:r>
            <w:r w:rsidR="00847091">
              <w:t>RC</w:t>
            </w:r>
            <w:r w:rsidRPr="0068749D">
              <w:t>)</w:t>
            </w:r>
          </w:p>
        </w:tc>
        <w:tc>
          <w:tcPr>
            <w:tcW w:w="1812" w:type="dxa"/>
            <w:vAlign w:val="bottom"/>
          </w:tcPr>
          <w:p w14:paraId="5FD92564" w14:textId="77777777" w:rsidR="0041701F" w:rsidRPr="0068749D" w:rsidRDefault="0041701F">
            <w:pPr>
              <w:pStyle w:val="TableText0"/>
              <w:jc w:val="center"/>
            </w:pPr>
            <w:r w:rsidRPr="0068749D">
              <w:rPr>
                <w:color w:val="000000"/>
                <w:szCs w:val="20"/>
              </w:rPr>
              <w:t>$11,855</w:t>
            </w:r>
          </w:p>
        </w:tc>
        <w:tc>
          <w:tcPr>
            <w:tcW w:w="1601" w:type="dxa"/>
            <w:vAlign w:val="bottom"/>
          </w:tcPr>
          <w:p w14:paraId="287C649E" w14:textId="77777777" w:rsidR="0041701F" w:rsidRPr="0068749D" w:rsidRDefault="0041701F">
            <w:pPr>
              <w:pStyle w:val="TableText0"/>
              <w:jc w:val="center"/>
            </w:pPr>
            <w:r w:rsidRPr="0068749D">
              <w:rPr>
                <w:color w:val="000000"/>
                <w:szCs w:val="20"/>
              </w:rPr>
              <w:t>$11,210</w:t>
            </w:r>
          </w:p>
        </w:tc>
        <w:tc>
          <w:tcPr>
            <w:tcW w:w="1412" w:type="dxa"/>
            <w:vAlign w:val="bottom"/>
          </w:tcPr>
          <w:p w14:paraId="472CBB78" w14:textId="77777777" w:rsidR="0041701F" w:rsidRPr="0068749D" w:rsidRDefault="0041701F">
            <w:pPr>
              <w:pStyle w:val="TableText0"/>
              <w:jc w:val="center"/>
            </w:pPr>
            <w:r w:rsidRPr="0068749D">
              <w:rPr>
                <w:color w:val="000000"/>
                <w:szCs w:val="20"/>
              </w:rPr>
              <w:t>$645</w:t>
            </w:r>
          </w:p>
        </w:tc>
        <w:tc>
          <w:tcPr>
            <w:tcW w:w="1362" w:type="dxa"/>
            <w:vAlign w:val="bottom"/>
          </w:tcPr>
          <w:p w14:paraId="1A20BBAB" w14:textId="6CEA986C" w:rsidR="0041701F" w:rsidRPr="0068749D" w:rsidRDefault="00183F76">
            <w:pPr>
              <w:pStyle w:val="TableText0"/>
              <w:jc w:val="center"/>
            </w:pPr>
            <w:r w:rsidRPr="00183F76">
              <w:rPr>
                <w:color w:val="000000"/>
                <w:szCs w:val="20"/>
                <w:highlight w:val="black"/>
              </w:rPr>
              <w:t>&amp;&amp;&amp;&amp;</w:t>
            </w:r>
            <w:r w:rsidR="0041701F" w:rsidRPr="0068749D">
              <w:rPr>
                <w:color w:val="000000"/>
                <w:szCs w:val="20"/>
              </w:rPr>
              <w:t>%</w:t>
            </w:r>
          </w:p>
        </w:tc>
      </w:tr>
      <w:tr w:rsidR="0041701F" w:rsidRPr="0068749D" w14:paraId="0BE4220C" w14:textId="77777777">
        <w:tc>
          <w:tcPr>
            <w:tcW w:w="9017" w:type="dxa"/>
            <w:gridSpan w:val="5"/>
            <w:vAlign w:val="center"/>
          </w:tcPr>
          <w:p w14:paraId="5E3755D1" w14:textId="77777777" w:rsidR="0041701F" w:rsidRPr="009F6381" w:rsidRDefault="0041701F">
            <w:pPr>
              <w:pStyle w:val="TableText0"/>
            </w:pPr>
            <w:r w:rsidRPr="009F6381">
              <w:t>Subsequent treatment with administration cost</w:t>
            </w:r>
          </w:p>
        </w:tc>
      </w:tr>
      <w:tr w:rsidR="0041701F" w:rsidRPr="0068749D" w14:paraId="7C50B340" w14:textId="77777777">
        <w:tc>
          <w:tcPr>
            <w:tcW w:w="2830" w:type="dxa"/>
            <w:vAlign w:val="center"/>
          </w:tcPr>
          <w:p w14:paraId="49FAE825" w14:textId="77777777" w:rsidR="0041701F" w:rsidRPr="0068749D" w:rsidRDefault="0041701F">
            <w:pPr>
              <w:pStyle w:val="TableText0"/>
            </w:pPr>
            <w:r w:rsidRPr="0068749D">
              <w:t>–Adjuvant nivolumab</w:t>
            </w:r>
          </w:p>
        </w:tc>
        <w:tc>
          <w:tcPr>
            <w:tcW w:w="1812" w:type="dxa"/>
            <w:vAlign w:val="bottom"/>
          </w:tcPr>
          <w:p w14:paraId="39A8BFB7" w14:textId="77777777" w:rsidR="0041701F" w:rsidRPr="0068749D" w:rsidRDefault="0041701F">
            <w:pPr>
              <w:pStyle w:val="TableText0"/>
              <w:jc w:val="center"/>
            </w:pPr>
            <w:r w:rsidRPr="0068749D">
              <w:rPr>
                <w:color w:val="000000"/>
                <w:szCs w:val="20"/>
              </w:rPr>
              <w:t>$0</w:t>
            </w:r>
          </w:p>
        </w:tc>
        <w:tc>
          <w:tcPr>
            <w:tcW w:w="1601" w:type="dxa"/>
            <w:vAlign w:val="bottom"/>
          </w:tcPr>
          <w:p w14:paraId="19CF9504" w14:textId="71FBAF8C" w:rsidR="0041701F" w:rsidRPr="0068749D" w:rsidRDefault="0041701F">
            <w:pPr>
              <w:pStyle w:val="TableText0"/>
              <w:jc w:val="center"/>
            </w:pPr>
            <w:r w:rsidRPr="0068749D">
              <w:rPr>
                <w:color w:val="000000"/>
                <w:szCs w:val="20"/>
              </w:rPr>
              <w:t>$</w:t>
            </w:r>
            <w:r w:rsidR="00CE7399" w:rsidRPr="00CE7399">
              <w:rPr>
                <w:color w:val="000000"/>
                <w:szCs w:val="20"/>
                <w:highlight w:val="black"/>
              </w:rPr>
              <w:t>&amp;&amp;&amp;&amp;</w:t>
            </w:r>
            <w:r w:rsidR="001064B4">
              <w:rPr>
                <w:color w:val="000000"/>
                <w:szCs w:val="20"/>
              </w:rPr>
              <w:t xml:space="preserve"> </w:t>
            </w:r>
            <w:r w:rsidR="00795A41" w:rsidRPr="00795A41">
              <w:rPr>
                <w:color w:val="000000"/>
                <w:szCs w:val="20"/>
                <w:vertAlign w:val="superscript"/>
              </w:rPr>
              <w:t>b</w:t>
            </w:r>
          </w:p>
        </w:tc>
        <w:tc>
          <w:tcPr>
            <w:tcW w:w="1412" w:type="dxa"/>
            <w:vAlign w:val="bottom"/>
          </w:tcPr>
          <w:p w14:paraId="4B948382" w14:textId="5F8A89A4" w:rsidR="0041701F" w:rsidRPr="009F6381" w:rsidRDefault="0041701F">
            <w:pPr>
              <w:pStyle w:val="TableText0"/>
              <w:jc w:val="center"/>
            </w:pPr>
            <w:r w:rsidRPr="009F6381">
              <w:rPr>
                <w:color w:val="000000"/>
                <w:szCs w:val="20"/>
              </w:rPr>
              <w:t>–$</w:t>
            </w:r>
            <w:r w:rsidR="001064B4" w:rsidRPr="001064B4">
              <w:rPr>
                <w:color w:val="000000"/>
                <w:szCs w:val="20"/>
                <w:highlight w:val="black"/>
              </w:rPr>
              <w:t>&amp;&amp;&amp;&amp;</w:t>
            </w:r>
            <w:r w:rsidR="001064B4">
              <w:rPr>
                <w:color w:val="000000"/>
                <w:szCs w:val="20"/>
              </w:rPr>
              <w:t xml:space="preserve"> </w:t>
            </w:r>
            <w:r w:rsidR="00795A41" w:rsidRPr="009F6381">
              <w:rPr>
                <w:color w:val="000000"/>
                <w:szCs w:val="20"/>
                <w:vertAlign w:val="superscript"/>
              </w:rPr>
              <w:t>b</w:t>
            </w:r>
          </w:p>
        </w:tc>
        <w:tc>
          <w:tcPr>
            <w:tcW w:w="1362" w:type="dxa"/>
            <w:vAlign w:val="bottom"/>
          </w:tcPr>
          <w:p w14:paraId="1B85EFE4" w14:textId="7A5F0F24" w:rsidR="0041701F" w:rsidRPr="006B40D7" w:rsidRDefault="0041701F">
            <w:pPr>
              <w:pStyle w:val="TableText0"/>
              <w:jc w:val="center"/>
            </w:pPr>
            <w:r w:rsidRPr="006B40D7">
              <w:rPr>
                <w:color w:val="000000"/>
                <w:szCs w:val="20"/>
              </w:rPr>
              <w:t>–</w:t>
            </w:r>
            <w:r w:rsidR="00D1260F" w:rsidRPr="00D1260F">
              <w:rPr>
                <w:color w:val="000000"/>
                <w:szCs w:val="20"/>
                <w:highlight w:val="black"/>
              </w:rPr>
              <w:t>&amp;&amp;&amp;&amp;</w:t>
            </w:r>
            <w:r w:rsidRPr="006B40D7">
              <w:rPr>
                <w:color w:val="000000"/>
                <w:szCs w:val="20"/>
              </w:rPr>
              <w:t>%</w:t>
            </w:r>
          </w:p>
        </w:tc>
      </w:tr>
      <w:tr w:rsidR="0041701F" w:rsidRPr="0068749D" w14:paraId="25681CC0" w14:textId="77777777">
        <w:tc>
          <w:tcPr>
            <w:tcW w:w="2830" w:type="dxa"/>
            <w:vAlign w:val="center"/>
          </w:tcPr>
          <w:p w14:paraId="3EF98BA5" w14:textId="77777777" w:rsidR="0041701F" w:rsidRPr="0068749D" w:rsidRDefault="0041701F">
            <w:pPr>
              <w:pStyle w:val="TableText0"/>
            </w:pPr>
            <w:r w:rsidRPr="0068749D">
              <w:t>–GC induction for LR or DR</w:t>
            </w:r>
          </w:p>
        </w:tc>
        <w:tc>
          <w:tcPr>
            <w:tcW w:w="1812" w:type="dxa"/>
            <w:vAlign w:val="bottom"/>
          </w:tcPr>
          <w:p w14:paraId="066F1A47" w14:textId="77777777" w:rsidR="0041701F" w:rsidRPr="0068749D" w:rsidRDefault="0041701F">
            <w:pPr>
              <w:pStyle w:val="TableText0"/>
              <w:jc w:val="center"/>
            </w:pPr>
            <w:r w:rsidRPr="0068749D">
              <w:rPr>
                <w:color w:val="000000"/>
                <w:szCs w:val="20"/>
              </w:rPr>
              <w:t>$1,282</w:t>
            </w:r>
          </w:p>
        </w:tc>
        <w:tc>
          <w:tcPr>
            <w:tcW w:w="1601" w:type="dxa"/>
            <w:vAlign w:val="bottom"/>
          </w:tcPr>
          <w:p w14:paraId="6F4FC765" w14:textId="77777777" w:rsidR="0041701F" w:rsidRPr="0068749D" w:rsidRDefault="0041701F">
            <w:pPr>
              <w:pStyle w:val="TableText0"/>
              <w:jc w:val="center"/>
            </w:pPr>
            <w:r w:rsidRPr="0068749D">
              <w:rPr>
                <w:color w:val="000000"/>
                <w:szCs w:val="20"/>
              </w:rPr>
              <w:t>$2,045</w:t>
            </w:r>
          </w:p>
        </w:tc>
        <w:tc>
          <w:tcPr>
            <w:tcW w:w="1412" w:type="dxa"/>
            <w:vAlign w:val="bottom"/>
          </w:tcPr>
          <w:p w14:paraId="62A150F8" w14:textId="77777777" w:rsidR="0041701F" w:rsidRPr="009F6381" w:rsidRDefault="0041701F">
            <w:pPr>
              <w:pStyle w:val="TableText0"/>
              <w:jc w:val="center"/>
            </w:pPr>
            <w:r w:rsidRPr="009F6381">
              <w:rPr>
                <w:color w:val="000000"/>
                <w:szCs w:val="20"/>
              </w:rPr>
              <w:t>–$763</w:t>
            </w:r>
          </w:p>
        </w:tc>
        <w:tc>
          <w:tcPr>
            <w:tcW w:w="1362" w:type="dxa"/>
            <w:vAlign w:val="bottom"/>
          </w:tcPr>
          <w:p w14:paraId="61AC2DDB" w14:textId="48A126E6" w:rsidR="0041701F" w:rsidRPr="006B40D7" w:rsidRDefault="0041701F">
            <w:pPr>
              <w:pStyle w:val="TableText0"/>
              <w:jc w:val="center"/>
            </w:pPr>
            <w:r w:rsidRPr="006B40D7">
              <w:rPr>
                <w:color w:val="000000"/>
                <w:szCs w:val="20"/>
              </w:rPr>
              <w:t>–</w:t>
            </w:r>
            <w:r w:rsidR="00183F76" w:rsidRPr="00183F76">
              <w:rPr>
                <w:color w:val="000000"/>
                <w:szCs w:val="20"/>
                <w:highlight w:val="black"/>
              </w:rPr>
              <w:t>&amp;&amp;&amp;&amp;</w:t>
            </w:r>
            <w:r w:rsidRPr="006B40D7">
              <w:rPr>
                <w:color w:val="000000"/>
                <w:szCs w:val="20"/>
              </w:rPr>
              <w:t>%</w:t>
            </w:r>
          </w:p>
        </w:tc>
      </w:tr>
      <w:tr w:rsidR="0041701F" w:rsidRPr="0068749D" w14:paraId="28E44868" w14:textId="77777777">
        <w:tc>
          <w:tcPr>
            <w:tcW w:w="2830" w:type="dxa"/>
            <w:vAlign w:val="center"/>
          </w:tcPr>
          <w:p w14:paraId="2623C4B3" w14:textId="77777777" w:rsidR="0041701F" w:rsidRPr="0068749D" w:rsidDel="00F86853" w:rsidRDefault="0041701F">
            <w:pPr>
              <w:pStyle w:val="TableText0"/>
            </w:pPr>
            <w:r w:rsidRPr="0068749D">
              <w:t>–Avelumab for DR</w:t>
            </w:r>
          </w:p>
        </w:tc>
        <w:tc>
          <w:tcPr>
            <w:tcW w:w="1812" w:type="dxa"/>
            <w:vAlign w:val="bottom"/>
          </w:tcPr>
          <w:p w14:paraId="453DBD6D" w14:textId="77777777" w:rsidR="0041701F" w:rsidRPr="0068749D" w:rsidRDefault="0041701F">
            <w:pPr>
              <w:pStyle w:val="TableText0"/>
              <w:jc w:val="center"/>
            </w:pPr>
            <w:r w:rsidRPr="0068749D">
              <w:rPr>
                <w:color w:val="000000"/>
                <w:szCs w:val="20"/>
              </w:rPr>
              <w:t>$0</w:t>
            </w:r>
          </w:p>
        </w:tc>
        <w:tc>
          <w:tcPr>
            <w:tcW w:w="1601" w:type="dxa"/>
            <w:vAlign w:val="bottom"/>
          </w:tcPr>
          <w:p w14:paraId="6C98D37D" w14:textId="1637B3DC" w:rsidR="0041701F" w:rsidRPr="0068749D" w:rsidRDefault="0041701F">
            <w:pPr>
              <w:pStyle w:val="TableText0"/>
              <w:jc w:val="center"/>
            </w:pPr>
            <w:r w:rsidRPr="0068749D">
              <w:rPr>
                <w:color w:val="000000"/>
                <w:szCs w:val="20"/>
              </w:rPr>
              <w:t>$</w:t>
            </w:r>
            <w:r w:rsidR="001064B4" w:rsidRPr="001064B4">
              <w:rPr>
                <w:color w:val="000000"/>
                <w:szCs w:val="20"/>
                <w:highlight w:val="black"/>
              </w:rPr>
              <w:t>&amp;&amp;&amp;&amp;</w:t>
            </w:r>
            <w:r w:rsidR="00795A41" w:rsidRPr="00795A41">
              <w:rPr>
                <w:color w:val="000000"/>
                <w:szCs w:val="20"/>
                <w:vertAlign w:val="superscript"/>
              </w:rPr>
              <w:t xml:space="preserve"> b</w:t>
            </w:r>
          </w:p>
        </w:tc>
        <w:tc>
          <w:tcPr>
            <w:tcW w:w="1412" w:type="dxa"/>
            <w:vAlign w:val="bottom"/>
          </w:tcPr>
          <w:p w14:paraId="3DF65AE5" w14:textId="2CA521FB" w:rsidR="0041701F" w:rsidRPr="009F6381" w:rsidRDefault="0041701F">
            <w:pPr>
              <w:pStyle w:val="TableText0"/>
              <w:jc w:val="center"/>
            </w:pPr>
            <w:r w:rsidRPr="009F6381">
              <w:rPr>
                <w:color w:val="000000"/>
                <w:szCs w:val="20"/>
              </w:rPr>
              <w:t>–$</w:t>
            </w:r>
            <w:r w:rsidR="00D1260F" w:rsidRPr="00D1260F">
              <w:rPr>
                <w:color w:val="000000"/>
                <w:szCs w:val="20"/>
                <w:highlight w:val="black"/>
              </w:rPr>
              <w:t>&amp;&amp;&amp;&amp;</w:t>
            </w:r>
            <w:r w:rsidR="00795A41" w:rsidRPr="009F6381">
              <w:rPr>
                <w:color w:val="000000"/>
                <w:szCs w:val="20"/>
                <w:vertAlign w:val="superscript"/>
              </w:rPr>
              <w:t xml:space="preserve"> b</w:t>
            </w:r>
          </w:p>
        </w:tc>
        <w:tc>
          <w:tcPr>
            <w:tcW w:w="1362" w:type="dxa"/>
            <w:vAlign w:val="bottom"/>
          </w:tcPr>
          <w:p w14:paraId="2F09E007" w14:textId="1B0D8F23" w:rsidR="0041701F" w:rsidRPr="006B40D7" w:rsidRDefault="0041701F">
            <w:pPr>
              <w:pStyle w:val="TableText0"/>
              <w:jc w:val="center"/>
            </w:pPr>
            <w:r w:rsidRPr="006B40D7">
              <w:rPr>
                <w:color w:val="000000"/>
                <w:szCs w:val="20"/>
              </w:rPr>
              <w:t>–</w:t>
            </w:r>
            <w:r w:rsidR="00D1260F" w:rsidRPr="00D1260F">
              <w:rPr>
                <w:color w:val="000000"/>
                <w:szCs w:val="20"/>
                <w:highlight w:val="black"/>
              </w:rPr>
              <w:t>&amp;&amp;&amp;&amp;</w:t>
            </w:r>
            <w:r w:rsidRPr="006B40D7">
              <w:rPr>
                <w:color w:val="000000"/>
                <w:szCs w:val="20"/>
              </w:rPr>
              <w:t>%</w:t>
            </w:r>
          </w:p>
        </w:tc>
      </w:tr>
      <w:tr w:rsidR="0041701F" w:rsidRPr="0068749D" w14:paraId="476D8BBA" w14:textId="77777777">
        <w:tc>
          <w:tcPr>
            <w:tcW w:w="2830" w:type="dxa"/>
          </w:tcPr>
          <w:p w14:paraId="58BA8BC8" w14:textId="77777777" w:rsidR="0041701F" w:rsidRPr="0068749D" w:rsidRDefault="0041701F">
            <w:pPr>
              <w:pStyle w:val="TableText0"/>
            </w:pPr>
            <w:r w:rsidRPr="0068749D">
              <w:t>Disease management</w:t>
            </w:r>
          </w:p>
        </w:tc>
        <w:tc>
          <w:tcPr>
            <w:tcW w:w="1812" w:type="dxa"/>
            <w:vAlign w:val="bottom"/>
          </w:tcPr>
          <w:p w14:paraId="079154DF" w14:textId="77777777" w:rsidR="0041701F" w:rsidRPr="0068749D" w:rsidRDefault="0041701F">
            <w:pPr>
              <w:pStyle w:val="TableText0"/>
              <w:jc w:val="center"/>
            </w:pPr>
            <w:r w:rsidRPr="0068749D">
              <w:rPr>
                <w:color w:val="000000"/>
                <w:szCs w:val="20"/>
              </w:rPr>
              <w:t>$13,117</w:t>
            </w:r>
          </w:p>
        </w:tc>
        <w:tc>
          <w:tcPr>
            <w:tcW w:w="1601" w:type="dxa"/>
            <w:vAlign w:val="bottom"/>
          </w:tcPr>
          <w:p w14:paraId="6D71A0FD" w14:textId="77777777" w:rsidR="0041701F" w:rsidRPr="0068749D" w:rsidRDefault="0041701F">
            <w:pPr>
              <w:pStyle w:val="TableText0"/>
              <w:jc w:val="center"/>
            </w:pPr>
            <w:r w:rsidRPr="0068749D">
              <w:rPr>
                <w:color w:val="000000"/>
                <w:szCs w:val="20"/>
              </w:rPr>
              <w:t>$13,554</w:t>
            </w:r>
          </w:p>
        </w:tc>
        <w:tc>
          <w:tcPr>
            <w:tcW w:w="1412" w:type="dxa"/>
            <w:vAlign w:val="bottom"/>
          </w:tcPr>
          <w:p w14:paraId="3B39E9AB" w14:textId="77777777" w:rsidR="0041701F" w:rsidRPr="0068749D" w:rsidRDefault="0041701F">
            <w:pPr>
              <w:pStyle w:val="TableText0"/>
              <w:jc w:val="center"/>
            </w:pPr>
            <w:r w:rsidRPr="0068749D">
              <w:rPr>
                <w:color w:val="000000"/>
                <w:szCs w:val="20"/>
              </w:rPr>
              <w:t>–$437</w:t>
            </w:r>
          </w:p>
        </w:tc>
        <w:tc>
          <w:tcPr>
            <w:tcW w:w="1362" w:type="dxa"/>
            <w:vAlign w:val="bottom"/>
          </w:tcPr>
          <w:p w14:paraId="37C6245B" w14:textId="049FCE29" w:rsidR="0041701F" w:rsidRPr="006B40D7" w:rsidRDefault="0041701F">
            <w:pPr>
              <w:pStyle w:val="TableText0"/>
              <w:jc w:val="center"/>
            </w:pPr>
            <w:r w:rsidRPr="006B40D7">
              <w:rPr>
                <w:color w:val="000000"/>
                <w:szCs w:val="20"/>
              </w:rPr>
              <w:t>–</w:t>
            </w:r>
            <w:r w:rsidR="00183F76" w:rsidRPr="00183F76">
              <w:rPr>
                <w:color w:val="000000"/>
                <w:szCs w:val="20"/>
                <w:highlight w:val="black"/>
              </w:rPr>
              <w:t>&amp;&amp;&amp;&amp;</w:t>
            </w:r>
            <w:r w:rsidRPr="006B40D7">
              <w:rPr>
                <w:color w:val="000000"/>
                <w:szCs w:val="20"/>
              </w:rPr>
              <w:t>%</w:t>
            </w:r>
          </w:p>
        </w:tc>
      </w:tr>
      <w:tr w:rsidR="0041701F" w:rsidRPr="0068749D" w14:paraId="0E27440D" w14:textId="77777777">
        <w:tc>
          <w:tcPr>
            <w:tcW w:w="2830" w:type="dxa"/>
          </w:tcPr>
          <w:p w14:paraId="50964226" w14:textId="77777777" w:rsidR="0041701F" w:rsidRPr="0068749D" w:rsidRDefault="0041701F">
            <w:pPr>
              <w:pStyle w:val="TableText0"/>
            </w:pPr>
            <w:r w:rsidRPr="0068749D">
              <w:t>Management of AEs</w:t>
            </w:r>
          </w:p>
        </w:tc>
        <w:tc>
          <w:tcPr>
            <w:tcW w:w="1812" w:type="dxa"/>
            <w:vAlign w:val="bottom"/>
          </w:tcPr>
          <w:p w14:paraId="2F749501" w14:textId="77777777" w:rsidR="0041701F" w:rsidRPr="0068749D" w:rsidRDefault="0041701F">
            <w:pPr>
              <w:pStyle w:val="TableText0"/>
              <w:jc w:val="center"/>
            </w:pPr>
            <w:r w:rsidRPr="0068749D">
              <w:rPr>
                <w:color w:val="000000"/>
                <w:szCs w:val="20"/>
              </w:rPr>
              <w:t>$657</w:t>
            </w:r>
          </w:p>
        </w:tc>
        <w:tc>
          <w:tcPr>
            <w:tcW w:w="1601" w:type="dxa"/>
            <w:vAlign w:val="bottom"/>
          </w:tcPr>
          <w:p w14:paraId="2685221A" w14:textId="77777777" w:rsidR="0041701F" w:rsidRPr="0068749D" w:rsidRDefault="0041701F">
            <w:pPr>
              <w:pStyle w:val="TableText0"/>
              <w:jc w:val="center"/>
            </w:pPr>
            <w:r w:rsidRPr="0068749D">
              <w:rPr>
                <w:color w:val="000000"/>
                <w:szCs w:val="20"/>
              </w:rPr>
              <w:t>$178</w:t>
            </w:r>
          </w:p>
        </w:tc>
        <w:tc>
          <w:tcPr>
            <w:tcW w:w="1412" w:type="dxa"/>
            <w:vAlign w:val="bottom"/>
          </w:tcPr>
          <w:p w14:paraId="5C7A1802" w14:textId="77777777" w:rsidR="0041701F" w:rsidRPr="0068749D" w:rsidRDefault="0041701F">
            <w:pPr>
              <w:pStyle w:val="TableText0"/>
              <w:jc w:val="center"/>
            </w:pPr>
            <w:r w:rsidRPr="0068749D">
              <w:rPr>
                <w:color w:val="000000"/>
                <w:szCs w:val="20"/>
              </w:rPr>
              <w:t>$479</w:t>
            </w:r>
          </w:p>
        </w:tc>
        <w:tc>
          <w:tcPr>
            <w:tcW w:w="1362" w:type="dxa"/>
            <w:vAlign w:val="bottom"/>
          </w:tcPr>
          <w:p w14:paraId="52F7F964" w14:textId="402F53DB" w:rsidR="0041701F" w:rsidRPr="0068749D" w:rsidRDefault="008549A9">
            <w:pPr>
              <w:pStyle w:val="TableText0"/>
              <w:jc w:val="center"/>
            </w:pPr>
            <w:r>
              <w:rPr>
                <w:color w:val="000000"/>
                <w:szCs w:val="20"/>
              </w:rPr>
              <w:t xml:space="preserve">  </w:t>
            </w:r>
            <w:r w:rsidR="00183F76" w:rsidRPr="008549A9">
              <w:rPr>
                <w:color w:val="000000"/>
                <w:szCs w:val="20"/>
                <w:highlight w:val="black"/>
              </w:rPr>
              <w:t>&amp;&amp;&amp;&amp;</w:t>
            </w:r>
            <w:r w:rsidR="0041701F" w:rsidRPr="0068749D">
              <w:rPr>
                <w:color w:val="000000"/>
                <w:szCs w:val="20"/>
              </w:rPr>
              <w:t>%</w:t>
            </w:r>
          </w:p>
        </w:tc>
      </w:tr>
      <w:tr w:rsidR="0041701F" w:rsidRPr="0068749D" w14:paraId="0DA66AAA" w14:textId="77777777">
        <w:tc>
          <w:tcPr>
            <w:tcW w:w="2830" w:type="dxa"/>
            <w:vAlign w:val="center"/>
          </w:tcPr>
          <w:p w14:paraId="136A6E95" w14:textId="77777777" w:rsidR="0041701F" w:rsidRPr="0068749D" w:rsidRDefault="0041701F">
            <w:pPr>
              <w:pStyle w:val="TableText0"/>
              <w:rPr>
                <w:b/>
                <w:bCs w:val="0"/>
              </w:rPr>
            </w:pPr>
            <w:r w:rsidRPr="0068749D">
              <w:rPr>
                <w:b/>
                <w:bCs w:val="0"/>
              </w:rPr>
              <w:t>Total cost</w:t>
            </w:r>
          </w:p>
        </w:tc>
        <w:tc>
          <w:tcPr>
            <w:tcW w:w="1812" w:type="dxa"/>
            <w:vAlign w:val="bottom"/>
          </w:tcPr>
          <w:p w14:paraId="75210505" w14:textId="7C87F330" w:rsidR="0041701F" w:rsidRPr="00CE5F03" w:rsidRDefault="0041701F">
            <w:pPr>
              <w:pStyle w:val="TableText0"/>
              <w:jc w:val="center"/>
              <w:rPr>
                <w:b/>
                <w:bCs w:val="0"/>
                <w:vertAlign w:val="superscript"/>
              </w:rPr>
            </w:pPr>
            <w:r w:rsidRPr="0068749D">
              <w:rPr>
                <w:b/>
                <w:bCs w:val="0"/>
                <w:color w:val="000000"/>
                <w:szCs w:val="20"/>
              </w:rPr>
              <w:t>$</w:t>
            </w:r>
            <w:r w:rsidR="000F4FEC" w:rsidRPr="000F4FEC">
              <w:rPr>
                <w:b/>
                <w:bCs w:val="0"/>
                <w:color w:val="000000"/>
                <w:szCs w:val="20"/>
                <w:highlight w:val="black"/>
              </w:rPr>
              <w:t>@@@@</w:t>
            </w:r>
            <w:r w:rsidR="00997518">
              <w:rPr>
                <w:b/>
                <w:bCs w:val="0"/>
                <w:color w:val="000000"/>
                <w:szCs w:val="20"/>
              </w:rPr>
              <w:t xml:space="preserve"> </w:t>
            </w:r>
          </w:p>
        </w:tc>
        <w:tc>
          <w:tcPr>
            <w:tcW w:w="1601" w:type="dxa"/>
            <w:vAlign w:val="bottom"/>
          </w:tcPr>
          <w:p w14:paraId="0ECA882E" w14:textId="086D3E51" w:rsidR="0041701F" w:rsidRPr="0068749D" w:rsidRDefault="0041701F">
            <w:pPr>
              <w:pStyle w:val="TableText0"/>
              <w:jc w:val="center"/>
              <w:rPr>
                <w:b/>
                <w:bCs w:val="0"/>
              </w:rPr>
            </w:pPr>
            <w:r w:rsidRPr="00E93E11">
              <w:rPr>
                <w:b/>
                <w:bCs w:val="0"/>
                <w:color w:val="000000"/>
                <w:szCs w:val="20"/>
              </w:rPr>
              <w:t>$48,202</w:t>
            </w:r>
            <w:r w:rsidR="0095670C" w:rsidRPr="00E93E11">
              <w:rPr>
                <w:color w:val="000000"/>
                <w:szCs w:val="20"/>
                <w:vertAlign w:val="superscript"/>
              </w:rPr>
              <w:t xml:space="preserve"> b</w:t>
            </w:r>
          </w:p>
        </w:tc>
        <w:tc>
          <w:tcPr>
            <w:tcW w:w="1412" w:type="dxa"/>
            <w:vAlign w:val="bottom"/>
          </w:tcPr>
          <w:p w14:paraId="0AD70DD4" w14:textId="64057064" w:rsidR="0041701F" w:rsidRPr="0068749D" w:rsidRDefault="0041701F">
            <w:pPr>
              <w:pStyle w:val="TableText0"/>
              <w:jc w:val="center"/>
              <w:rPr>
                <w:b/>
                <w:bCs w:val="0"/>
              </w:rPr>
            </w:pPr>
            <w:r w:rsidRPr="0068749D">
              <w:rPr>
                <w:b/>
                <w:bCs w:val="0"/>
                <w:color w:val="000000"/>
                <w:szCs w:val="20"/>
              </w:rPr>
              <w:t>$</w:t>
            </w:r>
            <w:r w:rsidR="000F4FEC" w:rsidRPr="000F4FEC">
              <w:rPr>
                <w:b/>
                <w:bCs w:val="0"/>
                <w:color w:val="000000"/>
                <w:szCs w:val="20"/>
                <w:highlight w:val="black"/>
              </w:rPr>
              <w:t>@@@@</w:t>
            </w:r>
            <w:r w:rsidR="0095670C" w:rsidRPr="00795A41">
              <w:rPr>
                <w:color w:val="000000"/>
                <w:szCs w:val="20"/>
                <w:vertAlign w:val="superscript"/>
              </w:rPr>
              <w:t xml:space="preserve"> b</w:t>
            </w:r>
            <w:r w:rsidR="004131AF">
              <w:rPr>
                <w:color w:val="000000"/>
                <w:szCs w:val="20"/>
                <w:vertAlign w:val="superscript"/>
              </w:rPr>
              <w:t xml:space="preserve"> </w:t>
            </w:r>
          </w:p>
        </w:tc>
        <w:tc>
          <w:tcPr>
            <w:tcW w:w="1362" w:type="dxa"/>
          </w:tcPr>
          <w:p w14:paraId="773A2B92" w14:textId="77777777" w:rsidR="0041701F" w:rsidRPr="0068749D" w:rsidRDefault="0041701F">
            <w:pPr>
              <w:pStyle w:val="TableText0"/>
              <w:jc w:val="center"/>
            </w:pPr>
          </w:p>
        </w:tc>
      </w:tr>
      <w:tr w:rsidR="0041701F" w:rsidRPr="0068749D" w14:paraId="4F4AC2EA" w14:textId="77777777">
        <w:tc>
          <w:tcPr>
            <w:tcW w:w="9017" w:type="dxa"/>
            <w:gridSpan w:val="5"/>
            <w:vAlign w:val="center"/>
          </w:tcPr>
          <w:p w14:paraId="4456C184" w14:textId="77777777" w:rsidR="0041701F" w:rsidRPr="0068749D" w:rsidRDefault="0041701F">
            <w:pPr>
              <w:pStyle w:val="In-tableHeading"/>
              <w:rPr>
                <w:lang w:val="en-AU"/>
              </w:rPr>
            </w:pPr>
            <w:r w:rsidRPr="0068749D">
              <w:rPr>
                <w:lang w:val="en-AU"/>
              </w:rPr>
              <w:t>Outcomes</w:t>
            </w:r>
          </w:p>
        </w:tc>
      </w:tr>
      <w:tr w:rsidR="0041701F" w:rsidRPr="0068749D" w14:paraId="3881DF00" w14:textId="77777777">
        <w:tc>
          <w:tcPr>
            <w:tcW w:w="2830" w:type="dxa"/>
            <w:vAlign w:val="center"/>
          </w:tcPr>
          <w:p w14:paraId="02245C4F" w14:textId="77777777" w:rsidR="0041701F" w:rsidRPr="0068749D" w:rsidDel="000A28D4" w:rsidRDefault="0041701F">
            <w:pPr>
              <w:pStyle w:val="TableText0"/>
            </w:pPr>
            <w:r w:rsidRPr="0068749D">
              <w:t>Event free LYs</w:t>
            </w:r>
          </w:p>
        </w:tc>
        <w:tc>
          <w:tcPr>
            <w:tcW w:w="1812" w:type="dxa"/>
            <w:vAlign w:val="bottom"/>
          </w:tcPr>
          <w:p w14:paraId="47F5F93F" w14:textId="77777777" w:rsidR="0041701F" w:rsidRPr="0068749D" w:rsidRDefault="0041701F">
            <w:pPr>
              <w:pStyle w:val="TableText0"/>
              <w:jc w:val="center"/>
            </w:pPr>
            <w:r w:rsidRPr="0068749D">
              <w:rPr>
                <w:color w:val="000000"/>
                <w:szCs w:val="20"/>
              </w:rPr>
              <w:t>6.9286</w:t>
            </w:r>
          </w:p>
        </w:tc>
        <w:tc>
          <w:tcPr>
            <w:tcW w:w="1601" w:type="dxa"/>
            <w:vAlign w:val="bottom"/>
          </w:tcPr>
          <w:p w14:paraId="4267C8B8" w14:textId="77777777" w:rsidR="0041701F" w:rsidRPr="0068749D" w:rsidRDefault="0041701F">
            <w:pPr>
              <w:pStyle w:val="TableText0"/>
              <w:jc w:val="center"/>
            </w:pPr>
            <w:r w:rsidRPr="0068749D">
              <w:rPr>
                <w:color w:val="000000"/>
                <w:szCs w:val="20"/>
              </w:rPr>
              <w:t>5.9202</w:t>
            </w:r>
          </w:p>
        </w:tc>
        <w:tc>
          <w:tcPr>
            <w:tcW w:w="1412" w:type="dxa"/>
            <w:vAlign w:val="bottom"/>
          </w:tcPr>
          <w:p w14:paraId="228C1BBA" w14:textId="77777777" w:rsidR="0041701F" w:rsidRPr="0068749D" w:rsidRDefault="0041701F">
            <w:pPr>
              <w:pStyle w:val="TableText0"/>
              <w:jc w:val="center"/>
            </w:pPr>
            <w:r w:rsidRPr="0068749D">
              <w:rPr>
                <w:color w:val="000000"/>
                <w:szCs w:val="20"/>
              </w:rPr>
              <w:t>1.0084</w:t>
            </w:r>
          </w:p>
        </w:tc>
        <w:tc>
          <w:tcPr>
            <w:tcW w:w="1362" w:type="dxa"/>
            <w:vAlign w:val="bottom"/>
          </w:tcPr>
          <w:p w14:paraId="74108316" w14:textId="77777777" w:rsidR="0041701F" w:rsidRPr="0068749D" w:rsidRDefault="0041701F">
            <w:pPr>
              <w:pStyle w:val="TableText0"/>
              <w:jc w:val="center"/>
            </w:pPr>
            <w:r w:rsidRPr="0068749D">
              <w:rPr>
                <w:color w:val="000000"/>
                <w:szCs w:val="20"/>
              </w:rPr>
              <w:t>127.74%</w:t>
            </w:r>
          </w:p>
        </w:tc>
      </w:tr>
      <w:tr w:rsidR="0041701F" w:rsidRPr="0068749D" w14:paraId="64377C46" w14:textId="77777777">
        <w:tc>
          <w:tcPr>
            <w:tcW w:w="2830" w:type="dxa"/>
            <w:vAlign w:val="center"/>
          </w:tcPr>
          <w:p w14:paraId="6954CE27" w14:textId="77777777" w:rsidR="0041701F" w:rsidRPr="0068749D" w:rsidRDefault="0041701F">
            <w:pPr>
              <w:pStyle w:val="TableText0"/>
            </w:pPr>
            <w:r w:rsidRPr="0068749D">
              <w:t>LR LYs</w:t>
            </w:r>
          </w:p>
        </w:tc>
        <w:tc>
          <w:tcPr>
            <w:tcW w:w="1812" w:type="dxa"/>
            <w:vAlign w:val="bottom"/>
          </w:tcPr>
          <w:p w14:paraId="75758F1F" w14:textId="77777777" w:rsidR="0041701F" w:rsidRPr="0068749D" w:rsidRDefault="0041701F">
            <w:pPr>
              <w:pStyle w:val="TableText0"/>
              <w:jc w:val="center"/>
            </w:pPr>
            <w:r w:rsidRPr="0068749D">
              <w:rPr>
                <w:color w:val="000000"/>
                <w:szCs w:val="20"/>
              </w:rPr>
              <w:t>0.0154</w:t>
            </w:r>
          </w:p>
        </w:tc>
        <w:tc>
          <w:tcPr>
            <w:tcW w:w="1601" w:type="dxa"/>
            <w:vAlign w:val="bottom"/>
          </w:tcPr>
          <w:p w14:paraId="3A009A1D" w14:textId="77777777" w:rsidR="0041701F" w:rsidRPr="0068749D" w:rsidRDefault="0041701F">
            <w:pPr>
              <w:pStyle w:val="TableText0"/>
              <w:jc w:val="center"/>
            </w:pPr>
            <w:r w:rsidRPr="0068749D">
              <w:rPr>
                <w:color w:val="000000"/>
                <w:szCs w:val="20"/>
              </w:rPr>
              <w:t>0.0145</w:t>
            </w:r>
          </w:p>
        </w:tc>
        <w:tc>
          <w:tcPr>
            <w:tcW w:w="1412" w:type="dxa"/>
            <w:vAlign w:val="bottom"/>
          </w:tcPr>
          <w:p w14:paraId="44251C22" w14:textId="77777777" w:rsidR="0041701F" w:rsidRPr="0068749D" w:rsidRDefault="0041701F">
            <w:pPr>
              <w:pStyle w:val="TableText0"/>
              <w:jc w:val="center"/>
            </w:pPr>
            <w:r w:rsidRPr="0068749D">
              <w:rPr>
                <w:color w:val="000000"/>
                <w:szCs w:val="20"/>
              </w:rPr>
              <w:t>0.0009</w:t>
            </w:r>
          </w:p>
        </w:tc>
        <w:tc>
          <w:tcPr>
            <w:tcW w:w="1362" w:type="dxa"/>
            <w:vAlign w:val="bottom"/>
          </w:tcPr>
          <w:p w14:paraId="5EB516C5" w14:textId="77777777" w:rsidR="0041701F" w:rsidRPr="0068749D" w:rsidRDefault="0041701F">
            <w:pPr>
              <w:pStyle w:val="TableText0"/>
              <w:jc w:val="center"/>
            </w:pPr>
            <w:r w:rsidRPr="0068749D">
              <w:rPr>
                <w:color w:val="000000"/>
                <w:szCs w:val="20"/>
              </w:rPr>
              <w:t>0.12%</w:t>
            </w:r>
          </w:p>
        </w:tc>
      </w:tr>
      <w:tr w:rsidR="0041701F" w:rsidRPr="0068749D" w14:paraId="6D8CE709" w14:textId="77777777">
        <w:tc>
          <w:tcPr>
            <w:tcW w:w="2830" w:type="dxa"/>
            <w:vAlign w:val="center"/>
          </w:tcPr>
          <w:p w14:paraId="3FA77B2C" w14:textId="77777777" w:rsidR="0041701F" w:rsidRPr="0068749D" w:rsidRDefault="0041701F">
            <w:pPr>
              <w:pStyle w:val="TableText0"/>
            </w:pPr>
            <w:r w:rsidRPr="0068749D">
              <w:t>DR LYs</w:t>
            </w:r>
          </w:p>
        </w:tc>
        <w:tc>
          <w:tcPr>
            <w:tcW w:w="1812" w:type="dxa"/>
            <w:vAlign w:val="bottom"/>
          </w:tcPr>
          <w:p w14:paraId="172D167C" w14:textId="77777777" w:rsidR="0041701F" w:rsidRPr="0068749D" w:rsidRDefault="0041701F">
            <w:pPr>
              <w:pStyle w:val="TableText0"/>
              <w:jc w:val="center"/>
            </w:pPr>
            <w:r w:rsidRPr="0068749D">
              <w:rPr>
                <w:color w:val="000000"/>
                <w:szCs w:val="20"/>
              </w:rPr>
              <w:t>0.4430</w:t>
            </w:r>
          </w:p>
        </w:tc>
        <w:tc>
          <w:tcPr>
            <w:tcW w:w="1601" w:type="dxa"/>
            <w:vAlign w:val="bottom"/>
          </w:tcPr>
          <w:p w14:paraId="37C4622C" w14:textId="77777777" w:rsidR="0041701F" w:rsidRPr="0068749D" w:rsidRDefault="0041701F">
            <w:pPr>
              <w:pStyle w:val="TableText0"/>
              <w:jc w:val="center"/>
            </w:pPr>
            <w:r w:rsidRPr="0068749D">
              <w:rPr>
                <w:color w:val="000000"/>
                <w:szCs w:val="20"/>
              </w:rPr>
              <w:t>0.6629</w:t>
            </w:r>
          </w:p>
        </w:tc>
        <w:tc>
          <w:tcPr>
            <w:tcW w:w="1412" w:type="dxa"/>
            <w:vAlign w:val="bottom"/>
          </w:tcPr>
          <w:p w14:paraId="03F704A2" w14:textId="77777777" w:rsidR="0041701F" w:rsidRPr="0068749D" w:rsidRDefault="0041701F">
            <w:pPr>
              <w:pStyle w:val="TableText0"/>
              <w:jc w:val="center"/>
            </w:pPr>
            <w:r w:rsidRPr="0068749D">
              <w:rPr>
                <w:color w:val="000000"/>
                <w:szCs w:val="20"/>
              </w:rPr>
              <w:t>-0.2199</w:t>
            </w:r>
          </w:p>
        </w:tc>
        <w:tc>
          <w:tcPr>
            <w:tcW w:w="1362" w:type="dxa"/>
            <w:vAlign w:val="bottom"/>
          </w:tcPr>
          <w:p w14:paraId="36797BBE" w14:textId="77777777" w:rsidR="0041701F" w:rsidRPr="0068749D" w:rsidRDefault="0041701F">
            <w:pPr>
              <w:pStyle w:val="TableText0"/>
              <w:jc w:val="center"/>
            </w:pPr>
            <w:r w:rsidRPr="0068749D">
              <w:rPr>
                <w:color w:val="000000"/>
                <w:szCs w:val="20"/>
              </w:rPr>
              <w:t>-27.86%</w:t>
            </w:r>
          </w:p>
        </w:tc>
      </w:tr>
      <w:tr w:rsidR="0041701F" w:rsidRPr="0068749D" w14:paraId="4177C32F" w14:textId="77777777">
        <w:tc>
          <w:tcPr>
            <w:tcW w:w="2830" w:type="dxa"/>
            <w:vAlign w:val="center"/>
          </w:tcPr>
          <w:p w14:paraId="51883B41" w14:textId="77777777" w:rsidR="0041701F" w:rsidRPr="0068749D" w:rsidRDefault="0041701F">
            <w:pPr>
              <w:pStyle w:val="TableText0"/>
              <w:rPr>
                <w:b/>
                <w:bCs w:val="0"/>
              </w:rPr>
            </w:pPr>
            <w:r w:rsidRPr="0068749D">
              <w:rPr>
                <w:b/>
                <w:bCs w:val="0"/>
              </w:rPr>
              <w:t>Total LYs</w:t>
            </w:r>
          </w:p>
        </w:tc>
        <w:tc>
          <w:tcPr>
            <w:tcW w:w="1812" w:type="dxa"/>
            <w:vAlign w:val="bottom"/>
          </w:tcPr>
          <w:p w14:paraId="72561789" w14:textId="77777777" w:rsidR="0041701F" w:rsidRPr="0068749D" w:rsidRDefault="0041701F">
            <w:pPr>
              <w:pStyle w:val="TableText0"/>
              <w:jc w:val="center"/>
              <w:rPr>
                <w:b/>
                <w:bCs w:val="0"/>
              </w:rPr>
            </w:pPr>
            <w:r w:rsidRPr="0068749D">
              <w:rPr>
                <w:b/>
                <w:bCs w:val="0"/>
                <w:color w:val="000000"/>
                <w:szCs w:val="20"/>
              </w:rPr>
              <w:t>7.3870</w:t>
            </w:r>
          </w:p>
        </w:tc>
        <w:tc>
          <w:tcPr>
            <w:tcW w:w="1601" w:type="dxa"/>
            <w:vAlign w:val="bottom"/>
          </w:tcPr>
          <w:p w14:paraId="6BD1C453" w14:textId="77777777" w:rsidR="0041701F" w:rsidRPr="0068749D" w:rsidRDefault="0041701F">
            <w:pPr>
              <w:pStyle w:val="TableText0"/>
              <w:jc w:val="center"/>
              <w:rPr>
                <w:b/>
                <w:bCs w:val="0"/>
              </w:rPr>
            </w:pPr>
            <w:r w:rsidRPr="0068749D">
              <w:rPr>
                <w:b/>
                <w:bCs w:val="0"/>
                <w:color w:val="000000"/>
                <w:szCs w:val="20"/>
              </w:rPr>
              <w:t>6.5977</w:t>
            </w:r>
          </w:p>
        </w:tc>
        <w:tc>
          <w:tcPr>
            <w:tcW w:w="1412" w:type="dxa"/>
            <w:vAlign w:val="bottom"/>
          </w:tcPr>
          <w:p w14:paraId="6965912C" w14:textId="77777777" w:rsidR="0041701F" w:rsidRPr="0068749D" w:rsidRDefault="0041701F">
            <w:pPr>
              <w:pStyle w:val="TableText0"/>
              <w:jc w:val="center"/>
              <w:rPr>
                <w:b/>
                <w:bCs w:val="0"/>
              </w:rPr>
            </w:pPr>
            <w:r w:rsidRPr="0068749D">
              <w:rPr>
                <w:b/>
                <w:bCs w:val="0"/>
                <w:color w:val="000000"/>
                <w:szCs w:val="20"/>
              </w:rPr>
              <w:t>0.7894</w:t>
            </w:r>
          </w:p>
        </w:tc>
        <w:tc>
          <w:tcPr>
            <w:tcW w:w="1362" w:type="dxa"/>
            <w:vAlign w:val="bottom"/>
          </w:tcPr>
          <w:p w14:paraId="787F29E9" w14:textId="77777777" w:rsidR="0041701F" w:rsidRPr="0068749D" w:rsidRDefault="0041701F">
            <w:pPr>
              <w:pStyle w:val="TableText0"/>
              <w:jc w:val="center"/>
              <w:rPr>
                <w:b/>
                <w:bCs w:val="0"/>
              </w:rPr>
            </w:pPr>
          </w:p>
        </w:tc>
      </w:tr>
      <w:tr w:rsidR="0041701F" w:rsidRPr="0068749D" w14:paraId="213D5026" w14:textId="77777777">
        <w:tc>
          <w:tcPr>
            <w:tcW w:w="2830" w:type="dxa"/>
            <w:vAlign w:val="center"/>
          </w:tcPr>
          <w:p w14:paraId="2A87BF83" w14:textId="77777777" w:rsidR="0041701F" w:rsidRPr="0068749D" w:rsidRDefault="0041701F">
            <w:pPr>
              <w:pStyle w:val="TableText0"/>
            </w:pPr>
            <w:r w:rsidRPr="0068749D">
              <w:t>Event free QALYs</w:t>
            </w:r>
          </w:p>
        </w:tc>
        <w:tc>
          <w:tcPr>
            <w:tcW w:w="1812" w:type="dxa"/>
            <w:vAlign w:val="bottom"/>
          </w:tcPr>
          <w:p w14:paraId="34CACB79" w14:textId="77777777" w:rsidR="0041701F" w:rsidRPr="0068749D" w:rsidRDefault="0041701F">
            <w:pPr>
              <w:pStyle w:val="TableText0"/>
              <w:jc w:val="center"/>
            </w:pPr>
            <w:r w:rsidRPr="0068749D">
              <w:rPr>
                <w:color w:val="000000"/>
                <w:szCs w:val="20"/>
              </w:rPr>
              <w:t>5.6935</w:t>
            </w:r>
          </w:p>
        </w:tc>
        <w:tc>
          <w:tcPr>
            <w:tcW w:w="1601" w:type="dxa"/>
            <w:vAlign w:val="bottom"/>
          </w:tcPr>
          <w:p w14:paraId="62ECB45A" w14:textId="77777777" w:rsidR="0041701F" w:rsidRPr="0068749D" w:rsidRDefault="0041701F">
            <w:pPr>
              <w:pStyle w:val="TableText0"/>
              <w:jc w:val="center"/>
            </w:pPr>
            <w:r w:rsidRPr="0068749D">
              <w:rPr>
                <w:color w:val="000000"/>
                <w:szCs w:val="20"/>
              </w:rPr>
              <w:t>4.8204</w:t>
            </w:r>
          </w:p>
        </w:tc>
        <w:tc>
          <w:tcPr>
            <w:tcW w:w="1412" w:type="dxa"/>
            <w:vAlign w:val="bottom"/>
          </w:tcPr>
          <w:p w14:paraId="2DCFC0E8" w14:textId="77777777" w:rsidR="0041701F" w:rsidRPr="0068749D" w:rsidRDefault="0041701F">
            <w:pPr>
              <w:pStyle w:val="TableText0"/>
              <w:jc w:val="center"/>
            </w:pPr>
            <w:r w:rsidRPr="0068749D">
              <w:rPr>
                <w:color w:val="000000"/>
                <w:szCs w:val="20"/>
              </w:rPr>
              <w:t>0.8731</w:t>
            </w:r>
          </w:p>
        </w:tc>
        <w:tc>
          <w:tcPr>
            <w:tcW w:w="1362" w:type="dxa"/>
            <w:vAlign w:val="bottom"/>
          </w:tcPr>
          <w:p w14:paraId="16284074" w14:textId="77777777" w:rsidR="0041701F" w:rsidRPr="0068749D" w:rsidRDefault="0041701F">
            <w:pPr>
              <w:pStyle w:val="TableText0"/>
              <w:jc w:val="center"/>
            </w:pPr>
            <w:r w:rsidRPr="0068749D">
              <w:rPr>
                <w:color w:val="000000"/>
                <w:szCs w:val="20"/>
              </w:rPr>
              <w:t>129.42%</w:t>
            </w:r>
          </w:p>
        </w:tc>
      </w:tr>
      <w:tr w:rsidR="0041701F" w:rsidRPr="0068749D" w14:paraId="0A91B925" w14:textId="77777777">
        <w:tc>
          <w:tcPr>
            <w:tcW w:w="2830" w:type="dxa"/>
            <w:vAlign w:val="center"/>
          </w:tcPr>
          <w:p w14:paraId="48388983" w14:textId="77777777" w:rsidR="0041701F" w:rsidRPr="0068749D" w:rsidRDefault="0041701F">
            <w:pPr>
              <w:pStyle w:val="TableText0"/>
            </w:pPr>
            <w:r w:rsidRPr="0068749D">
              <w:t>LR QALYs</w:t>
            </w:r>
          </w:p>
        </w:tc>
        <w:tc>
          <w:tcPr>
            <w:tcW w:w="1812" w:type="dxa"/>
            <w:vAlign w:val="bottom"/>
          </w:tcPr>
          <w:p w14:paraId="3C0039E9" w14:textId="77777777" w:rsidR="0041701F" w:rsidRPr="0068749D" w:rsidRDefault="0041701F">
            <w:pPr>
              <w:pStyle w:val="TableText0"/>
              <w:jc w:val="center"/>
            </w:pPr>
            <w:r w:rsidRPr="0068749D">
              <w:rPr>
                <w:color w:val="000000"/>
                <w:szCs w:val="20"/>
              </w:rPr>
              <w:t>0.0123</w:t>
            </w:r>
          </w:p>
        </w:tc>
        <w:tc>
          <w:tcPr>
            <w:tcW w:w="1601" w:type="dxa"/>
            <w:vAlign w:val="bottom"/>
          </w:tcPr>
          <w:p w14:paraId="6FBA78E2" w14:textId="77777777" w:rsidR="0041701F" w:rsidRPr="0068749D" w:rsidRDefault="0041701F">
            <w:pPr>
              <w:pStyle w:val="TableText0"/>
              <w:jc w:val="center"/>
            </w:pPr>
            <w:r w:rsidRPr="0068749D">
              <w:rPr>
                <w:color w:val="000000"/>
                <w:szCs w:val="20"/>
              </w:rPr>
              <w:t>0.0115</w:t>
            </w:r>
          </w:p>
        </w:tc>
        <w:tc>
          <w:tcPr>
            <w:tcW w:w="1412" w:type="dxa"/>
            <w:vAlign w:val="bottom"/>
          </w:tcPr>
          <w:p w14:paraId="5FBC5CC0" w14:textId="77777777" w:rsidR="0041701F" w:rsidRPr="0068749D" w:rsidRDefault="0041701F">
            <w:pPr>
              <w:pStyle w:val="TableText0"/>
              <w:jc w:val="center"/>
            </w:pPr>
            <w:r w:rsidRPr="0068749D">
              <w:rPr>
                <w:color w:val="000000"/>
                <w:szCs w:val="20"/>
              </w:rPr>
              <w:t>0.0008</w:t>
            </w:r>
          </w:p>
        </w:tc>
        <w:tc>
          <w:tcPr>
            <w:tcW w:w="1362" w:type="dxa"/>
            <w:vAlign w:val="bottom"/>
          </w:tcPr>
          <w:p w14:paraId="583F2C42" w14:textId="77777777" w:rsidR="0041701F" w:rsidRPr="0068749D" w:rsidRDefault="0041701F">
            <w:pPr>
              <w:pStyle w:val="TableText0"/>
              <w:jc w:val="center"/>
            </w:pPr>
            <w:r w:rsidRPr="0068749D">
              <w:rPr>
                <w:color w:val="000000"/>
                <w:szCs w:val="20"/>
              </w:rPr>
              <w:t>0.12%</w:t>
            </w:r>
          </w:p>
        </w:tc>
      </w:tr>
      <w:tr w:rsidR="0041701F" w:rsidRPr="0068749D" w14:paraId="5CE23C44" w14:textId="77777777">
        <w:tc>
          <w:tcPr>
            <w:tcW w:w="2830" w:type="dxa"/>
            <w:vAlign w:val="center"/>
          </w:tcPr>
          <w:p w14:paraId="137879C4" w14:textId="77777777" w:rsidR="0041701F" w:rsidRPr="0068749D" w:rsidDel="00607507" w:rsidRDefault="0041701F">
            <w:pPr>
              <w:pStyle w:val="TableText0"/>
            </w:pPr>
            <w:r w:rsidRPr="0068749D">
              <w:t>DR QALYs</w:t>
            </w:r>
          </w:p>
        </w:tc>
        <w:tc>
          <w:tcPr>
            <w:tcW w:w="1812" w:type="dxa"/>
            <w:vAlign w:val="bottom"/>
          </w:tcPr>
          <w:p w14:paraId="0FE405F5" w14:textId="77777777" w:rsidR="0041701F" w:rsidRPr="0068749D" w:rsidDel="00A41D8A" w:rsidRDefault="0041701F">
            <w:pPr>
              <w:pStyle w:val="TableText0"/>
              <w:jc w:val="center"/>
            </w:pPr>
            <w:r w:rsidRPr="0068749D">
              <w:rPr>
                <w:color w:val="000000"/>
                <w:szCs w:val="20"/>
              </w:rPr>
              <w:t>0.3742</w:t>
            </w:r>
          </w:p>
        </w:tc>
        <w:tc>
          <w:tcPr>
            <w:tcW w:w="1601" w:type="dxa"/>
            <w:vAlign w:val="bottom"/>
          </w:tcPr>
          <w:p w14:paraId="39C552DC" w14:textId="77777777" w:rsidR="0041701F" w:rsidRPr="0068749D" w:rsidDel="00A41D8A" w:rsidRDefault="0041701F">
            <w:pPr>
              <w:pStyle w:val="TableText0"/>
              <w:jc w:val="center"/>
            </w:pPr>
            <w:r w:rsidRPr="0068749D">
              <w:rPr>
                <w:color w:val="000000"/>
                <w:szCs w:val="20"/>
              </w:rPr>
              <w:t>0.5735</w:t>
            </w:r>
          </w:p>
        </w:tc>
        <w:tc>
          <w:tcPr>
            <w:tcW w:w="1412" w:type="dxa"/>
            <w:vAlign w:val="bottom"/>
          </w:tcPr>
          <w:p w14:paraId="62088701" w14:textId="77777777" w:rsidR="0041701F" w:rsidRPr="0068749D" w:rsidDel="00A41D8A" w:rsidRDefault="0041701F">
            <w:pPr>
              <w:pStyle w:val="TableText0"/>
              <w:jc w:val="center"/>
            </w:pPr>
            <w:r w:rsidRPr="0068749D">
              <w:rPr>
                <w:color w:val="000000"/>
                <w:szCs w:val="20"/>
              </w:rPr>
              <w:t>-0.1993</w:t>
            </w:r>
          </w:p>
        </w:tc>
        <w:tc>
          <w:tcPr>
            <w:tcW w:w="1362" w:type="dxa"/>
            <w:vAlign w:val="bottom"/>
          </w:tcPr>
          <w:p w14:paraId="7C301D55" w14:textId="77777777" w:rsidR="0041701F" w:rsidRPr="0068749D" w:rsidDel="00A41D8A" w:rsidRDefault="0041701F">
            <w:pPr>
              <w:pStyle w:val="TableText0"/>
              <w:jc w:val="center"/>
            </w:pPr>
            <w:r w:rsidRPr="0068749D">
              <w:rPr>
                <w:color w:val="000000"/>
                <w:szCs w:val="20"/>
              </w:rPr>
              <w:t>-29.54%</w:t>
            </w:r>
          </w:p>
        </w:tc>
      </w:tr>
      <w:tr w:rsidR="0041701F" w:rsidRPr="0068749D" w14:paraId="46C5FC36" w14:textId="77777777">
        <w:tc>
          <w:tcPr>
            <w:tcW w:w="2830" w:type="dxa"/>
            <w:vAlign w:val="center"/>
          </w:tcPr>
          <w:p w14:paraId="6E2ED63D" w14:textId="77777777" w:rsidR="0041701F" w:rsidRPr="0068749D" w:rsidRDefault="0041701F">
            <w:pPr>
              <w:pStyle w:val="TableText0"/>
              <w:rPr>
                <w:b/>
                <w:bCs w:val="0"/>
              </w:rPr>
            </w:pPr>
            <w:r w:rsidRPr="0068749D">
              <w:rPr>
                <w:b/>
                <w:bCs w:val="0"/>
              </w:rPr>
              <w:t>Total QALYs</w:t>
            </w:r>
          </w:p>
        </w:tc>
        <w:tc>
          <w:tcPr>
            <w:tcW w:w="1812" w:type="dxa"/>
            <w:vAlign w:val="bottom"/>
          </w:tcPr>
          <w:p w14:paraId="15DDE4B0" w14:textId="77777777" w:rsidR="0041701F" w:rsidRPr="0068749D" w:rsidRDefault="0041701F">
            <w:pPr>
              <w:pStyle w:val="TableText0"/>
              <w:jc w:val="center"/>
              <w:rPr>
                <w:b/>
                <w:bCs w:val="0"/>
                <w:highlight w:val="yellow"/>
              </w:rPr>
            </w:pPr>
            <w:r w:rsidRPr="0068749D">
              <w:rPr>
                <w:b/>
                <w:bCs w:val="0"/>
                <w:color w:val="000000"/>
                <w:szCs w:val="20"/>
              </w:rPr>
              <w:t>6.0801</w:t>
            </w:r>
          </w:p>
        </w:tc>
        <w:tc>
          <w:tcPr>
            <w:tcW w:w="1601" w:type="dxa"/>
            <w:vAlign w:val="bottom"/>
          </w:tcPr>
          <w:p w14:paraId="7C9AF798" w14:textId="77777777" w:rsidR="0041701F" w:rsidRPr="0068749D" w:rsidRDefault="0041701F">
            <w:pPr>
              <w:pStyle w:val="TableText0"/>
              <w:jc w:val="center"/>
              <w:rPr>
                <w:b/>
                <w:bCs w:val="0"/>
                <w:highlight w:val="yellow"/>
              </w:rPr>
            </w:pPr>
            <w:r w:rsidRPr="0068749D">
              <w:rPr>
                <w:b/>
                <w:bCs w:val="0"/>
                <w:color w:val="000000"/>
                <w:szCs w:val="20"/>
              </w:rPr>
              <w:t>5.4054</w:t>
            </w:r>
          </w:p>
        </w:tc>
        <w:tc>
          <w:tcPr>
            <w:tcW w:w="1412" w:type="dxa"/>
            <w:vAlign w:val="bottom"/>
          </w:tcPr>
          <w:p w14:paraId="6019833E" w14:textId="77777777" w:rsidR="0041701F" w:rsidRPr="0068749D" w:rsidRDefault="0041701F">
            <w:pPr>
              <w:pStyle w:val="TableText0"/>
              <w:jc w:val="center"/>
              <w:rPr>
                <w:b/>
                <w:bCs w:val="0"/>
                <w:highlight w:val="yellow"/>
              </w:rPr>
            </w:pPr>
            <w:r w:rsidRPr="0068749D">
              <w:rPr>
                <w:b/>
                <w:bCs w:val="0"/>
                <w:color w:val="000000"/>
                <w:szCs w:val="20"/>
              </w:rPr>
              <w:t>0.6747</w:t>
            </w:r>
          </w:p>
        </w:tc>
        <w:tc>
          <w:tcPr>
            <w:tcW w:w="1362" w:type="dxa"/>
            <w:vAlign w:val="bottom"/>
          </w:tcPr>
          <w:p w14:paraId="4DCCD9A2" w14:textId="77777777" w:rsidR="0041701F" w:rsidRPr="0068749D" w:rsidRDefault="0041701F">
            <w:pPr>
              <w:pStyle w:val="TableText0"/>
              <w:jc w:val="center"/>
            </w:pPr>
          </w:p>
        </w:tc>
      </w:tr>
    </w:tbl>
    <w:p w14:paraId="34696DB9" w14:textId="77777777" w:rsidR="0041701F" w:rsidRDefault="0041701F" w:rsidP="0041701F">
      <w:pPr>
        <w:pStyle w:val="TableFigureFooter"/>
      </w:pPr>
      <w:r>
        <w:t>Source: Table 3-26 and Table 3-27, p170 of the submission regenerated with respecified base case results using Attachment 3.1 ‘TreeAgeModel_Jul25.trex’ provided with the submission.</w:t>
      </w:r>
    </w:p>
    <w:p w14:paraId="4BA31E55" w14:textId="77777777" w:rsidR="0041701F" w:rsidRDefault="0041701F" w:rsidP="0041701F">
      <w:pPr>
        <w:pStyle w:val="TableFigureFooter"/>
      </w:pPr>
      <w:r>
        <w:t>AEs = Adverse Events; DR = Distant recurrence; GC = Gemcitabine plus cisplatin; LR = Locoregional recurrence; LYs = Life-years; QALYs = Quality-adjusted life years; SoC = Standard of care.</w:t>
      </w:r>
    </w:p>
    <w:p w14:paraId="65166F29" w14:textId="3B0799BC" w:rsidR="009B593E" w:rsidRDefault="009B593E" w:rsidP="0041701F">
      <w:pPr>
        <w:pStyle w:val="TableFigureFooter"/>
      </w:pPr>
      <w:r w:rsidRPr="009B593E">
        <w:rPr>
          <w:vertAlign w:val="superscript"/>
        </w:rPr>
        <w:t>a</w:t>
      </w:r>
      <w:r>
        <w:t xml:space="preserve"> Respecified base case included better fitting Weibull parametric functions for extrapolating all EFs curves and had the cure function, that was incorrectly applied in the submission’s base case to the second cycle of recurrence, switched off in the locoregional and distant recurrence health sates.</w:t>
      </w:r>
    </w:p>
    <w:p w14:paraId="08467A91" w14:textId="345E74F9" w:rsidR="00492E5A" w:rsidRDefault="00492E5A" w:rsidP="0041701F">
      <w:pPr>
        <w:pStyle w:val="TableFigureFooter"/>
      </w:pPr>
      <w:r>
        <w:rPr>
          <w:b/>
          <w:bCs/>
          <w:vertAlign w:val="superscript"/>
        </w:rPr>
        <w:t>b</w:t>
      </w:r>
      <w:r>
        <w:t xml:space="preserve"> </w:t>
      </w:r>
      <w:r w:rsidR="00424A01">
        <w:t xml:space="preserve">Uses the published prices of nivolumab and avelumab with a </w:t>
      </w:r>
      <w:r w:rsidR="00424A01" w:rsidRPr="009C349A">
        <w:t xml:space="preserve">hypothetical </w:t>
      </w:r>
      <w:r w:rsidR="000F4FEC" w:rsidRPr="000F4FEC">
        <w:rPr>
          <w:highlight w:val="black"/>
        </w:rPr>
        <w:t>@@@@</w:t>
      </w:r>
      <w:r w:rsidR="00424A01">
        <w:t xml:space="preserve">% </w:t>
      </w:r>
      <w:r w:rsidR="00891BA9">
        <w:t>discount</w:t>
      </w:r>
      <w:r>
        <w:t>.</w:t>
      </w:r>
    </w:p>
    <w:p w14:paraId="4BCF91B3" w14:textId="576FCCC3" w:rsidR="0041701F" w:rsidRDefault="0041701F" w:rsidP="0041701F">
      <w:pPr>
        <w:pStyle w:val="3-BodyText"/>
      </w:pPr>
      <w:r w:rsidRPr="009A6776">
        <w:t xml:space="preserve">The results of </w:t>
      </w:r>
      <w:r>
        <w:t xml:space="preserve">the </w:t>
      </w:r>
      <w:r w:rsidRPr="009A6776">
        <w:t xml:space="preserve">Markov model reflect a mixture of immunotherapy options for the treatment of MIBC in the SoC arm, of which nivolumab was used in </w:t>
      </w:r>
      <w:r w:rsidRPr="00F60635">
        <w:t>around 27.</w:t>
      </w:r>
      <w:r w:rsidR="0071576D" w:rsidRPr="00F60635">
        <w:t>6</w:t>
      </w:r>
      <w:r w:rsidRPr="009A6776">
        <w:t xml:space="preserve">% of </w:t>
      </w:r>
      <w:r w:rsidR="00FA71E0">
        <w:t xml:space="preserve">ITT </w:t>
      </w:r>
      <w:r w:rsidRPr="009A6776">
        <w:t xml:space="preserve">patients in the adjuvant setting and </w:t>
      </w:r>
      <w:r w:rsidR="00FA71E0">
        <w:t xml:space="preserve">avelumab </w:t>
      </w:r>
      <w:r w:rsidRPr="009A6776">
        <w:t>in around 11.3%</w:t>
      </w:r>
      <w:r w:rsidR="00FA71E0">
        <w:t xml:space="preserve"> of the ITT patients</w:t>
      </w:r>
      <w:r w:rsidRPr="009A6776">
        <w:t xml:space="preserve"> in the distant recurrence setting. </w:t>
      </w:r>
      <w:r>
        <w:t>N</w:t>
      </w:r>
      <w:r w:rsidRPr="009A6776">
        <w:t xml:space="preserve">o other subsequent therapies were modelled for the durvalumab + GC arm. </w:t>
      </w:r>
      <w:r w:rsidR="00EA52B6">
        <w:fldChar w:fldCharType="begin"/>
      </w:r>
      <w:r w:rsidR="00EA52B6">
        <w:instrText xml:space="preserve"> REF _Ref209011638 \h </w:instrText>
      </w:r>
      <w:r w:rsidR="00EA52B6">
        <w:fldChar w:fldCharType="separate"/>
      </w:r>
      <w:r w:rsidR="005731FF">
        <w:t xml:space="preserve">Table </w:t>
      </w:r>
      <w:r w:rsidR="005731FF">
        <w:rPr>
          <w:noProof/>
        </w:rPr>
        <w:t>17</w:t>
      </w:r>
      <w:r w:rsidR="00EA52B6">
        <w:fldChar w:fldCharType="end"/>
      </w:r>
      <w:r w:rsidR="00EA52B6">
        <w:t xml:space="preserve"> </w:t>
      </w:r>
      <w:r w:rsidRPr="009A6776">
        <w:t>presents the health and outcomes, and modelled cost-effectiveness associated with each subsequent treatment option in the SoC arm.</w:t>
      </w:r>
      <w:r w:rsidR="001503FF">
        <w:t xml:space="preserve"> </w:t>
      </w:r>
      <w:r w:rsidR="00653459">
        <w:t xml:space="preserve">These figures assume a </w:t>
      </w:r>
      <w:r w:rsidR="000F4FEC" w:rsidRPr="000F4FEC">
        <w:rPr>
          <w:highlight w:val="black"/>
        </w:rPr>
        <w:t>@@@@</w:t>
      </w:r>
      <w:r w:rsidR="00653459">
        <w:t xml:space="preserve">% </w:t>
      </w:r>
      <w:r w:rsidR="00891BA9">
        <w:t>discount</w:t>
      </w:r>
      <w:r w:rsidR="00653459">
        <w:t xml:space="preserve"> for avelumab and nivolumab</w:t>
      </w:r>
      <w:r w:rsidR="004B16DD">
        <w:t xml:space="preserve"> </w:t>
      </w:r>
      <w:r w:rsidR="00AE0B43">
        <w:t>from their</w:t>
      </w:r>
      <w:r w:rsidR="004B16DD">
        <w:t xml:space="preserve"> published prices</w:t>
      </w:r>
      <w:r w:rsidR="00653459">
        <w:t xml:space="preserve">. </w:t>
      </w:r>
    </w:p>
    <w:p w14:paraId="75154C4D" w14:textId="6676033B" w:rsidR="0041701F" w:rsidRPr="009B593E" w:rsidRDefault="0041701F" w:rsidP="003850FF">
      <w:pPr>
        <w:pStyle w:val="Caption"/>
        <w:rPr>
          <w:vertAlign w:val="superscript"/>
        </w:rPr>
      </w:pPr>
      <w:bookmarkStart w:id="99" w:name="_Ref209011638"/>
      <w:r>
        <w:lastRenderedPageBreak/>
        <w:t xml:space="preserve">Table </w:t>
      </w:r>
      <w:r w:rsidR="0077772B">
        <w:fldChar w:fldCharType="begin"/>
      </w:r>
      <w:r w:rsidR="0077772B">
        <w:instrText xml:space="preserve"> SEQ Table \* ARABIC </w:instrText>
      </w:r>
      <w:r w:rsidR="0077772B">
        <w:fldChar w:fldCharType="separate"/>
      </w:r>
      <w:r w:rsidR="005731FF">
        <w:rPr>
          <w:noProof/>
        </w:rPr>
        <w:t>17</w:t>
      </w:r>
      <w:r w:rsidR="0077772B">
        <w:rPr>
          <w:noProof/>
        </w:rPr>
        <w:fldChar w:fldCharType="end"/>
      </w:r>
      <w:bookmarkEnd w:id="99"/>
      <w:r>
        <w:t xml:space="preserve">: </w:t>
      </w:r>
      <w:r w:rsidRPr="00FD1D9B">
        <w:t>Incremental cost-effectiveness of modelled subsequent therapies in the SoC arm (using respecified base case)</w:t>
      </w:r>
      <w:r w:rsidR="009B593E">
        <w:t xml:space="preserve"> </w:t>
      </w:r>
      <w:r w:rsidR="009B593E">
        <w:rPr>
          <w:vertAlign w:val="superscript"/>
        </w:rPr>
        <w:t>a</w:t>
      </w:r>
      <w:r w:rsidR="006D5CDB">
        <w:rPr>
          <w:vertAlign w:val="superscript"/>
        </w:rPr>
        <w:t>,b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Incremental cost-effectiveness of modelled subsequent therapies in the SoC arm (using respecified base case)"/>
      </w:tblPr>
      <w:tblGrid>
        <w:gridCol w:w="2757"/>
        <w:gridCol w:w="2341"/>
        <w:gridCol w:w="1986"/>
        <w:gridCol w:w="1933"/>
      </w:tblGrid>
      <w:tr w:rsidR="0041701F" w:rsidRPr="0068749D" w14:paraId="360231BE" w14:textId="77777777">
        <w:trPr>
          <w:tblHeader/>
        </w:trPr>
        <w:tc>
          <w:tcPr>
            <w:tcW w:w="1529" w:type="pct"/>
            <w:vAlign w:val="center"/>
          </w:tcPr>
          <w:p w14:paraId="4D1D22BA" w14:textId="77777777" w:rsidR="0041701F" w:rsidRPr="0068749D" w:rsidRDefault="0041701F" w:rsidP="003850FF">
            <w:pPr>
              <w:keepNext/>
              <w:keepLines/>
              <w:jc w:val="left"/>
              <w:rPr>
                <w:rFonts w:ascii="Arial Narrow" w:eastAsiaTheme="majorEastAsia" w:hAnsi="Arial Narrow" w:cs="Times New Roman"/>
                <w:b/>
                <w:sz w:val="20"/>
              </w:rPr>
            </w:pPr>
          </w:p>
        </w:tc>
        <w:tc>
          <w:tcPr>
            <w:tcW w:w="1298" w:type="pct"/>
            <w:vAlign w:val="center"/>
          </w:tcPr>
          <w:p w14:paraId="71CA240A" w14:textId="77777777" w:rsidR="0041701F" w:rsidRPr="0068749D" w:rsidRDefault="0041701F" w:rsidP="003850FF">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Durva + GC</w:t>
            </w:r>
          </w:p>
        </w:tc>
        <w:tc>
          <w:tcPr>
            <w:tcW w:w="1101" w:type="pct"/>
            <w:vAlign w:val="center"/>
          </w:tcPr>
          <w:p w14:paraId="72D5981A" w14:textId="77777777" w:rsidR="0041701F" w:rsidRPr="0068749D" w:rsidRDefault="0041701F" w:rsidP="003850FF">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SoC</w:t>
            </w:r>
          </w:p>
        </w:tc>
        <w:tc>
          <w:tcPr>
            <w:tcW w:w="1072" w:type="pct"/>
            <w:vAlign w:val="center"/>
          </w:tcPr>
          <w:p w14:paraId="0739230C" w14:textId="77777777" w:rsidR="0041701F" w:rsidRPr="0068749D" w:rsidRDefault="0041701F" w:rsidP="003850FF">
            <w:pPr>
              <w:keepNext/>
              <w:keepLines/>
              <w:jc w:val="left"/>
              <w:rPr>
                <w:rFonts w:ascii="Arial Narrow" w:eastAsiaTheme="majorEastAsia" w:hAnsi="Arial Narrow" w:cs="Times New Roman"/>
                <w:b/>
                <w:sz w:val="20"/>
              </w:rPr>
            </w:pPr>
            <w:r w:rsidRPr="0068749D">
              <w:rPr>
                <w:rFonts w:ascii="Arial Narrow" w:eastAsiaTheme="majorEastAsia" w:hAnsi="Arial Narrow" w:cs="Times New Roman"/>
                <w:b/>
                <w:sz w:val="20"/>
              </w:rPr>
              <w:t>Increment</w:t>
            </w:r>
          </w:p>
        </w:tc>
      </w:tr>
      <w:tr w:rsidR="0041701F" w:rsidRPr="0068749D" w14:paraId="792C2FFD" w14:textId="77777777">
        <w:tc>
          <w:tcPr>
            <w:tcW w:w="5000" w:type="pct"/>
            <w:gridSpan w:val="4"/>
            <w:vAlign w:val="center"/>
          </w:tcPr>
          <w:p w14:paraId="0D3B0A36" w14:textId="77777777" w:rsidR="0041701F" w:rsidRPr="0068749D" w:rsidRDefault="0041701F" w:rsidP="003850FF">
            <w:pPr>
              <w:keepNext/>
              <w:keepLines/>
              <w:jc w:val="left"/>
              <w:rPr>
                <w:rFonts w:ascii="Arial Narrow" w:eastAsiaTheme="majorEastAsia" w:hAnsi="Arial Narrow" w:cstheme="majorBidi"/>
                <w:b/>
                <w:sz w:val="20"/>
              </w:rPr>
            </w:pPr>
            <w:r w:rsidRPr="0068749D">
              <w:rPr>
                <w:rFonts w:ascii="Arial Narrow" w:eastAsiaTheme="majorEastAsia" w:hAnsi="Arial Narrow" w:cstheme="majorBidi"/>
                <w:b/>
                <w:sz w:val="20"/>
              </w:rPr>
              <w:t>(A) Include only costs and outcomes related to study drugs only</w:t>
            </w:r>
          </w:p>
          <w:p w14:paraId="2D037855" w14:textId="77777777" w:rsidR="0041701F" w:rsidRPr="0068749D" w:rsidRDefault="0041701F" w:rsidP="003850FF">
            <w:pPr>
              <w:keepNext/>
              <w:keepLines/>
              <w:jc w:val="left"/>
              <w:rPr>
                <w:rFonts w:ascii="Arial Narrow" w:eastAsiaTheme="majorEastAsia" w:hAnsi="Arial Narrow" w:cstheme="majorBidi"/>
                <w:bCs/>
                <w:sz w:val="20"/>
              </w:rPr>
            </w:pPr>
            <w:r w:rsidRPr="0068749D">
              <w:rPr>
                <w:rFonts w:ascii="Arial Narrow" w:eastAsiaTheme="majorEastAsia" w:hAnsi="Arial Narrow" w:cstheme="majorBidi"/>
                <w:bCs/>
                <w:sz w:val="20"/>
              </w:rPr>
              <w:t>Assuming no use of subsequent immunotherapies in the SoC arm.</w:t>
            </w:r>
          </w:p>
        </w:tc>
      </w:tr>
      <w:tr w:rsidR="0041701F" w:rsidRPr="0068749D" w14:paraId="48B916F6" w14:textId="77777777">
        <w:tc>
          <w:tcPr>
            <w:tcW w:w="1529" w:type="pct"/>
            <w:vAlign w:val="center"/>
          </w:tcPr>
          <w:p w14:paraId="2F39F852" w14:textId="77777777" w:rsidR="0041701F" w:rsidRPr="0068749D" w:rsidRDefault="0041701F" w:rsidP="003850FF">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5DF81B8F" w14:textId="32A5FB53" w:rsidR="0041701F" w:rsidRPr="0068749D" w:rsidRDefault="0041701F" w:rsidP="003850FF">
            <w:pPr>
              <w:keepNext/>
              <w:keepLines/>
              <w:jc w:val="right"/>
              <w:rPr>
                <w:rFonts w:ascii="Times" w:eastAsiaTheme="majorEastAsia" w:hAnsi="Times"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c>
          <w:tcPr>
            <w:tcW w:w="1101" w:type="pct"/>
            <w:vAlign w:val="center"/>
          </w:tcPr>
          <w:p w14:paraId="12461884" w14:textId="77777777" w:rsidR="0041701F" w:rsidRPr="0068749D" w:rsidRDefault="0041701F" w:rsidP="003850FF">
            <w:pPr>
              <w:keepNext/>
              <w:keepLines/>
              <w:jc w:val="right"/>
              <w:rPr>
                <w:rFonts w:ascii="Times" w:eastAsiaTheme="majorEastAsia" w:hAnsi="Times" w:cstheme="majorBidi"/>
                <w:bCs/>
                <w:sz w:val="20"/>
              </w:rPr>
            </w:pPr>
            <w:r w:rsidRPr="0068749D">
              <w:rPr>
                <w:rFonts w:ascii="Arial Narrow" w:hAnsi="Arial Narrow"/>
                <w:color w:val="000000"/>
                <w:sz w:val="20"/>
                <w:szCs w:val="20"/>
              </w:rPr>
              <w:t>$28,939</w:t>
            </w:r>
          </w:p>
        </w:tc>
        <w:tc>
          <w:tcPr>
            <w:tcW w:w="1072" w:type="pct"/>
            <w:vAlign w:val="center"/>
          </w:tcPr>
          <w:p w14:paraId="26273215" w14:textId="47246218" w:rsidR="0041701F" w:rsidRPr="0068749D" w:rsidRDefault="0041701F" w:rsidP="003850FF">
            <w:pPr>
              <w:keepNext/>
              <w:keepLines/>
              <w:jc w:val="right"/>
              <w:rPr>
                <w:rFonts w:ascii="Arial Narrow" w:eastAsiaTheme="majorEastAsia" w:hAnsi="Arial Narrow"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r>
      <w:tr w:rsidR="0041701F" w:rsidRPr="0068749D" w14:paraId="54ADBEFD" w14:textId="77777777">
        <w:tc>
          <w:tcPr>
            <w:tcW w:w="1529" w:type="pct"/>
            <w:vAlign w:val="center"/>
          </w:tcPr>
          <w:p w14:paraId="7FB2B235" w14:textId="77777777" w:rsidR="0041701F" w:rsidRPr="0068749D" w:rsidRDefault="0041701F" w:rsidP="003850FF">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QALYs</w:t>
            </w:r>
          </w:p>
        </w:tc>
        <w:tc>
          <w:tcPr>
            <w:tcW w:w="1298" w:type="pct"/>
            <w:vAlign w:val="center"/>
          </w:tcPr>
          <w:p w14:paraId="056B891A" w14:textId="77777777" w:rsidR="0041701F" w:rsidRPr="0068749D" w:rsidRDefault="0041701F" w:rsidP="003850FF">
            <w:pPr>
              <w:keepNext/>
              <w:keepLines/>
              <w:jc w:val="center"/>
              <w:rPr>
                <w:rFonts w:ascii="Times" w:eastAsiaTheme="majorEastAsia" w:hAnsi="Times" w:cstheme="majorBidi"/>
                <w:bCs/>
                <w:sz w:val="20"/>
              </w:rPr>
            </w:pPr>
            <w:r w:rsidRPr="0068749D">
              <w:rPr>
                <w:rFonts w:ascii="Arial Narrow" w:hAnsi="Arial Narrow"/>
                <w:color w:val="000000"/>
                <w:sz w:val="20"/>
                <w:szCs w:val="20"/>
              </w:rPr>
              <w:t>6.0801</w:t>
            </w:r>
          </w:p>
        </w:tc>
        <w:tc>
          <w:tcPr>
            <w:tcW w:w="1101" w:type="pct"/>
            <w:vAlign w:val="center"/>
          </w:tcPr>
          <w:p w14:paraId="09776904" w14:textId="77777777" w:rsidR="0041701F" w:rsidRPr="0068749D" w:rsidRDefault="0041701F" w:rsidP="003850FF">
            <w:pPr>
              <w:keepNext/>
              <w:keepLines/>
              <w:jc w:val="center"/>
              <w:rPr>
                <w:rFonts w:ascii="Times" w:eastAsiaTheme="majorEastAsia" w:hAnsi="Times" w:cstheme="majorBidi"/>
                <w:bCs/>
                <w:sz w:val="20"/>
              </w:rPr>
            </w:pPr>
            <w:r w:rsidRPr="0068749D">
              <w:rPr>
                <w:rFonts w:ascii="Arial Narrow" w:hAnsi="Arial Narrow"/>
                <w:color w:val="000000"/>
                <w:sz w:val="20"/>
                <w:szCs w:val="20"/>
              </w:rPr>
              <w:t>4.9383</w:t>
            </w:r>
          </w:p>
        </w:tc>
        <w:tc>
          <w:tcPr>
            <w:tcW w:w="1072" w:type="pct"/>
            <w:vAlign w:val="center"/>
          </w:tcPr>
          <w:p w14:paraId="45046544" w14:textId="77777777" w:rsidR="0041701F" w:rsidRPr="0068749D" w:rsidRDefault="0041701F" w:rsidP="003850FF">
            <w:pPr>
              <w:keepNext/>
              <w:keepLines/>
              <w:jc w:val="center"/>
              <w:rPr>
                <w:rFonts w:ascii="Arial Narrow" w:eastAsiaTheme="majorEastAsia" w:hAnsi="Arial Narrow" w:cstheme="majorBidi"/>
                <w:bCs/>
                <w:sz w:val="20"/>
              </w:rPr>
            </w:pPr>
            <w:r w:rsidRPr="0068749D">
              <w:rPr>
                <w:rFonts w:ascii="Arial Narrow" w:hAnsi="Arial Narrow"/>
                <w:color w:val="000000"/>
                <w:sz w:val="20"/>
                <w:szCs w:val="20"/>
              </w:rPr>
              <w:t>1.1418</w:t>
            </w:r>
          </w:p>
        </w:tc>
      </w:tr>
      <w:tr w:rsidR="0041701F" w:rsidRPr="0068749D" w14:paraId="675DE6A4" w14:textId="77777777">
        <w:tc>
          <w:tcPr>
            <w:tcW w:w="3928" w:type="pct"/>
            <w:gridSpan w:val="3"/>
            <w:vAlign w:val="center"/>
          </w:tcPr>
          <w:p w14:paraId="2884CF38" w14:textId="77777777" w:rsidR="0041701F" w:rsidRPr="0068749D" w:rsidRDefault="0041701F" w:rsidP="003850FF">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QALY gained</w:t>
            </w:r>
          </w:p>
        </w:tc>
        <w:tc>
          <w:tcPr>
            <w:tcW w:w="1072" w:type="pct"/>
            <w:vAlign w:val="center"/>
          </w:tcPr>
          <w:p w14:paraId="0A0E72FC" w14:textId="358B4BCA" w:rsidR="0041701F" w:rsidRPr="004B65F7" w:rsidRDefault="0041701F" w:rsidP="003850FF">
            <w:pPr>
              <w:keepNext/>
              <w:keepLines/>
              <w:jc w:val="right"/>
              <w:rPr>
                <w:rFonts w:ascii="Arial Narrow" w:eastAsiaTheme="majorEastAsia" w:hAnsi="Arial Narrow" w:cstheme="majorBidi"/>
                <w:bCs/>
                <w:sz w:val="20"/>
                <w:vertAlign w:val="superscript"/>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4B65F7">
              <w:rPr>
                <w:rFonts w:ascii="Arial Narrow" w:eastAsiaTheme="majorEastAsia" w:hAnsi="Arial Narrow" w:cstheme="majorBidi"/>
                <w:bCs/>
                <w:sz w:val="20"/>
                <w:vertAlign w:val="superscript"/>
              </w:rPr>
              <w:t>1</w:t>
            </w:r>
          </w:p>
        </w:tc>
      </w:tr>
      <w:tr w:rsidR="0041701F" w:rsidRPr="0068749D" w14:paraId="6A1CCFEC" w14:textId="77777777">
        <w:tc>
          <w:tcPr>
            <w:tcW w:w="5000" w:type="pct"/>
            <w:gridSpan w:val="4"/>
            <w:vAlign w:val="center"/>
          </w:tcPr>
          <w:p w14:paraId="18660B28" w14:textId="5DADAB64" w:rsidR="0041701F" w:rsidRPr="0068749D" w:rsidRDefault="0041701F" w:rsidP="003850FF">
            <w:pPr>
              <w:keepNext/>
              <w:keepLines/>
              <w:jc w:val="left"/>
              <w:rPr>
                <w:rFonts w:ascii="Arial Narrow" w:eastAsiaTheme="majorEastAsia" w:hAnsi="Arial Narrow" w:cstheme="majorBidi"/>
                <w:b/>
                <w:sz w:val="20"/>
              </w:rPr>
            </w:pPr>
            <w:r w:rsidRPr="0068749D">
              <w:rPr>
                <w:rFonts w:ascii="Arial Narrow" w:eastAsiaTheme="majorEastAsia" w:hAnsi="Arial Narrow" w:cstheme="majorBidi"/>
                <w:b/>
                <w:sz w:val="20"/>
              </w:rPr>
              <w:t xml:space="preserve">(B) Include </w:t>
            </w:r>
            <w:r w:rsidR="00937943" w:rsidRPr="0068749D">
              <w:rPr>
                <w:rFonts w:ascii="Arial Narrow" w:eastAsiaTheme="majorEastAsia" w:hAnsi="Arial Narrow" w:cstheme="majorBidi"/>
                <w:b/>
                <w:sz w:val="20"/>
              </w:rPr>
              <w:t>only n</w:t>
            </w:r>
            <w:r w:rsidRPr="0068749D">
              <w:rPr>
                <w:rFonts w:ascii="Arial Narrow" w:eastAsiaTheme="majorEastAsia" w:hAnsi="Arial Narrow" w:cstheme="majorBidi"/>
                <w:b/>
                <w:sz w:val="20"/>
              </w:rPr>
              <w:t>ivolumab costs and outcomes in the SoC arm</w:t>
            </w:r>
          </w:p>
          <w:p w14:paraId="1DC6AE63" w14:textId="217AC088" w:rsidR="0041701F" w:rsidRPr="0068749D" w:rsidRDefault="0041701F" w:rsidP="003850FF">
            <w:pPr>
              <w:keepNext/>
              <w:keepLines/>
              <w:jc w:val="left"/>
              <w:rPr>
                <w:rFonts w:ascii="Arial Narrow" w:eastAsiaTheme="majorEastAsia" w:hAnsi="Arial Narrow" w:cs="Times New Roman"/>
                <w:bCs/>
                <w:sz w:val="20"/>
              </w:rPr>
            </w:pPr>
            <w:r w:rsidRPr="0068749D">
              <w:rPr>
                <w:rFonts w:ascii="Arial Narrow" w:eastAsiaTheme="majorEastAsia" w:hAnsi="Arial Narrow" w:cstheme="majorBidi"/>
                <w:bCs/>
                <w:sz w:val="20"/>
              </w:rPr>
              <w:t xml:space="preserve">Assuming </w:t>
            </w:r>
            <w:r w:rsidRPr="004A12B5">
              <w:rPr>
                <w:rFonts w:ascii="Arial Narrow" w:eastAsiaTheme="majorEastAsia" w:hAnsi="Arial Narrow" w:cstheme="majorBidi"/>
                <w:bCs/>
                <w:sz w:val="20"/>
              </w:rPr>
              <w:t>27.</w:t>
            </w:r>
            <w:r w:rsidR="0071576D" w:rsidRPr="004A12B5">
              <w:rPr>
                <w:rFonts w:ascii="Arial Narrow" w:eastAsiaTheme="majorEastAsia" w:hAnsi="Arial Narrow" w:cstheme="majorBidi"/>
                <w:bCs/>
                <w:sz w:val="20"/>
              </w:rPr>
              <w:t>6</w:t>
            </w:r>
            <w:r w:rsidRPr="0068749D">
              <w:rPr>
                <w:rFonts w:ascii="Arial Narrow" w:eastAsiaTheme="majorEastAsia" w:hAnsi="Arial Narrow" w:cstheme="majorBidi"/>
                <w:bCs/>
                <w:sz w:val="20"/>
              </w:rPr>
              <w:t xml:space="preserve">% patients with high risk of recurrence would receive adjuvant nivolumab in the SoC arm compared to no other subsequent therapy in the </w:t>
            </w:r>
            <w:r w:rsidR="00430804" w:rsidRPr="0068749D">
              <w:rPr>
                <w:rFonts w:ascii="Arial Narrow" w:eastAsiaTheme="majorEastAsia" w:hAnsi="Arial Narrow" w:cstheme="majorBidi"/>
                <w:bCs/>
                <w:sz w:val="20"/>
              </w:rPr>
              <w:t>durvalumab</w:t>
            </w:r>
            <w:r w:rsidR="005A5506" w:rsidRPr="0068749D">
              <w:rPr>
                <w:rFonts w:ascii="Arial Narrow" w:eastAsiaTheme="majorEastAsia" w:hAnsi="Arial Narrow" w:cstheme="majorBidi"/>
                <w:bCs/>
                <w:sz w:val="20"/>
              </w:rPr>
              <w:t xml:space="preserve"> + GC</w:t>
            </w:r>
            <w:r w:rsidRPr="0068749D">
              <w:rPr>
                <w:rFonts w:ascii="Arial Narrow" w:eastAsiaTheme="majorEastAsia" w:hAnsi="Arial Narrow" w:cstheme="majorBidi"/>
                <w:bCs/>
                <w:sz w:val="20"/>
              </w:rPr>
              <w:t xml:space="preserve"> arm.</w:t>
            </w:r>
          </w:p>
        </w:tc>
      </w:tr>
      <w:tr w:rsidR="0041701F" w:rsidRPr="0068749D" w14:paraId="2C8615ED" w14:textId="77777777">
        <w:tc>
          <w:tcPr>
            <w:tcW w:w="1529" w:type="pct"/>
            <w:vAlign w:val="center"/>
          </w:tcPr>
          <w:p w14:paraId="6E618745" w14:textId="77777777" w:rsidR="0041701F" w:rsidRPr="0068749D" w:rsidRDefault="0041701F" w:rsidP="003850FF">
            <w:pPr>
              <w:keepNext/>
              <w:keepLines/>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2E8F498B" w14:textId="32BB090C" w:rsidR="0041701F" w:rsidRPr="0068749D" w:rsidRDefault="0041701F" w:rsidP="003850FF">
            <w:pPr>
              <w:keepNext/>
              <w:keepLines/>
              <w:jc w:val="right"/>
              <w:rPr>
                <w:rFonts w:ascii="Times" w:eastAsiaTheme="majorEastAsia" w:hAnsi="Times"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c>
          <w:tcPr>
            <w:tcW w:w="1101" w:type="pct"/>
            <w:vAlign w:val="center"/>
          </w:tcPr>
          <w:p w14:paraId="4A052D7E" w14:textId="77777777" w:rsidR="0041701F" w:rsidRPr="0068749D" w:rsidRDefault="0041701F" w:rsidP="003850FF">
            <w:pPr>
              <w:keepNext/>
              <w:keepLines/>
              <w:jc w:val="right"/>
              <w:rPr>
                <w:rFonts w:ascii="Times" w:eastAsiaTheme="majorEastAsia" w:hAnsi="Times" w:cstheme="majorBidi"/>
                <w:bCs/>
                <w:sz w:val="20"/>
              </w:rPr>
            </w:pPr>
            <w:r w:rsidRPr="0068749D">
              <w:rPr>
                <w:rFonts w:ascii="Arial Narrow" w:hAnsi="Arial Narrow"/>
                <w:color w:val="000000"/>
                <w:sz w:val="20"/>
                <w:szCs w:val="20"/>
              </w:rPr>
              <w:t>$41,006</w:t>
            </w:r>
          </w:p>
        </w:tc>
        <w:tc>
          <w:tcPr>
            <w:tcW w:w="1072" w:type="pct"/>
            <w:vAlign w:val="center"/>
          </w:tcPr>
          <w:p w14:paraId="43AF0600" w14:textId="3E27EE16" w:rsidR="0041701F" w:rsidRPr="0068749D" w:rsidRDefault="0041701F" w:rsidP="003850FF">
            <w:pPr>
              <w:keepNext/>
              <w:keepLines/>
              <w:jc w:val="right"/>
              <w:rPr>
                <w:rFonts w:ascii="Arial Narrow" w:eastAsiaTheme="majorEastAsia" w:hAnsi="Arial Narrow"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r>
      <w:tr w:rsidR="0041701F" w:rsidRPr="0068749D" w14:paraId="196E3D76" w14:textId="77777777">
        <w:tc>
          <w:tcPr>
            <w:tcW w:w="1529" w:type="pct"/>
            <w:vAlign w:val="center"/>
          </w:tcPr>
          <w:p w14:paraId="2F03FC77" w14:textId="77777777" w:rsidR="0041701F" w:rsidRPr="0068749D" w:rsidRDefault="0041701F" w:rsidP="003850FF">
            <w:pPr>
              <w:jc w:val="left"/>
              <w:rPr>
                <w:rFonts w:ascii="Times" w:eastAsiaTheme="majorEastAsia" w:hAnsi="Times" w:cstheme="majorBidi"/>
                <w:bCs/>
                <w:sz w:val="20"/>
              </w:rPr>
            </w:pPr>
            <w:r w:rsidRPr="0068749D">
              <w:rPr>
                <w:rFonts w:ascii="Arial Narrow" w:eastAsiaTheme="majorEastAsia" w:hAnsi="Arial Narrow" w:cstheme="majorBidi"/>
                <w:bCs/>
                <w:sz w:val="20"/>
              </w:rPr>
              <w:t>QALYs</w:t>
            </w:r>
          </w:p>
        </w:tc>
        <w:tc>
          <w:tcPr>
            <w:tcW w:w="1298" w:type="pct"/>
            <w:vAlign w:val="center"/>
          </w:tcPr>
          <w:p w14:paraId="46F93321" w14:textId="77777777" w:rsidR="0041701F" w:rsidRPr="0068749D" w:rsidRDefault="0041701F" w:rsidP="003850FF">
            <w:pPr>
              <w:jc w:val="center"/>
              <w:rPr>
                <w:rFonts w:ascii="Times" w:eastAsiaTheme="majorEastAsia" w:hAnsi="Times" w:cstheme="majorBidi"/>
                <w:bCs/>
                <w:sz w:val="20"/>
              </w:rPr>
            </w:pPr>
            <w:r w:rsidRPr="0068749D">
              <w:rPr>
                <w:rFonts w:ascii="Arial Narrow" w:hAnsi="Arial Narrow"/>
                <w:color w:val="000000"/>
                <w:sz w:val="20"/>
                <w:szCs w:val="20"/>
              </w:rPr>
              <w:t>6.0801</w:t>
            </w:r>
          </w:p>
        </w:tc>
        <w:tc>
          <w:tcPr>
            <w:tcW w:w="1101" w:type="pct"/>
            <w:vAlign w:val="center"/>
          </w:tcPr>
          <w:p w14:paraId="612B40EB" w14:textId="77777777" w:rsidR="0041701F" w:rsidRPr="0068749D" w:rsidRDefault="0041701F" w:rsidP="003850FF">
            <w:pPr>
              <w:jc w:val="center"/>
              <w:rPr>
                <w:rFonts w:ascii="Times" w:eastAsiaTheme="majorEastAsia" w:hAnsi="Times" w:cstheme="majorBidi"/>
                <w:bCs/>
                <w:sz w:val="20"/>
              </w:rPr>
            </w:pPr>
            <w:r w:rsidRPr="0068749D">
              <w:rPr>
                <w:rFonts w:ascii="Arial Narrow" w:hAnsi="Arial Narrow"/>
                <w:color w:val="000000"/>
                <w:sz w:val="20"/>
                <w:szCs w:val="20"/>
              </w:rPr>
              <w:t>5.3400</w:t>
            </w:r>
          </w:p>
        </w:tc>
        <w:tc>
          <w:tcPr>
            <w:tcW w:w="1072" w:type="pct"/>
            <w:vAlign w:val="center"/>
          </w:tcPr>
          <w:p w14:paraId="53665F98" w14:textId="77777777" w:rsidR="0041701F" w:rsidRPr="0068749D" w:rsidRDefault="0041701F" w:rsidP="003850FF">
            <w:pPr>
              <w:jc w:val="center"/>
              <w:rPr>
                <w:rFonts w:ascii="Arial Narrow" w:eastAsiaTheme="majorEastAsia" w:hAnsi="Arial Narrow" w:cstheme="majorBidi"/>
                <w:bCs/>
                <w:sz w:val="20"/>
              </w:rPr>
            </w:pPr>
            <w:r w:rsidRPr="0068749D">
              <w:rPr>
                <w:rFonts w:ascii="Arial Narrow" w:hAnsi="Arial Narrow"/>
                <w:color w:val="000000"/>
                <w:sz w:val="20"/>
                <w:szCs w:val="20"/>
              </w:rPr>
              <w:t>0.7401</w:t>
            </w:r>
          </w:p>
        </w:tc>
      </w:tr>
      <w:tr w:rsidR="0041701F" w:rsidRPr="0068749D" w14:paraId="2BEADCA2" w14:textId="77777777">
        <w:tc>
          <w:tcPr>
            <w:tcW w:w="3928" w:type="pct"/>
            <w:gridSpan w:val="3"/>
            <w:vAlign w:val="center"/>
          </w:tcPr>
          <w:p w14:paraId="35389948" w14:textId="77777777" w:rsidR="0041701F" w:rsidRPr="0068749D" w:rsidRDefault="0041701F" w:rsidP="003850FF">
            <w:pPr>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QALY gained</w:t>
            </w:r>
          </w:p>
        </w:tc>
        <w:tc>
          <w:tcPr>
            <w:tcW w:w="1072" w:type="pct"/>
            <w:vAlign w:val="center"/>
          </w:tcPr>
          <w:p w14:paraId="575D2896" w14:textId="300DE6C0" w:rsidR="0041701F" w:rsidRPr="004B2BB4" w:rsidRDefault="0041701F" w:rsidP="003850FF">
            <w:pPr>
              <w:jc w:val="right"/>
              <w:rPr>
                <w:rFonts w:ascii="Arial Narrow" w:eastAsiaTheme="majorEastAsia" w:hAnsi="Arial Narrow" w:cstheme="majorBidi"/>
                <w:bCs/>
                <w:sz w:val="20"/>
                <w:vertAlign w:val="superscript"/>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4B2BB4">
              <w:rPr>
                <w:rFonts w:ascii="Arial Narrow" w:eastAsiaTheme="majorEastAsia" w:hAnsi="Arial Narrow" w:cstheme="majorBidi"/>
                <w:bCs/>
                <w:sz w:val="20"/>
                <w:vertAlign w:val="superscript"/>
              </w:rPr>
              <w:t>1</w:t>
            </w:r>
          </w:p>
        </w:tc>
      </w:tr>
      <w:tr w:rsidR="0041701F" w:rsidRPr="0068749D" w14:paraId="51263225" w14:textId="77777777">
        <w:tc>
          <w:tcPr>
            <w:tcW w:w="5000" w:type="pct"/>
            <w:gridSpan w:val="4"/>
            <w:vAlign w:val="center"/>
          </w:tcPr>
          <w:p w14:paraId="6C1EFA08" w14:textId="7C7188E0" w:rsidR="0041701F" w:rsidRPr="0068749D" w:rsidRDefault="0041701F" w:rsidP="003850FF">
            <w:pPr>
              <w:jc w:val="left"/>
              <w:rPr>
                <w:rFonts w:ascii="Arial Narrow" w:eastAsiaTheme="majorEastAsia" w:hAnsi="Arial Narrow" w:cs="Times New Roman"/>
                <w:bCs/>
                <w:sz w:val="20"/>
              </w:rPr>
            </w:pPr>
            <w:r w:rsidRPr="0068749D">
              <w:rPr>
                <w:rFonts w:ascii="Arial Narrow" w:eastAsiaTheme="majorEastAsia" w:hAnsi="Arial Narrow" w:cs="Times New Roman"/>
                <w:b/>
                <w:sz w:val="20"/>
              </w:rPr>
              <w:t xml:space="preserve">(C) Include </w:t>
            </w:r>
            <w:r w:rsidR="00937943" w:rsidRPr="0068749D">
              <w:rPr>
                <w:rFonts w:ascii="Arial Narrow" w:eastAsiaTheme="majorEastAsia" w:hAnsi="Arial Narrow" w:cs="Times New Roman"/>
                <w:b/>
                <w:sz w:val="20"/>
              </w:rPr>
              <w:t xml:space="preserve">only </w:t>
            </w:r>
            <w:r w:rsidRPr="0068749D">
              <w:rPr>
                <w:rFonts w:ascii="Arial Narrow" w:eastAsiaTheme="majorEastAsia" w:hAnsi="Arial Narrow" w:cs="Times New Roman"/>
                <w:b/>
                <w:sz w:val="20"/>
              </w:rPr>
              <w:t>avelumab costs and outcomes in the SoC arm</w:t>
            </w:r>
          </w:p>
          <w:p w14:paraId="7B6AF42C" w14:textId="77777777" w:rsidR="0041701F" w:rsidRPr="0068749D" w:rsidRDefault="0041701F" w:rsidP="003850FF">
            <w:pPr>
              <w:jc w:val="left"/>
              <w:rPr>
                <w:rFonts w:ascii="Arial Narrow" w:eastAsiaTheme="majorEastAsia" w:hAnsi="Arial Narrow" w:cs="Times New Roman"/>
                <w:b/>
                <w:sz w:val="20"/>
              </w:rPr>
            </w:pPr>
            <w:r w:rsidRPr="0068749D">
              <w:rPr>
                <w:rFonts w:ascii="Arial Narrow" w:eastAsiaTheme="majorEastAsia" w:hAnsi="Arial Narrow" w:cs="Times New Roman"/>
                <w:bCs/>
                <w:sz w:val="20"/>
              </w:rPr>
              <w:t>Assuming no prior exposure to immunotherapy in the SoC arm, 43% of the patients with distant recurrence will receive avelumab.</w:t>
            </w:r>
          </w:p>
        </w:tc>
      </w:tr>
      <w:tr w:rsidR="0041701F" w:rsidRPr="0068749D" w14:paraId="4BAEBF59" w14:textId="77777777">
        <w:tc>
          <w:tcPr>
            <w:tcW w:w="1529" w:type="pct"/>
            <w:vAlign w:val="center"/>
          </w:tcPr>
          <w:p w14:paraId="415EA084" w14:textId="77777777" w:rsidR="0041701F" w:rsidRPr="0068749D" w:rsidRDefault="0041701F" w:rsidP="003850FF">
            <w:pPr>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6640B115" w14:textId="3C2F8713" w:rsidR="0041701F" w:rsidRPr="0068749D" w:rsidRDefault="0041701F" w:rsidP="003850FF">
            <w:pPr>
              <w:jc w:val="right"/>
              <w:rPr>
                <w:rFonts w:ascii="Times" w:eastAsiaTheme="majorEastAsia" w:hAnsi="Times"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c>
          <w:tcPr>
            <w:tcW w:w="1101" w:type="pct"/>
            <w:vAlign w:val="center"/>
          </w:tcPr>
          <w:p w14:paraId="5AD65742" w14:textId="77777777" w:rsidR="0041701F" w:rsidRPr="0068749D" w:rsidRDefault="0041701F" w:rsidP="003850FF">
            <w:pPr>
              <w:jc w:val="right"/>
              <w:rPr>
                <w:rFonts w:ascii="Times" w:eastAsiaTheme="majorEastAsia" w:hAnsi="Times" w:cstheme="majorBidi"/>
                <w:bCs/>
                <w:sz w:val="20"/>
              </w:rPr>
            </w:pPr>
            <w:r w:rsidRPr="0068749D">
              <w:rPr>
                <w:rFonts w:ascii="Arial Narrow" w:hAnsi="Arial Narrow"/>
                <w:color w:val="000000"/>
                <w:sz w:val="20"/>
                <w:szCs w:val="20"/>
              </w:rPr>
              <w:t>$38,644</w:t>
            </w:r>
          </w:p>
        </w:tc>
        <w:tc>
          <w:tcPr>
            <w:tcW w:w="1072" w:type="pct"/>
            <w:vAlign w:val="center"/>
          </w:tcPr>
          <w:p w14:paraId="6BDE56A4" w14:textId="54845C5C" w:rsidR="0041701F" w:rsidRPr="0068749D" w:rsidRDefault="0041701F" w:rsidP="003850FF">
            <w:pPr>
              <w:jc w:val="right"/>
              <w:rPr>
                <w:rFonts w:ascii="Arial Narrow" w:eastAsiaTheme="majorEastAsia" w:hAnsi="Arial Narrow"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r>
      <w:tr w:rsidR="0041701F" w:rsidRPr="0068749D" w14:paraId="228F97B3" w14:textId="77777777">
        <w:tc>
          <w:tcPr>
            <w:tcW w:w="1529" w:type="pct"/>
            <w:vAlign w:val="center"/>
          </w:tcPr>
          <w:p w14:paraId="09EF9739" w14:textId="77777777" w:rsidR="0041701F" w:rsidRPr="0068749D" w:rsidRDefault="0041701F" w:rsidP="003850FF">
            <w:pPr>
              <w:jc w:val="left"/>
              <w:rPr>
                <w:rFonts w:ascii="Times" w:eastAsiaTheme="majorEastAsia" w:hAnsi="Times" w:cstheme="majorBidi"/>
                <w:b/>
                <w:sz w:val="20"/>
              </w:rPr>
            </w:pPr>
            <w:r w:rsidRPr="0068749D">
              <w:rPr>
                <w:rFonts w:ascii="Arial Narrow" w:eastAsiaTheme="majorEastAsia" w:hAnsi="Arial Narrow" w:cstheme="majorBidi"/>
                <w:bCs/>
                <w:sz w:val="20"/>
              </w:rPr>
              <w:t>QALYs</w:t>
            </w:r>
          </w:p>
        </w:tc>
        <w:tc>
          <w:tcPr>
            <w:tcW w:w="1298" w:type="pct"/>
            <w:vAlign w:val="center"/>
          </w:tcPr>
          <w:p w14:paraId="478909AC" w14:textId="77777777" w:rsidR="0041701F" w:rsidRPr="0068749D" w:rsidRDefault="0041701F" w:rsidP="003850FF">
            <w:pPr>
              <w:jc w:val="center"/>
              <w:rPr>
                <w:rFonts w:ascii="Times" w:eastAsiaTheme="majorEastAsia" w:hAnsi="Times" w:cstheme="majorBidi"/>
                <w:bCs/>
                <w:sz w:val="20"/>
              </w:rPr>
            </w:pPr>
            <w:r w:rsidRPr="0068749D">
              <w:rPr>
                <w:rFonts w:ascii="Arial Narrow" w:hAnsi="Arial Narrow"/>
                <w:color w:val="000000"/>
                <w:sz w:val="20"/>
                <w:szCs w:val="20"/>
              </w:rPr>
              <w:t>6.0801</w:t>
            </w:r>
          </w:p>
        </w:tc>
        <w:tc>
          <w:tcPr>
            <w:tcW w:w="1101" w:type="pct"/>
            <w:vAlign w:val="center"/>
          </w:tcPr>
          <w:p w14:paraId="6F44EC84" w14:textId="77777777" w:rsidR="0041701F" w:rsidRPr="0068749D" w:rsidRDefault="0041701F" w:rsidP="003850FF">
            <w:pPr>
              <w:jc w:val="center"/>
              <w:rPr>
                <w:rFonts w:ascii="Times" w:eastAsiaTheme="majorEastAsia" w:hAnsi="Times" w:cstheme="majorBidi"/>
                <w:bCs/>
                <w:sz w:val="20"/>
              </w:rPr>
            </w:pPr>
            <w:r w:rsidRPr="0068749D">
              <w:rPr>
                <w:rFonts w:ascii="Arial Narrow" w:hAnsi="Arial Narrow"/>
                <w:color w:val="000000"/>
                <w:sz w:val="20"/>
                <w:szCs w:val="20"/>
              </w:rPr>
              <w:t>5.0266</w:t>
            </w:r>
          </w:p>
        </w:tc>
        <w:tc>
          <w:tcPr>
            <w:tcW w:w="1072" w:type="pct"/>
            <w:vAlign w:val="center"/>
          </w:tcPr>
          <w:p w14:paraId="42326669" w14:textId="77777777" w:rsidR="0041701F" w:rsidRPr="0068749D" w:rsidRDefault="0041701F" w:rsidP="003850FF">
            <w:pPr>
              <w:jc w:val="center"/>
              <w:rPr>
                <w:rFonts w:ascii="Arial Narrow" w:eastAsiaTheme="majorEastAsia" w:hAnsi="Arial Narrow" w:cstheme="majorBidi"/>
                <w:bCs/>
                <w:sz w:val="20"/>
              </w:rPr>
            </w:pPr>
            <w:r w:rsidRPr="0068749D">
              <w:rPr>
                <w:rFonts w:ascii="Arial Narrow" w:hAnsi="Arial Narrow"/>
                <w:color w:val="000000"/>
                <w:sz w:val="20"/>
                <w:szCs w:val="20"/>
              </w:rPr>
              <w:t>1.0535</w:t>
            </w:r>
          </w:p>
        </w:tc>
      </w:tr>
      <w:tr w:rsidR="0041701F" w:rsidRPr="0068749D" w14:paraId="16E8EE59" w14:textId="77777777">
        <w:tc>
          <w:tcPr>
            <w:tcW w:w="3928" w:type="pct"/>
            <w:gridSpan w:val="3"/>
            <w:vAlign w:val="center"/>
          </w:tcPr>
          <w:p w14:paraId="79BB616D" w14:textId="77777777" w:rsidR="0041701F" w:rsidRPr="0068749D" w:rsidRDefault="0041701F" w:rsidP="003850FF">
            <w:pPr>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QALY gained</w:t>
            </w:r>
          </w:p>
        </w:tc>
        <w:tc>
          <w:tcPr>
            <w:tcW w:w="1072" w:type="pct"/>
            <w:vAlign w:val="center"/>
          </w:tcPr>
          <w:p w14:paraId="249583AB" w14:textId="20DF62BA" w:rsidR="0041701F" w:rsidRPr="004B2BB4" w:rsidRDefault="0041701F" w:rsidP="003850FF">
            <w:pPr>
              <w:jc w:val="right"/>
              <w:rPr>
                <w:rFonts w:ascii="Arial Narrow" w:eastAsiaTheme="majorEastAsia" w:hAnsi="Arial Narrow" w:cstheme="majorBidi"/>
                <w:bCs/>
                <w:sz w:val="20"/>
                <w:vertAlign w:val="superscript"/>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4B2BB4">
              <w:rPr>
                <w:rFonts w:ascii="Arial Narrow" w:eastAsiaTheme="majorEastAsia" w:hAnsi="Arial Narrow" w:cstheme="majorBidi"/>
                <w:bCs/>
                <w:sz w:val="20"/>
                <w:vertAlign w:val="superscript"/>
              </w:rPr>
              <w:t>2</w:t>
            </w:r>
          </w:p>
        </w:tc>
      </w:tr>
      <w:tr w:rsidR="0041701F" w:rsidRPr="0068749D" w14:paraId="6D0402BA" w14:textId="77777777">
        <w:tc>
          <w:tcPr>
            <w:tcW w:w="5000" w:type="pct"/>
            <w:gridSpan w:val="4"/>
            <w:vAlign w:val="center"/>
          </w:tcPr>
          <w:p w14:paraId="010C7ACB" w14:textId="77777777" w:rsidR="0041701F" w:rsidRPr="0068749D" w:rsidRDefault="0041701F" w:rsidP="003850FF">
            <w:pPr>
              <w:jc w:val="left"/>
              <w:rPr>
                <w:rFonts w:ascii="Arial Narrow" w:eastAsiaTheme="majorEastAsia" w:hAnsi="Arial Narrow" w:cs="Times New Roman"/>
                <w:bCs/>
                <w:sz w:val="20"/>
              </w:rPr>
            </w:pPr>
            <w:r w:rsidRPr="0068749D">
              <w:rPr>
                <w:rFonts w:ascii="Arial Narrow" w:eastAsiaTheme="majorEastAsia" w:hAnsi="Arial Narrow" w:cs="Times New Roman"/>
                <w:b/>
                <w:sz w:val="20"/>
              </w:rPr>
              <w:t>(D) Include both nivolumab and avelumab costs and outcomes in the SoC arm</w:t>
            </w:r>
          </w:p>
          <w:p w14:paraId="56CF6289" w14:textId="0C4B05BD" w:rsidR="0041701F" w:rsidRPr="0068749D" w:rsidRDefault="0041701F" w:rsidP="003850FF">
            <w:pPr>
              <w:jc w:val="left"/>
              <w:rPr>
                <w:rFonts w:ascii="Arial Narrow" w:eastAsiaTheme="majorEastAsia" w:hAnsi="Arial Narrow" w:cs="Times New Roman"/>
                <w:b/>
                <w:sz w:val="20"/>
              </w:rPr>
            </w:pPr>
            <w:r w:rsidRPr="0068749D">
              <w:rPr>
                <w:rFonts w:ascii="Arial Narrow" w:eastAsiaTheme="majorEastAsia" w:hAnsi="Arial Narrow" w:cs="Times New Roman"/>
                <w:bCs/>
                <w:sz w:val="20"/>
              </w:rPr>
              <w:t xml:space="preserve">Assuming </w:t>
            </w:r>
            <w:r w:rsidRPr="004A12B5">
              <w:rPr>
                <w:rFonts w:ascii="Arial Narrow" w:eastAsiaTheme="majorEastAsia" w:hAnsi="Arial Narrow" w:cstheme="majorBidi"/>
                <w:bCs/>
                <w:sz w:val="20"/>
              </w:rPr>
              <w:t>27.</w:t>
            </w:r>
            <w:r w:rsidR="0071576D" w:rsidRPr="004A12B5">
              <w:rPr>
                <w:rFonts w:ascii="Arial Narrow" w:eastAsiaTheme="majorEastAsia" w:hAnsi="Arial Narrow" w:cstheme="majorBidi"/>
                <w:bCs/>
                <w:sz w:val="20"/>
              </w:rPr>
              <w:t>6</w:t>
            </w:r>
            <w:r w:rsidRPr="0068749D">
              <w:rPr>
                <w:rFonts w:ascii="Arial Narrow" w:eastAsiaTheme="majorEastAsia" w:hAnsi="Arial Narrow" w:cstheme="majorBidi"/>
                <w:bCs/>
                <w:sz w:val="20"/>
              </w:rPr>
              <w:t xml:space="preserve">% patients with high risk of recurrence would receive adjuvant nivolumab, and 43% of the patients with </w:t>
            </w:r>
            <w:r w:rsidRPr="0068749D">
              <w:rPr>
                <w:rFonts w:ascii="Arial Narrow" w:eastAsiaTheme="majorEastAsia" w:hAnsi="Arial Narrow" w:cs="Times New Roman"/>
                <w:bCs/>
                <w:sz w:val="20"/>
              </w:rPr>
              <w:t>no prior exposure to nivolumab will receive avelumab on distant recurrence in the SoC arm.</w:t>
            </w:r>
          </w:p>
        </w:tc>
      </w:tr>
      <w:tr w:rsidR="0041701F" w:rsidRPr="0068749D" w14:paraId="3186A067" w14:textId="77777777">
        <w:tc>
          <w:tcPr>
            <w:tcW w:w="1529" w:type="pct"/>
            <w:vAlign w:val="center"/>
          </w:tcPr>
          <w:p w14:paraId="4DE98085" w14:textId="77777777" w:rsidR="0041701F" w:rsidRPr="0068749D" w:rsidRDefault="0041701F" w:rsidP="003850FF">
            <w:pPr>
              <w:jc w:val="left"/>
              <w:rPr>
                <w:rFonts w:ascii="Times" w:eastAsiaTheme="majorEastAsia" w:hAnsi="Times" w:cstheme="majorBidi"/>
                <w:bCs/>
                <w:sz w:val="20"/>
              </w:rPr>
            </w:pPr>
            <w:r w:rsidRPr="0068749D">
              <w:rPr>
                <w:rFonts w:ascii="Arial Narrow" w:eastAsiaTheme="majorEastAsia" w:hAnsi="Arial Narrow" w:cstheme="majorBidi"/>
                <w:bCs/>
                <w:sz w:val="20"/>
              </w:rPr>
              <w:t>Costs</w:t>
            </w:r>
          </w:p>
        </w:tc>
        <w:tc>
          <w:tcPr>
            <w:tcW w:w="1298" w:type="pct"/>
            <w:vAlign w:val="center"/>
          </w:tcPr>
          <w:p w14:paraId="11F45E56" w14:textId="5BDF830A" w:rsidR="0041701F" w:rsidRPr="0068749D" w:rsidRDefault="0041701F" w:rsidP="003850FF">
            <w:pPr>
              <w:jc w:val="right"/>
              <w:rPr>
                <w:rFonts w:ascii="Times" w:eastAsiaTheme="majorEastAsia" w:hAnsi="Times"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c>
          <w:tcPr>
            <w:tcW w:w="1101" w:type="pct"/>
            <w:vAlign w:val="center"/>
          </w:tcPr>
          <w:p w14:paraId="66D3D1EC" w14:textId="77777777" w:rsidR="0041701F" w:rsidRPr="0068749D" w:rsidRDefault="0041701F" w:rsidP="003850FF">
            <w:pPr>
              <w:jc w:val="right"/>
              <w:rPr>
                <w:rFonts w:ascii="Times" w:eastAsiaTheme="majorEastAsia" w:hAnsi="Times" w:cstheme="majorBidi"/>
                <w:bCs/>
                <w:sz w:val="20"/>
              </w:rPr>
            </w:pPr>
            <w:r w:rsidRPr="0068749D">
              <w:rPr>
                <w:rFonts w:ascii="Arial Narrow" w:hAnsi="Arial Narrow"/>
                <w:color w:val="000000"/>
                <w:sz w:val="20"/>
                <w:szCs w:val="20"/>
              </w:rPr>
              <w:t>$48,202</w:t>
            </w:r>
          </w:p>
        </w:tc>
        <w:tc>
          <w:tcPr>
            <w:tcW w:w="1072" w:type="pct"/>
            <w:vAlign w:val="center"/>
          </w:tcPr>
          <w:p w14:paraId="67292BEA" w14:textId="78606E58" w:rsidR="0041701F" w:rsidRPr="0068749D" w:rsidRDefault="0041701F" w:rsidP="003850FF">
            <w:pPr>
              <w:jc w:val="right"/>
              <w:rPr>
                <w:rFonts w:ascii="Arial Narrow" w:eastAsiaTheme="majorEastAsia" w:hAnsi="Arial Narrow" w:cstheme="majorBidi"/>
                <w:bCs/>
                <w:sz w:val="20"/>
              </w:rPr>
            </w:pPr>
            <w:r w:rsidRPr="0068749D">
              <w:rPr>
                <w:rFonts w:ascii="Arial Narrow" w:hAnsi="Arial Narrow"/>
                <w:color w:val="000000"/>
                <w:sz w:val="20"/>
                <w:szCs w:val="20"/>
              </w:rPr>
              <w:t>$</w:t>
            </w:r>
            <w:r w:rsidR="000F4FEC" w:rsidRPr="000F4FEC">
              <w:rPr>
                <w:rFonts w:ascii="Arial Narrow" w:hAnsi="Arial Narrow"/>
                <w:color w:val="000000"/>
                <w:sz w:val="20"/>
                <w:szCs w:val="20"/>
                <w:highlight w:val="black"/>
              </w:rPr>
              <w:t>@@@@</w:t>
            </w:r>
          </w:p>
        </w:tc>
      </w:tr>
      <w:tr w:rsidR="0041701F" w:rsidRPr="0068749D" w14:paraId="6EDF99BC" w14:textId="77777777">
        <w:tc>
          <w:tcPr>
            <w:tcW w:w="1529" w:type="pct"/>
            <w:vAlign w:val="center"/>
          </w:tcPr>
          <w:p w14:paraId="14C45494" w14:textId="77777777" w:rsidR="0041701F" w:rsidRPr="0068749D" w:rsidRDefault="0041701F" w:rsidP="003850FF">
            <w:pPr>
              <w:jc w:val="left"/>
              <w:rPr>
                <w:rFonts w:ascii="Times" w:eastAsiaTheme="majorEastAsia" w:hAnsi="Times" w:cstheme="majorBidi"/>
                <w:b/>
                <w:sz w:val="20"/>
              </w:rPr>
            </w:pPr>
            <w:r w:rsidRPr="0068749D">
              <w:rPr>
                <w:rFonts w:ascii="Arial Narrow" w:eastAsiaTheme="majorEastAsia" w:hAnsi="Arial Narrow" w:cstheme="majorBidi"/>
                <w:bCs/>
                <w:sz w:val="20"/>
              </w:rPr>
              <w:t>QALYs</w:t>
            </w:r>
          </w:p>
        </w:tc>
        <w:tc>
          <w:tcPr>
            <w:tcW w:w="1298" w:type="pct"/>
            <w:vAlign w:val="center"/>
          </w:tcPr>
          <w:p w14:paraId="4AED7E58" w14:textId="77777777" w:rsidR="0041701F" w:rsidRPr="0068749D" w:rsidRDefault="0041701F" w:rsidP="003850FF">
            <w:pPr>
              <w:jc w:val="center"/>
              <w:rPr>
                <w:rFonts w:ascii="Times" w:eastAsiaTheme="majorEastAsia" w:hAnsi="Times" w:cstheme="majorBidi"/>
                <w:bCs/>
                <w:sz w:val="20"/>
              </w:rPr>
            </w:pPr>
            <w:r w:rsidRPr="0068749D">
              <w:rPr>
                <w:rFonts w:ascii="Arial Narrow" w:hAnsi="Arial Narrow"/>
                <w:color w:val="000000"/>
                <w:sz w:val="20"/>
                <w:szCs w:val="20"/>
              </w:rPr>
              <w:t>6.0801</w:t>
            </w:r>
          </w:p>
        </w:tc>
        <w:tc>
          <w:tcPr>
            <w:tcW w:w="1101" w:type="pct"/>
            <w:vAlign w:val="center"/>
          </w:tcPr>
          <w:p w14:paraId="1414C1E0" w14:textId="77777777" w:rsidR="0041701F" w:rsidRPr="0068749D" w:rsidRDefault="0041701F" w:rsidP="003850FF">
            <w:pPr>
              <w:jc w:val="center"/>
              <w:rPr>
                <w:rFonts w:ascii="Times" w:eastAsiaTheme="majorEastAsia" w:hAnsi="Times" w:cstheme="majorBidi"/>
                <w:bCs/>
                <w:sz w:val="20"/>
              </w:rPr>
            </w:pPr>
            <w:r w:rsidRPr="0068749D">
              <w:rPr>
                <w:rFonts w:ascii="Arial Narrow" w:hAnsi="Arial Narrow"/>
                <w:color w:val="000000"/>
                <w:sz w:val="20"/>
                <w:szCs w:val="20"/>
              </w:rPr>
              <w:t>5.4054</w:t>
            </w:r>
          </w:p>
        </w:tc>
        <w:tc>
          <w:tcPr>
            <w:tcW w:w="1072" w:type="pct"/>
            <w:vAlign w:val="center"/>
          </w:tcPr>
          <w:p w14:paraId="7B5E61EC" w14:textId="77777777" w:rsidR="0041701F" w:rsidRPr="0068749D" w:rsidRDefault="0041701F" w:rsidP="003850FF">
            <w:pPr>
              <w:jc w:val="center"/>
              <w:rPr>
                <w:rFonts w:ascii="Arial Narrow" w:eastAsiaTheme="majorEastAsia" w:hAnsi="Arial Narrow" w:cstheme="majorBidi"/>
                <w:bCs/>
                <w:sz w:val="20"/>
              </w:rPr>
            </w:pPr>
            <w:r w:rsidRPr="0068749D">
              <w:rPr>
                <w:rFonts w:ascii="Arial Narrow" w:hAnsi="Arial Narrow"/>
                <w:color w:val="000000"/>
                <w:sz w:val="20"/>
                <w:szCs w:val="20"/>
              </w:rPr>
              <w:t>0.6747</w:t>
            </w:r>
          </w:p>
        </w:tc>
      </w:tr>
      <w:tr w:rsidR="0041701F" w:rsidRPr="0068749D" w14:paraId="5EEB08CE" w14:textId="77777777">
        <w:tc>
          <w:tcPr>
            <w:tcW w:w="3928" w:type="pct"/>
            <w:gridSpan w:val="3"/>
            <w:vAlign w:val="center"/>
          </w:tcPr>
          <w:p w14:paraId="1319BD02" w14:textId="77777777" w:rsidR="0041701F" w:rsidRPr="0068749D" w:rsidRDefault="0041701F" w:rsidP="003850FF">
            <w:pPr>
              <w:jc w:val="left"/>
              <w:rPr>
                <w:rFonts w:ascii="Times" w:eastAsiaTheme="majorEastAsia" w:hAnsi="Times" w:cstheme="majorBidi"/>
                <w:bCs/>
                <w:sz w:val="20"/>
              </w:rPr>
            </w:pPr>
            <w:r w:rsidRPr="0068749D">
              <w:rPr>
                <w:rFonts w:ascii="Arial Narrow" w:eastAsiaTheme="majorEastAsia" w:hAnsi="Arial Narrow" w:cstheme="majorBidi"/>
                <w:bCs/>
                <w:sz w:val="20"/>
              </w:rPr>
              <w:t>Incremental cost/extra QALY gained</w:t>
            </w:r>
          </w:p>
        </w:tc>
        <w:tc>
          <w:tcPr>
            <w:tcW w:w="1072" w:type="pct"/>
            <w:vAlign w:val="center"/>
          </w:tcPr>
          <w:p w14:paraId="5D74A501" w14:textId="1C168995" w:rsidR="0041701F" w:rsidRPr="00B20AA5" w:rsidRDefault="0041701F" w:rsidP="003850FF">
            <w:pPr>
              <w:jc w:val="right"/>
              <w:rPr>
                <w:rFonts w:ascii="Arial Narrow" w:eastAsiaTheme="majorEastAsia" w:hAnsi="Arial Narrow" w:cstheme="majorBidi"/>
                <w:bCs/>
                <w:sz w:val="20"/>
                <w:vertAlign w:val="superscript"/>
              </w:rPr>
            </w:pPr>
            <w:r w:rsidRPr="0068749D">
              <w:rPr>
                <w:rFonts w:ascii="Arial Narrow" w:eastAsiaTheme="majorEastAsia" w:hAnsi="Arial Narrow" w:cstheme="majorBidi"/>
                <w:bCs/>
                <w:sz w:val="20"/>
              </w:rPr>
              <w:t>$</w:t>
            </w:r>
            <w:r w:rsidR="000F4FEC" w:rsidRPr="000F4FEC">
              <w:rPr>
                <w:rFonts w:ascii="Arial Narrow" w:eastAsiaTheme="majorEastAsia" w:hAnsi="Arial Narrow" w:cstheme="majorBidi"/>
                <w:bCs/>
                <w:sz w:val="20"/>
                <w:highlight w:val="black"/>
              </w:rPr>
              <w:t>@@@@</w:t>
            </w:r>
            <w:r w:rsidR="00B20AA5">
              <w:rPr>
                <w:rFonts w:ascii="Arial Narrow" w:eastAsiaTheme="majorEastAsia" w:hAnsi="Arial Narrow" w:cstheme="majorBidi"/>
                <w:bCs/>
                <w:sz w:val="20"/>
                <w:vertAlign w:val="superscript"/>
              </w:rPr>
              <w:t>1</w:t>
            </w:r>
          </w:p>
        </w:tc>
      </w:tr>
    </w:tbl>
    <w:p w14:paraId="26A64A47" w14:textId="77777777" w:rsidR="0041701F" w:rsidRDefault="0041701F" w:rsidP="003850FF">
      <w:pPr>
        <w:pStyle w:val="TableFigureFooter"/>
        <w:keepLines w:val="0"/>
        <w:widowControl w:val="0"/>
      </w:pPr>
      <w:r>
        <w:t>Source: analyses performed during the evaluation using Attachment 3.1 ‘TreeAgeModel_Jul25.trex’ provided with the submission.</w:t>
      </w:r>
    </w:p>
    <w:p w14:paraId="547C3C7D" w14:textId="77777777" w:rsidR="0041701F" w:rsidRDefault="0041701F" w:rsidP="003850FF">
      <w:pPr>
        <w:pStyle w:val="TableFigureFooter"/>
        <w:keepLines w:val="0"/>
        <w:widowControl w:val="0"/>
      </w:pPr>
      <w:r>
        <w:t>GC = Gemcitabine plus cisplatin; QALY = Quality-adjusted life year; QALYs = Quality-adjusted life years; SoC = Standard of care.</w:t>
      </w:r>
    </w:p>
    <w:p w14:paraId="3D29782D" w14:textId="13747118" w:rsidR="0041701F" w:rsidRDefault="006B08E5" w:rsidP="003850FF">
      <w:pPr>
        <w:pStyle w:val="TableFigureFooter"/>
        <w:keepLines w:val="0"/>
        <w:widowControl w:val="0"/>
      </w:pPr>
      <w:r w:rsidRPr="009B593E">
        <w:rPr>
          <w:vertAlign w:val="superscript"/>
        </w:rPr>
        <w:t>a</w:t>
      </w:r>
      <w:r>
        <w:t xml:space="preserve"> </w:t>
      </w:r>
      <w:r w:rsidR="009B593E">
        <w:t>Respecified base case included better fitting Weibull parametric functions for extrapolating all EFs curves and had the cure function, that was incorrectly applied in the submission’s base case to the second cycle of recurrence, switched off in the locoregional and distant recurrence health s</w:t>
      </w:r>
      <w:r w:rsidR="00D86BD1">
        <w:t>t</w:t>
      </w:r>
      <w:r w:rsidR="009B593E">
        <w:t>ates.</w:t>
      </w:r>
    </w:p>
    <w:p w14:paraId="75327754" w14:textId="11B5885F" w:rsidR="006D5CDB" w:rsidRDefault="006D5CDB" w:rsidP="003850FF">
      <w:pPr>
        <w:pStyle w:val="TableFigureFooter"/>
        <w:keepLines w:val="0"/>
        <w:widowControl w:val="0"/>
      </w:pPr>
      <w:r w:rsidRPr="00795A41">
        <w:rPr>
          <w:color w:val="000000"/>
          <w:szCs w:val="20"/>
          <w:vertAlign w:val="superscript"/>
        </w:rPr>
        <w:t>b</w:t>
      </w:r>
      <w:r>
        <w:rPr>
          <w:color w:val="000000"/>
          <w:szCs w:val="20"/>
          <w:vertAlign w:val="superscript"/>
        </w:rPr>
        <w:t xml:space="preserve"> </w:t>
      </w:r>
      <w:r w:rsidR="00424A01">
        <w:t xml:space="preserve">Uses the published prices of nivolumab and avelumab with a hypothetical </w:t>
      </w:r>
      <w:r w:rsidR="000F4FEC" w:rsidRPr="000F4FEC">
        <w:rPr>
          <w:highlight w:val="black"/>
        </w:rPr>
        <w:t>@@@@</w:t>
      </w:r>
      <w:r w:rsidR="00424A01" w:rsidRPr="003D4C57">
        <w:t>%</w:t>
      </w:r>
      <w:r w:rsidR="00424A01">
        <w:t xml:space="preserve"> </w:t>
      </w:r>
      <w:r w:rsidR="00891BA9">
        <w:t>discount</w:t>
      </w:r>
    </w:p>
    <w:p w14:paraId="42B9D27F" w14:textId="247229FA" w:rsidR="004B65F7" w:rsidRDefault="004B65F7" w:rsidP="003850FF">
      <w:pPr>
        <w:pStyle w:val="TableFigureFooter"/>
        <w:keepLines w:val="0"/>
        <w:widowControl w:val="0"/>
        <w:rPr>
          <w:i/>
          <w:iCs/>
        </w:rPr>
      </w:pPr>
      <w:r w:rsidRPr="004B65F7">
        <w:rPr>
          <w:i/>
          <w:iCs/>
        </w:rPr>
        <w:t>The redacted values correspond to the following ranges</w:t>
      </w:r>
      <w:r>
        <w:rPr>
          <w:i/>
          <w:iCs/>
        </w:rPr>
        <w:t>:</w:t>
      </w:r>
    </w:p>
    <w:p w14:paraId="61BC646C" w14:textId="5F244013" w:rsidR="004B65F7" w:rsidRDefault="004B65F7" w:rsidP="003850FF">
      <w:pPr>
        <w:pStyle w:val="TableFigureFooter"/>
        <w:keepLines w:val="0"/>
        <w:widowControl w:val="0"/>
        <w:rPr>
          <w:i/>
          <w:iCs/>
        </w:rPr>
      </w:pPr>
      <w:r w:rsidRPr="000C18DF">
        <w:rPr>
          <w:i/>
          <w:iCs/>
          <w:vertAlign w:val="superscript"/>
        </w:rPr>
        <w:t>1</w:t>
      </w:r>
      <w:r>
        <w:rPr>
          <w:i/>
          <w:iCs/>
        </w:rPr>
        <w:t xml:space="preserve"> </w:t>
      </w:r>
      <w:r w:rsidR="000C18DF">
        <w:rPr>
          <w:i/>
          <w:iCs/>
        </w:rPr>
        <w:t>$35,000 to &lt; $45,000</w:t>
      </w:r>
    </w:p>
    <w:p w14:paraId="1E9A7B47" w14:textId="6A95835A" w:rsidR="004B2BB4" w:rsidRDefault="004B2BB4" w:rsidP="003850FF">
      <w:pPr>
        <w:pStyle w:val="TableFigureFooter"/>
        <w:keepLines w:val="0"/>
        <w:widowControl w:val="0"/>
        <w:rPr>
          <w:i/>
          <w:iCs/>
        </w:rPr>
      </w:pPr>
      <w:r w:rsidRPr="004B2BB4">
        <w:rPr>
          <w:i/>
          <w:iCs/>
          <w:vertAlign w:val="superscript"/>
        </w:rPr>
        <w:t>2</w:t>
      </w:r>
      <w:r>
        <w:rPr>
          <w:i/>
          <w:iCs/>
        </w:rPr>
        <w:t xml:space="preserve"> $25,000 to &lt; $35,000</w:t>
      </w:r>
    </w:p>
    <w:p w14:paraId="7159E68A" w14:textId="77777777" w:rsidR="000C18DF" w:rsidRPr="004B65F7" w:rsidRDefault="000C18DF" w:rsidP="00962A60">
      <w:pPr>
        <w:pStyle w:val="TableFigureFooter"/>
        <w:keepLines w:val="0"/>
        <w:widowControl w:val="0"/>
        <w:rPr>
          <w:i/>
          <w:iCs/>
        </w:rPr>
      </w:pPr>
    </w:p>
    <w:p w14:paraId="7AF43E58" w14:textId="5BAB7AA4" w:rsidR="0041701F" w:rsidRDefault="0041701F" w:rsidP="00962A60">
      <w:pPr>
        <w:pStyle w:val="3-BodyText"/>
        <w:widowControl w:val="0"/>
      </w:pPr>
      <w:bookmarkStart w:id="100" w:name="_Ref211959430"/>
      <w:r w:rsidRPr="00DF1914">
        <w:t>The results of key sensitivity analyses are summarised in</w:t>
      </w:r>
      <w:r w:rsidR="004623BE">
        <w:t xml:space="preserve"> </w:t>
      </w:r>
      <w:r w:rsidR="004623BE">
        <w:fldChar w:fldCharType="begin"/>
      </w:r>
      <w:r w:rsidR="004623BE">
        <w:instrText xml:space="preserve"> REF _Ref223516218 \h </w:instrText>
      </w:r>
      <w:r w:rsidR="004623BE">
        <w:fldChar w:fldCharType="separate"/>
      </w:r>
      <w:r w:rsidR="005731FF" w:rsidRPr="00DF1914">
        <w:t xml:space="preserve">Table </w:t>
      </w:r>
      <w:r w:rsidR="005731FF">
        <w:rPr>
          <w:noProof/>
        </w:rPr>
        <w:t>18</w:t>
      </w:r>
      <w:r w:rsidR="004623BE">
        <w:fldChar w:fldCharType="end"/>
      </w:r>
      <w:r w:rsidRPr="00DF1914">
        <w:t>.</w:t>
      </w:r>
    </w:p>
    <w:p w14:paraId="2593B6E7" w14:textId="2D40159B" w:rsidR="00EC765D" w:rsidRPr="004F6860" w:rsidRDefault="00EC765D" w:rsidP="00EC765D">
      <w:pPr>
        <w:pStyle w:val="Caption"/>
        <w:spacing w:before="120"/>
        <w:rPr>
          <w:rStyle w:val="CommentReference"/>
          <w:b/>
          <w:szCs w:val="24"/>
          <w:vertAlign w:val="superscript"/>
        </w:rPr>
      </w:pPr>
      <w:bookmarkStart w:id="101" w:name="_Ref223516218"/>
      <w:r w:rsidRPr="00DF1914">
        <w:lastRenderedPageBreak/>
        <w:t xml:space="preserve">Table </w:t>
      </w:r>
      <w:r>
        <w:fldChar w:fldCharType="begin"/>
      </w:r>
      <w:r>
        <w:instrText xml:space="preserve"> SEQ Table \* ARABIC </w:instrText>
      </w:r>
      <w:r>
        <w:fldChar w:fldCharType="separate"/>
      </w:r>
      <w:r w:rsidR="005731FF">
        <w:rPr>
          <w:noProof/>
        </w:rPr>
        <w:t>18</w:t>
      </w:r>
      <w:r>
        <w:rPr>
          <w:noProof/>
        </w:rPr>
        <w:fldChar w:fldCharType="end"/>
      </w:r>
      <w:bookmarkEnd w:id="101"/>
      <w:r w:rsidRPr="00DF1914">
        <w:t>:</w:t>
      </w:r>
      <w:r w:rsidRPr="00DF1914">
        <w:rPr>
          <w:rStyle w:val="CommentReference"/>
          <w:b/>
          <w:szCs w:val="24"/>
        </w:rPr>
        <w:t xml:space="preserve"> Sensitivity analyses</w:t>
      </w:r>
      <w:r>
        <w:rPr>
          <w:rStyle w:val="CommentReference"/>
          <w:b/>
          <w:szCs w:val="24"/>
        </w:rPr>
        <w:t xml:space="preserve"> </w:t>
      </w:r>
      <w:r w:rsidRPr="0046517A">
        <w:rPr>
          <w:rStyle w:val="CommentReference"/>
          <w:b/>
          <w:szCs w:val="24"/>
        </w:rPr>
        <w:t>(evaluation respecified base case)</w:t>
      </w:r>
      <w:r>
        <w:rPr>
          <w:rStyle w:val="CommentReference"/>
          <w:b/>
          <w:szCs w:val="24"/>
          <w:vertAlign w:val="superscript"/>
        </w:rPr>
        <w:t xml:space="preserve"> a,b</w:t>
      </w:r>
    </w:p>
    <w:tbl>
      <w:tblPr>
        <w:tblStyle w:val="TableGrid3"/>
        <w:tblW w:w="5000" w:type="pct"/>
        <w:tblLayout w:type="fixed"/>
        <w:tblLook w:val="04A0" w:firstRow="1" w:lastRow="0" w:firstColumn="1" w:lastColumn="0" w:noHBand="0" w:noVBand="1"/>
        <w:tblCaption w:val="Table 18: Sensitivity analyses (evaluation respecified base case)"/>
      </w:tblPr>
      <w:tblGrid>
        <w:gridCol w:w="4957"/>
        <w:gridCol w:w="1275"/>
        <w:gridCol w:w="1001"/>
        <w:gridCol w:w="985"/>
        <w:gridCol w:w="799"/>
      </w:tblGrid>
      <w:tr w:rsidR="00EC765D" w:rsidRPr="0068749D" w14:paraId="6C5E7E04" w14:textId="77777777" w:rsidTr="00F331CF">
        <w:trPr>
          <w:trHeight w:val="20"/>
          <w:tblHeader/>
        </w:trPr>
        <w:tc>
          <w:tcPr>
            <w:tcW w:w="2749" w:type="pct"/>
            <w:tcBorders>
              <w:top w:val="single" w:sz="4" w:space="0" w:color="auto"/>
              <w:left w:val="single" w:sz="4" w:space="0" w:color="auto"/>
              <w:bottom w:val="single" w:sz="4" w:space="0" w:color="auto"/>
              <w:right w:val="single" w:sz="4" w:space="0" w:color="auto"/>
            </w:tcBorders>
            <w:noWrap/>
          </w:tcPr>
          <w:p w14:paraId="2EDC7FCE" w14:textId="77777777" w:rsidR="00EC765D" w:rsidRPr="0068749D" w:rsidRDefault="00EC765D" w:rsidP="00F331CF">
            <w:pPr>
              <w:pStyle w:val="In-tableHeading"/>
              <w:rPr>
                <w:sz w:val="20"/>
                <w:szCs w:val="20"/>
              </w:rPr>
            </w:pPr>
          </w:p>
        </w:tc>
        <w:tc>
          <w:tcPr>
            <w:tcW w:w="707" w:type="pct"/>
            <w:tcBorders>
              <w:top w:val="single" w:sz="4" w:space="0" w:color="auto"/>
              <w:left w:val="single" w:sz="4" w:space="0" w:color="auto"/>
              <w:bottom w:val="single" w:sz="4" w:space="0" w:color="auto"/>
              <w:right w:val="single" w:sz="4" w:space="0" w:color="auto"/>
            </w:tcBorders>
            <w:noWrap/>
            <w:vAlign w:val="center"/>
          </w:tcPr>
          <w:p w14:paraId="5C1FCB0A" w14:textId="77777777" w:rsidR="00EC765D" w:rsidRPr="0068749D" w:rsidRDefault="00EC765D" w:rsidP="00F331CF">
            <w:pPr>
              <w:pStyle w:val="In-tableHeading"/>
              <w:jc w:val="center"/>
              <w:rPr>
                <w:sz w:val="20"/>
                <w:szCs w:val="20"/>
              </w:rPr>
            </w:pPr>
            <w:r w:rsidRPr="0068749D">
              <w:rPr>
                <w:sz w:val="20"/>
                <w:szCs w:val="20"/>
              </w:rPr>
              <w:t>Incremental cost</w:t>
            </w:r>
          </w:p>
        </w:tc>
        <w:tc>
          <w:tcPr>
            <w:tcW w:w="555" w:type="pct"/>
            <w:tcBorders>
              <w:top w:val="single" w:sz="4" w:space="0" w:color="auto"/>
              <w:left w:val="single" w:sz="4" w:space="0" w:color="auto"/>
              <w:bottom w:val="single" w:sz="4" w:space="0" w:color="auto"/>
              <w:right w:val="single" w:sz="4" w:space="0" w:color="auto"/>
            </w:tcBorders>
            <w:noWrap/>
            <w:vAlign w:val="center"/>
          </w:tcPr>
          <w:p w14:paraId="4ABD2A3B" w14:textId="77777777" w:rsidR="00EC765D" w:rsidRPr="0068749D" w:rsidRDefault="00EC765D" w:rsidP="00F331CF">
            <w:pPr>
              <w:pStyle w:val="In-tableHeading"/>
              <w:jc w:val="center"/>
              <w:rPr>
                <w:sz w:val="20"/>
                <w:szCs w:val="20"/>
              </w:rPr>
            </w:pPr>
            <w:r w:rsidRPr="0068749D">
              <w:rPr>
                <w:sz w:val="20"/>
                <w:szCs w:val="20"/>
              </w:rPr>
              <w:t>Incremental QALY</w:t>
            </w:r>
          </w:p>
        </w:tc>
        <w:tc>
          <w:tcPr>
            <w:tcW w:w="546" w:type="pct"/>
            <w:tcBorders>
              <w:top w:val="single" w:sz="4" w:space="0" w:color="auto"/>
              <w:left w:val="single" w:sz="4" w:space="0" w:color="auto"/>
              <w:bottom w:val="single" w:sz="4" w:space="0" w:color="auto"/>
              <w:right w:val="single" w:sz="4" w:space="0" w:color="auto"/>
            </w:tcBorders>
            <w:noWrap/>
            <w:vAlign w:val="center"/>
          </w:tcPr>
          <w:p w14:paraId="5609ECFA" w14:textId="77777777" w:rsidR="00EC765D" w:rsidRPr="0068749D" w:rsidRDefault="00EC765D" w:rsidP="00F331CF">
            <w:pPr>
              <w:pStyle w:val="In-tableHeading"/>
              <w:jc w:val="center"/>
              <w:rPr>
                <w:sz w:val="20"/>
                <w:szCs w:val="20"/>
              </w:rPr>
            </w:pPr>
            <w:r w:rsidRPr="0068749D">
              <w:rPr>
                <w:sz w:val="20"/>
                <w:szCs w:val="20"/>
              </w:rPr>
              <w:t>ICER</w:t>
            </w:r>
          </w:p>
        </w:tc>
        <w:tc>
          <w:tcPr>
            <w:tcW w:w="443" w:type="pct"/>
            <w:tcBorders>
              <w:top w:val="single" w:sz="4" w:space="0" w:color="auto"/>
              <w:left w:val="single" w:sz="4" w:space="0" w:color="auto"/>
              <w:bottom w:val="single" w:sz="4" w:space="0" w:color="auto"/>
              <w:right w:val="single" w:sz="4" w:space="0" w:color="auto"/>
            </w:tcBorders>
            <w:noWrap/>
            <w:vAlign w:val="center"/>
          </w:tcPr>
          <w:p w14:paraId="55D520F7" w14:textId="77777777" w:rsidR="00EC765D" w:rsidRPr="0068749D" w:rsidRDefault="00EC765D" w:rsidP="00F331CF">
            <w:pPr>
              <w:pStyle w:val="In-tableHeading"/>
              <w:jc w:val="center"/>
              <w:rPr>
                <w:sz w:val="20"/>
                <w:szCs w:val="20"/>
              </w:rPr>
            </w:pPr>
            <w:r w:rsidRPr="0068749D">
              <w:rPr>
                <w:sz w:val="20"/>
                <w:szCs w:val="20"/>
              </w:rPr>
              <w:t>% change</w:t>
            </w:r>
          </w:p>
        </w:tc>
      </w:tr>
      <w:tr w:rsidR="00EC765D" w:rsidRPr="0068749D" w14:paraId="6479B4AE" w14:textId="77777777" w:rsidTr="00F331CF">
        <w:trPr>
          <w:trHeight w:val="20"/>
          <w:tblHeader/>
        </w:trPr>
        <w:tc>
          <w:tcPr>
            <w:tcW w:w="2749" w:type="pct"/>
            <w:tcBorders>
              <w:top w:val="single" w:sz="4" w:space="0" w:color="auto"/>
              <w:left w:val="single" w:sz="4" w:space="0" w:color="auto"/>
              <w:bottom w:val="single" w:sz="4" w:space="0" w:color="000000"/>
              <w:right w:val="single" w:sz="4" w:space="0" w:color="auto"/>
            </w:tcBorders>
            <w:noWrap/>
          </w:tcPr>
          <w:p w14:paraId="00155AF0" w14:textId="77777777" w:rsidR="00EC765D" w:rsidRPr="007B46DC" w:rsidRDefault="00EC765D" w:rsidP="00F331CF">
            <w:pPr>
              <w:keepNext/>
              <w:keepLines/>
              <w:rPr>
                <w:rFonts w:ascii="Arial Narrow" w:eastAsia="MS Gothic" w:hAnsi="Arial Narrow" w:cs="Times New Roman"/>
                <w:b/>
                <w:sz w:val="20"/>
                <w:szCs w:val="20"/>
                <w:lang w:val="en-US" w:eastAsia="en-AU"/>
              </w:rPr>
            </w:pPr>
            <w:r w:rsidRPr="0068749D">
              <w:rPr>
                <w:rFonts w:ascii="Arial Narrow" w:eastAsia="MS Gothic" w:hAnsi="Arial Narrow" w:cs="Times New Roman"/>
                <w:b/>
                <w:sz w:val="20"/>
                <w:szCs w:val="20"/>
                <w:lang w:val="en-US" w:eastAsia="en-AU"/>
              </w:rPr>
              <w:t xml:space="preserve">Respecified base case </w:t>
            </w:r>
            <w:r w:rsidRPr="0068749D">
              <w:rPr>
                <w:rFonts w:ascii="Arial Narrow" w:eastAsia="MS Gothic" w:hAnsi="Arial Narrow" w:cs="Times New Roman"/>
                <w:b/>
                <w:sz w:val="20"/>
                <w:szCs w:val="20"/>
                <w:vertAlign w:val="superscript"/>
                <w:lang w:val="en-US" w:eastAsia="en-AU"/>
              </w:rPr>
              <w:t>a</w:t>
            </w:r>
          </w:p>
        </w:tc>
        <w:tc>
          <w:tcPr>
            <w:tcW w:w="707" w:type="pct"/>
            <w:tcBorders>
              <w:top w:val="single" w:sz="4" w:space="0" w:color="auto"/>
              <w:left w:val="single" w:sz="4" w:space="0" w:color="auto"/>
              <w:bottom w:val="single" w:sz="4" w:space="0" w:color="000000"/>
              <w:right w:val="single" w:sz="4" w:space="0" w:color="auto"/>
            </w:tcBorders>
            <w:noWrap/>
          </w:tcPr>
          <w:p w14:paraId="4E4E69DA" w14:textId="105D8E8E" w:rsidR="00EC765D" w:rsidRPr="0068749D" w:rsidRDefault="00EC765D" w:rsidP="00F331CF">
            <w:pPr>
              <w:keepNext/>
              <w:keepLines/>
              <w:jc w:val="right"/>
              <w:rPr>
                <w:rFonts w:ascii="Arial Narrow" w:eastAsia="MS Gothic" w:hAnsi="Arial Narrow" w:cs="Times New Roman"/>
                <w:b/>
                <w:bCs/>
                <w:sz w:val="20"/>
                <w:szCs w:val="20"/>
                <w:lang w:val="en-US" w:eastAsia="en-AU"/>
              </w:rPr>
            </w:pPr>
            <w:r w:rsidRPr="0068749D">
              <w:rPr>
                <w:rFonts w:ascii="Arial Narrow" w:hAnsi="Arial Narrow"/>
                <w:b/>
                <w:bCs/>
                <w:color w:val="000000"/>
                <w:sz w:val="20"/>
                <w:szCs w:val="20"/>
              </w:rPr>
              <w:t>$</w:t>
            </w:r>
            <w:r w:rsidR="006C4187" w:rsidRPr="00630DFD">
              <w:rPr>
                <w:rFonts w:ascii="Arial Narrow" w:hAnsi="Arial Narrow"/>
                <w:b/>
                <w:bCs/>
                <w:color w:val="000000"/>
                <w:sz w:val="20"/>
                <w:szCs w:val="20"/>
                <w:highlight w:val="black"/>
              </w:rPr>
              <w:t>&amp;&amp;&amp;&amp;</w:t>
            </w:r>
          </w:p>
        </w:tc>
        <w:tc>
          <w:tcPr>
            <w:tcW w:w="555" w:type="pct"/>
            <w:tcBorders>
              <w:top w:val="single" w:sz="4" w:space="0" w:color="auto"/>
              <w:left w:val="single" w:sz="4" w:space="0" w:color="auto"/>
              <w:bottom w:val="single" w:sz="4" w:space="0" w:color="000000"/>
              <w:right w:val="single" w:sz="4" w:space="0" w:color="auto"/>
            </w:tcBorders>
            <w:noWrap/>
          </w:tcPr>
          <w:p w14:paraId="313FA0AC" w14:textId="77777777" w:rsidR="00EC765D" w:rsidRPr="0068749D" w:rsidRDefault="00EC765D" w:rsidP="00F331CF">
            <w:pPr>
              <w:keepNext/>
              <w:keepLines/>
              <w:jc w:val="right"/>
              <w:rPr>
                <w:rFonts w:ascii="Arial Narrow" w:eastAsia="MS Gothic" w:hAnsi="Arial Narrow" w:cs="Times New Roman"/>
                <w:b/>
                <w:bCs/>
                <w:sz w:val="20"/>
                <w:szCs w:val="20"/>
                <w:lang w:val="en-US" w:eastAsia="en-AU"/>
              </w:rPr>
            </w:pPr>
            <w:r w:rsidRPr="0068749D">
              <w:rPr>
                <w:rFonts w:ascii="Arial Narrow" w:hAnsi="Arial Narrow"/>
                <w:b/>
                <w:bCs/>
                <w:color w:val="000000"/>
                <w:sz w:val="20"/>
                <w:szCs w:val="20"/>
              </w:rPr>
              <w:t>0.6747</w:t>
            </w:r>
          </w:p>
        </w:tc>
        <w:tc>
          <w:tcPr>
            <w:tcW w:w="546" w:type="pct"/>
            <w:tcBorders>
              <w:top w:val="single" w:sz="4" w:space="0" w:color="auto"/>
              <w:left w:val="single" w:sz="4" w:space="0" w:color="auto"/>
              <w:bottom w:val="single" w:sz="4" w:space="0" w:color="000000"/>
              <w:right w:val="single" w:sz="4" w:space="0" w:color="auto"/>
            </w:tcBorders>
            <w:noWrap/>
          </w:tcPr>
          <w:p w14:paraId="7103AABE" w14:textId="62CEFA83" w:rsidR="00EC765D" w:rsidRPr="0068749D" w:rsidRDefault="00903EAB" w:rsidP="00F331CF">
            <w:pPr>
              <w:keepNext/>
              <w:keepLines/>
              <w:jc w:val="right"/>
              <w:rPr>
                <w:rFonts w:ascii="Arial Narrow" w:eastAsia="MS Gothic" w:hAnsi="Arial Narrow" w:cs="Times New Roman"/>
                <w:b/>
                <w:bCs/>
                <w:sz w:val="20"/>
                <w:szCs w:val="20"/>
                <w:lang w:val="en-US" w:eastAsia="en-AU"/>
              </w:rPr>
            </w:pPr>
            <w:r w:rsidRPr="0068749D">
              <w:rPr>
                <w:rFonts w:ascii="Arial Narrow" w:hAnsi="Arial Narrow"/>
                <w:b/>
                <w:bCs/>
                <w:color w:val="000000"/>
                <w:sz w:val="20"/>
                <w:szCs w:val="20"/>
              </w:rPr>
              <w:t>$</w:t>
            </w:r>
            <w:r w:rsidRPr="000F4FEC">
              <w:rPr>
                <w:rFonts w:ascii="Arial Narrow" w:hAnsi="Arial Narrow"/>
                <w:b/>
                <w:bCs/>
                <w:color w:val="000000"/>
                <w:sz w:val="20"/>
                <w:szCs w:val="20"/>
                <w:highlight w:val="black"/>
              </w:rPr>
              <w:t>@@@</w:t>
            </w:r>
            <w:r>
              <w:rPr>
                <w:rFonts w:ascii="Arial Narrow" w:hAnsi="Arial Narrow"/>
                <w:b/>
                <w:bCs/>
                <w:color w:val="000000"/>
                <w:sz w:val="20"/>
                <w:szCs w:val="20"/>
                <w:vertAlign w:val="superscript"/>
              </w:rPr>
              <w:t>1</w:t>
            </w:r>
          </w:p>
        </w:tc>
        <w:tc>
          <w:tcPr>
            <w:tcW w:w="443" w:type="pct"/>
            <w:tcBorders>
              <w:top w:val="single" w:sz="4" w:space="0" w:color="auto"/>
              <w:left w:val="single" w:sz="4" w:space="0" w:color="auto"/>
              <w:bottom w:val="single" w:sz="4" w:space="0" w:color="000000"/>
              <w:right w:val="single" w:sz="4" w:space="0" w:color="auto"/>
            </w:tcBorders>
            <w:noWrap/>
          </w:tcPr>
          <w:p w14:paraId="34BA2712" w14:textId="77777777" w:rsidR="00EC765D" w:rsidRPr="0068749D" w:rsidRDefault="00EC765D" w:rsidP="00F331CF">
            <w:pPr>
              <w:keepNext/>
              <w:keepLines/>
              <w:jc w:val="right"/>
              <w:rPr>
                <w:rFonts w:ascii="Arial Narrow" w:eastAsia="MS Gothic" w:hAnsi="Arial Narrow" w:cs="Times New Roman"/>
                <w:b/>
                <w:sz w:val="20"/>
                <w:szCs w:val="20"/>
                <w:lang w:val="en-US" w:eastAsia="en-AU"/>
              </w:rPr>
            </w:pPr>
            <w:r w:rsidRPr="0068749D">
              <w:rPr>
                <w:rFonts w:ascii="Arial Narrow" w:eastAsia="MS Gothic" w:hAnsi="Arial Narrow" w:cs="Times New Roman"/>
                <w:b/>
                <w:sz w:val="20"/>
                <w:szCs w:val="20"/>
                <w:lang w:val="en-US" w:eastAsia="en-AU"/>
              </w:rPr>
              <w:t>–</w:t>
            </w:r>
          </w:p>
        </w:tc>
      </w:tr>
      <w:tr w:rsidR="00EC765D" w:rsidRPr="0068749D" w14:paraId="232EBB29" w14:textId="77777777" w:rsidTr="00F331CF">
        <w:trPr>
          <w:trHeight w:val="20"/>
        </w:trPr>
        <w:tc>
          <w:tcPr>
            <w:tcW w:w="2749" w:type="pct"/>
            <w:tcBorders>
              <w:left w:val="single" w:sz="4" w:space="0" w:color="auto"/>
              <w:bottom w:val="single" w:sz="4" w:space="0" w:color="000000"/>
              <w:right w:val="single" w:sz="4" w:space="0" w:color="auto"/>
            </w:tcBorders>
            <w:noWrap/>
            <w:hideMark/>
          </w:tcPr>
          <w:p w14:paraId="2C155A91" w14:textId="77777777" w:rsidR="00EC765D" w:rsidRPr="0068749D" w:rsidRDefault="00EC765D" w:rsidP="00F331CF">
            <w:pPr>
              <w:pStyle w:val="TableText0"/>
              <w:rPr>
                <w:sz w:val="20"/>
                <w:szCs w:val="20"/>
              </w:rPr>
            </w:pPr>
            <w:r w:rsidRPr="0068749D">
              <w:rPr>
                <w:sz w:val="20"/>
                <w:szCs w:val="20"/>
              </w:rPr>
              <w:t>Discount rate (base case: 5%)</w:t>
            </w:r>
          </w:p>
        </w:tc>
        <w:tc>
          <w:tcPr>
            <w:tcW w:w="707" w:type="pct"/>
            <w:tcBorders>
              <w:left w:val="single" w:sz="4" w:space="0" w:color="auto"/>
              <w:bottom w:val="single" w:sz="4" w:space="0" w:color="000000"/>
              <w:right w:val="single" w:sz="4" w:space="0" w:color="auto"/>
            </w:tcBorders>
            <w:noWrap/>
            <w:hideMark/>
          </w:tcPr>
          <w:p w14:paraId="4A4040F8" w14:textId="77777777" w:rsidR="00EC765D" w:rsidRPr="0068749D" w:rsidRDefault="00EC765D" w:rsidP="00F331CF">
            <w:pPr>
              <w:pStyle w:val="TableText0"/>
              <w:jc w:val="right"/>
              <w:rPr>
                <w:sz w:val="20"/>
                <w:szCs w:val="20"/>
              </w:rPr>
            </w:pPr>
          </w:p>
        </w:tc>
        <w:tc>
          <w:tcPr>
            <w:tcW w:w="555" w:type="pct"/>
            <w:tcBorders>
              <w:left w:val="single" w:sz="4" w:space="0" w:color="auto"/>
              <w:bottom w:val="single" w:sz="4" w:space="0" w:color="000000"/>
              <w:right w:val="single" w:sz="4" w:space="0" w:color="auto"/>
            </w:tcBorders>
            <w:noWrap/>
            <w:hideMark/>
          </w:tcPr>
          <w:p w14:paraId="1E095133" w14:textId="77777777" w:rsidR="00EC765D" w:rsidRPr="0068749D" w:rsidRDefault="00EC765D" w:rsidP="00F331CF">
            <w:pPr>
              <w:pStyle w:val="TableText0"/>
              <w:jc w:val="right"/>
              <w:rPr>
                <w:sz w:val="20"/>
                <w:szCs w:val="20"/>
              </w:rPr>
            </w:pPr>
          </w:p>
        </w:tc>
        <w:tc>
          <w:tcPr>
            <w:tcW w:w="546" w:type="pct"/>
            <w:tcBorders>
              <w:left w:val="single" w:sz="4" w:space="0" w:color="auto"/>
              <w:bottom w:val="single" w:sz="4" w:space="0" w:color="000000"/>
              <w:right w:val="single" w:sz="4" w:space="0" w:color="auto"/>
            </w:tcBorders>
            <w:noWrap/>
            <w:hideMark/>
          </w:tcPr>
          <w:p w14:paraId="667CC29A" w14:textId="77777777" w:rsidR="00EC765D" w:rsidRPr="0068749D" w:rsidRDefault="00EC765D" w:rsidP="00F331CF">
            <w:pPr>
              <w:pStyle w:val="TableText0"/>
              <w:jc w:val="right"/>
              <w:rPr>
                <w:sz w:val="20"/>
                <w:szCs w:val="20"/>
              </w:rPr>
            </w:pPr>
          </w:p>
        </w:tc>
        <w:tc>
          <w:tcPr>
            <w:tcW w:w="443" w:type="pct"/>
            <w:tcBorders>
              <w:left w:val="single" w:sz="4" w:space="0" w:color="auto"/>
              <w:bottom w:val="single" w:sz="4" w:space="0" w:color="000000"/>
              <w:right w:val="single" w:sz="4" w:space="0" w:color="auto"/>
            </w:tcBorders>
            <w:noWrap/>
            <w:hideMark/>
          </w:tcPr>
          <w:p w14:paraId="5B428D2C" w14:textId="77777777" w:rsidR="00EC765D" w:rsidRPr="0068749D" w:rsidRDefault="00EC765D" w:rsidP="00F331CF">
            <w:pPr>
              <w:pStyle w:val="TableText0"/>
              <w:jc w:val="right"/>
              <w:rPr>
                <w:sz w:val="20"/>
                <w:szCs w:val="20"/>
              </w:rPr>
            </w:pPr>
          </w:p>
        </w:tc>
      </w:tr>
      <w:tr w:rsidR="00EC765D" w:rsidRPr="0068749D" w14:paraId="397AA865" w14:textId="77777777" w:rsidTr="00F331CF">
        <w:trPr>
          <w:trHeight w:val="20"/>
        </w:trPr>
        <w:tc>
          <w:tcPr>
            <w:tcW w:w="2749" w:type="pct"/>
            <w:tcBorders>
              <w:left w:val="single" w:sz="4" w:space="0" w:color="auto"/>
              <w:bottom w:val="nil"/>
              <w:right w:val="single" w:sz="4" w:space="0" w:color="auto"/>
            </w:tcBorders>
            <w:noWrap/>
            <w:hideMark/>
          </w:tcPr>
          <w:p w14:paraId="52CED621" w14:textId="77777777" w:rsidR="00EC765D" w:rsidRPr="0068749D" w:rsidRDefault="00EC765D" w:rsidP="00F331CF">
            <w:pPr>
              <w:pStyle w:val="TableText0"/>
              <w:numPr>
                <w:ilvl w:val="0"/>
                <w:numId w:val="4"/>
              </w:numPr>
              <w:rPr>
                <w:sz w:val="20"/>
                <w:szCs w:val="20"/>
              </w:rPr>
            </w:pPr>
            <w:r w:rsidRPr="0068749D">
              <w:rPr>
                <w:sz w:val="20"/>
                <w:szCs w:val="20"/>
              </w:rPr>
              <w:t>0%</w:t>
            </w:r>
          </w:p>
        </w:tc>
        <w:tc>
          <w:tcPr>
            <w:tcW w:w="707" w:type="pct"/>
            <w:tcBorders>
              <w:left w:val="single" w:sz="4" w:space="0" w:color="auto"/>
              <w:bottom w:val="nil"/>
              <w:right w:val="single" w:sz="4" w:space="0" w:color="auto"/>
            </w:tcBorders>
            <w:noWrap/>
          </w:tcPr>
          <w:p w14:paraId="63F99FB4" w14:textId="6A0830F3" w:rsidR="00EC765D" w:rsidRPr="0068749D" w:rsidRDefault="00EC765D" w:rsidP="00F331CF">
            <w:pPr>
              <w:pStyle w:val="TableText0"/>
              <w:jc w:val="right"/>
              <w:rPr>
                <w:sz w:val="20"/>
                <w:szCs w:val="20"/>
              </w:rPr>
            </w:pPr>
            <w:r w:rsidRPr="0068749D">
              <w:rPr>
                <w:color w:val="000000"/>
                <w:sz w:val="20"/>
                <w:szCs w:val="20"/>
              </w:rPr>
              <w:t>$</w:t>
            </w:r>
            <w:r w:rsidR="006C4187" w:rsidRPr="00630DFD">
              <w:rPr>
                <w:color w:val="000000"/>
                <w:sz w:val="20"/>
                <w:szCs w:val="20"/>
                <w:highlight w:val="black"/>
              </w:rPr>
              <w:t>&amp;&amp;&amp;&amp;</w:t>
            </w:r>
          </w:p>
        </w:tc>
        <w:tc>
          <w:tcPr>
            <w:tcW w:w="555" w:type="pct"/>
            <w:tcBorders>
              <w:left w:val="single" w:sz="4" w:space="0" w:color="auto"/>
              <w:bottom w:val="nil"/>
              <w:right w:val="single" w:sz="4" w:space="0" w:color="auto"/>
            </w:tcBorders>
            <w:noWrap/>
          </w:tcPr>
          <w:p w14:paraId="7A70B5EC" w14:textId="77777777" w:rsidR="00EC765D" w:rsidRPr="0068749D" w:rsidRDefault="00EC765D" w:rsidP="00F331CF">
            <w:pPr>
              <w:pStyle w:val="TableText0"/>
              <w:jc w:val="right"/>
              <w:rPr>
                <w:sz w:val="20"/>
                <w:szCs w:val="20"/>
              </w:rPr>
            </w:pPr>
            <w:r w:rsidRPr="0068749D">
              <w:rPr>
                <w:color w:val="000000"/>
                <w:sz w:val="20"/>
                <w:szCs w:val="20"/>
              </w:rPr>
              <w:t>1.1076</w:t>
            </w:r>
          </w:p>
        </w:tc>
        <w:tc>
          <w:tcPr>
            <w:tcW w:w="546" w:type="pct"/>
            <w:tcBorders>
              <w:left w:val="single" w:sz="4" w:space="0" w:color="auto"/>
              <w:bottom w:val="nil"/>
              <w:right w:val="single" w:sz="4" w:space="0" w:color="auto"/>
            </w:tcBorders>
            <w:noWrap/>
          </w:tcPr>
          <w:p w14:paraId="51001066" w14:textId="10FE8457" w:rsidR="00EC765D" w:rsidRPr="0068749D" w:rsidRDefault="00774608" w:rsidP="00F331CF">
            <w:pPr>
              <w:pStyle w:val="TableText0"/>
              <w:jc w:val="right"/>
              <w:rPr>
                <w:sz w:val="20"/>
                <w:szCs w:val="20"/>
              </w:rPr>
            </w:pPr>
            <w:r w:rsidRPr="0068749D">
              <w:rPr>
                <w:color w:val="000000"/>
                <w:sz w:val="20"/>
                <w:szCs w:val="20"/>
              </w:rPr>
              <w:t>$</w:t>
            </w:r>
            <w:r w:rsidRPr="000F4FEC">
              <w:rPr>
                <w:color w:val="000000"/>
                <w:sz w:val="20"/>
                <w:szCs w:val="20"/>
                <w:highlight w:val="black"/>
              </w:rPr>
              <w:t>@@@</w:t>
            </w:r>
            <w:r>
              <w:rPr>
                <w:color w:val="000000"/>
                <w:sz w:val="20"/>
                <w:szCs w:val="20"/>
                <w:vertAlign w:val="superscript"/>
              </w:rPr>
              <w:t>2</w:t>
            </w:r>
          </w:p>
        </w:tc>
        <w:tc>
          <w:tcPr>
            <w:tcW w:w="443" w:type="pct"/>
            <w:tcBorders>
              <w:left w:val="single" w:sz="4" w:space="0" w:color="auto"/>
              <w:bottom w:val="nil"/>
              <w:right w:val="single" w:sz="4" w:space="0" w:color="auto"/>
            </w:tcBorders>
            <w:noWrap/>
          </w:tcPr>
          <w:p w14:paraId="0A820807" w14:textId="5755CD2A"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1F524182" w14:textId="77777777" w:rsidTr="00F331CF">
        <w:trPr>
          <w:trHeight w:val="20"/>
        </w:trPr>
        <w:tc>
          <w:tcPr>
            <w:tcW w:w="2749" w:type="pct"/>
            <w:tcBorders>
              <w:top w:val="nil"/>
              <w:left w:val="single" w:sz="4" w:space="0" w:color="auto"/>
              <w:bottom w:val="single" w:sz="4" w:space="0" w:color="000000"/>
              <w:right w:val="single" w:sz="4" w:space="0" w:color="auto"/>
            </w:tcBorders>
            <w:noWrap/>
            <w:hideMark/>
          </w:tcPr>
          <w:p w14:paraId="319AF8D8" w14:textId="77777777" w:rsidR="00EC765D" w:rsidRPr="0068749D" w:rsidRDefault="00EC765D" w:rsidP="00F331CF">
            <w:pPr>
              <w:pStyle w:val="TableText0"/>
              <w:numPr>
                <w:ilvl w:val="0"/>
                <w:numId w:val="4"/>
              </w:numPr>
              <w:rPr>
                <w:sz w:val="20"/>
                <w:szCs w:val="20"/>
              </w:rPr>
            </w:pPr>
            <w:r w:rsidRPr="0068749D">
              <w:rPr>
                <w:sz w:val="20"/>
                <w:szCs w:val="20"/>
              </w:rPr>
              <w:t>3.50%</w:t>
            </w:r>
          </w:p>
        </w:tc>
        <w:tc>
          <w:tcPr>
            <w:tcW w:w="707" w:type="pct"/>
            <w:tcBorders>
              <w:top w:val="nil"/>
              <w:left w:val="single" w:sz="4" w:space="0" w:color="auto"/>
              <w:bottom w:val="single" w:sz="4" w:space="0" w:color="000000"/>
              <w:right w:val="single" w:sz="4" w:space="0" w:color="auto"/>
            </w:tcBorders>
            <w:noWrap/>
          </w:tcPr>
          <w:p w14:paraId="21493B41" w14:textId="566B03FE" w:rsidR="00EC765D" w:rsidRPr="0068749D" w:rsidRDefault="00EC765D" w:rsidP="00F331CF">
            <w:pPr>
              <w:pStyle w:val="TableText0"/>
              <w:jc w:val="right"/>
              <w:rPr>
                <w:sz w:val="20"/>
                <w:szCs w:val="20"/>
              </w:rPr>
            </w:pPr>
            <w:r w:rsidRPr="0068749D">
              <w:rPr>
                <w:color w:val="000000"/>
                <w:sz w:val="20"/>
                <w:szCs w:val="20"/>
              </w:rPr>
              <w:t>$</w:t>
            </w:r>
            <w:r w:rsidR="006C4187" w:rsidRPr="00630DFD">
              <w:rPr>
                <w:color w:val="000000"/>
                <w:sz w:val="20"/>
                <w:szCs w:val="20"/>
                <w:highlight w:val="black"/>
              </w:rPr>
              <w:t>&amp;&amp;&amp;&amp;</w:t>
            </w:r>
          </w:p>
        </w:tc>
        <w:tc>
          <w:tcPr>
            <w:tcW w:w="555" w:type="pct"/>
            <w:tcBorders>
              <w:top w:val="nil"/>
              <w:left w:val="single" w:sz="4" w:space="0" w:color="auto"/>
              <w:bottom w:val="single" w:sz="4" w:space="0" w:color="000000"/>
              <w:right w:val="single" w:sz="4" w:space="0" w:color="auto"/>
            </w:tcBorders>
            <w:noWrap/>
          </w:tcPr>
          <w:p w14:paraId="1172FCB7" w14:textId="77777777" w:rsidR="00EC765D" w:rsidRPr="0068749D" w:rsidRDefault="00EC765D" w:rsidP="00F331CF">
            <w:pPr>
              <w:pStyle w:val="TableText0"/>
              <w:jc w:val="right"/>
              <w:rPr>
                <w:sz w:val="20"/>
                <w:szCs w:val="20"/>
              </w:rPr>
            </w:pPr>
            <w:r w:rsidRPr="0068749D">
              <w:rPr>
                <w:color w:val="000000"/>
                <w:sz w:val="20"/>
                <w:szCs w:val="20"/>
              </w:rPr>
              <w:t>0.7764</w:t>
            </w:r>
          </w:p>
        </w:tc>
        <w:tc>
          <w:tcPr>
            <w:tcW w:w="546" w:type="pct"/>
            <w:tcBorders>
              <w:top w:val="nil"/>
              <w:left w:val="single" w:sz="4" w:space="0" w:color="auto"/>
              <w:bottom w:val="single" w:sz="4" w:space="0" w:color="000000"/>
              <w:right w:val="single" w:sz="4" w:space="0" w:color="auto"/>
            </w:tcBorders>
            <w:noWrap/>
          </w:tcPr>
          <w:p w14:paraId="0355B2A1" w14:textId="6E44B283" w:rsidR="00EC765D" w:rsidRPr="0068749D" w:rsidRDefault="00774608" w:rsidP="00F331CF">
            <w:pPr>
              <w:pStyle w:val="TableText0"/>
              <w:jc w:val="right"/>
              <w:rPr>
                <w:sz w:val="20"/>
                <w:szCs w:val="20"/>
              </w:rPr>
            </w:pPr>
            <w:r w:rsidRPr="0068749D">
              <w:rPr>
                <w:color w:val="000000"/>
                <w:sz w:val="20"/>
                <w:szCs w:val="20"/>
              </w:rPr>
              <w:t>$</w:t>
            </w:r>
            <w:r w:rsidRPr="000F4FEC">
              <w:rPr>
                <w:color w:val="000000"/>
                <w:sz w:val="20"/>
                <w:szCs w:val="20"/>
                <w:highlight w:val="black"/>
              </w:rPr>
              <w:t>@@@</w:t>
            </w:r>
            <w:r w:rsidRPr="009C349A">
              <w:rPr>
                <w:color w:val="000000"/>
                <w:sz w:val="20"/>
                <w:szCs w:val="20"/>
                <w:vertAlign w:val="superscript"/>
              </w:rPr>
              <w:t>3</w:t>
            </w:r>
          </w:p>
        </w:tc>
        <w:tc>
          <w:tcPr>
            <w:tcW w:w="443" w:type="pct"/>
            <w:tcBorders>
              <w:top w:val="nil"/>
              <w:left w:val="single" w:sz="4" w:space="0" w:color="auto"/>
              <w:bottom w:val="single" w:sz="4" w:space="0" w:color="000000"/>
              <w:right w:val="single" w:sz="4" w:space="0" w:color="auto"/>
            </w:tcBorders>
            <w:noWrap/>
          </w:tcPr>
          <w:p w14:paraId="09B27C2B" w14:textId="4C165036"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3B7B8597" w14:textId="77777777" w:rsidTr="00F331CF">
        <w:trPr>
          <w:trHeight w:val="20"/>
        </w:trPr>
        <w:tc>
          <w:tcPr>
            <w:tcW w:w="2749" w:type="pct"/>
            <w:tcBorders>
              <w:top w:val="single" w:sz="4" w:space="0" w:color="000000"/>
              <w:left w:val="single" w:sz="4" w:space="0" w:color="auto"/>
              <w:bottom w:val="single" w:sz="4" w:space="0" w:color="000000" w:themeColor="text1"/>
              <w:right w:val="single" w:sz="4" w:space="0" w:color="auto"/>
            </w:tcBorders>
            <w:noWrap/>
            <w:hideMark/>
          </w:tcPr>
          <w:p w14:paraId="31A7E16F" w14:textId="77777777" w:rsidR="00EC765D" w:rsidRPr="0068749D" w:rsidRDefault="00EC765D" w:rsidP="00F331CF">
            <w:pPr>
              <w:pStyle w:val="TableText0"/>
              <w:rPr>
                <w:sz w:val="20"/>
                <w:szCs w:val="20"/>
              </w:rPr>
            </w:pPr>
            <w:r w:rsidRPr="0068749D">
              <w:rPr>
                <w:sz w:val="20"/>
                <w:szCs w:val="20"/>
              </w:rPr>
              <w:t>Time horizon (base case: 20 years)</w:t>
            </w:r>
          </w:p>
        </w:tc>
        <w:tc>
          <w:tcPr>
            <w:tcW w:w="707" w:type="pct"/>
            <w:tcBorders>
              <w:top w:val="single" w:sz="4" w:space="0" w:color="000000"/>
              <w:left w:val="single" w:sz="4" w:space="0" w:color="auto"/>
              <w:bottom w:val="single" w:sz="4" w:space="0" w:color="000000" w:themeColor="text1"/>
              <w:right w:val="single" w:sz="4" w:space="0" w:color="auto"/>
            </w:tcBorders>
            <w:noWrap/>
          </w:tcPr>
          <w:p w14:paraId="10802490" w14:textId="77777777" w:rsidR="00EC765D" w:rsidRPr="0068749D" w:rsidRDefault="00EC765D" w:rsidP="00F331CF">
            <w:pPr>
              <w:pStyle w:val="TableText0"/>
              <w:jc w:val="right"/>
              <w:rPr>
                <w:sz w:val="20"/>
                <w:szCs w:val="20"/>
              </w:rPr>
            </w:pPr>
          </w:p>
        </w:tc>
        <w:tc>
          <w:tcPr>
            <w:tcW w:w="555" w:type="pct"/>
            <w:tcBorders>
              <w:top w:val="single" w:sz="4" w:space="0" w:color="000000"/>
              <w:left w:val="single" w:sz="4" w:space="0" w:color="auto"/>
              <w:bottom w:val="single" w:sz="4" w:space="0" w:color="000000" w:themeColor="text1"/>
              <w:right w:val="single" w:sz="4" w:space="0" w:color="auto"/>
            </w:tcBorders>
            <w:noWrap/>
          </w:tcPr>
          <w:p w14:paraId="1F07557F" w14:textId="77777777" w:rsidR="00EC765D" w:rsidRPr="0068749D" w:rsidRDefault="00EC765D" w:rsidP="00F331CF">
            <w:pPr>
              <w:pStyle w:val="TableText0"/>
              <w:jc w:val="right"/>
              <w:rPr>
                <w:sz w:val="20"/>
                <w:szCs w:val="20"/>
              </w:rPr>
            </w:pPr>
          </w:p>
        </w:tc>
        <w:tc>
          <w:tcPr>
            <w:tcW w:w="546" w:type="pct"/>
            <w:tcBorders>
              <w:top w:val="single" w:sz="4" w:space="0" w:color="000000"/>
              <w:left w:val="single" w:sz="4" w:space="0" w:color="auto"/>
              <w:bottom w:val="single" w:sz="4" w:space="0" w:color="000000" w:themeColor="text1"/>
              <w:right w:val="single" w:sz="4" w:space="0" w:color="auto"/>
            </w:tcBorders>
            <w:noWrap/>
          </w:tcPr>
          <w:p w14:paraId="7767B0EA" w14:textId="77777777" w:rsidR="00EC765D" w:rsidRPr="0068749D" w:rsidRDefault="00EC765D" w:rsidP="00F331CF">
            <w:pPr>
              <w:pStyle w:val="TableText0"/>
              <w:jc w:val="right"/>
              <w:rPr>
                <w:sz w:val="20"/>
                <w:szCs w:val="20"/>
              </w:rPr>
            </w:pPr>
          </w:p>
        </w:tc>
        <w:tc>
          <w:tcPr>
            <w:tcW w:w="443" w:type="pct"/>
            <w:tcBorders>
              <w:top w:val="single" w:sz="4" w:space="0" w:color="000000"/>
              <w:left w:val="single" w:sz="4" w:space="0" w:color="auto"/>
              <w:bottom w:val="single" w:sz="4" w:space="0" w:color="000000" w:themeColor="text1"/>
              <w:right w:val="single" w:sz="4" w:space="0" w:color="auto"/>
            </w:tcBorders>
            <w:noWrap/>
          </w:tcPr>
          <w:p w14:paraId="5FFB01A8" w14:textId="77777777" w:rsidR="00EC765D" w:rsidRPr="0068749D" w:rsidRDefault="00EC765D" w:rsidP="00F331CF">
            <w:pPr>
              <w:pStyle w:val="TableText0"/>
              <w:jc w:val="right"/>
              <w:rPr>
                <w:sz w:val="20"/>
                <w:szCs w:val="20"/>
              </w:rPr>
            </w:pPr>
          </w:p>
        </w:tc>
      </w:tr>
      <w:tr w:rsidR="00EC765D" w:rsidRPr="0068749D" w14:paraId="2D5C9E67" w14:textId="77777777" w:rsidTr="00F331CF">
        <w:trPr>
          <w:trHeight w:val="20"/>
        </w:trPr>
        <w:tc>
          <w:tcPr>
            <w:tcW w:w="2749" w:type="pct"/>
            <w:tcBorders>
              <w:left w:val="single" w:sz="4" w:space="0" w:color="auto"/>
              <w:bottom w:val="nil"/>
              <w:right w:val="single" w:sz="4" w:space="0" w:color="auto"/>
            </w:tcBorders>
            <w:noWrap/>
            <w:hideMark/>
          </w:tcPr>
          <w:p w14:paraId="0CC0B97E" w14:textId="77777777" w:rsidR="00EC765D" w:rsidRPr="0068749D" w:rsidRDefault="00EC765D" w:rsidP="00F331CF">
            <w:pPr>
              <w:pStyle w:val="TableText0"/>
              <w:numPr>
                <w:ilvl w:val="0"/>
                <w:numId w:val="4"/>
              </w:numPr>
              <w:rPr>
                <w:sz w:val="20"/>
                <w:szCs w:val="20"/>
              </w:rPr>
            </w:pPr>
            <w:r w:rsidRPr="0068749D">
              <w:rPr>
                <w:sz w:val="20"/>
                <w:szCs w:val="20"/>
              </w:rPr>
              <w:t>15 years</w:t>
            </w:r>
            <w:r>
              <w:rPr>
                <w:sz w:val="20"/>
                <w:szCs w:val="20"/>
              </w:rPr>
              <w:t xml:space="preserve"> </w:t>
            </w:r>
            <w:r w:rsidRPr="00367355">
              <w:rPr>
                <w:b/>
                <w:bCs w:val="0"/>
                <w:iCs/>
                <w:sz w:val="20"/>
                <w:szCs w:val="20"/>
              </w:rPr>
              <w:t>(#1)</w:t>
            </w:r>
          </w:p>
        </w:tc>
        <w:tc>
          <w:tcPr>
            <w:tcW w:w="707" w:type="pct"/>
            <w:tcBorders>
              <w:left w:val="single" w:sz="4" w:space="0" w:color="auto"/>
              <w:bottom w:val="nil"/>
              <w:right w:val="single" w:sz="4" w:space="0" w:color="auto"/>
            </w:tcBorders>
            <w:noWrap/>
          </w:tcPr>
          <w:p w14:paraId="5898BCC3" w14:textId="2160294E" w:rsidR="00EC765D" w:rsidRPr="0068749D" w:rsidRDefault="00EC765D" w:rsidP="00F331CF">
            <w:pPr>
              <w:pStyle w:val="TableText0"/>
              <w:jc w:val="right"/>
              <w:rPr>
                <w:sz w:val="20"/>
                <w:szCs w:val="20"/>
              </w:rPr>
            </w:pPr>
            <w:r w:rsidRPr="0068749D">
              <w:rPr>
                <w:color w:val="000000"/>
                <w:sz w:val="20"/>
                <w:szCs w:val="20"/>
              </w:rPr>
              <w:t>$</w:t>
            </w:r>
            <w:r w:rsidR="009E44F1" w:rsidRPr="006E426C">
              <w:rPr>
                <w:color w:val="000000"/>
                <w:sz w:val="20"/>
                <w:szCs w:val="20"/>
                <w:highlight w:val="black"/>
              </w:rPr>
              <w:t>&amp;&amp;&amp;&amp;</w:t>
            </w:r>
          </w:p>
        </w:tc>
        <w:tc>
          <w:tcPr>
            <w:tcW w:w="555" w:type="pct"/>
            <w:tcBorders>
              <w:left w:val="single" w:sz="4" w:space="0" w:color="auto"/>
              <w:bottom w:val="nil"/>
              <w:right w:val="single" w:sz="4" w:space="0" w:color="auto"/>
            </w:tcBorders>
            <w:noWrap/>
          </w:tcPr>
          <w:p w14:paraId="768E6233" w14:textId="77777777" w:rsidR="00EC765D" w:rsidRPr="0068749D" w:rsidRDefault="00EC765D" w:rsidP="00F331CF">
            <w:pPr>
              <w:pStyle w:val="TableText0"/>
              <w:jc w:val="right"/>
              <w:rPr>
                <w:sz w:val="20"/>
                <w:szCs w:val="20"/>
              </w:rPr>
            </w:pPr>
            <w:r w:rsidRPr="0068749D">
              <w:rPr>
                <w:color w:val="000000"/>
                <w:sz w:val="20"/>
                <w:szCs w:val="20"/>
              </w:rPr>
              <w:t>0.5653</w:t>
            </w:r>
          </w:p>
        </w:tc>
        <w:tc>
          <w:tcPr>
            <w:tcW w:w="546" w:type="pct"/>
            <w:tcBorders>
              <w:left w:val="single" w:sz="4" w:space="0" w:color="auto"/>
              <w:bottom w:val="nil"/>
              <w:right w:val="single" w:sz="4" w:space="0" w:color="auto"/>
            </w:tcBorders>
            <w:noWrap/>
          </w:tcPr>
          <w:p w14:paraId="4F5A24CE" w14:textId="32028F22" w:rsidR="00EC765D" w:rsidRPr="00774608" w:rsidRDefault="00774608" w:rsidP="00F331CF">
            <w:pPr>
              <w:pStyle w:val="TableText0"/>
              <w:jc w:val="right"/>
              <w:rPr>
                <w:sz w:val="20"/>
                <w:szCs w:val="20"/>
                <w:vertAlign w:val="superscript"/>
              </w:rPr>
            </w:pPr>
            <w:r w:rsidRPr="0068749D">
              <w:rPr>
                <w:color w:val="000000"/>
                <w:sz w:val="20"/>
                <w:szCs w:val="20"/>
              </w:rPr>
              <w:t>$</w:t>
            </w:r>
            <w:r w:rsidRPr="000F4FEC">
              <w:rPr>
                <w:color w:val="000000"/>
                <w:sz w:val="20"/>
                <w:szCs w:val="20"/>
                <w:highlight w:val="black"/>
              </w:rPr>
              <w:t>@@@</w:t>
            </w:r>
            <w:r>
              <w:rPr>
                <w:color w:val="000000"/>
                <w:sz w:val="20"/>
                <w:szCs w:val="20"/>
                <w:vertAlign w:val="superscript"/>
              </w:rPr>
              <w:t>1</w:t>
            </w:r>
          </w:p>
        </w:tc>
        <w:tc>
          <w:tcPr>
            <w:tcW w:w="443" w:type="pct"/>
            <w:tcBorders>
              <w:left w:val="single" w:sz="4" w:space="0" w:color="auto"/>
              <w:bottom w:val="nil"/>
              <w:right w:val="single" w:sz="4" w:space="0" w:color="auto"/>
            </w:tcBorders>
            <w:noWrap/>
          </w:tcPr>
          <w:p w14:paraId="5042CA6D" w14:textId="0AB56D11"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4FB08F33" w14:textId="77777777" w:rsidTr="00F331CF">
        <w:trPr>
          <w:trHeight w:val="20"/>
        </w:trPr>
        <w:tc>
          <w:tcPr>
            <w:tcW w:w="2749" w:type="pct"/>
            <w:tcBorders>
              <w:top w:val="nil"/>
              <w:left w:val="single" w:sz="4" w:space="0" w:color="auto"/>
              <w:bottom w:val="single" w:sz="4" w:space="0" w:color="auto"/>
              <w:right w:val="single" w:sz="4" w:space="0" w:color="auto"/>
            </w:tcBorders>
            <w:noWrap/>
            <w:hideMark/>
          </w:tcPr>
          <w:p w14:paraId="553590FC" w14:textId="77777777" w:rsidR="00EC765D" w:rsidRPr="0068749D" w:rsidRDefault="00EC765D" w:rsidP="00F331CF">
            <w:pPr>
              <w:pStyle w:val="TableText0"/>
              <w:numPr>
                <w:ilvl w:val="0"/>
                <w:numId w:val="4"/>
              </w:numPr>
              <w:rPr>
                <w:sz w:val="20"/>
                <w:szCs w:val="20"/>
              </w:rPr>
            </w:pPr>
            <w:r w:rsidRPr="0068749D">
              <w:rPr>
                <w:sz w:val="20"/>
                <w:szCs w:val="20"/>
              </w:rPr>
              <w:t>25 years</w:t>
            </w:r>
          </w:p>
        </w:tc>
        <w:tc>
          <w:tcPr>
            <w:tcW w:w="707" w:type="pct"/>
            <w:tcBorders>
              <w:top w:val="nil"/>
              <w:left w:val="single" w:sz="4" w:space="0" w:color="auto"/>
              <w:bottom w:val="single" w:sz="4" w:space="0" w:color="auto"/>
              <w:right w:val="single" w:sz="4" w:space="0" w:color="auto"/>
            </w:tcBorders>
            <w:noWrap/>
          </w:tcPr>
          <w:p w14:paraId="0307FCE6" w14:textId="5E6A839C" w:rsidR="00EC765D" w:rsidRPr="0068749D" w:rsidRDefault="00EC765D" w:rsidP="00F331CF">
            <w:pPr>
              <w:pStyle w:val="TableText0"/>
              <w:jc w:val="right"/>
              <w:rPr>
                <w:sz w:val="20"/>
                <w:szCs w:val="20"/>
              </w:rPr>
            </w:pPr>
            <w:r w:rsidRPr="0068749D">
              <w:rPr>
                <w:color w:val="000000"/>
                <w:sz w:val="20"/>
                <w:szCs w:val="20"/>
              </w:rPr>
              <w:t>$</w:t>
            </w:r>
            <w:r w:rsidR="009E44F1" w:rsidRPr="006E426C">
              <w:rPr>
                <w:color w:val="000000"/>
                <w:sz w:val="20"/>
                <w:szCs w:val="20"/>
                <w:highlight w:val="black"/>
              </w:rPr>
              <w:t>&amp;&amp;&amp;&amp;</w:t>
            </w:r>
          </w:p>
        </w:tc>
        <w:tc>
          <w:tcPr>
            <w:tcW w:w="555" w:type="pct"/>
            <w:tcBorders>
              <w:top w:val="nil"/>
              <w:left w:val="single" w:sz="4" w:space="0" w:color="auto"/>
              <w:bottom w:val="single" w:sz="4" w:space="0" w:color="auto"/>
              <w:right w:val="single" w:sz="4" w:space="0" w:color="auto"/>
            </w:tcBorders>
            <w:noWrap/>
          </w:tcPr>
          <w:p w14:paraId="647DC5DD" w14:textId="77777777" w:rsidR="00EC765D" w:rsidRPr="0068749D" w:rsidRDefault="00EC765D" w:rsidP="00F331CF">
            <w:pPr>
              <w:pStyle w:val="TableText0"/>
              <w:jc w:val="right"/>
              <w:rPr>
                <w:sz w:val="20"/>
                <w:szCs w:val="20"/>
              </w:rPr>
            </w:pPr>
            <w:r w:rsidRPr="0068749D">
              <w:rPr>
                <w:color w:val="000000"/>
                <w:sz w:val="20"/>
                <w:szCs w:val="20"/>
              </w:rPr>
              <w:t>0.7226</w:t>
            </w:r>
          </w:p>
        </w:tc>
        <w:tc>
          <w:tcPr>
            <w:tcW w:w="546" w:type="pct"/>
            <w:tcBorders>
              <w:top w:val="nil"/>
              <w:left w:val="single" w:sz="4" w:space="0" w:color="auto"/>
              <w:bottom w:val="single" w:sz="4" w:space="0" w:color="auto"/>
              <w:right w:val="single" w:sz="4" w:space="0" w:color="auto"/>
            </w:tcBorders>
            <w:noWrap/>
          </w:tcPr>
          <w:p w14:paraId="481CA5F9" w14:textId="2FE83017" w:rsidR="00EC765D" w:rsidRPr="00D21A98" w:rsidRDefault="00EC765D" w:rsidP="00F331CF">
            <w:pPr>
              <w:pStyle w:val="TableText0"/>
              <w:jc w:val="right"/>
              <w:rPr>
                <w:sz w:val="20"/>
                <w:szCs w:val="20"/>
                <w:vertAlign w:val="superscript"/>
              </w:rPr>
            </w:pPr>
            <w:r w:rsidRPr="0068749D">
              <w:rPr>
                <w:color w:val="000000"/>
                <w:sz w:val="20"/>
                <w:szCs w:val="20"/>
              </w:rPr>
              <w:t>$</w:t>
            </w:r>
            <w:r w:rsidR="00D21A98" w:rsidRPr="002B55DF">
              <w:rPr>
                <w:color w:val="000000"/>
                <w:sz w:val="20"/>
                <w:szCs w:val="20"/>
                <w:highlight w:val="black"/>
              </w:rPr>
              <w:t>@@@</w:t>
            </w:r>
            <w:r w:rsidR="00D21A98">
              <w:rPr>
                <w:color w:val="000000"/>
                <w:sz w:val="20"/>
                <w:szCs w:val="20"/>
                <w:vertAlign w:val="superscript"/>
              </w:rPr>
              <w:t>3</w:t>
            </w:r>
          </w:p>
        </w:tc>
        <w:tc>
          <w:tcPr>
            <w:tcW w:w="443" w:type="pct"/>
            <w:tcBorders>
              <w:top w:val="nil"/>
              <w:left w:val="single" w:sz="4" w:space="0" w:color="auto"/>
              <w:bottom w:val="single" w:sz="4" w:space="0" w:color="auto"/>
              <w:right w:val="single" w:sz="4" w:space="0" w:color="auto"/>
            </w:tcBorders>
            <w:noWrap/>
          </w:tcPr>
          <w:p w14:paraId="0E182783" w14:textId="2B7DD318"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1B343523" w14:textId="77777777" w:rsidTr="00F331CF">
        <w:trPr>
          <w:trHeight w:val="20"/>
        </w:trPr>
        <w:tc>
          <w:tcPr>
            <w:tcW w:w="5000" w:type="pct"/>
            <w:gridSpan w:val="5"/>
            <w:tcBorders>
              <w:top w:val="single" w:sz="4" w:space="0" w:color="auto"/>
              <w:left w:val="single" w:sz="4" w:space="0" w:color="auto"/>
              <w:bottom w:val="single" w:sz="4" w:space="0" w:color="auto"/>
              <w:right w:val="single" w:sz="4" w:space="0" w:color="auto"/>
            </w:tcBorders>
            <w:noWrap/>
          </w:tcPr>
          <w:p w14:paraId="437283B9" w14:textId="77777777" w:rsidR="00EC765D" w:rsidRPr="0068749D" w:rsidRDefault="00EC765D" w:rsidP="00F331CF">
            <w:pPr>
              <w:pStyle w:val="TableText0"/>
              <w:rPr>
                <w:sz w:val="20"/>
                <w:szCs w:val="20"/>
                <w:vertAlign w:val="superscript"/>
              </w:rPr>
            </w:pPr>
            <w:r w:rsidRPr="0068749D">
              <w:rPr>
                <w:sz w:val="20"/>
                <w:szCs w:val="20"/>
              </w:rPr>
              <w:t>Adjustment to cure function (base case: cured function applied after 5 years in both arms)</w:t>
            </w:r>
            <w:r w:rsidRPr="00DF5FC8">
              <w:rPr>
                <w:sz w:val="20"/>
                <w:szCs w:val="20"/>
                <w:vertAlign w:val="superscript"/>
              </w:rPr>
              <w:t>c</w:t>
            </w:r>
          </w:p>
        </w:tc>
      </w:tr>
      <w:tr w:rsidR="00EC765D" w:rsidRPr="0068749D" w14:paraId="464FFA47" w14:textId="77777777" w:rsidTr="00F331CF">
        <w:trPr>
          <w:trHeight w:val="20"/>
        </w:trPr>
        <w:tc>
          <w:tcPr>
            <w:tcW w:w="2749" w:type="pct"/>
            <w:tcBorders>
              <w:top w:val="single" w:sz="4" w:space="0" w:color="auto"/>
              <w:left w:val="single" w:sz="4" w:space="0" w:color="auto"/>
              <w:bottom w:val="single" w:sz="4" w:space="0" w:color="auto"/>
              <w:right w:val="single" w:sz="4" w:space="0" w:color="auto"/>
            </w:tcBorders>
            <w:noWrap/>
          </w:tcPr>
          <w:p w14:paraId="3CE74CE4" w14:textId="77777777" w:rsidR="00EC765D" w:rsidRPr="0068749D" w:rsidRDefault="00EC765D" w:rsidP="00F331CF">
            <w:pPr>
              <w:pStyle w:val="TableText0"/>
              <w:numPr>
                <w:ilvl w:val="0"/>
                <w:numId w:val="4"/>
              </w:numPr>
              <w:rPr>
                <w:sz w:val="20"/>
                <w:szCs w:val="20"/>
              </w:rPr>
            </w:pPr>
            <w:r w:rsidRPr="0068749D">
              <w:rPr>
                <w:color w:val="000000"/>
                <w:sz w:val="20"/>
                <w:szCs w:val="20"/>
              </w:rPr>
              <w:t xml:space="preserve">Cured function applied after 5.5 years for durvalumab + GC and after 5 years for SoC treatment </w:t>
            </w:r>
            <w:r w:rsidRPr="00124464">
              <w:rPr>
                <w:color w:val="000000"/>
                <w:sz w:val="20"/>
                <w:szCs w:val="20"/>
                <w:vertAlign w:val="superscript"/>
              </w:rPr>
              <w:t>c</w:t>
            </w:r>
          </w:p>
        </w:tc>
        <w:tc>
          <w:tcPr>
            <w:tcW w:w="707" w:type="pct"/>
            <w:tcBorders>
              <w:top w:val="single" w:sz="4" w:space="0" w:color="auto"/>
              <w:left w:val="single" w:sz="4" w:space="0" w:color="auto"/>
              <w:bottom w:val="single" w:sz="4" w:space="0" w:color="auto"/>
              <w:right w:val="single" w:sz="4" w:space="0" w:color="auto"/>
            </w:tcBorders>
            <w:noWrap/>
          </w:tcPr>
          <w:p w14:paraId="107DA41E" w14:textId="5993A7D8" w:rsidR="00EC765D" w:rsidRPr="0068749D" w:rsidRDefault="00EC765D" w:rsidP="00F331CF">
            <w:pPr>
              <w:pStyle w:val="TableText0"/>
              <w:jc w:val="right"/>
              <w:rPr>
                <w:sz w:val="20"/>
                <w:szCs w:val="20"/>
              </w:rPr>
            </w:pPr>
            <w:r w:rsidRPr="0068749D">
              <w:rPr>
                <w:color w:val="000000"/>
                <w:sz w:val="20"/>
                <w:szCs w:val="20"/>
              </w:rPr>
              <w:t>$</w:t>
            </w:r>
            <w:r w:rsidR="009E44F1" w:rsidRPr="006E426C">
              <w:rPr>
                <w:color w:val="000000"/>
                <w:sz w:val="20"/>
                <w:szCs w:val="20"/>
                <w:highlight w:val="black"/>
              </w:rPr>
              <w:t>&amp;&amp;&amp;&amp;</w:t>
            </w:r>
          </w:p>
        </w:tc>
        <w:tc>
          <w:tcPr>
            <w:tcW w:w="555" w:type="pct"/>
            <w:tcBorders>
              <w:top w:val="single" w:sz="4" w:space="0" w:color="auto"/>
              <w:left w:val="single" w:sz="4" w:space="0" w:color="auto"/>
              <w:bottom w:val="single" w:sz="4" w:space="0" w:color="auto"/>
              <w:right w:val="single" w:sz="4" w:space="0" w:color="auto"/>
            </w:tcBorders>
            <w:noWrap/>
          </w:tcPr>
          <w:p w14:paraId="3F0DCBD8" w14:textId="77777777" w:rsidR="00EC765D" w:rsidRPr="0068749D" w:rsidRDefault="00EC765D" w:rsidP="00F331CF">
            <w:pPr>
              <w:pStyle w:val="TableText0"/>
              <w:jc w:val="right"/>
              <w:rPr>
                <w:sz w:val="20"/>
                <w:szCs w:val="20"/>
              </w:rPr>
            </w:pPr>
            <w:r w:rsidRPr="0068749D">
              <w:rPr>
                <w:color w:val="000000"/>
                <w:sz w:val="20"/>
                <w:szCs w:val="20"/>
              </w:rPr>
              <w:t>0.6106</w:t>
            </w:r>
          </w:p>
        </w:tc>
        <w:tc>
          <w:tcPr>
            <w:tcW w:w="546" w:type="pct"/>
            <w:tcBorders>
              <w:top w:val="single" w:sz="4" w:space="0" w:color="auto"/>
              <w:left w:val="single" w:sz="4" w:space="0" w:color="auto"/>
              <w:bottom w:val="single" w:sz="4" w:space="0" w:color="auto"/>
              <w:right w:val="single" w:sz="4" w:space="0" w:color="auto"/>
            </w:tcBorders>
            <w:noWrap/>
          </w:tcPr>
          <w:p w14:paraId="0F51F91C" w14:textId="46BAF442" w:rsidR="00EC765D" w:rsidRPr="00F12ED7" w:rsidRDefault="00EC765D" w:rsidP="00F331CF">
            <w:pPr>
              <w:pStyle w:val="TableText0"/>
              <w:jc w:val="right"/>
              <w:rPr>
                <w:sz w:val="20"/>
                <w:szCs w:val="20"/>
                <w:vertAlign w:val="superscript"/>
              </w:rPr>
            </w:pPr>
            <w:r w:rsidRPr="0068749D">
              <w:rPr>
                <w:color w:val="000000"/>
                <w:sz w:val="20"/>
                <w:szCs w:val="20"/>
              </w:rPr>
              <w:t>$</w:t>
            </w:r>
            <w:r w:rsidR="00F12ED7" w:rsidRPr="002B55DF">
              <w:rPr>
                <w:color w:val="000000"/>
                <w:sz w:val="20"/>
                <w:szCs w:val="20"/>
                <w:highlight w:val="black"/>
              </w:rPr>
              <w:t>@@@</w:t>
            </w:r>
            <w:r w:rsidR="00F12ED7">
              <w:rPr>
                <w:color w:val="000000"/>
                <w:sz w:val="20"/>
                <w:szCs w:val="20"/>
                <w:vertAlign w:val="superscript"/>
              </w:rPr>
              <w:t>1</w:t>
            </w:r>
          </w:p>
        </w:tc>
        <w:tc>
          <w:tcPr>
            <w:tcW w:w="443" w:type="pct"/>
            <w:tcBorders>
              <w:top w:val="single" w:sz="4" w:space="0" w:color="auto"/>
              <w:left w:val="single" w:sz="4" w:space="0" w:color="auto"/>
              <w:bottom w:val="single" w:sz="4" w:space="0" w:color="auto"/>
              <w:right w:val="single" w:sz="4" w:space="0" w:color="auto"/>
            </w:tcBorders>
            <w:noWrap/>
          </w:tcPr>
          <w:p w14:paraId="56CE6044" w14:textId="7F9F4520"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0D6E8042" w14:textId="77777777" w:rsidTr="00F331CF">
        <w:trPr>
          <w:trHeight w:val="20"/>
        </w:trPr>
        <w:tc>
          <w:tcPr>
            <w:tcW w:w="2749" w:type="pct"/>
            <w:tcBorders>
              <w:top w:val="single" w:sz="4" w:space="0" w:color="auto"/>
              <w:left w:val="single" w:sz="4" w:space="0" w:color="auto"/>
              <w:bottom w:val="single" w:sz="4" w:space="0" w:color="auto"/>
              <w:right w:val="single" w:sz="4" w:space="0" w:color="auto"/>
            </w:tcBorders>
            <w:noWrap/>
          </w:tcPr>
          <w:p w14:paraId="05414D03" w14:textId="77777777" w:rsidR="00EC765D" w:rsidRPr="0068749D" w:rsidRDefault="00EC765D" w:rsidP="00F331CF">
            <w:pPr>
              <w:pStyle w:val="TableText0"/>
              <w:rPr>
                <w:sz w:val="20"/>
                <w:szCs w:val="20"/>
              </w:rPr>
            </w:pPr>
            <w:r w:rsidRPr="0068749D">
              <w:rPr>
                <w:sz w:val="20"/>
                <w:szCs w:val="20"/>
              </w:rPr>
              <w:t>Effectiveness of adjuvant nivolumab (base case HR: 0.54)</w:t>
            </w:r>
          </w:p>
        </w:tc>
        <w:tc>
          <w:tcPr>
            <w:tcW w:w="707" w:type="pct"/>
            <w:tcBorders>
              <w:top w:val="single" w:sz="4" w:space="0" w:color="auto"/>
              <w:left w:val="single" w:sz="4" w:space="0" w:color="auto"/>
              <w:bottom w:val="single" w:sz="4" w:space="0" w:color="auto"/>
              <w:right w:val="single" w:sz="4" w:space="0" w:color="auto"/>
            </w:tcBorders>
            <w:noWrap/>
          </w:tcPr>
          <w:p w14:paraId="3534300D" w14:textId="77777777" w:rsidR="00EC765D" w:rsidRPr="0068749D" w:rsidRDefault="00EC765D" w:rsidP="00F331CF">
            <w:pPr>
              <w:pStyle w:val="TableText0"/>
              <w:jc w:val="right"/>
              <w:rPr>
                <w:sz w:val="20"/>
                <w:szCs w:val="20"/>
              </w:rPr>
            </w:pPr>
          </w:p>
        </w:tc>
        <w:tc>
          <w:tcPr>
            <w:tcW w:w="555" w:type="pct"/>
            <w:tcBorders>
              <w:top w:val="single" w:sz="4" w:space="0" w:color="auto"/>
              <w:left w:val="single" w:sz="4" w:space="0" w:color="auto"/>
              <w:bottom w:val="single" w:sz="4" w:space="0" w:color="auto"/>
              <w:right w:val="single" w:sz="4" w:space="0" w:color="auto"/>
            </w:tcBorders>
            <w:noWrap/>
          </w:tcPr>
          <w:p w14:paraId="2E2432E6" w14:textId="77777777" w:rsidR="00EC765D" w:rsidRPr="0068749D" w:rsidRDefault="00EC765D" w:rsidP="00F331CF">
            <w:pPr>
              <w:pStyle w:val="TableText0"/>
              <w:jc w:val="right"/>
              <w:rPr>
                <w:sz w:val="20"/>
                <w:szCs w:val="20"/>
              </w:rPr>
            </w:pPr>
          </w:p>
        </w:tc>
        <w:tc>
          <w:tcPr>
            <w:tcW w:w="546" w:type="pct"/>
            <w:tcBorders>
              <w:top w:val="single" w:sz="4" w:space="0" w:color="auto"/>
              <w:left w:val="single" w:sz="4" w:space="0" w:color="auto"/>
              <w:bottom w:val="single" w:sz="4" w:space="0" w:color="auto"/>
              <w:right w:val="single" w:sz="4" w:space="0" w:color="auto"/>
            </w:tcBorders>
            <w:noWrap/>
          </w:tcPr>
          <w:p w14:paraId="3DC162AB" w14:textId="77777777" w:rsidR="00EC765D" w:rsidRPr="0068749D" w:rsidRDefault="00EC765D" w:rsidP="00F331CF">
            <w:pPr>
              <w:pStyle w:val="TableText0"/>
              <w:jc w:val="right"/>
              <w:rPr>
                <w:sz w:val="20"/>
                <w:szCs w:val="20"/>
              </w:rPr>
            </w:pPr>
          </w:p>
        </w:tc>
        <w:tc>
          <w:tcPr>
            <w:tcW w:w="443" w:type="pct"/>
            <w:tcBorders>
              <w:top w:val="single" w:sz="4" w:space="0" w:color="auto"/>
              <w:left w:val="single" w:sz="4" w:space="0" w:color="auto"/>
              <w:bottom w:val="single" w:sz="4" w:space="0" w:color="auto"/>
              <w:right w:val="single" w:sz="4" w:space="0" w:color="auto"/>
            </w:tcBorders>
            <w:noWrap/>
          </w:tcPr>
          <w:p w14:paraId="3EF30E0B" w14:textId="77777777" w:rsidR="00EC765D" w:rsidRPr="0068749D" w:rsidRDefault="00EC765D" w:rsidP="00F331CF">
            <w:pPr>
              <w:pStyle w:val="TableText0"/>
              <w:jc w:val="right"/>
              <w:rPr>
                <w:sz w:val="20"/>
                <w:szCs w:val="20"/>
              </w:rPr>
            </w:pPr>
          </w:p>
        </w:tc>
      </w:tr>
      <w:tr w:rsidR="00EC765D" w:rsidRPr="0068749D" w14:paraId="3E335DA9" w14:textId="77777777" w:rsidTr="00F331CF">
        <w:trPr>
          <w:trHeight w:val="20"/>
        </w:trPr>
        <w:tc>
          <w:tcPr>
            <w:tcW w:w="2749" w:type="pct"/>
            <w:tcBorders>
              <w:top w:val="single" w:sz="4" w:space="0" w:color="auto"/>
              <w:left w:val="single" w:sz="4" w:space="0" w:color="auto"/>
              <w:right w:val="single" w:sz="4" w:space="0" w:color="auto"/>
            </w:tcBorders>
            <w:noWrap/>
          </w:tcPr>
          <w:p w14:paraId="633B29A8" w14:textId="77777777" w:rsidR="00EC765D" w:rsidRPr="0068749D" w:rsidRDefault="00EC765D" w:rsidP="00F331CF">
            <w:pPr>
              <w:pStyle w:val="TableText0"/>
              <w:numPr>
                <w:ilvl w:val="0"/>
                <w:numId w:val="4"/>
              </w:numPr>
              <w:rPr>
                <w:sz w:val="20"/>
                <w:szCs w:val="20"/>
              </w:rPr>
            </w:pPr>
            <w:r w:rsidRPr="0068749D">
              <w:rPr>
                <w:color w:val="000000"/>
                <w:sz w:val="20"/>
                <w:szCs w:val="20"/>
              </w:rPr>
              <w:t>0.41 (lower 95% CI)</w:t>
            </w:r>
          </w:p>
        </w:tc>
        <w:tc>
          <w:tcPr>
            <w:tcW w:w="707" w:type="pct"/>
            <w:tcBorders>
              <w:top w:val="single" w:sz="4" w:space="0" w:color="auto"/>
              <w:left w:val="single" w:sz="4" w:space="0" w:color="auto"/>
              <w:right w:val="single" w:sz="4" w:space="0" w:color="auto"/>
            </w:tcBorders>
            <w:noWrap/>
          </w:tcPr>
          <w:p w14:paraId="6FBA0F62" w14:textId="24425A84" w:rsidR="00EC765D" w:rsidRPr="0068749D" w:rsidRDefault="00EC765D" w:rsidP="00F331CF">
            <w:pPr>
              <w:pStyle w:val="TableText0"/>
              <w:jc w:val="right"/>
              <w:rPr>
                <w:sz w:val="20"/>
                <w:szCs w:val="20"/>
              </w:rPr>
            </w:pPr>
            <w:r w:rsidRPr="0068749D">
              <w:rPr>
                <w:color w:val="000000"/>
                <w:sz w:val="20"/>
                <w:szCs w:val="20"/>
              </w:rPr>
              <w:t>$</w:t>
            </w:r>
            <w:r w:rsidR="009E44F1" w:rsidRPr="006E426C">
              <w:rPr>
                <w:color w:val="000000"/>
                <w:sz w:val="20"/>
                <w:szCs w:val="20"/>
                <w:highlight w:val="black"/>
              </w:rPr>
              <w:t>&amp;&amp;&amp;&amp;</w:t>
            </w:r>
          </w:p>
        </w:tc>
        <w:tc>
          <w:tcPr>
            <w:tcW w:w="555" w:type="pct"/>
            <w:tcBorders>
              <w:top w:val="single" w:sz="4" w:space="0" w:color="auto"/>
              <w:left w:val="single" w:sz="4" w:space="0" w:color="auto"/>
              <w:right w:val="single" w:sz="4" w:space="0" w:color="auto"/>
            </w:tcBorders>
            <w:noWrap/>
          </w:tcPr>
          <w:p w14:paraId="4FED1E62" w14:textId="77777777" w:rsidR="00EC765D" w:rsidRPr="0068749D" w:rsidRDefault="00EC765D" w:rsidP="00F331CF">
            <w:pPr>
              <w:pStyle w:val="TableText0"/>
              <w:jc w:val="right"/>
              <w:rPr>
                <w:sz w:val="20"/>
                <w:szCs w:val="20"/>
              </w:rPr>
            </w:pPr>
            <w:r w:rsidRPr="0068749D">
              <w:rPr>
                <w:color w:val="000000"/>
                <w:sz w:val="20"/>
                <w:szCs w:val="20"/>
              </w:rPr>
              <w:t>0.5287</w:t>
            </w:r>
          </w:p>
        </w:tc>
        <w:tc>
          <w:tcPr>
            <w:tcW w:w="546" w:type="pct"/>
            <w:tcBorders>
              <w:top w:val="single" w:sz="4" w:space="0" w:color="auto"/>
              <w:left w:val="single" w:sz="4" w:space="0" w:color="auto"/>
              <w:right w:val="single" w:sz="4" w:space="0" w:color="auto"/>
            </w:tcBorders>
            <w:noWrap/>
          </w:tcPr>
          <w:p w14:paraId="56B37223" w14:textId="7ADA3A54" w:rsidR="00EC765D" w:rsidRPr="00F22494" w:rsidRDefault="00EC765D" w:rsidP="00F331CF">
            <w:pPr>
              <w:pStyle w:val="TableText0"/>
              <w:jc w:val="right"/>
              <w:rPr>
                <w:sz w:val="20"/>
                <w:szCs w:val="20"/>
                <w:vertAlign w:val="superscript"/>
              </w:rPr>
            </w:pPr>
            <w:r w:rsidRPr="0068749D">
              <w:rPr>
                <w:color w:val="000000"/>
                <w:sz w:val="20"/>
                <w:szCs w:val="20"/>
              </w:rPr>
              <w:t>$</w:t>
            </w:r>
            <w:r w:rsidR="009E248F" w:rsidRPr="002B55DF">
              <w:rPr>
                <w:color w:val="000000"/>
                <w:sz w:val="20"/>
                <w:szCs w:val="20"/>
                <w:highlight w:val="black"/>
              </w:rPr>
              <w:t>@@@</w:t>
            </w:r>
            <w:r w:rsidR="00F22494">
              <w:rPr>
                <w:color w:val="000000"/>
                <w:sz w:val="20"/>
                <w:szCs w:val="20"/>
                <w:vertAlign w:val="superscript"/>
              </w:rPr>
              <w:t>4</w:t>
            </w:r>
          </w:p>
        </w:tc>
        <w:tc>
          <w:tcPr>
            <w:tcW w:w="443" w:type="pct"/>
            <w:tcBorders>
              <w:top w:val="single" w:sz="4" w:space="0" w:color="auto"/>
              <w:left w:val="single" w:sz="4" w:space="0" w:color="auto"/>
              <w:right w:val="single" w:sz="4" w:space="0" w:color="auto"/>
            </w:tcBorders>
            <w:noWrap/>
          </w:tcPr>
          <w:p w14:paraId="3D2E8F11" w14:textId="2CC82A61"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35448337" w14:textId="77777777" w:rsidTr="00F331CF">
        <w:trPr>
          <w:trHeight w:val="20"/>
        </w:trPr>
        <w:tc>
          <w:tcPr>
            <w:tcW w:w="2749" w:type="pct"/>
            <w:tcBorders>
              <w:left w:val="single" w:sz="4" w:space="0" w:color="auto"/>
              <w:bottom w:val="single" w:sz="4" w:space="0" w:color="auto"/>
              <w:right w:val="single" w:sz="4" w:space="0" w:color="auto"/>
            </w:tcBorders>
            <w:noWrap/>
          </w:tcPr>
          <w:p w14:paraId="539CF81B" w14:textId="77777777" w:rsidR="00EC765D" w:rsidRPr="0068749D" w:rsidRDefault="00EC765D" w:rsidP="00F331CF">
            <w:pPr>
              <w:pStyle w:val="TableText0"/>
              <w:numPr>
                <w:ilvl w:val="0"/>
                <w:numId w:val="4"/>
              </w:numPr>
              <w:rPr>
                <w:sz w:val="20"/>
                <w:szCs w:val="20"/>
              </w:rPr>
            </w:pPr>
            <w:r w:rsidRPr="0068749D">
              <w:rPr>
                <w:color w:val="000000"/>
                <w:sz w:val="20"/>
                <w:szCs w:val="20"/>
              </w:rPr>
              <w:t>0.72 (upper 95% CI)</w:t>
            </w:r>
          </w:p>
        </w:tc>
        <w:tc>
          <w:tcPr>
            <w:tcW w:w="707" w:type="pct"/>
            <w:tcBorders>
              <w:left w:val="single" w:sz="4" w:space="0" w:color="auto"/>
              <w:bottom w:val="single" w:sz="4" w:space="0" w:color="auto"/>
              <w:right w:val="single" w:sz="4" w:space="0" w:color="auto"/>
            </w:tcBorders>
            <w:noWrap/>
          </w:tcPr>
          <w:p w14:paraId="47E70A3C" w14:textId="2B496F39" w:rsidR="00EC765D" w:rsidRPr="0068749D" w:rsidRDefault="00EC765D" w:rsidP="00F331CF">
            <w:pPr>
              <w:pStyle w:val="TableText0"/>
              <w:jc w:val="right"/>
              <w:rPr>
                <w:sz w:val="20"/>
                <w:szCs w:val="20"/>
              </w:rPr>
            </w:pPr>
            <w:r w:rsidRPr="0068749D">
              <w:rPr>
                <w:color w:val="000000"/>
                <w:sz w:val="20"/>
                <w:szCs w:val="20"/>
              </w:rPr>
              <w:t>$</w:t>
            </w:r>
            <w:r w:rsidR="001D30D0" w:rsidRPr="006E426C">
              <w:rPr>
                <w:color w:val="000000"/>
                <w:sz w:val="20"/>
                <w:szCs w:val="20"/>
                <w:highlight w:val="black"/>
              </w:rPr>
              <w:t>&amp;&amp;&amp;&amp;</w:t>
            </w:r>
          </w:p>
        </w:tc>
        <w:tc>
          <w:tcPr>
            <w:tcW w:w="555" w:type="pct"/>
            <w:tcBorders>
              <w:left w:val="single" w:sz="4" w:space="0" w:color="auto"/>
              <w:bottom w:val="single" w:sz="4" w:space="0" w:color="auto"/>
              <w:right w:val="single" w:sz="4" w:space="0" w:color="auto"/>
            </w:tcBorders>
            <w:noWrap/>
          </w:tcPr>
          <w:p w14:paraId="05808541" w14:textId="77777777" w:rsidR="00EC765D" w:rsidRPr="0068749D" w:rsidRDefault="00EC765D" w:rsidP="00F331CF">
            <w:pPr>
              <w:pStyle w:val="TableText0"/>
              <w:jc w:val="right"/>
              <w:rPr>
                <w:sz w:val="20"/>
                <w:szCs w:val="20"/>
              </w:rPr>
            </w:pPr>
            <w:r w:rsidRPr="0068749D">
              <w:rPr>
                <w:color w:val="000000"/>
                <w:sz w:val="20"/>
                <w:szCs w:val="20"/>
              </w:rPr>
              <w:t>0.8514</w:t>
            </w:r>
          </w:p>
        </w:tc>
        <w:tc>
          <w:tcPr>
            <w:tcW w:w="546" w:type="pct"/>
            <w:tcBorders>
              <w:left w:val="single" w:sz="4" w:space="0" w:color="auto"/>
              <w:bottom w:val="single" w:sz="4" w:space="0" w:color="auto"/>
              <w:right w:val="single" w:sz="4" w:space="0" w:color="auto"/>
            </w:tcBorders>
            <w:noWrap/>
          </w:tcPr>
          <w:p w14:paraId="2E84BFD8" w14:textId="4F2CBDAE" w:rsidR="00EC765D" w:rsidRPr="009E248F" w:rsidRDefault="00EC765D" w:rsidP="00F331CF">
            <w:pPr>
              <w:pStyle w:val="TableText0"/>
              <w:jc w:val="right"/>
              <w:rPr>
                <w:sz w:val="20"/>
                <w:szCs w:val="20"/>
                <w:vertAlign w:val="superscript"/>
              </w:rPr>
            </w:pPr>
            <w:r w:rsidRPr="0068749D">
              <w:rPr>
                <w:color w:val="000000"/>
                <w:sz w:val="20"/>
                <w:szCs w:val="20"/>
              </w:rPr>
              <w:t>$</w:t>
            </w:r>
            <w:r w:rsidR="009E248F" w:rsidRPr="002B55DF">
              <w:rPr>
                <w:color w:val="000000"/>
                <w:sz w:val="20"/>
                <w:szCs w:val="20"/>
                <w:highlight w:val="black"/>
              </w:rPr>
              <w:t>@@@</w:t>
            </w:r>
            <w:r w:rsidR="009E248F">
              <w:rPr>
                <w:color w:val="000000"/>
                <w:sz w:val="20"/>
                <w:szCs w:val="20"/>
                <w:vertAlign w:val="superscript"/>
              </w:rPr>
              <w:t>3</w:t>
            </w:r>
          </w:p>
        </w:tc>
        <w:tc>
          <w:tcPr>
            <w:tcW w:w="443" w:type="pct"/>
            <w:tcBorders>
              <w:left w:val="single" w:sz="4" w:space="0" w:color="auto"/>
              <w:bottom w:val="single" w:sz="4" w:space="0" w:color="auto"/>
              <w:right w:val="single" w:sz="4" w:space="0" w:color="auto"/>
            </w:tcBorders>
            <w:noWrap/>
          </w:tcPr>
          <w:p w14:paraId="35C081E8" w14:textId="35F916C0"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3454C768" w14:textId="77777777" w:rsidTr="00F331CF">
        <w:trPr>
          <w:trHeight w:val="20"/>
        </w:trPr>
        <w:tc>
          <w:tcPr>
            <w:tcW w:w="5000" w:type="pct"/>
            <w:gridSpan w:val="5"/>
            <w:tcBorders>
              <w:top w:val="single" w:sz="4" w:space="0" w:color="auto"/>
              <w:left w:val="single" w:sz="4" w:space="0" w:color="auto"/>
              <w:bottom w:val="single" w:sz="4" w:space="0" w:color="auto"/>
              <w:right w:val="single" w:sz="4" w:space="0" w:color="auto"/>
            </w:tcBorders>
            <w:noWrap/>
          </w:tcPr>
          <w:p w14:paraId="206A97F8" w14:textId="77777777" w:rsidR="00EC765D" w:rsidRPr="0068749D" w:rsidRDefault="00EC765D" w:rsidP="00F331CF">
            <w:pPr>
              <w:pStyle w:val="TableText0"/>
              <w:rPr>
                <w:sz w:val="20"/>
                <w:szCs w:val="20"/>
              </w:rPr>
            </w:pPr>
            <w:r w:rsidRPr="0068749D">
              <w:rPr>
                <w:sz w:val="20"/>
                <w:szCs w:val="20"/>
              </w:rPr>
              <w:t>Uptake of adjuvant nivolumab in the patients with high risk of recurrence (base case: 100% uptake)</w:t>
            </w:r>
          </w:p>
        </w:tc>
      </w:tr>
      <w:tr w:rsidR="00EC765D" w:rsidRPr="0068749D" w14:paraId="0BF64D17" w14:textId="77777777" w:rsidTr="00F331CF">
        <w:trPr>
          <w:trHeight w:val="20"/>
        </w:trPr>
        <w:tc>
          <w:tcPr>
            <w:tcW w:w="2749" w:type="pct"/>
            <w:tcBorders>
              <w:top w:val="single" w:sz="4" w:space="0" w:color="auto"/>
              <w:left w:val="single" w:sz="4" w:space="0" w:color="auto"/>
              <w:right w:val="single" w:sz="4" w:space="0" w:color="auto"/>
            </w:tcBorders>
            <w:noWrap/>
          </w:tcPr>
          <w:p w14:paraId="3372B11B" w14:textId="77777777" w:rsidR="00EC765D" w:rsidRPr="0068749D" w:rsidRDefault="00EC765D" w:rsidP="00F331CF">
            <w:pPr>
              <w:pStyle w:val="TableText0"/>
              <w:numPr>
                <w:ilvl w:val="0"/>
                <w:numId w:val="4"/>
              </w:numPr>
              <w:rPr>
                <w:sz w:val="20"/>
                <w:szCs w:val="20"/>
              </w:rPr>
            </w:pPr>
            <w:r w:rsidRPr="0068749D">
              <w:rPr>
                <w:sz w:val="20"/>
                <w:szCs w:val="20"/>
              </w:rPr>
              <w:t>0%</w:t>
            </w:r>
          </w:p>
        </w:tc>
        <w:tc>
          <w:tcPr>
            <w:tcW w:w="707" w:type="pct"/>
            <w:tcBorders>
              <w:top w:val="single" w:sz="4" w:space="0" w:color="auto"/>
              <w:left w:val="single" w:sz="4" w:space="0" w:color="auto"/>
              <w:right w:val="single" w:sz="4" w:space="0" w:color="auto"/>
            </w:tcBorders>
            <w:noWrap/>
          </w:tcPr>
          <w:p w14:paraId="520127DB" w14:textId="11D5830D" w:rsidR="00EC765D" w:rsidRPr="0068749D" w:rsidRDefault="00EC765D" w:rsidP="00F331CF">
            <w:pPr>
              <w:pStyle w:val="TableText0"/>
              <w:jc w:val="right"/>
              <w:rPr>
                <w:sz w:val="20"/>
                <w:szCs w:val="20"/>
              </w:rPr>
            </w:pPr>
            <w:r w:rsidRPr="0068749D">
              <w:rPr>
                <w:color w:val="000000"/>
                <w:sz w:val="20"/>
                <w:szCs w:val="20"/>
              </w:rPr>
              <w:t>$</w:t>
            </w:r>
            <w:r w:rsidR="00C50FE9" w:rsidRPr="006E426C">
              <w:rPr>
                <w:color w:val="000000"/>
                <w:sz w:val="20"/>
                <w:szCs w:val="20"/>
                <w:highlight w:val="black"/>
              </w:rPr>
              <w:t>&amp;&amp;&amp;&amp;</w:t>
            </w:r>
          </w:p>
        </w:tc>
        <w:tc>
          <w:tcPr>
            <w:tcW w:w="555" w:type="pct"/>
            <w:tcBorders>
              <w:top w:val="single" w:sz="4" w:space="0" w:color="auto"/>
              <w:left w:val="single" w:sz="4" w:space="0" w:color="auto"/>
              <w:right w:val="single" w:sz="4" w:space="0" w:color="auto"/>
            </w:tcBorders>
            <w:noWrap/>
          </w:tcPr>
          <w:p w14:paraId="1162EE9A" w14:textId="77777777" w:rsidR="00EC765D" w:rsidRPr="0068749D" w:rsidRDefault="00EC765D" w:rsidP="00F331CF">
            <w:pPr>
              <w:pStyle w:val="TableText0"/>
              <w:jc w:val="right"/>
              <w:rPr>
                <w:color w:val="000000"/>
                <w:sz w:val="20"/>
                <w:szCs w:val="20"/>
              </w:rPr>
            </w:pPr>
            <w:r w:rsidRPr="0068749D">
              <w:rPr>
                <w:color w:val="000000"/>
                <w:sz w:val="20"/>
                <w:szCs w:val="20"/>
              </w:rPr>
              <w:t>1.0535</w:t>
            </w:r>
          </w:p>
        </w:tc>
        <w:tc>
          <w:tcPr>
            <w:tcW w:w="546" w:type="pct"/>
            <w:tcBorders>
              <w:top w:val="single" w:sz="4" w:space="0" w:color="auto"/>
              <w:left w:val="single" w:sz="4" w:space="0" w:color="auto"/>
              <w:right w:val="single" w:sz="4" w:space="0" w:color="auto"/>
            </w:tcBorders>
            <w:noWrap/>
          </w:tcPr>
          <w:p w14:paraId="1B684EF5" w14:textId="7AEAA78B" w:rsidR="00EC765D" w:rsidRPr="009E248F" w:rsidRDefault="00EC765D" w:rsidP="00F331CF">
            <w:pPr>
              <w:pStyle w:val="TableText0"/>
              <w:jc w:val="right"/>
              <w:rPr>
                <w:sz w:val="20"/>
                <w:szCs w:val="20"/>
                <w:vertAlign w:val="superscript"/>
              </w:rPr>
            </w:pPr>
            <w:r w:rsidRPr="0068749D">
              <w:rPr>
                <w:color w:val="000000"/>
                <w:sz w:val="20"/>
                <w:szCs w:val="20"/>
              </w:rPr>
              <w:t>$</w:t>
            </w:r>
            <w:r w:rsidR="009E248F" w:rsidRPr="002B55DF">
              <w:rPr>
                <w:color w:val="000000"/>
                <w:sz w:val="20"/>
                <w:szCs w:val="20"/>
                <w:highlight w:val="black"/>
              </w:rPr>
              <w:t>@@@</w:t>
            </w:r>
            <w:r w:rsidR="009E248F">
              <w:rPr>
                <w:color w:val="000000"/>
                <w:sz w:val="20"/>
                <w:szCs w:val="20"/>
                <w:vertAlign w:val="superscript"/>
              </w:rPr>
              <w:t>3</w:t>
            </w:r>
          </w:p>
        </w:tc>
        <w:tc>
          <w:tcPr>
            <w:tcW w:w="443" w:type="pct"/>
            <w:tcBorders>
              <w:top w:val="single" w:sz="4" w:space="0" w:color="auto"/>
              <w:left w:val="single" w:sz="4" w:space="0" w:color="auto"/>
              <w:right w:val="single" w:sz="4" w:space="0" w:color="auto"/>
            </w:tcBorders>
            <w:noWrap/>
          </w:tcPr>
          <w:p w14:paraId="0BA9CBA6" w14:textId="1F45D4D1"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028B1D39" w14:textId="77777777" w:rsidTr="00F331CF">
        <w:trPr>
          <w:trHeight w:val="20"/>
        </w:trPr>
        <w:tc>
          <w:tcPr>
            <w:tcW w:w="2749" w:type="pct"/>
            <w:tcBorders>
              <w:left w:val="single" w:sz="4" w:space="0" w:color="auto"/>
              <w:right w:val="single" w:sz="4" w:space="0" w:color="auto"/>
            </w:tcBorders>
            <w:noWrap/>
          </w:tcPr>
          <w:p w14:paraId="02F81E29" w14:textId="77777777" w:rsidR="00EC765D" w:rsidRPr="0068749D" w:rsidDel="003063F4" w:rsidRDefault="00EC765D" w:rsidP="00F331CF">
            <w:pPr>
              <w:pStyle w:val="TableText0"/>
              <w:numPr>
                <w:ilvl w:val="0"/>
                <w:numId w:val="4"/>
              </w:numPr>
              <w:rPr>
                <w:sz w:val="20"/>
                <w:szCs w:val="20"/>
              </w:rPr>
            </w:pPr>
            <w:r w:rsidRPr="0068749D">
              <w:rPr>
                <w:sz w:val="20"/>
                <w:szCs w:val="20"/>
              </w:rPr>
              <w:t>25%</w:t>
            </w:r>
          </w:p>
        </w:tc>
        <w:tc>
          <w:tcPr>
            <w:tcW w:w="707" w:type="pct"/>
            <w:tcBorders>
              <w:left w:val="single" w:sz="4" w:space="0" w:color="auto"/>
              <w:right w:val="single" w:sz="4" w:space="0" w:color="auto"/>
            </w:tcBorders>
            <w:noWrap/>
          </w:tcPr>
          <w:p w14:paraId="03A9C438" w14:textId="7EDAF75D" w:rsidR="00EC765D" w:rsidRPr="0068749D" w:rsidDel="003063F4" w:rsidRDefault="00EC765D" w:rsidP="00F331CF">
            <w:pPr>
              <w:pStyle w:val="TableText0"/>
              <w:jc w:val="right"/>
              <w:rPr>
                <w:color w:val="000000"/>
                <w:sz w:val="20"/>
                <w:szCs w:val="20"/>
              </w:rPr>
            </w:pPr>
            <w:r w:rsidRPr="0068749D">
              <w:rPr>
                <w:color w:val="000000"/>
                <w:sz w:val="20"/>
                <w:szCs w:val="20"/>
              </w:rPr>
              <w:t>$</w:t>
            </w:r>
            <w:r w:rsidR="00C50FE9" w:rsidRPr="006E426C">
              <w:rPr>
                <w:color w:val="000000"/>
                <w:sz w:val="20"/>
                <w:szCs w:val="20"/>
                <w:highlight w:val="black"/>
              </w:rPr>
              <w:t>&amp;&amp;&amp;&amp;</w:t>
            </w:r>
          </w:p>
        </w:tc>
        <w:tc>
          <w:tcPr>
            <w:tcW w:w="555" w:type="pct"/>
            <w:tcBorders>
              <w:left w:val="single" w:sz="4" w:space="0" w:color="auto"/>
              <w:right w:val="single" w:sz="4" w:space="0" w:color="auto"/>
            </w:tcBorders>
            <w:noWrap/>
          </w:tcPr>
          <w:p w14:paraId="22D94A1A" w14:textId="77777777" w:rsidR="00EC765D" w:rsidRPr="0068749D" w:rsidDel="003063F4" w:rsidRDefault="00EC765D" w:rsidP="00F331CF">
            <w:pPr>
              <w:pStyle w:val="TableText0"/>
              <w:jc w:val="right"/>
              <w:rPr>
                <w:color w:val="000000"/>
                <w:sz w:val="20"/>
                <w:szCs w:val="20"/>
              </w:rPr>
            </w:pPr>
            <w:r w:rsidRPr="0068749D">
              <w:rPr>
                <w:color w:val="000000"/>
                <w:sz w:val="20"/>
                <w:szCs w:val="20"/>
              </w:rPr>
              <w:t>0.9588</w:t>
            </w:r>
          </w:p>
        </w:tc>
        <w:tc>
          <w:tcPr>
            <w:tcW w:w="546" w:type="pct"/>
            <w:tcBorders>
              <w:left w:val="single" w:sz="4" w:space="0" w:color="auto"/>
              <w:right w:val="single" w:sz="4" w:space="0" w:color="auto"/>
            </w:tcBorders>
            <w:noWrap/>
          </w:tcPr>
          <w:p w14:paraId="04FC82EF" w14:textId="58D5E7EF" w:rsidR="00EC765D" w:rsidRPr="009E248F" w:rsidDel="003063F4" w:rsidRDefault="00EC765D" w:rsidP="00F331CF">
            <w:pPr>
              <w:pStyle w:val="TableText0"/>
              <w:jc w:val="right"/>
              <w:rPr>
                <w:color w:val="000000"/>
                <w:sz w:val="20"/>
                <w:szCs w:val="20"/>
                <w:vertAlign w:val="superscript"/>
              </w:rPr>
            </w:pPr>
            <w:r w:rsidRPr="0068749D">
              <w:rPr>
                <w:color w:val="000000"/>
                <w:sz w:val="20"/>
                <w:szCs w:val="20"/>
              </w:rPr>
              <w:t>$</w:t>
            </w:r>
            <w:r w:rsidR="009E248F" w:rsidRPr="002B55DF">
              <w:rPr>
                <w:color w:val="000000"/>
                <w:sz w:val="20"/>
                <w:szCs w:val="20"/>
                <w:highlight w:val="black"/>
              </w:rPr>
              <w:t>@@@</w:t>
            </w:r>
            <w:r w:rsidR="009E248F">
              <w:rPr>
                <w:color w:val="000000"/>
                <w:sz w:val="20"/>
                <w:szCs w:val="20"/>
                <w:vertAlign w:val="superscript"/>
              </w:rPr>
              <w:t>3</w:t>
            </w:r>
          </w:p>
        </w:tc>
        <w:tc>
          <w:tcPr>
            <w:tcW w:w="443" w:type="pct"/>
            <w:tcBorders>
              <w:left w:val="single" w:sz="4" w:space="0" w:color="auto"/>
              <w:right w:val="single" w:sz="4" w:space="0" w:color="auto"/>
            </w:tcBorders>
            <w:noWrap/>
          </w:tcPr>
          <w:p w14:paraId="6637B798" w14:textId="6D5DA35B" w:rsidR="00EC765D" w:rsidRPr="0068749D" w:rsidDel="003063F4" w:rsidRDefault="00EC765D" w:rsidP="00F331CF">
            <w:pPr>
              <w:pStyle w:val="TableText0"/>
              <w:jc w:val="right"/>
              <w:rPr>
                <w:color w:val="000000"/>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74BF51B2" w14:textId="77777777" w:rsidTr="00F331CF">
        <w:trPr>
          <w:trHeight w:val="20"/>
        </w:trPr>
        <w:tc>
          <w:tcPr>
            <w:tcW w:w="2749" w:type="pct"/>
            <w:tcBorders>
              <w:left w:val="single" w:sz="4" w:space="0" w:color="auto"/>
              <w:bottom w:val="single" w:sz="4" w:space="0" w:color="auto"/>
              <w:right w:val="single" w:sz="4" w:space="0" w:color="auto"/>
            </w:tcBorders>
            <w:noWrap/>
          </w:tcPr>
          <w:p w14:paraId="2DECCB28" w14:textId="77777777" w:rsidR="00EC765D" w:rsidRPr="0068749D" w:rsidRDefault="00EC765D" w:rsidP="00F331CF">
            <w:pPr>
              <w:pStyle w:val="TableText0"/>
              <w:numPr>
                <w:ilvl w:val="0"/>
                <w:numId w:val="4"/>
              </w:numPr>
              <w:rPr>
                <w:sz w:val="20"/>
                <w:szCs w:val="20"/>
              </w:rPr>
            </w:pPr>
            <w:r w:rsidRPr="0068749D">
              <w:rPr>
                <w:sz w:val="20"/>
                <w:szCs w:val="20"/>
              </w:rPr>
              <w:t>50%</w:t>
            </w:r>
          </w:p>
        </w:tc>
        <w:tc>
          <w:tcPr>
            <w:tcW w:w="707" w:type="pct"/>
            <w:tcBorders>
              <w:left w:val="single" w:sz="4" w:space="0" w:color="auto"/>
              <w:bottom w:val="single" w:sz="4" w:space="0" w:color="auto"/>
              <w:right w:val="single" w:sz="4" w:space="0" w:color="auto"/>
            </w:tcBorders>
            <w:noWrap/>
          </w:tcPr>
          <w:p w14:paraId="703A80E4" w14:textId="759DABB4" w:rsidR="00EC765D" w:rsidRPr="0068749D" w:rsidRDefault="00EC765D" w:rsidP="00F331CF">
            <w:pPr>
              <w:pStyle w:val="TableText0"/>
              <w:jc w:val="right"/>
              <w:rPr>
                <w:sz w:val="20"/>
                <w:szCs w:val="20"/>
              </w:rPr>
            </w:pPr>
            <w:r w:rsidRPr="0068749D">
              <w:rPr>
                <w:color w:val="000000"/>
                <w:sz w:val="20"/>
                <w:szCs w:val="20"/>
              </w:rPr>
              <w:t>$</w:t>
            </w:r>
            <w:r w:rsidR="00C50FE9" w:rsidRPr="006E426C">
              <w:rPr>
                <w:color w:val="000000"/>
                <w:sz w:val="20"/>
                <w:szCs w:val="20"/>
                <w:highlight w:val="black"/>
              </w:rPr>
              <w:t>&amp;&amp;&amp;&amp;</w:t>
            </w:r>
          </w:p>
        </w:tc>
        <w:tc>
          <w:tcPr>
            <w:tcW w:w="555" w:type="pct"/>
            <w:tcBorders>
              <w:left w:val="single" w:sz="4" w:space="0" w:color="auto"/>
              <w:bottom w:val="single" w:sz="4" w:space="0" w:color="auto"/>
              <w:right w:val="single" w:sz="4" w:space="0" w:color="auto"/>
            </w:tcBorders>
            <w:noWrap/>
          </w:tcPr>
          <w:p w14:paraId="0F6FA6FD" w14:textId="77777777" w:rsidR="00EC765D" w:rsidRPr="0068749D" w:rsidRDefault="00EC765D" w:rsidP="00F331CF">
            <w:pPr>
              <w:pStyle w:val="TableText0"/>
              <w:jc w:val="right"/>
              <w:rPr>
                <w:sz w:val="20"/>
                <w:szCs w:val="20"/>
              </w:rPr>
            </w:pPr>
            <w:r w:rsidRPr="0068749D">
              <w:rPr>
                <w:color w:val="000000"/>
                <w:sz w:val="20"/>
                <w:szCs w:val="20"/>
              </w:rPr>
              <w:t>0.7694</w:t>
            </w:r>
          </w:p>
        </w:tc>
        <w:tc>
          <w:tcPr>
            <w:tcW w:w="546" w:type="pct"/>
            <w:tcBorders>
              <w:left w:val="single" w:sz="4" w:space="0" w:color="auto"/>
              <w:bottom w:val="single" w:sz="4" w:space="0" w:color="auto"/>
              <w:right w:val="single" w:sz="4" w:space="0" w:color="auto"/>
            </w:tcBorders>
            <w:noWrap/>
          </w:tcPr>
          <w:p w14:paraId="4965EAA3" w14:textId="3DE024B7" w:rsidR="00EC765D" w:rsidRPr="009E248F" w:rsidRDefault="00EC765D" w:rsidP="00F331CF">
            <w:pPr>
              <w:pStyle w:val="TableText0"/>
              <w:jc w:val="right"/>
              <w:rPr>
                <w:sz w:val="20"/>
                <w:szCs w:val="20"/>
                <w:vertAlign w:val="superscript"/>
              </w:rPr>
            </w:pPr>
            <w:r w:rsidRPr="0068749D">
              <w:rPr>
                <w:color w:val="000000"/>
                <w:sz w:val="20"/>
                <w:szCs w:val="20"/>
              </w:rPr>
              <w:t>$</w:t>
            </w:r>
            <w:r w:rsidR="009E248F" w:rsidRPr="002B55DF">
              <w:rPr>
                <w:color w:val="000000"/>
                <w:sz w:val="20"/>
                <w:szCs w:val="20"/>
                <w:highlight w:val="black"/>
              </w:rPr>
              <w:t>@@@</w:t>
            </w:r>
            <w:r w:rsidR="009E248F">
              <w:rPr>
                <w:color w:val="000000"/>
                <w:sz w:val="20"/>
                <w:szCs w:val="20"/>
                <w:vertAlign w:val="superscript"/>
              </w:rPr>
              <w:t>1</w:t>
            </w:r>
          </w:p>
        </w:tc>
        <w:tc>
          <w:tcPr>
            <w:tcW w:w="443" w:type="pct"/>
            <w:tcBorders>
              <w:left w:val="single" w:sz="4" w:space="0" w:color="auto"/>
              <w:bottom w:val="single" w:sz="4" w:space="0" w:color="auto"/>
              <w:right w:val="single" w:sz="4" w:space="0" w:color="auto"/>
            </w:tcBorders>
            <w:noWrap/>
          </w:tcPr>
          <w:p w14:paraId="65E747EE" w14:textId="424D5014"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01CDEA52" w14:textId="77777777" w:rsidTr="00F331CF">
        <w:trPr>
          <w:trHeight w:val="20"/>
        </w:trPr>
        <w:tc>
          <w:tcPr>
            <w:tcW w:w="2749" w:type="pct"/>
            <w:tcBorders>
              <w:top w:val="single" w:sz="4" w:space="0" w:color="auto"/>
              <w:left w:val="single" w:sz="4" w:space="0" w:color="auto"/>
              <w:bottom w:val="single" w:sz="4" w:space="0" w:color="auto"/>
              <w:right w:val="single" w:sz="4" w:space="0" w:color="auto"/>
            </w:tcBorders>
            <w:noWrap/>
          </w:tcPr>
          <w:p w14:paraId="6AAE0A81" w14:textId="77777777" w:rsidR="00EC765D" w:rsidRPr="0068749D" w:rsidRDefault="00EC765D" w:rsidP="00F331CF">
            <w:pPr>
              <w:pStyle w:val="TableText0"/>
              <w:rPr>
                <w:sz w:val="20"/>
                <w:szCs w:val="20"/>
              </w:rPr>
            </w:pPr>
            <w:r w:rsidRPr="0068749D">
              <w:rPr>
                <w:sz w:val="20"/>
                <w:szCs w:val="20"/>
              </w:rPr>
              <w:t>Avelumab uptake in DR (base case: 43%)</w:t>
            </w:r>
          </w:p>
        </w:tc>
        <w:tc>
          <w:tcPr>
            <w:tcW w:w="707" w:type="pct"/>
            <w:tcBorders>
              <w:top w:val="single" w:sz="4" w:space="0" w:color="auto"/>
              <w:left w:val="single" w:sz="4" w:space="0" w:color="auto"/>
              <w:bottom w:val="single" w:sz="4" w:space="0" w:color="auto"/>
              <w:right w:val="single" w:sz="4" w:space="0" w:color="auto"/>
            </w:tcBorders>
            <w:noWrap/>
          </w:tcPr>
          <w:p w14:paraId="31D5E5FC" w14:textId="77777777" w:rsidR="00EC765D" w:rsidRPr="0068749D" w:rsidRDefault="00EC765D" w:rsidP="00F331CF">
            <w:pPr>
              <w:pStyle w:val="TableText0"/>
              <w:jc w:val="right"/>
              <w:rPr>
                <w:sz w:val="20"/>
                <w:szCs w:val="20"/>
              </w:rPr>
            </w:pPr>
          </w:p>
        </w:tc>
        <w:tc>
          <w:tcPr>
            <w:tcW w:w="555" w:type="pct"/>
            <w:tcBorders>
              <w:top w:val="single" w:sz="4" w:space="0" w:color="auto"/>
              <w:left w:val="single" w:sz="4" w:space="0" w:color="auto"/>
              <w:bottom w:val="single" w:sz="4" w:space="0" w:color="auto"/>
              <w:right w:val="single" w:sz="4" w:space="0" w:color="auto"/>
            </w:tcBorders>
            <w:noWrap/>
          </w:tcPr>
          <w:p w14:paraId="75E4B655" w14:textId="77777777" w:rsidR="00EC765D" w:rsidRPr="0068749D" w:rsidRDefault="00EC765D" w:rsidP="00F331CF">
            <w:pPr>
              <w:pStyle w:val="TableText0"/>
              <w:jc w:val="right"/>
              <w:rPr>
                <w:sz w:val="20"/>
                <w:szCs w:val="20"/>
              </w:rPr>
            </w:pPr>
          </w:p>
        </w:tc>
        <w:tc>
          <w:tcPr>
            <w:tcW w:w="546" w:type="pct"/>
            <w:tcBorders>
              <w:top w:val="single" w:sz="4" w:space="0" w:color="auto"/>
              <w:left w:val="single" w:sz="4" w:space="0" w:color="auto"/>
              <w:bottom w:val="single" w:sz="4" w:space="0" w:color="auto"/>
              <w:right w:val="single" w:sz="4" w:space="0" w:color="auto"/>
            </w:tcBorders>
            <w:noWrap/>
          </w:tcPr>
          <w:p w14:paraId="6233C726" w14:textId="77777777" w:rsidR="00EC765D" w:rsidRPr="0068749D" w:rsidRDefault="00EC765D" w:rsidP="00F331CF">
            <w:pPr>
              <w:pStyle w:val="TableText0"/>
              <w:jc w:val="right"/>
              <w:rPr>
                <w:sz w:val="20"/>
                <w:szCs w:val="20"/>
              </w:rPr>
            </w:pPr>
          </w:p>
        </w:tc>
        <w:tc>
          <w:tcPr>
            <w:tcW w:w="443" w:type="pct"/>
            <w:tcBorders>
              <w:top w:val="single" w:sz="4" w:space="0" w:color="auto"/>
              <w:left w:val="single" w:sz="4" w:space="0" w:color="auto"/>
              <w:bottom w:val="single" w:sz="4" w:space="0" w:color="auto"/>
              <w:right w:val="single" w:sz="4" w:space="0" w:color="auto"/>
            </w:tcBorders>
            <w:noWrap/>
          </w:tcPr>
          <w:p w14:paraId="776BE8C6" w14:textId="77777777" w:rsidR="00EC765D" w:rsidRPr="0068749D" w:rsidRDefault="00EC765D" w:rsidP="00F331CF">
            <w:pPr>
              <w:pStyle w:val="TableText0"/>
              <w:jc w:val="right"/>
              <w:rPr>
                <w:sz w:val="20"/>
                <w:szCs w:val="20"/>
              </w:rPr>
            </w:pPr>
          </w:p>
        </w:tc>
      </w:tr>
      <w:tr w:rsidR="00EC765D" w:rsidRPr="0068749D" w14:paraId="15DB5996" w14:textId="77777777" w:rsidTr="00F331CF">
        <w:trPr>
          <w:trHeight w:val="20"/>
        </w:trPr>
        <w:tc>
          <w:tcPr>
            <w:tcW w:w="2749" w:type="pct"/>
            <w:tcBorders>
              <w:top w:val="single" w:sz="4" w:space="0" w:color="auto"/>
              <w:left w:val="single" w:sz="4" w:space="0" w:color="auto"/>
              <w:right w:val="single" w:sz="4" w:space="0" w:color="auto"/>
            </w:tcBorders>
            <w:noWrap/>
          </w:tcPr>
          <w:p w14:paraId="53A2FEF7" w14:textId="77777777" w:rsidR="00EC765D" w:rsidRPr="0068749D" w:rsidRDefault="00EC765D" w:rsidP="00F331CF">
            <w:pPr>
              <w:pStyle w:val="TableText0"/>
              <w:numPr>
                <w:ilvl w:val="0"/>
                <w:numId w:val="4"/>
              </w:numPr>
              <w:rPr>
                <w:sz w:val="20"/>
                <w:szCs w:val="20"/>
              </w:rPr>
            </w:pPr>
            <w:r w:rsidRPr="0068749D">
              <w:rPr>
                <w:sz w:val="20"/>
                <w:szCs w:val="20"/>
              </w:rPr>
              <w:t>30%</w:t>
            </w:r>
          </w:p>
        </w:tc>
        <w:tc>
          <w:tcPr>
            <w:tcW w:w="707" w:type="pct"/>
            <w:tcBorders>
              <w:top w:val="single" w:sz="4" w:space="0" w:color="auto"/>
              <w:left w:val="single" w:sz="4" w:space="0" w:color="auto"/>
              <w:right w:val="single" w:sz="4" w:space="0" w:color="auto"/>
            </w:tcBorders>
            <w:noWrap/>
          </w:tcPr>
          <w:p w14:paraId="2F1C25E5" w14:textId="3C2AD6A8" w:rsidR="00EC765D" w:rsidRPr="0068749D" w:rsidRDefault="00EC765D" w:rsidP="00F331CF">
            <w:pPr>
              <w:pStyle w:val="TableText0"/>
              <w:jc w:val="right"/>
              <w:rPr>
                <w:sz w:val="20"/>
                <w:szCs w:val="20"/>
              </w:rPr>
            </w:pPr>
            <w:r w:rsidRPr="0068749D">
              <w:rPr>
                <w:color w:val="000000"/>
                <w:sz w:val="20"/>
                <w:szCs w:val="20"/>
              </w:rPr>
              <w:t>$</w:t>
            </w:r>
            <w:r w:rsidR="00C50FE9" w:rsidRPr="00210B78">
              <w:rPr>
                <w:color w:val="000000"/>
                <w:sz w:val="20"/>
                <w:szCs w:val="20"/>
                <w:highlight w:val="black"/>
              </w:rPr>
              <w:t>&amp;&amp;&amp;&amp;</w:t>
            </w:r>
          </w:p>
        </w:tc>
        <w:tc>
          <w:tcPr>
            <w:tcW w:w="555" w:type="pct"/>
            <w:tcBorders>
              <w:top w:val="single" w:sz="4" w:space="0" w:color="auto"/>
              <w:left w:val="single" w:sz="4" w:space="0" w:color="auto"/>
              <w:right w:val="single" w:sz="4" w:space="0" w:color="auto"/>
            </w:tcBorders>
            <w:noWrap/>
          </w:tcPr>
          <w:p w14:paraId="65E69CB4" w14:textId="77777777" w:rsidR="00EC765D" w:rsidRPr="0068749D" w:rsidRDefault="00EC765D" w:rsidP="00F331CF">
            <w:pPr>
              <w:pStyle w:val="TableText0"/>
              <w:jc w:val="right"/>
              <w:rPr>
                <w:sz w:val="20"/>
                <w:szCs w:val="20"/>
              </w:rPr>
            </w:pPr>
            <w:r w:rsidRPr="0068749D">
              <w:rPr>
                <w:color w:val="000000"/>
                <w:sz w:val="20"/>
                <w:szCs w:val="20"/>
              </w:rPr>
              <w:t>0.6945</w:t>
            </w:r>
          </w:p>
        </w:tc>
        <w:tc>
          <w:tcPr>
            <w:tcW w:w="546" w:type="pct"/>
            <w:tcBorders>
              <w:top w:val="single" w:sz="4" w:space="0" w:color="auto"/>
              <w:left w:val="single" w:sz="4" w:space="0" w:color="auto"/>
              <w:right w:val="single" w:sz="4" w:space="0" w:color="auto"/>
            </w:tcBorders>
            <w:noWrap/>
          </w:tcPr>
          <w:p w14:paraId="5B168F6A" w14:textId="2741A8A4" w:rsidR="00EC765D" w:rsidRPr="007F0EBE" w:rsidRDefault="00EC765D" w:rsidP="00F331CF">
            <w:pPr>
              <w:pStyle w:val="TableText0"/>
              <w:jc w:val="right"/>
              <w:rPr>
                <w:sz w:val="20"/>
                <w:szCs w:val="20"/>
                <w:vertAlign w:val="superscript"/>
              </w:rPr>
            </w:pPr>
            <w:r w:rsidRPr="0068749D">
              <w:rPr>
                <w:color w:val="000000"/>
                <w:sz w:val="20"/>
                <w:szCs w:val="20"/>
              </w:rPr>
              <w:t>$</w:t>
            </w:r>
            <w:r w:rsidR="007F0EBE" w:rsidRPr="002B55DF">
              <w:rPr>
                <w:color w:val="000000"/>
                <w:sz w:val="20"/>
                <w:szCs w:val="20"/>
                <w:highlight w:val="black"/>
              </w:rPr>
              <w:t>@@@</w:t>
            </w:r>
            <w:r w:rsidR="007F0EBE">
              <w:rPr>
                <w:color w:val="000000"/>
                <w:sz w:val="20"/>
                <w:szCs w:val="20"/>
                <w:vertAlign w:val="superscript"/>
              </w:rPr>
              <w:t>1</w:t>
            </w:r>
          </w:p>
        </w:tc>
        <w:tc>
          <w:tcPr>
            <w:tcW w:w="443" w:type="pct"/>
            <w:tcBorders>
              <w:top w:val="single" w:sz="4" w:space="0" w:color="auto"/>
              <w:left w:val="single" w:sz="4" w:space="0" w:color="auto"/>
              <w:right w:val="single" w:sz="4" w:space="0" w:color="auto"/>
            </w:tcBorders>
            <w:noWrap/>
          </w:tcPr>
          <w:p w14:paraId="0B88B02D" w14:textId="375AE3B1"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216F74DD" w14:textId="77777777" w:rsidTr="00F331CF">
        <w:trPr>
          <w:trHeight w:val="20"/>
        </w:trPr>
        <w:tc>
          <w:tcPr>
            <w:tcW w:w="2749" w:type="pct"/>
            <w:tcBorders>
              <w:left w:val="single" w:sz="4" w:space="0" w:color="auto"/>
              <w:bottom w:val="single" w:sz="4" w:space="0" w:color="auto"/>
              <w:right w:val="single" w:sz="4" w:space="0" w:color="auto"/>
            </w:tcBorders>
            <w:noWrap/>
          </w:tcPr>
          <w:p w14:paraId="1B087B8D" w14:textId="77777777" w:rsidR="00EC765D" w:rsidRPr="0068749D" w:rsidRDefault="00EC765D" w:rsidP="00F331CF">
            <w:pPr>
              <w:pStyle w:val="TableText0"/>
              <w:numPr>
                <w:ilvl w:val="0"/>
                <w:numId w:val="4"/>
              </w:numPr>
              <w:rPr>
                <w:sz w:val="20"/>
                <w:szCs w:val="20"/>
              </w:rPr>
            </w:pPr>
            <w:r w:rsidRPr="0068749D">
              <w:rPr>
                <w:sz w:val="20"/>
                <w:szCs w:val="20"/>
              </w:rPr>
              <w:t>65%</w:t>
            </w:r>
          </w:p>
        </w:tc>
        <w:tc>
          <w:tcPr>
            <w:tcW w:w="707" w:type="pct"/>
            <w:tcBorders>
              <w:left w:val="single" w:sz="4" w:space="0" w:color="auto"/>
              <w:bottom w:val="single" w:sz="4" w:space="0" w:color="auto"/>
              <w:right w:val="single" w:sz="4" w:space="0" w:color="auto"/>
            </w:tcBorders>
            <w:noWrap/>
          </w:tcPr>
          <w:p w14:paraId="2F78A292" w14:textId="73FDEFC3" w:rsidR="00EC765D" w:rsidRPr="0068749D" w:rsidRDefault="00EC765D" w:rsidP="00F331CF">
            <w:pPr>
              <w:pStyle w:val="TableText0"/>
              <w:jc w:val="right"/>
              <w:rPr>
                <w:sz w:val="20"/>
                <w:szCs w:val="20"/>
              </w:rPr>
            </w:pPr>
            <w:r w:rsidRPr="0068749D">
              <w:rPr>
                <w:color w:val="000000"/>
                <w:sz w:val="20"/>
                <w:szCs w:val="20"/>
              </w:rPr>
              <w:t>$</w:t>
            </w:r>
            <w:r w:rsidR="00C50FE9" w:rsidRPr="00210B78">
              <w:rPr>
                <w:color w:val="000000"/>
                <w:sz w:val="20"/>
                <w:szCs w:val="20"/>
                <w:highlight w:val="black"/>
              </w:rPr>
              <w:t>&amp;&amp;&amp;&amp;</w:t>
            </w:r>
          </w:p>
        </w:tc>
        <w:tc>
          <w:tcPr>
            <w:tcW w:w="555" w:type="pct"/>
            <w:tcBorders>
              <w:left w:val="single" w:sz="4" w:space="0" w:color="auto"/>
              <w:bottom w:val="single" w:sz="4" w:space="0" w:color="auto"/>
              <w:right w:val="single" w:sz="4" w:space="0" w:color="auto"/>
            </w:tcBorders>
            <w:noWrap/>
          </w:tcPr>
          <w:p w14:paraId="4201866B" w14:textId="77777777" w:rsidR="00EC765D" w:rsidRPr="0068749D" w:rsidRDefault="00EC765D" w:rsidP="00F331CF">
            <w:pPr>
              <w:pStyle w:val="TableText0"/>
              <w:jc w:val="right"/>
              <w:rPr>
                <w:sz w:val="20"/>
                <w:szCs w:val="20"/>
              </w:rPr>
            </w:pPr>
            <w:r w:rsidRPr="0068749D">
              <w:rPr>
                <w:color w:val="000000"/>
                <w:sz w:val="20"/>
                <w:szCs w:val="20"/>
              </w:rPr>
              <w:t>0.6412</w:t>
            </w:r>
          </w:p>
        </w:tc>
        <w:tc>
          <w:tcPr>
            <w:tcW w:w="546" w:type="pct"/>
            <w:tcBorders>
              <w:left w:val="single" w:sz="4" w:space="0" w:color="auto"/>
              <w:bottom w:val="single" w:sz="4" w:space="0" w:color="auto"/>
              <w:right w:val="single" w:sz="4" w:space="0" w:color="auto"/>
            </w:tcBorders>
            <w:noWrap/>
          </w:tcPr>
          <w:p w14:paraId="4F8E865F" w14:textId="60974BBE" w:rsidR="00EC765D" w:rsidRPr="007F0EBE" w:rsidRDefault="00EC765D" w:rsidP="00F331CF">
            <w:pPr>
              <w:pStyle w:val="TableText0"/>
              <w:jc w:val="right"/>
              <w:rPr>
                <w:sz w:val="20"/>
                <w:szCs w:val="20"/>
                <w:vertAlign w:val="superscript"/>
              </w:rPr>
            </w:pPr>
            <w:r w:rsidRPr="0068749D">
              <w:rPr>
                <w:color w:val="000000"/>
                <w:sz w:val="20"/>
                <w:szCs w:val="20"/>
              </w:rPr>
              <w:t>$</w:t>
            </w:r>
            <w:r w:rsidR="007F0EBE" w:rsidRPr="002B55DF">
              <w:rPr>
                <w:color w:val="000000"/>
                <w:sz w:val="20"/>
                <w:szCs w:val="20"/>
                <w:highlight w:val="black"/>
              </w:rPr>
              <w:t>@@@</w:t>
            </w:r>
            <w:r w:rsidR="007F0EBE">
              <w:rPr>
                <w:color w:val="000000"/>
                <w:sz w:val="20"/>
                <w:szCs w:val="20"/>
                <w:vertAlign w:val="superscript"/>
              </w:rPr>
              <w:t>1</w:t>
            </w:r>
          </w:p>
        </w:tc>
        <w:tc>
          <w:tcPr>
            <w:tcW w:w="443" w:type="pct"/>
            <w:tcBorders>
              <w:left w:val="single" w:sz="4" w:space="0" w:color="auto"/>
              <w:bottom w:val="single" w:sz="4" w:space="0" w:color="auto"/>
              <w:right w:val="single" w:sz="4" w:space="0" w:color="auto"/>
            </w:tcBorders>
            <w:noWrap/>
          </w:tcPr>
          <w:p w14:paraId="29C5B9A3" w14:textId="6A754BCF"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5EFD945C" w14:textId="77777777" w:rsidTr="00F331CF">
        <w:trPr>
          <w:trHeight w:val="20"/>
        </w:trPr>
        <w:tc>
          <w:tcPr>
            <w:tcW w:w="5000" w:type="pct"/>
            <w:gridSpan w:val="5"/>
            <w:tcBorders>
              <w:top w:val="single" w:sz="4" w:space="0" w:color="auto"/>
              <w:left w:val="single" w:sz="4" w:space="0" w:color="auto"/>
              <w:bottom w:val="single" w:sz="4" w:space="0" w:color="auto"/>
              <w:right w:val="single" w:sz="4" w:space="0" w:color="auto"/>
            </w:tcBorders>
            <w:noWrap/>
          </w:tcPr>
          <w:p w14:paraId="4BE3032C" w14:textId="77777777" w:rsidR="00EC765D" w:rsidRPr="0068749D" w:rsidRDefault="00EC765D" w:rsidP="00F331CF">
            <w:pPr>
              <w:pStyle w:val="TableText0"/>
              <w:rPr>
                <w:sz w:val="20"/>
                <w:szCs w:val="20"/>
              </w:rPr>
            </w:pPr>
            <w:r w:rsidRPr="0068749D">
              <w:rPr>
                <w:sz w:val="20"/>
                <w:szCs w:val="20"/>
              </w:rPr>
              <w:t>Incremental effectiveness of avelumab, DR setting (base case: 8.6 months)</w:t>
            </w:r>
          </w:p>
        </w:tc>
      </w:tr>
      <w:tr w:rsidR="00EC765D" w:rsidRPr="0068749D" w14:paraId="35DB6CA3" w14:textId="77777777" w:rsidTr="00F331CF">
        <w:trPr>
          <w:trHeight w:val="20"/>
        </w:trPr>
        <w:tc>
          <w:tcPr>
            <w:tcW w:w="2749" w:type="pct"/>
            <w:tcBorders>
              <w:top w:val="single" w:sz="4" w:space="0" w:color="auto"/>
              <w:left w:val="single" w:sz="4" w:space="0" w:color="auto"/>
              <w:right w:val="single" w:sz="4" w:space="0" w:color="auto"/>
            </w:tcBorders>
            <w:noWrap/>
          </w:tcPr>
          <w:p w14:paraId="41318469" w14:textId="77777777" w:rsidR="00EC765D" w:rsidRPr="0068749D" w:rsidRDefault="00EC765D" w:rsidP="00F331CF">
            <w:pPr>
              <w:pStyle w:val="TableText0"/>
              <w:numPr>
                <w:ilvl w:val="0"/>
                <w:numId w:val="4"/>
              </w:numPr>
              <w:rPr>
                <w:sz w:val="20"/>
                <w:szCs w:val="20"/>
              </w:rPr>
            </w:pPr>
            <w:r w:rsidRPr="0068749D">
              <w:rPr>
                <w:sz w:val="20"/>
                <w:szCs w:val="20"/>
              </w:rPr>
              <w:t>10 months</w:t>
            </w:r>
          </w:p>
        </w:tc>
        <w:tc>
          <w:tcPr>
            <w:tcW w:w="707" w:type="pct"/>
            <w:tcBorders>
              <w:top w:val="single" w:sz="4" w:space="0" w:color="auto"/>
              <w:left w:val="single" w:sz="4" w:space="0" w:color="auto"/>
              <w:right w:val="single" w:sz="4" w:space="0" w:color="auto"/>
            </w:tcBorders>
            <w:noWrap/>
          </w:tcPr>
          <w:p w14:paraId="23B174B5" w14:textId="1A2AB09F" w:rsidR="00EC765D" w:rsidRPr="0068749D" w:rsidRDefault="00EC765D" w:rsidP="00F331CF">
            <w:pPr>
              <w:pStyle w:val="TableText0"/>
              <w:jc w:val="right"/>
              <w:rPr>
                <w:sz w:val="20"/>
                <w:szCs w:val="20"/>
              </w:rPr>
            </w:pPr>
            <w:r w:rsidRPr="0068749D">
              <w:rPr>
                <w:color w:val="000000"/>
                <w:sz w:val="20"/>
                <w:szCs w:val="20"/>
              </w:rPr>
              <w:t>$</w:t>
            </w:r>
            <w:r w:rsidR="00C50FE9" w:rsidRPr="00210B78">
              <w:rPr>
                <w:color w:val="000000"/>
                <w:sz w:val="20"/>
                <w:szCs w:val="20"/>
                <w:highlight w:val="black"/>
              </w:rPr>
              <w:t>&amp;&amp;&amp;&amp;</w:t>
            </w:r>
          </w:p>
        </w:tc>
        <w:tc>
          <w:tcPr>
            <w:tcW w:w="555" w:type="pct"/>
            <w:tcBorders>
              <w:top w:val="single" w:sz="4" w:space="0" w:color="auto"/>
              <w:left w:val="single" w:sz="4" w:space="0" w:color="auto"/>
              <w:right w:val="single" w:sz="4" w:space="0" w:color="auto"/>
            </w:tcBorders>
            <w:noWrap/>
          </w:tcPr>
          <w:p w14:paraId="69D6FEF2" w14:textId="77777777" w:rsidR="00EC765D" w:rsidRPr="0068749D" w:rsidRDefault="00EC765D" w:rsidP="00F331CF">
            <w:pPr>
              <w:pStyle w:val="TableText0"/>
              <w:jc w:val="right"/>
              <w:rPr>
                <w:sz w:val="20"/>
                <w:szCs w:val="20"/>
              </w:rPr>
            </w:pPr>
            <w:r w:rsidRPr="0068749D">
              <w:rPr>
                <w:color w:val="000000"/>
                <w:sz w:val="20"/>
                <w:szCs w:val="20"/>
              </w:rPr>
              <w:t>0.6646</w:t>
            </w:r>
          </w:p>
        </w:tc>
        <w:tc>
          <w:tcPr>
            <w:tcW w:w="546" w:type="pct"/>
            <w:tcBorders>
              <w:top w:val="single" w:sz="4" w:space="0" w:color="auto"/>
              <w:left w:val="single" w:sz="4" w:space="0" w:color="auto"/>
              <w:right w:val="single" w:sz="4" w:space="0" w:color="auto"/>
            </w:tcBorders>
            <w:noWrap/>
          </w:tcPr>
          <w:p w14:paraId="77FF76C8" w14:textId="1C4597FF" w:rsidR="00EC765D" w:rsidRPr="00992229" w:rsidRDefault="00EC765D" w:rsidP="00F331CF">
            <w:pPr>
              <w:pStyle w:val="TableText0"/>
              <w:jc w:val="right"/>
              <w:rPr>
                <w:sz w:val="20"/>
                <w:szCs w:val="20"/>
                <w:vertAlign w:val="superscript"/>
              </w:rPr>
            </w:pPr>
            <w:r w:rsidRPr="0068749D">
              <w:rPr>
                <w:color w:val="000000"/>
                <w:sz w:val="20"/>
                <w:szCs w:val="20"/>
              </w:rPr>
              <w:t>$</w:t>
            </w:r>
            <w:r w:rsidR="00992229" w:rsidRPr="002B55DF">
              <w:rPr>
                <w:color w:val="000000"/>
                <w:sz w:val="20"/>
                <w:szCs w:val="20"/>
                <w:highlight w:val="black"/>
              </w:rPr>
              <w:t>@@@</w:t>
            </w:r>
            <w:r w:rsidR="00992229">
              <w:rPr>
                <w:color w:val="000000"/>
                <w:sz w:val="20"/>
                <w:szCs w:val="20"/>
                <w:vertAlign w:val="superscript"/>
              </w:rPr>
              <w:t>1</w:t>
            </w:r>
          </w:p>
        </w:tc>
        <w:tc>
          <w:tcPr>
            <w:tcW w:w="443" w:type="pct"/>
            <w:tcBorders>
              <w:top w:val="single" w:sz="4" w:space="0" w:color="auto"/>
              <w:left w:val="single" w:sz="4" w:space="0" w:color="auto"/>
              <w:right w:val="single" w:sz="4" w:space="0" w:color="auto"/>
            </w:tcBorders>
            <w:noWrap/>
          </w:tcPr>
          <w:p w14:paraId="1E7CD3F0" w14:textId="7F0272A6"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1B185974" w14:textId="77777777" w:rsidTr="00F331CF">
        <w:trPr>
          <w:trHeight w:val="20"/>
        </w:trPr>
        <w:tc>
          <w:tcPr>
            <w:tcW w:w="2749" w:type="pct"/>
            <w:tcBorders>
              <w:left w:val="single" w:sz="4" w:space="0" w:color="auto"/>
              <w:bottom w:val="single" w:sz="4" w:space="0" w:color="auto"/>
              <w:right w:val="single" w:sz="4" w:space="0" w:color="auto"/>
            </w:tcBorders>
            <w:noWrap/>
          </w:tcPr>
          <w:p w14:paraId="3DE389DF" w14:textId="77777777" w:rsidR="00EC765D" w:rsidRPr="0068749D" w:rsidRDefault="00EC765D" w:rsidP="00F331CF">
            <w:pPr>
              <w:pStyle w:val="TableText0"/>
              <w:numPr>
                <w:ilvl w:val="0"/>
                <w:numId w:val="4"/>
              </w:numPr>
              <w:rPr>
                <w:sz w:val="20"/>
                <w:szCs w:val="20"/>
              </w:rPr>
            </w:pPr>
            <w:r w:rsidRPr="0068749D">
              <w:rPr>
                <w:sz w:val="20"/>
                <w:szCs w:val="20"/>
              </w:rPr>
              <w:t>12 months</w:t>
            </w:r>
          </w:p>
        </w:tc>
        <w:tc>
          <w:tcPr>
            <w:tcW w:w="707" w:type="pct"/>
            <w:tcBorders>
              <w:left w:val="single" w:sz="4" w:space="0" w:color="auto"/>
              <w:bottom w:val="single" w:sz="4" w:space="0" w:color="auto"/>
              <w:right w:val="single" w:sz="4" w:space="0" w:color="auto"/>
            </w:tcBorders>
            <w:noWrap/>
          </w:tcPr>
          <w:p w14:paraId="5D2D15FD" w14:textId="46D882CB" w:rsidR="00EC765D" w:rsidRPr="0068749D" w:rsidRDefault="00EC765D" w:rsidP="00F331CF">
            <w:pPr>
              <w:pStyle w:val="TableText0"/>
              <w:jc w:val="right"/>
              <w:rPr>
                <w:sz w:val="20"/>
                <w:szCs w:val="20"/>
              </w:rPr>
            </w:pPr>
            <w:r w:rsidRPr="0068749D">
              <w:rPr>
                <w:color w:val="000000"/>
                <w:sz w:val="20"/>
                <w:szCs w:val="20"/>
              </w:rPr>
              <w:t>$</w:t>
            </w:r>
            <w:r w:rsidR="00C50FE9" w:rsidRPr="00210B78">
              <w:rPr>
                <w:color w:val="000000"/>
                <w:sz w:val="20"/>
                <w:szCs w:val="20"/>
                <w:highlight w:val="black"/>
              </w:rPr>
              <w:t>&amp;&amp;&amp;&amp;</w:t>
            </w:r>
          </w:p>
        </w:tc>
        <w:tc>
          <w:tcPr>
            <w:tcW w:w="555" w:type="pct"/>
            <w:tcBorders>
              <w:left w:val="single" w:sz="4" w:space="0" w:color="auto"/>
              <w:bottom w:val="single" w:sz="4" w:space="0" w:color="auto"/>
              <w:right w:val="single" w:sz="4" w:space="0" w:color="auto"/>
            </w:tcBorders>
            <w:noWrap/>
          </w:tcPr>
          <w:p w14:paraId="25B16CEB" w14:textId="77777777" w:rsidR="00EC765D" w:rsidRPr="0068749D" w:rsidRDefault="00EC765D" w:rsidP="00F331CF">
            <w:pPr>
              <w:pStyle w:val="TableText0"/>
              <w:jc w:val="right"/>
              <w:rPr>
                <w:sz w:val="20"/>
                <w:szCs w:val="20"/>
              </w:rPr>
            </w:pPr>
            <w:r w:rsidRPr="0068749D">
              <w:rPr>
                <w:color w:val="000000"/>
                <w:sz w:val="20"/>
                <w:szCs w:val="20"/>
              </w:rPr>
              <w:t>0.6505</w:t>
            </w:r>
          </w:p>
        </w:tc>
        <w:tc>
          <w:tcPr>
            <w:tcW w:w="546" w:type="pct"/>
            <w:tcBorders>
              <w:left w:val="single" w:sz="4" w:space="0" w:color="auto"/>
              <w:bottom w:val="single" w:sz="4" w:space="0" w:color="auto"/>
              <w:right w:val="single" w:sz="4" w:space="0" w:color="auto"/>
            </w:tcBorders>
            <w:noWrap/>
          </w:tcPr>
          <w:p w14:paraId="22AC3D54" w14:textId="432F9F3C" w:rsidR="00EC765D" w:rsidRPr="00992229" w:rsidRDefault="00EC765D" w:rsidP="00F331CF">
            <w:pPr>
              <w:pStyle w:val="TableText0"/>
              <w:jc w:val="right"/>
              <w:rPr>
                <w:sz w:val="20"/>
                <w:szCs w:val="20"/>
                <w:vertAlign w:val="superscript"/>
              </w:rPr>
            </w:pPr>
            <w:r w:rsidRPr="0068749D">
              <w:rPr>
                <w:color w:val="000000"/>
                <w:sz w:val="20"/>
                <w:szCs w:val="20"/>
              </w:rPr>
              <w:t>$</w:t>
            </w:r>
            <w:r w:rsidR="00992229" w:rsidRPr="002B55DF">
              <w:rPr>
                <w:color w:val="000000"/>
                <w:sz w:val="20"/>
                <w:szCs w:val="20"/>
                <w:highlight w:val="black"/>
              </w:rPr>
              <w:t>@@@</w:t>
            </w:r>
            <w:r w:rsidR="00992229">
              <w:rPr>
                <w:color w:val="000000"/>
                <w:sz w:val="20"/>
                <w:szCs w:val="20"/>
                <w:vertAlign w:val="superscript"/>
              </w:rPr>
              <w:t>1</w:t>
            </w:r>
          </w:p>
        </w:tc>
        <w:tc>
          <w:tcPr>
            <w:tcW w:w="443" w:type="pct"/>
            <w:tcBorders>
              <w:left w:val="single" w:sz="4" w:space="0" w:color="auto"/>
              <w:bottom w:val="single" w:sz="4" w:space="0" w:color="auto"/>
              <w:right w:val="single" w:sz="4" w:space="0" w:color="auto"/>
            </w:tcBorders>
            <w:noWrap/>
          </w:tcPr>
          <w:p w14:paraId="44B97DB5" w14:textId="30C17EEB"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5264963F" w14:textId="77777777" w:rsidTr="00F331CF">
        <w:trPr>
          <w:trHeight w:val="20"/>
        </w:trPr>
        <w:tc>
          <w:tcPr>
            <w:tcW w:w="2749" w:type="pct"/>
            <w:tcBorders>
              <w:top w:val="single" w:sz="4" w:space="0" w:color="auto"/>
              <w:left w:val="single" w:sz="4" w:space="0" w:color="auto"/>
              <w:bottom w:val="single" w:sz="4" w:space="0" w:color="auto"/>
              <w:right w:val="single" w:sz="4" w:space="0" w:color="auto"/>
            </w:tcBorders>
            <w:noWrap/>
          </w:tcPr>
          <w:p w14:paraId="102C82AC" w14:textId="77777777" w:rsidR="00EC765D" w:rsidRPr="0068749D" w:rsidRDefault="00EC765D" w:rsidP="00F331CF">
            <w:pPr>
              <w:pStyle w:val="TableText0"/>
              <w:rPr>
                <w:sz w:val="20"/>
                <w:szCs w:val="20"/>
              </w:rPr>
            </w:pPr>
            <w:r w:rsidRPr="0068749D">
              <w:rPr>
                <w:sz w:val="20"/>
                <w:szCs w:val="20"/>
              </w:rPr>
              <w:t>Adjustments to overall survival</w:t>
            </w:r>
          </w:p>
        </w:tc>
        <w:tc>
          <w:tcPr>
            <w:tcW w:w="707" w:type="pct"/>
            <w:tcBorders>
              <w:top w:val="single" w:sz="4" w:space="0" w:color="auto"/>
              <w:left w:val="single" w:sz="4" w:space="0" w:color="auto"/>
              <w:bottom w:val="single" w:sz="4" w:space="0" w:color="auto"/>
              <w:right w:val="single" w:sz="4" w:space="0" w:color="auto"/>
            </w:tcBorders>
            <w:noWrap/>
          </w:tcPr>
          <w:p w14:paraId="169DB78F" w14:textId="77777777" w:rsidR="00EC765D" w:rsidRPr="0068749D" w:rsidRDefault="00EC765D" w:rsidP="00F331CF">
            <w:pPr>
              <w:pStyle w:val="TableText0"/>
              <w:jc w:val="right"/>
              <w:rPr>
                <w:color w:val="000000"/>
                <w:sz w:val="20"/>
                <w:szCs w:val="20"/>
              </w:rPr>
            </w:pPr>
          </w:p>
        </w:tc>
        <w:tc>
          <w:tcPr>
            <w:tcW w:w="555" w:type="pct"/>
            <w:tcBorders>
              <w:top w:val="single" w:sz="4" w:space="0" w:color="auto"/>
              <w:left w:val="single" w:sz="4" w:space="0" w:color="auto"/>
              <w:bottom w:val="single" w:sz="4" w:space="0" w:color="auto"/>
              <w:right w:val="single" w:sz="4" w:space="0" w:color="auto"/>
            </w:tcBorders>
            <w:noWrap/>
          </w:tcPr>
          <w:p w14:paraId="3B97AFD5" w14:textId="77777777" w:rsidR="00EC765D" w:rsidRPr="0068749D" w:rsidRDefault="00EC765D" w:rsidP="00F331CF">
            <w:pPr>
              <w:pStyle w:val="TableText0"/>
              <w:jc w:val="right"/>
              <w:rPr>
                <w:color w:val="000000"/>
                <w:sz w:val="20"/>
                <w:szCs w:val="20"/>
              </w:rPr>
            </w:pPr>
          </w:p>
        </w:tc>
        <w:tc>
          <w:tcPr>
            <w:tcW w:w="546" w:type="pct"/>
            <w:tcBorders>
              <w:top w:val="single" w:sz="4" w:space="0" w:color="auto"/>
              <w:left w:val="single" w:sz="4" w:space="0" w:color="auto"/>
              <w:bottom w:val="single" w:sz="4" w:space="0" w:color="auto"/>
              <w:right w:val="single" w:sz="4" w:space="0" w:color="auto"/>
            </w:tcBorders>
            <w:noWrap/>
          </w:tcPr>
          <w:p w14:paraId="454151C6" w14:textId="77777777" w:rsidR="00EC765D" w:rsidRPr="0068749D" w:rsidRDefault="00EC765D" w:rsidP="00F331CF">
            <w:pPr>
              <w:pStyle w:val="TableText0"/>
              <w:jc w:val="right"/>
              <w:rPr>
                <w:color w:val="000000"/>
                <w:sz w:val="20"/>
                <w:szCs w:val="20"/>
              </w:rPr>
            </w:pPr>
          </w:p>
        </w:tc>
        <w:tc>
          <w:tcPr>
            <w:tcW w:w="443" w:type="pct"/>
            <w:tcBorders>
              <w:top w:val="single" w:sz="4" w:space="0" w:color="auto"/>
              <w:left w:val="single" w:sz="4" w:space="0" w:color="auto"/>
              <w:bottom w:val="single" w:sz="4" w:space="0" w:color="auto"/>
              <w:right w:val="single" w:sz="4" w:space="0" w:color="auto"/>
            </w:tcBorders>
            <w:noWrap/>
          </w:tcPr>
          <w:p w14:paraId="75EAF922" w14:textId="77777777" w:rsidR="00EC765D" w:rsidRPr="0068749D" w:rsidRDefault="00EC765D" w:rsidP="00F331CF">
            <w:pPr>
              <w:pStyle w:val="TableText0"/>
              <w:jc w:val="right"/>
              <w:rPr>
                <w:color w:val="000000"/>
                <w:sz w:val="20"/>
                <w:szCs w:val="20"/>
              </w:rPr>
            </w:pPr>
          </w:p>
        </w:tc>
      </w:tr>
      <w:tr w:rsidR="00EC765D" w:rsidRPr="0068749D" w14:paraId="31D43058" w14:textId="77777777" w:rsidTr="00F331CF">
        <w:trPr>
          <w:trHeight w:val="20"/>
        </w:trPr>
        <w:tc>
          <w:tcPr>
            <w:tcW w:w="2749" w:type="pct"/>
            <w:tcBorders>
              <w:top w:val="single" w:sz="4" w:space="0" w:color="auto"/>
              <w:left w:val="single" w:sz="4" w:space="0" w:color="auto"/>
              <w:bottom w:val="single" w:sz="4" w:space="0" w:color="auto"/>
              <w:right w:val="single" w:sz="4" w:space="0" w:color="auto"/>
            </w:tcBorders>
            <w:noWrap/>
          </w:tcPr>
          <w:p w14:paraId="77E4C354" w14:textId="77777777" w:rsidR="00EC765D" w:rsidRPr="0068749D" w:rsidRDefault="00EC765D" w:rsidP="00F331CF">
            <w:pPr>
              <w:pStyle w:val="TableText0"/>
              <w:rPr>
                <w:sz w:val="20"/>
                <w:szCs w:val="20"/>
              </w:rPr>
            </w:pPr>
            <w:r w:rsidRPr="0068749D">
              <w:rPr>
                <w:sz w:val="20"/>
                <w:szCs w:val="20"/>
              </w:rPr>
              <w:t>Use OS calibrations as suggested by the submission</w:t>
            </w:r>
            <w:r>
              <w:rPr>
                <w:sz w:val="20"/>
                <w:szCs w:val="20"/>
              </w:rPr>
              <w:t xml:space="preserve"> sensitivity analysis</w:t>
            </w:r>
            <w:r w:rsidRPr="0068749D">
              <w:rPr>
                <w:sz w:val="20"/>
                <w:szCs w:val="20"/>
              </w:rPr>
              <w:t xml:space="preserve"> (base case: no calibrations)</w:t>
            </w:r>
            <w:r>
              <w:rPr>
                <w:sz w:val="20"/>
                <w:szCs w:val="20"/>
              </w:rPr>
              <w:t xml:space="preserve"> </w:t>
            </w:r>
            <w:r w:rsidRPr="00367355">
              <w:rPr>
                <w:b/>
                <w:bCs w:val="0"/>
                <w:iCs/>
                <w:sz w:val="20"/>
                <w:szCs w:val="20"/>
              </w:rPr>
              <w:t>(#2)</w:t>
            </w:r>
          </w:p>
        </w:tc>
        <w:tc>
          <w:tcPr>
            <w:tcW w:w="707" w:type="pct"/>
            <w:tcBorders>
              <w:top w:val="single" w:sz="4" w:space="0" w:color="auto"/>
              <w:left w:val="single" w:sz="4" w:space="0" w:color="auto"/>
              <w:bottom w:val="single" w:sz="4" w:space="0" w:color="auto"/>
              <w:right w:val="single" w:sz="4" w:space="0" w:color="auto"/>
            </w:tcBorders>
            <w:noWrap/>
          </w:tcPr>
          <w:p w14:paraId="1E26628E" w14:textId="5AA17FB7" w:rsidR="00EC765D" w:rsidRPr="0068749D" w:rsidRDefault="00EC765D" w:rsidP="00F331CF">
            <w:pPr>
              <w:pStyle w:val="TableText0"/>
              <w:jc w:val="right"/>
              <w:rPr>
                <w:sz w:val="20"/>
                <w:szCs w:val="20"/>
              </w:rPr>
            </w:pPr>
            <w:r w:rsidRPr="0068749D">
              <w:rPr>
                <w:color w:val="000000"/>
                <w:sz w:val="20"/>
                <w:szCs w:val="20"/>
              </w:rPr>
              <w:t>$</w:t>
            </w:r>
            <w:r w:rsidR="00C50FE9" w:rsidRPr="00210B78">
              <w:rPr>
                <w:color w:val="000000"/>
                <w:sz w:val="20"/>
                <w:szCs w:val="20"/>
                <w:highlight w:val="black"/>
              </w:rPr>
              <w:t>&amp;&amp;&amp;&amp;</w:t>
            </w:r>
          </w:p>
        </w:tc>
        <w:tc>
          <w:tcPr>
            <w:tcW w:w="555" w:type="pct"/>
            <w:tcBorders>
              <w:top w:val="single" w:sz="4" w:space="0" w:color="auto"/>
              <w:left w:val="single" w:sz="4" w:space="0" w:color="auto"/>
              <w:bottom w:val="single" w:sz="4" w:space="0" w:color="auto"/>
              <w:right w:val="single" w:sz="4" w:space="0" w:color="auto"/>
            </w:tcBorders>
            <w:noWrap/>
          </w:tcPr>
          <w:p w14:paraId="419FB0EF" w14:textId="77777777" w:rsidR="00EC765D" w:rsidRPr="0068749D" w:rsidRDefault="00EC765D" w:rsidP="00F331CF">
            <w:pPr>
              <w:pStyle w:val="TableText0"/>
              <w:jc w:val="right"/>
              <w:rPr>
                <w:sz w:val="20"/>
                <w:szCs w:val="20"/>
              </w:rPr>
            </w:pPr>
            <w:r w:rsidRPr="0068749D">
              <w:rPr>
                <w:color w:val="000000"/>
                <w:sz w:val="20"/>
                <w:szCs w:val="20"/>
              </w:rPr>
              <w:t>0.5582</w:t>
            </w:r>
          </w:p>
        </w:tc>
        <w:tc>
          <w:tcPr>
            <w:tcW w:w="546" w:type="pct"/>
            <w:tcBorders>
              <w:top w:val="single" w:sz="4" w:space="0" w:color="auto"/>
              <w:left w:val="single" w:sz="4" w:space="0" w:color="auto"/>
              <w:bottom w:val="single" w:sz="4" w:space="0" w:color="auto"/>
              <w:right w:val="single" w:sz="4" w:space="0" w:color="auto"/>
            </w:tcBorders>
            <w:noWrap/>
          </w:tcPr>
          <w:p w14:paraId="2653A861" w14:textId="6A2B08DE" w:rsidR="00EC765D" w:rsidRPr="002B55DF" w:rsidRDefault="00EC765D" w:rsidP="00F331CF">
            <w:pPr>
              <w:pStyle w:val="TableText0"/>
              <w:jc w:val="right"/>
              <w:rPr>
                <w:sz w:val="20"/>
                <w:szCs w:val="20"/>
                <w:vertAlign w:val="superscript"/>
              </w:rPr>
            </w:pPr>
            <w:r w:rsidRPr="0068749D">
              <w:rPr>
                <w:color w:val="000000"/>
                <w:sz w:val="20"/>
                <w:szCs w:val="20"/>
              </w:rPr>
              <w:t>$</w:t>
            </w:r>
            <w:r w:rsidR="002B55DF" w:rsidRPr="002B55DF">
              <w:rPr>
                <w:color w:val="000000"/>
                <w:sz w:val="20"/>
                <w:szCs w:val="20"/>
                <w:highlight w:val="black"/>
              </w:rPr>
              <w:t>@@@</w:t>
            </w:r>
            <w:r w:rsidR="002B55DF">
              <w:rPr>
                <w:color w:val="000000"/>
                <w:sz w:val="20"/>
                <w:szCs w:val="20"/>
                <w:vertAlign w:val="superscript"/>
              </w:rPr>
              <w:t>1</w:t>
            </w:r>
          </w:p>
        </w:tc>
        <w:tc>
          <w:tcPr>
            <w:tcW w:w="443" w:type="pct"/>
            <w:tcBorders>
              <w:top w:val="single" w:sz="4" w:space="0" w:color="auto"/>
              <w:left w:val="single" w:sz="4" w:space="0" w:color="auto"/>
              <w:bottom w:val="single" w:sz="4" w:space="0" w:color="auto"/>
              <w:right w:val="single" w:sz="4" w:space="0" w:color="auto"/>
            </w:tcBorders>
            <w:noWrap/>
          </w:tcPr>
          <w:p w14:paraId="726F45C3" w14:textId="3C11B80E" w:rsidR="00EC765D" w:rsidRPr="0068749D" w:rsidRDefault="002B55DF" w:rsidP="00F331CF">
            <w:pPr>
              <w:pStyle w:val="TableText0"/>
              <w:jc w:val="right"/>
              <w:rPr>
                <w:sz w:val="20"/>
                <w:szCs w:val="20"/>
              </w:rPr>
            </w:pPr>
            <w:r w:rsidRPr="002B55DF">
              <w:rPr>
                <w:color w:val="000000"/>
                <w:sz w:val="20"/>
                <w:szCs w:val="20"/>
                <w:highlight w:val="black"/>
              </w:rPr>
              <w:t>@@</w:t>
            </w:r>
            <w:r w:rsidR="00EC765D" w:rsidRPr="0068749D">
              <w:rPr>
                <w:color w:val="000000"/>
                <w:sz w:val="20"/>
                <w:szCs w:val="20"/>
              </w:rPr>
              <w:t>%</w:t>
            </w:r>
          </w:p>
        </w:tc>
      </w:tr>
      <w:tr w:rsidR="00EC765D" w:rsidRPr="0068749D" w14:paraId="6509EE03" w14:textId="77777777" w:rsidTr="00F331CF">
        <w:trPr>
          <w:trHeight w:val="20"/>
        </w:trPr>
        <w:tc>
          <w:tcPr>
            <w:tcW w:w="5000" w:type="pct"/>
            <w:gridSpan w:val="5"/>
            <w:tcBorders>
              <w:top w:val="single" w:sz="4" w:space="0" w:color="auto"/>
              <w:left w:val="single" w:sz="4" w:space="0" w:color="auto"/>
              <w:bottom w:val="single" w:sz="4" w:space="0" w:color="auto"/>
              <w:right w:val="single" w:sz="4" w:space="0" w:color="auto"/>
            </w:tcBorders>
            <w:noWrap/>
          </w:tcPr>
          <w:p w14:paraId="344F6607" w14:textId="77777777" w:rsidR="00EC765D" w:rsidRPr="0068749D" w:rsidRDefault="00EC765D" w:rsidP="00F331CF">
            <w:pPr>
              <w:pStyle w:val="TableText0"/>
              <w:rPr>
                <w:sz w:val="20"/>
                <w:szCs w:val="20"/>
              </w:rPr>
            </w:pPr>
            <w:r w:rsidRPr="0068749D">
              <w:rPr>
                <w:sz w:val="20"/>
                <w:szCs w:val="20"/>
              </w:rPr>
              <w:t>Recurrence is fatal (base case: based on fixed proportion of deaths observed in trial)</w:t>
            </w:r>
          </w:p>
        </w:tc>
      </w:tr>
      <w:tr w:rsidR="00EC765D" w:rsidRPr="0068749D" w14:paraId="5161CFB0" w14:textId="77777777" w:rsidTr="00F331CF">
        <w:trPr>
          <w:trHeight w:val="20"/>
        </w:trPr>
        <w:tc>
          <w:tcPr>
            <w:tcW w:w="2749" w:type="pct"/>
            <w:tcBorders>
              <w:top w:val="single" w:sz="4" w:space="0" w:color="auto"/>
              <w:left w:val="single" w:sz="4" w:space="0" w:color="auto"/>
              <w:bottom w:val="single" w:sz="4" w:space="0" w:color="auto"/>
              <w:right w:val="single" w:sz="4" w:space="0" w:color="auto"/>
            </w:tcBorders>
            <w:noWrap/>
          </w:tcPr>
          <w:p w14:paraId="48FCD044" w14:textId="77777777" w:rsidR="00EC765D" w:rsidRPr="0068749D" w:rsidRDefault="00EC765D" w:rsidP="00F331CF">
            <w:pPr>
              <w:pStyle w:val="TableText0"/>
              <w:numPr>
                <w:ilvl w:val="0"/>
                <w:numId w:val="4"/>
              </w:numPr>
              <w:rPr>
                <w:sz w:val="20"/>
                <w:szCs w:val="20"/>
              </w:rPr>
            </w:pPr>
            <w:r w:rsidRPr="0068749D">
              <w:rPr>
                <w:sz w:val="20"/>
                <w:szCs w:val="20"/>
              </w:rPr>
              <w:t>Assumed no fatal recurrences in the model</w:t>
            </w:r>
          </w:p>
        </w:tc>
        <w:tc>
          <w:tcPr>
            <w:tcW w:w="707" w:type="pct"/>
            <w:tcBorders>
              <w:top w:val="single" w:sz="4" w:space="0" w:color="auto"/>
              <w:left w:val="single" w:sz="4" w:space="0" w:color="auto"/>
              <w:bottom w:val="single" w:sz="4" w:space="0" w:color="auto"/>
              <w:right w:val="single" w:sz="4" w:space="0" w:color="auto"/>
            </w:tcBorders>
            <w:noWrap/>
          </w:tcPr>
          <w:p w14:paraId="25CE9F1D" w14:textId="700C234E" w:rsidR="00EC765D" w:rsidRPr="0068749D" w:rsidRDefault="00EC765D" w:rsidP="00F331CF">
            <w:pPr>
              <w:pStyle w:val="TableText0"/>
              <w:jc w:val="right"/>
              <w:rPr>
                <w:sz w:val="20"/>
                <w:szCs w:val="20"/>
              </w:rPr>
            </w:pPr>
            <w:r w:rsidRPr="0068749D">
              <w:rPr>
                <w:color w:val="000000"/>
                <w:sz w:val="20"/>
                <w:szCs w:val="20"/>
              </w:rPr>
              <w:t>$</w:t>
            </w:r>
            <w:r w:rsidR="00C50FE9" w:rsidRPr="00210B78">
              <w:rPr>
                <w:color w:val="000000"/>
                <w:sz w:val="20"/>
                <w:szCs w:val="20"/>
                <w:highlight w:val="black"/>
              </w:rPr>
              <w:t>&amp;&amp;&amp;&amp;</w:t>
            </w:r>
          </w:p>
        </w:tc>
        <w:tc>
          <w:tcPr>
            <w:tcW w:w="555" w:type="pct"/>
            <w:tcBorders>
              <w:top w:val="single" w:sz="4" w:space="0" w:color="auto"/>
              <w:left w:val="single" w:sz="4" w:space="0" w:color="auto"/>
              <w:bottom w:val="single" w:sz="4" w:space="0" w:color="auto"/>
              <w:right w:val="single" w:sz="4" w:space="0" w:color="auto"/>
            </w:tcBorders>
            <w:noWrap/>
          </w:tcPr>
          <w:p w14:paraId="02BAF048" w14:textId="77777777" w:rsidR="00EC765D" w:rsidRPr="0068749D" w:rsidRDefault="00EC765D" w:rsidP="00F331CF">
            <w:pPr>
              <w:pStyle w:val="TableText0"/>
              <w:jc w:val="right"/>
              <w:rPr>
                <w:sz w:val="20"/>
                <w:szCs w:val="20"/>
              </w:rPr>
            </w:pPr>
            <w:r w:rsidRPr="0068749D">
              <w:rPr>
                <w:color w:val="000000"/>
                <w:sz w:val="20"/>
                <w:szCs w:val="20"/>
              </w:rPr>
              <w:t>0.6021</w:t>
            </w:r>
          </w:p>
        </w:tc>
        <w:tc>
          <w:tcPr>
            <w:tcW w:w="546" w:type="pct"/>
            <w:tcBorders>
              <w:top w:val="single" w:sz="4" w:space="0" w:color="auto"/>
              <w:left w:val="single" w:sz="4" w:space="0" w:color="auto"/>
              <w:bottom w:val="single" w:sz="4" w:space="0" w:color="auto"/>
              <w:right w:val="single" w:sz="4" w:space="0" w:color="auto"/>
            </w:tcBorders>
            <w:noWrap/>
          </w:tcPr>
          <w:p w14:paraId="58A0BE57" w14:textId="0D1339EB" w:rsidR="00EC765D" w:rsidRPr="002B55DF" w:rsidRDefault="00EC765D" w:rsidP="00F331CF">
            <w:pPr>
              <w:pStyle w:val="TableText0"/>
              <w:jc w:val="right"/>
              <w:rPr>
                <w:sz w:val="20"/>
                <w:szCs w:val="20"/>
                <w:vertAlign w:val="superscript"/>
              </w:rPr>
            </w:pPr>
            <w:r w:rsidRPr="0068749D">
              <w:rPr>
                <w:color w:val="000000"/>
                <w:sz w:val="20"/>
                <w:szCs w:val="20"/>
              </w:rPr>
              <w:t>$</w:t>
            </w:r>
            <w:r w:rsidR="002B55DF" w:rsidRPr="002B55DF">
              <w:rPr>
                <w:color w:val="000000"/>
                <w:sz w:val="20"/>
                <w:szCs w:val="20"/>
                <w:highlight w:val="black"/>
              </w:rPr>
              <w:t>@@@</w:t>
            </w:r>
            <w:r w:rsidR="002B55DF">
              <w:rPr>
                <w:color w:val="000000"/>
                <w:sz w:val="20"/>
                <w:szCs w:val="20"/>
                <w:vertAlign w:val="superscript"/>
              </w:rPr>
              <w:t>3</w:t>
            </w:r>
          </w:p>
        </w:tc>
        <w:tc>
          <w:tcPr>
            <w:tcW w:w="443" w:type="pct"/>
            <w:tcBorders>
              <w:top w:val="single" w:sz="4" w:space="0" w:color="auto"/>
              <w:left w:val="single" w:sz="4" w:space="0" w:color="auto"/>
              <w:bottom w:val="single" w:sz="4" w:space="0" w:color="auto"/>
              <w:right w:val="single" w:sz="4" w:space="0" w:color="auto"/>
            </w:tcBorders>
            <w:noWrap/>
          </w:tcPr>
          <w:p w14:paraId="29B2F4B0" w14:textId="3270F27D" w:rsidR="00EC765D" w:rsidRPr="0068749D" w:rsidRDefault="00EC765D" w:rsidP="00F331CF">
            <w:pPr>
              <w:pStyle w:val="TableText0"/>
              <w:jc w:val="right"/>
              <w:rPr>
                <w:sz w:val="20"/>
                <w:szCs w:val="20"/>
              </w:rPr>
            </w:pPr>
            <w:r w:rsidRPr="0068749D">
              <w:rPr>
                <w:color w:val="000000"/>
                <w:sz w:val="20"/>
                <w:szCs w:val="20"/>
              </w:rPr>
              <w:t>–</w:t>
            </w:r>
            <w:r w:rsidR="002B55DF" w:rsidRPr="002B55DF">
              <w:rPr>
                <w:color w:val="000000"/>
                <w:sz w:val="20"/>
                <w:szCs w:val="20"/>
                <w:highlight w:val="black"/>
              </w:rPr>
              <w:t>@@</w:t>
            </w:r>
            <w:r w:rsidRPr="0068749D">
              <w:rPr>
                <w:color w:val="000000"/>
                <w:sz w:val="20"/>
                <w:szCs w:val="20"/>
              </w:rPr>
              <w:t>%</w:t>
            </w:r>
          </w:p>
        </w:tc>
      </w:tr>
      <w:tr w:rsidR="00EC765D" w:rsidRPr="0068749D" w14:paraId="5B2AD5AD" w14:textId="77777777" w:rsidTr="00F331CF">
        <w:trPr>
          <w:trHeight w:val="20"/>
        </w:trPr>
        <w:tc>
          <w:tcPr>
            <w:tcW w:w="5000" w:type="pct"/>
            <w:gridSpan w:val="5"/>
            <w:tcBorders>
              <w:top w:val="single" w:sz="4" w:space="0" w:color="auto"/>
              <w:left w:val="single" w:sz="4" w:space="0" w:color="auto"/>
              <w:bottom w:val="single" w:sz="4" w:space="0" w:color="auto"/>
              <w:right w:val="single" w:sz="4" w:space="0" w:color="auto"/>
            </w:tcBorders>
            <w:noWrap/>
          </w:tcPr>
          <w:p w14:paraId="30698548" w14:textId="77777777" w:rsidR="00EC765D" w:rsidRPr="00621549" w:rsidRDefault="00EC765D" w:rsidP="00F331CF">
            <w:pPr>
              <w:pStyle w:val="TableText0"/>
              <w:rPr>
                <w:color w:val="000000"/>
                <w:sz w:val="20"/>
                <w:szCs w:val="20"/>
              </w:rPr>
            </w:pPr>
            <w:r w:rsidRPr="00367355">
              <w:rPr>
                <w:b/>
                <w:bCs w:val="0"/>
                <w:iCs/>
                <w:sz w:val="20"/>
                <w:szCs w:val="20"/>
              </w:rPr>
              <w:t>ESC suggested multivariate sensitivity analys</w:t>
            </w:r>
            <w:r>
              <w:rPr>
                <w:b/>
                <w:bCs w:val="0"/>
                <w:iCs/>
                <w:sz w:val="20"/>
                <w:szCs w:val="20"/>
              </w:rPr>
              <w:t>e</w:t>
            </w:r>
            <w:r w:rsidRPr="00367355">
              <w:rPr>
                <w:b/>
                <w:bCs w:val="0"/>
                <w:iCs/>
                <w:sz w:val="20"/>
                <w:szCs w:val="20"/>
              </w:rPr>
              <w:t>s</w:t>
            </w:r>
          </w:p>
        </w:tc>
      </w:tr>
      <w:tr w:rsidR="00EC765D" w:rsidRPr="00367355" w14:paraId="7EAD6495" w14:textId="77777777" w:rsidTr="00F331CF">
        <w:trPr>
          <w:trHeight w:val="20"/>
        </w:trPr>
        <w:tc>
          <w:tcPr>
            <w:tcW w:w="2749" w:type="pct"/>
            <w:tcBorders>
              <w:top w:val="single" w:sz="4" w:space="0" w:color="auto"/>
              <w:left w:val="single" w:sz="4" w:space="0" w:color="auto"/>
              <w:right w:val="single" w:sz="4" w:space="0" w:color="auto"/>
            </w:tcBorders>
            <w:noWrap/>
          </w:tcPr>
          <w:p w14:paraId="1554225F" w14:textId="77777777" w:rsidR="00EC765D" w:rsidRPr="00367355" w:rsidRDefault="00EC765D" w:rsidP="00F331CF">
            <w:pPr>
              <w:pStyle w:val="TableText0"/>
              <w:rPr>
                <w:bCs w:val="0"/>
                <w:iCs/>
                <w:szCs w:val="20"/>
              </w:rPr>
            </w:pPr>
            <w:r w:rsidRPr="00367355">
              <w:rPr>
                <w:rFonts w:cs="Times New Roman"/>
                <w:bCs w:val="0"/>
                <w:iCs/>
                <w:sz w:val="20"/>
                <w:szCs w:val="20"/>
                <w:lang w:eastAsia="en-AU"/>
              </w:rPr>
              <w:t>#1 and #2,</w:t>
            </w:r>
            <w:r w:rsidRPr="00367355">
              <w:rPr>
                <w:rFonts w:cs="Times New Roman"/>
                <w:iCs/>
                <w:sz w:val="20"/>
                <w:szCs w:val="20"/>
              </w:rPr>
              <w:t xml:space="preserve"> and includes the evaluator’s respecified base case</w:t>
            </w:r>
            <w:r w:rsidRPr="00367355">
              <w:rPr>
                <w:iCs/>
                <w:vertAlign w:val="superscript"/>
              </w:rPr>
              <w:t xml:space="preserve"> a</w:t>
            </w:r>
            <w:r w:rsidRPr="00367355">
              <w:rPr>
                <w:rFonts w:cs="Times New Roman"/>
                <w:iCs/>
                <w:sz w:val="20"/>
                <w:szCs w:val="20"/>
              </w:rPr>
              <w:t xml:space="preserve"> </w:t>
            </w:r>
          </w:p>
        </w:tc>
        <w:tc>
          <w:tcPr>
            <w:tcW w:w="707" w:type="pct"/>
            <w:tcBorders>
              <w:top w:val="single" w:sz="4" w:space="0" w:color="auto"/>
              <w:left w:val="single" w:sz="4" w:space="0" w:color="auto"/>
              <w:right w:val="single" w:sz="4" w:space="0" w:color="auto"/>
            </w:tcBorders>
            <w:noWrap/>
          </w:tcPr>
          <w:p w14:paraId="57B745CA" w14:textId="25BB175F" w:rsidR="00EC765D" w:rsidRPr="00367355" w:rsidRDefault="00EC765D" w:rsidP="00F331CF">
            <w:pPr>
              <w:pStyle w:val="TableText0"/>
              <w:jc w:val="right"/>
              <w:rPr>
                <w:szCs w:val="20"/>
              </w:rPr>
            </w:pPr>
            <w:r w:rsidRPr="00367355">
              <w:rPr>
                <w:rFonts w:cs="Times New Roman"/>
                <w:iCs/>
                <w:sz w:val="20"/>
                <w:lang w:eastAsia="en-AU"/>
              </w:rPr>
              <w:t>$</w:t>
            </w:r>
            <w:r w:rsidR="00C50FE9" w:rsidRPr="005E728D">
              <w:rPr>
                <w:color w:val="000000"/>
                <w:sz w:val="20"/>
                <w:szCs w:val="20"/>
                <w:highlight w:val="black"/>
              </w:rPr>
              <w:t>&amp;&amp;&amp;&amp;</w:t>
            </w:r>
          </w:p>
        </w:tc>
        <w:tc>
          <w:tcPr>
            <w:tcW w:w="555" w:type="pct"/>
            <w:tcBorders>
              <w:top w:val="single" w:sz="4" w:space="0" w:color="auto"/>
              <w:left w:val="single" w:sz="4" w:space="0" w:color="auto"/>
              <w:right w:val="single" w:sz="4" w:space="0" w:color="auto"/>
            </w:tcBorders>
            <w:noWrap/>
          </w:tcPr>
          <w:p w14:paraId="2CFD47D3" w14:textId="77777777" w:rsidR="00EC765D" w:rsidRPr="00367355" w:rsidRDefault="00EC765D" w:rsidP="00F331CF">
            <w:pPr>
              <w:pStyle w:val="TableText0"/>
              <w:jc w:val="right"/>
              <w:rPr>
                <w:szCs w:val="20"/>
              </w:rPr>
            </w:pPr>
            <w:r w:rsidRPr="00367355">
              <w:rPr>
                <w:rFonts w:cs="Times New Roman"/>
                <w:iCs/>
                <w:sz w:val="20"/>
                <w:lang w:eastAsia="en-AU"/>
              </w:rPr>
              <w:t>0.4606</w:t>
            </w:r>
          </w:p>
        </w:tc>
        <w:tc>
          <w:tcPr>
            <w:tcW w:w="546" w:type="pct"/>
            <w:tcBorders>
              <w:top w:val="single" w:sz="4" w:space="0" w:color="auto"/>
              <w:left w:val="single" w:sz="4" w:space="0" w:color="auto"/>
              <w:right w:val="single" w:sz="4" w:space="0" w:color="auto"/>
            </w:tcBorders>
            <w:noWrap/>
          </w:tcPr>
          <w:p w14:paraId="0BB943A5" w14:textId="4A1DFACA" w:rsidR="00EC765D" w:rsidRPr="002B55DF" w:rsidRDefault="00EC765D" w:rsidP="00F331CF">
            <w:pPr>
              <w:pStyle w:val="TableText0"/>
              <w:jc w:val="right"/>
              <w:rPr>
                <w:szCs w:val="20"/>
                <w:vertAlign w:val="superscript"/>
              </w:rPr>
            </w:pPr>
            <w:r w:rsidRPr="00367355">
              <w:rPr>
                <w:rFonts w:cs="Times New Roman"/>
                <w:iCs/>
                <w:sz w:val="20"/>
                <w:lang w:eastAsia="en-AU"/>
              </w:rPr>
              <w:t>$</w:t>
            </w:r>
            <w:r w:rsidR="002B55DF" w:rsidRPr="002B55DF">
              <w:rPr>
                <w:rFonts w:cs="Times New Roman"/>
                <w:iCs/>
                <w:sz w:val="20"/>
                <w:highlight w:val="black"/>
                <w:lang w:eastAsia="en-AU"/>
              </w:rPr>
              <w:t>@@@</w:t>
            </w:r>
            <w:r w:rsidR="002B55DF">
              <w:rPr>
                <w:rFonts w:cs="Times New Roman"/>
                <w:iCs/>
                <w:sz w:val="20"/>
                <w:vertAlign w:val="superscript"/>
                <w:lang w:eastAsia="en-AU"/>
              </w:rPr>
              <w:t>4</w:t>
            </w:r>
          </w:p>
        </w:tc>
        <w:tc>
          <w:tcPr>
            <w:tcW w:w="443" w:type="pct"/>
            <w:tcBorders>
              <w:top w:val="single" w:sz="4" w:space="0" w:color="auto"/>
              <w:left w:val="single" w:sz="4" w:space="0" w:color="auto"/>
              <w:right w:val="single" w:sz="4" w:space="0" w:color="auto"/>
            </w:tcBorders>
            <w:noWrap/>
          </w:tcPr>
          <w:p w14:paraId="5D64CA2F" w14:textId="319F2F5A" w:rsidR="00EC765D" w:rsidRPr="00367355" w:rsidRDefault="002B55DF" w:rsidP="00F331CF">
            <w:pPr>
              <w:pStyle w:val="TableText0"/>
              <w:jc w:val="right"/>
              <w:rPr>
                <w:szCs w:val="20"/>
              </w:rPr>
            </w:pPr>
            <w:r w:rsidRPr="002B55DF">
              <w:rPr>
                <w:rFonts w:cs="Times New Roman"/>
                <w:iCs/>
                <w:sz w:val="20"/>
                <w:highlight w:val="black"/>
                <w:lang w:eastAsia="en-AU"/>
              </w:rPr>
              <w:t>@@</w:t>
            </w:r>
            <w:r w:rsidR="00EC765D" w:rsidRPr="00367355">
              <w:rPr>
                <w:rFonts w:cs="Times New Roman"/>
                <w:iCs/>
                <w:sz w:val="20"/>
                <w:lang w:eastAsia="en-AU"/>
              </w:rPr>
              <w:t>%</w:t>
            </w:r>
          </w:p>
        </w:tc>
      </w:tr>
      <w:tr w:rsidR="00EC765D" w:rsidRPr="00367355" w14:paraId="011CF8D8" w14:textId="77777777" w:rsidTr="00F331CF">
        <w:trPr>
          <w:trHeight w:val="20"/>
        </w:trPr>
        <w:tc>
          <w:tcPr>
            <w:tcW w:w="2749" w:type="pct"/>
            <w:tcBorders>
              <w:left w:val="single" w:sz="4" w:space="0" w:color="auto"/>
              <w:bottom w:val="single" w:sz="4" w:space="0" w:color="auto"/>
              <w:right w:val="single" w:sz="4" w:space="0" w:color="auto"/>
            </w:tcBorders>
            <w:noWrap/>
          </w:tcPr>
          <w:p w14:paraId="5CF89D77" w14:textId="77777777" w:rsidR="00EC765D" w:rsidRPr="00367355" w:rsidRDefault="00EC765D" w:rsidP="00F331CF">
            <w:pPr>
              <w:pStyle w:val="TableText0"/>
              <w:rPr>
                <w:bCs w:val="0"/>
                <w:iCs/>
                <w:szCs w:val="20"/>
              </w:rPr>
            </w:pPr>
            <w:r w:rsidRPr="00367355">
              <w:rPr>
                <w:rFonts w:cs="Times New Roman"/>
                <w:bCs w:val="0"/>
                <w:iCs/>
                <w:sz w:val="20"/>
                <w:szCs w:val="20"/>
                <w:lang w:eastAsia="en-AU"/>
              </w:rPr>
              <w:t>#1 and #2, and removes the cure assumption and reverts to the parametric functions used in the submission’s base case.</w:t>
            </w:r>
          </w:p>
        </w:tc>
        <w:tc>
          <w:tcPr>
            <w:tcW w:w="707" w:type="pct"/>
            <w:tcBorders>
              <w:left w:val="single" w:sz="4" w:space="0" w:color="auto"/>
              <w:bottom w:val="single" w:sz="4" w:space="0" w:color="auto"/>
              <w:right w:val="single" w:sz="4" w:space="0" w:color="auto"/>
            </w:tcBorders>
            <w:noWrap/>
          </w:tcPr>
          <w:p w14:paraId="48BDC974" w14:textId="77777777" w:rsidR="00EC765D" w:rsidRPr="00367355" w:rsidRDefault="00EC765D" w:rsidP="00F331CF">
            <w:pPr>
              <w:pStyle w:val="TableText0"/>
              <w:jc w:val="right"/>
              <w:rPr>
                <w:rFonts w:cs="Times New Roman"/>
                <w:iCs/>
                <w:sz w:val="20"/>
                <w:lang w:eastAsia="en-AU"/>
              </w:rPr>
            </w:pPr>
          </w:p>
          <w:p w14:paraId="33E63E35" w14:textId="458F3699" w:rsidR="00EC765D" w:rsidRPr="00367355" w:rsidRDefault="00EC765D" w:rsidP="00F331CF">
            <w:pPr>
              <w:pStyle w:val="TableText0"/>
              <w:jc w:val="right"/>
              <w:rPr>
                <w:szCs w:val="20"/>
              </w:rPr>
            </w:pPr>
            <w:r w:rsidRPr="00367355">
              <w:rPr>
                <w:rFonts w:cs="Times New Roman"/>
                <w:iCs/>
                <w:sz w:val="20"/>
                <w:lang w:eastAsia="en-AU"/>
              </w:rPr>
              <w:t>$</w:t>
            </w:r>
            <w:r w:rsidR="00C50FE9" w:rsidRPr="005E728D">
              <w:rPr>
                <w:color w:val="000000"/>
                <w:sz w:val="20"/>
                <w:szCs w:val="20"/>
                <w:highlight w:val="black"/>
              </w:rPr>
              <w:t>&amp;&amp;&amp;&amp;</w:t>
            </w:r>
          </w:p>
        </w:tc>
        <w:tc>
          <w:tcPr>
            <w:tcW w:w="555" w:type="pct"/>
            <w:tcBorders>
              <w:left w:val="single" w:sz="4" w:space="0" w:color="auto"/>
              <w:bottom w:val="single" w:sz="4" w:space="0" w:color="auto"/>
              <w:right w:val="single" w:sz="4" w:space="0" w:color="auto"/>
            </w:tcBorders>
            <w:noWrap/>
          </w:tcPr>
          <w:p w14:paraId="22ED53A5" w14:textId="77777777" w:rsidR="00EC765D" w:rsidRPr="00367355" w:rsidRDefault="00EC765D" w:rsidP="00F331CF">
            <w:pPr>
              <w:pStyle w:val="TableText0"/>
              <w:jc w:val="right"/>
              <w:rPr>
                <w:rFonts w:cs="Times New Roman"/>
                <w:iCs/>
                <w:sz w:val="20"/>
                <w:lang w:eastAsia="en-AU"/>
              </w:rPr>
            </w:pPr>
          </w:p>
          <w:p w14:paraId="05AE92FF" w14:textId="77777777" w:rsidR="00EC765D" w:rsidRPr="00367355" w:rsidRDefault="00EC765D" w:rsidP="00F331CF">
            <w:pPr>
              <w:pStyle w:val="TableText0"/>
              <w:jc w:val="right"/>
              <w:rPr>
                <w:szCs w:val="20"/>
              </w:rPr>
            </w:pPr>
            <w:r w:rsidRPr="00367355">
              <w:rPr>
                <w:rFonts w:cs="Times New Roman"/>
                <w:iCs/>
                <w:sz w:val="20"/>
                <w:lang w:eastAsia="en-AU"/>
              </w:rPr>
              <w:t>0.4976</w:t>
            </w:r>
          </w:p>
        </w:tc>
        <w:tc>
          <w:tcPr>
            <w:tcW w:w="546" w:type="pct"/>
            <w:tcBorders>
              <w:left w:val="single" w:sz="4" w:space="0" w:color="auto"/>
              <w:bottom w:val="single" w:sz="4" w:space="0" w:color="auto"/>
              <w:right w:val="single" w:sz="4" w:space="0" w:color="auto"/>
            </w:tcBorders>
            <w:noWrap/>
          </w:tcPr>
          <w:p w14:paraId="154A0101" w14:textId="77777777" w:rsidR="00EC765D" w:rsidRPr="00367355" w:rsidRDefault="00EC765D" w:rsidP="00F331CF">
            <w:pPr>
              <w:pStyle w:val="TableText0"/>
              <w:jc w:val="right"/>
              <w:rPr>
                <w:rFonts w:cs="Times New Roman"/>
                <w:iCs/>
                <w:sz w:val="20"/>
                <w:lang w:eastAsia="en-AU"/>
              </w:rPr>
            </w:pPr>
          </w:p>
          <w:p w14:paraId="531537F6" w14:textId="2A1E7B12" w:rsidR="00EC765D" w:rsidRPr="002B55DF" w:rsidRDefault="00EC765D" w:rsidP="00F331CF">
            <w:pPr>
              <w:pStyle w:val="TableText0"/>
              <w:jc w:val="right"/>
              <w:rPr>
                <w:szCs w:val="20"/>
                <w:vertAlign w:val="superscript"/>
              </w:rPr>
            </w:pPr>
            <w:r w:rsidRPr="00367355">
              <w:rPr>
                <w:rFonts w:cs="Times New Roman"/>
                <w:iCs/>
                <w:sz w:val="20"/>
                <w:lang w:eastAsia="en-AU"/>
              </w:rPr>
              <w:t>$</w:t>
            </w:r>
            <w:r w:rsidR="002B55DF" w:rsidRPr="002B55DF">
              <w:rPr>
                <w:rFonts w:cs="Times New Roman"/>
                <w:iCs/>
                <w:sz w:val="20"/>
                <w:highlight w:val="black"/>
                <w:lang w:eastAsia="en-AU"/>
              </w:rPr>
              <w:t>@@@</w:t>
            </w:r>
            <w:r w:rsidR="002B55DF">
              <w:rPr>
                <w:rFonts w:cs="Times New Roman"/>
                <w:iCs/>
                <w:sz w:val="20"/>
                <w:vertAlign w:val="superscript"/>
                <w:lang w:eastAsia="en-AU"/>
              </w:rPr>
              <w:t>4</w:t>
            </w:r>
          </w:p>
        </w:tc>
        <w:tc>
          <w:tcPr>
            <w:tcW w:w="443" w:type="pct"/>
            <w:tcBorders>
              <w:left w:val="single" w:sz="4" w:space="0" w:color="auto"/>
              <w:bottom w:val="single" w:sz="4" w:space="0" w:color="auto"/>
              <w:right w:val="single" w:sz="4" w:space="0" w:color="auto"/>
            </w:tcBorders>
            <w:noWrap/>
          </w:tcPr>
          <w:p w14:paraId="7010C5D6" w14:textId="77777777" w:rsidR="00EC765D" w:rsidRPr="00367355" w:rsidRDefault="00EC765D" w:rsidP="00F331CF">
            <w:pPr>
              <w:pStyle w:val="TableText0"/>
              <w:jc w:val="right"/>
              <w:rPr>
                <w:rFonts w:cs="Times New Roman"/>
                <w:iCs/>
                <w:sz w:val="20"/>
                <w:lang w:eastAsia="en-AU"/>
              </w:rPr>
            </w:pPr>
          </w:p>
          <w:p w14:paraId="4E828B0B" w14:textId="76300DC9" w:rsidR="00EC765D" w:rsidRPr="00367355" w:rsidRDefault="002B55DF" w:rsidP="00F331CF">
            <w:pPr>
              <w:pStyle w:val="TableText0"/>
              <w:jc w:val="right"/>
              <w:rPr>
                <w:szCs w:val="20"/>
              </w:rPr>
            </w:pPr>
            <w:r w:rsidRPr="002B55DF">
              <w:rPr>
                <w:rFonts w:cs="Times New Roman"/>
                <w:iCs/>
                <w:sz w:val="20"/>
                <w:highlight w:val="black"/>
                <w:lang w:eastAsia="en-AU"/>
              </w:rPr>
              <w:t>@@</w:t>
            </w:r>
            <w:r w:rsidR="00EC765D" w:rsidRPr="00367355">
              <w:rPr>
                <w:rFonts w:cs="Times New Roman"/>
                <w:iCs/>
                <w:sz w:val="20"/>
                <w:lang w:eastAsia="en-AU"/>
              </w:rPr>
              <w:t>%</w:t>
            </w:r>
          </w:p>
        </w:tc>
      </w:tr>
    </w:tbl>
    <w:p w14:paraId="4F8333C2" w14:textId="77777777" w:rsidR="00EC765D" w:rsidRDefault="00EC765D" w:rsidP="00EC765D">
      <w:pPr>
        <w:pStyle w:val="TableFigureFooter"/>
        <w:keepNext/>
      </w:pPr>
      <w:r>
        <w:t>Source: constructed during the evaluation using respecified base case and Attachment 3.1 ‘TreeAgeModel_Jul25.trex’ provided with the submission.</w:t>
      </w:r>
    </w:p>
    <w:p w14:paraId="776589A4" w14:textId="77777777" w:rsidR="00EC765D" w:rsidRDefault="00EC765D" w:rsidP="00EC765D">
      <w:pPr>
        <w:pStyle w:val="TableFigureFooter"/>
        <w:keepNext/>
      </w:pPr>
      <w:r>
        <w:t>CI = Confidence interval; DR = Distant recurrence; GC = Gemcitabine plus cisplatin; HR = Hazard ratio; ICER = incremental cost-effectiveness ratio; KM = Kaplan-Meier; OS = Overall survival; QALY = Quality-adjusted life year; SoC = Standard of care; SPA = Special pricing arrangement.</w:t>
      </w:r>
    </w:p>
    <w:p w14:paraId="0D5E6107" w14:textId="77777777" w:rsidR="00EC765D" w:rsidRDefault="00EC765D" w:rsidP="00EC765D">
      <w:pPr>
        <w:pStyle w:val="TableFigureFooter"/>
        <w:keepNext/>
      </w:pPr>
      <w:r w:rsidRPr="009B593E">
        <w:rPr>
          <w:vertAlign w:val="superscript"/>
        </w:rPr>
        <w:t>a</w:t>
      </w:r>
      <w:r>
        <w:t xml:space="preserve"> Respecified base case included Weibull parametric functions for extrapolating all EFs curves and had the cure function, that was incorrectly applied in the submission’s base case to the second cycle of recurrence, switched off in the locoregional and distant recurrence health sates.</w:t>
      </w:r>
    </w:p>
    <w:p w14:paraId="78BCF42D" w14:textId="7E6F1181" w:rsidR="00EC765D" w:rsidRDefault="00EC765D" w:rsidP="00EC765D">
      <w:pPr>
        <w:pStyle w:val="TableFigureFooter"/>
        <w:keepNext/>
      </w:pPr>
      <w:r>
        <w:rPr>
          <w:color w:val="000000"/>
          <w:szCs w:val="20"/>
          <w:vertAlign w:val="superscript"/>
        </w:rPr>
        <w:t xml:space="preserve">b </w:t>
      </w:r>
      <w:r>
        <w:t xml:space="preserve">Uses the published prices of nivolumab and avelumab with a hypothetical </w:t>
      </w:r>
      <w:r w:rsidR="002B55DF" w:rsidRPr="002B55DF">
        <w:rPr>
          <w:highlight w:val="black"/>
        </w:rPr>
        <w:t>@@@@</w:t>
      </w:r>
      <w:r>
        <w:t>% discount</w:t>
      </w:r>
    </w:p>
    <w:p w14:paraId="03F049C1" w14:textId="77777777" w:rsidR="00EC765D" w:rsidRDefault="00EC765D" w:rsidP="00EC765D">
      <w:pPr>
        <w:pStyle w:val="TableFigureFooter"/>
        <w:keepNext/>
        <w:rPr>
          <w:rStyle w:val="CommentReference"/>
          <w:b w:val="0"/>
          <w:sz w:val="18"/>
          <w:szCs w:val="22"/>
        </w:rPr>
      </w:pPr>
      <w:r>
        <w:rPr>
          <w:rStyle w:val="CommentReference"/>
          <w:b w:val="0"/>
          <w:sz w:val="18"/>
          <w:szCs w:val="22"/>
          <w:vertAlign w:val="superscript"/>
        </w:rPr>
        <w:t>c</w:t>
      </w:r>
      <w:r>
        <w:rPr>
          <w:rStyle w:val="CommentReference"/>
          <w:b w:val="0"/>
          <w:sz w:val="18"/>
          <w:szCs w:val="22"/>
        </w:rPr>
        <w:t xml:space="preserve"> Considering </w:t>
      </w:r>
      <w:r w:rsidRPr="0061726C">
        <w:rPr>
          <w:rStyle w:val="CommentReference"/>
          <w:b w:val="0"/>
          <w:sz w:val="18"/>
          <w:szCs w:val="22"/>
        </w:rPr>
        <w:t>the addition of durvalumab results in tumour suppression, an event that otherwise may have occurred close to 5 years may be time-shifted to beyond 5 years</w:t>
      </w:r>
      <w:r>
        <w:rPr>
          <w:rStyle w:val="CommentReference"/>
          <w:b w:val="0"/>
          <w:sz w:val="18"/>
          <w:szCs w:val="22"/>
        </w:rPr>
        <w:t>.</w:t>
      </w:r>
      <w:r w:rsidRPr="0061726C">
        <w:rPr>
          <w:rStyle w:val="CommentReference"/>
          <w:b w:val="0"/>
          <w:sz w:val="18"/>
          <w:szCs w:val="22"/>
        </w:rPr>
        <w:t xml:space="preserve"> </w:t>
      </w:r>
      <w:r>
        <w:rPr>
          <w:rStyle w:val="CommentReference"/>
          <w:b w:val="0"/>
          <w:sz w:val="18"/>
          <w:szCs w:val="22"/>
        </w:rPr>
        <w:t>Sensitivity analysis assumes that cure is delayed by 6 months in the durvalumab + GC arm to capture delayed recurrences. Therefore, all patients who are event free after 5 years and 5.5 years are assumed to be cured for SoC and durvalumab + GC treatment arm, respectively.</w:t>
      </w:r>
    </w:p>
    <w:p w14:paraId="72E1B904" w14:textId="77777777" w:rsidR="00D21A98" w:rsidRPr="00D21A98" w:rsidRDefault="00D21A98" w:rsidP="00D21A98">
      <w:pPr>
        <w:pStyle w:val="TableFigureFooter"/>
        <w:rPr>
          <w:i/>
          <w:iCs/>
        </w:rPr>
      </w:pPr>
      <w:r w:rsidRPr="00D21A98">
        <w:rPr>
          <w:i/>
          <w:iCs/>
        </w:rPr>
        <w:t>The redacted values correspond to the following ranges:</w:t>
      </w:r>
    </w:p>
    <w:p w14:paraId="5883D1E0" w14:textId="77777777" w:rsidR="00D21A98" w:rsidRPr="00D21A98" w:rsidRDefault="00D21A98" w:rsidP="00D21A98">
      <w:pPr>
        <w:pStyle w:val="TableFigureFooter"/>
        <w:rPr>
          <w:i/>
          <w:iCs/>
        </w:rPr>
      </w:pPr>
      <w:r w:rsidRPr="00D21A98">
        <w:rPr>
          <w:i/>
          <w:iCs/>
          <w:vertAlign w:val="superscript"/>
        </w:rPr>
        <w:t>1</w:t>
      </w:r>
      <w:r w:rsidRPr="00D21A98">
        <w:rPr>
          <w:i/>
          <w:iCs/>
        </w:rPr>
        <w:t xml:space="preserve"> $35,000 to &lt; $45,000</w:t>
      </w:r>
    </w:p>
    <w:p w14:paraId="54176F4B" w14:textId="77777777" w:rsidR="00D21A98" w:rsidRPr="00D21A98" w:rsidRDefault="00D21A98" w:rsidP="00D21A98">
      <w:pPr>
        <w:pStyle w:val="TableFigureFooter"/>
        <w:rPr>
          <w:i/>
          <w:iCs/>
        </w:rPr>
      </w:pPr>
      <w:r w:rsidRPr="00D21A98">
        <w:rPr>
          <w:i/>
          <w:iCs/>
          <w:vertAlign w:val="superscript"/>
        </w:rPr>
        <w:t>2</w:t>
      </w:r>
      <w:r w:rsidRPr="00D21A98">
        <w:rPr>
          <w:i/>
          <w:iCs/>
        </w:rPr>
        <w:t xml:space="preserve"> $15,000 to &lt; $25,000</w:t>
      </w:r>
    </w:p>
    <w:p w14:paraId="22155FD2" w14:textId="77777777" w:rsidR="00D21A98" w:rsidRPr="00D21A98" w:rsidRDefault="00D21A98" w:rsidP="00D21A98">
      <w:pPr>
        <w:pStyle w:val="TableFigureFooter"/>
        <w:rPr>
          <w:i/>
          <w:iCs/>
        </w:rPr>
      </w:pPr>
      <w:r w:rsidRPr="00D21A98">
        <w:rPr>
          <w:i/>
          <w:iCs/>
          <w:vertAlign w:val="superscript"/>
        </w:rPr>
        <w:t>3</w:t>
      </w:r>
      <w:r w:rsidRPr="00D21A98">
        <w:rPr>
          <w:i/>
          <w:iCs/>
        </w:rPr>
        <w:t xml:space="preserve"> $25,000 to &lt; $35,000</w:t>
      </w:r>
    </w:p>
    <w:p w14:paraId="2909D162" w14:textId="77777777" w:rsidR="00D21A98" w:rsidRPr="00D21A98" w:rsidRDefault="00D21A98" w:rsidP="00D21A98">
      <w:pPr>
        <w:pStyle w:val="TableFigureFooter"/>
        <w:rPr>
          <w:i/>
          <w:iCs/>
        </w:rPr>
      </w:pPr>
      <w:r w:rsidRPr="00D21A98">
        <w:rPr>
          <w:i/>
          <w:iCs/>
          <w:vertAlign w:val="superscript"/>
        </w:rPr>
        <w:t>4</w:t>
      </w:r>
      <w:r w:rsidRPr="00D21A98">
        <w:rPr>
          <w:i/>
          <w:iCs/>
        </w:rPr>
        <w:t xml:space="preserve"> $45,000 to &lt; $55,000</w:t>
      </w:r>
    </w:p>
    <w:p w14:paraId="45B95AEB" w14:textId="77777777" w:rsidR="00D21A98" w:rsidRDefault="00D21A98" w:rsidP="00EC765D">
      <w:pPr>
        <w:pStyle w:val="TableFigureFooter"/>
        <w:keepNext/>
        <w:rPr>
          <w:rStyle w:val="CommentReference"/>
          <w:b w:val="0"/>
          <w:sz w:val="18"/>
          <w:szCs w:val="22"/>
        </w:rPr>
      </w:pPr>
    </w:p>
    <w:p w14:paraId="3556EF33" w14:textId="77777777" w:rsidR="00EC765D" w:rsidRPr="00DF1914" w:rsidRDefault="00EC765D" w:rsidP="00EC765D">
      <w:pPr>
        <w:pStyle w:val="3-BodyText"/>
        <w:widowControl w:val="0"/>
        <w:numPr>
          <w:ilvl w:val="0"/>
          <w:numId w:val="0"/>
        </w:numPr>
      </w:pPr>
    </w:p>
    <w:p w14:paraId="71B06EEC" w14:textId="128635AA" w:rsidR="00BA3B0E" w:rsidRPr="009F4EE4" w:rsidRDefault="0037629E" w:rsidP="009F4EE4">
      <w:pPr>
        <w:pStyle w:val="3-BodyText"/>
        <w:rPr>
          <w:rFonts w:cstheme="minorHAnsi"/>
          <w:iCs/>
          <w:lang w:val="en"/>
        </w:rPr>
      </w:pPr>
      <w:bookmarkStart w:id="102" w:name="_Ref211694112"/>
      <w:bookmarkEnd w:id="100"/>
      <w:r w:rsidRPr="00367355">
        <w:rPr>
          <w:rFonts w:cstheme="minorHAnsi"/>
          <w:iCs/>
          <w:szCs w:val="24"/>
        </w:rPr>
        <w:t xml:space="preserve">The ESC </w:t>
      </w:r>
      <w:r w:rsidR="0061073C" w:rsidRPr="00367355">
        <w:rPr>
          <w:rFonts w:cstheme="minorHAnsi"/>
          <w:iCs/>
          <w:szCs w:val="24"/>
        </w:rPr>
        <w:t xml:space="preserve">considered the </w:t>
      </w:r>
      <w:r w:rsidR="00DF73A0" w:rsidRPr="00367355">
        <w:rPr>
          <w:rFonts w:cstheme="minorHAnsi"/>
          <w:iCs/>
          <w:szCs w:val="24"/>
        </w:rPr>
        <w:t>core-structure of the model was appropriate</w:t>
      </w:r>
      <w:r w:rsidR="00550331" w:rsidRPr="00367355">
        <w:rPr>
          <w:rFonts w:cstheme="minorHAnsi"/>
          <w:iCs/>
          <w:szCs w:val="24"/>
        </w:rPr>
        <w:t xml:space="preserve"> and consistent with previous </w:t>
      </w:r>
      <w:r w:rsidR="0013656F" w:rsidRPr="00367355">
        <w:rPr>
          <w:rFonts w:cstheme="minorHAnsi"/>
          <w:iCs/>
          <w:szCs w:val="24"/>
        </w:rPr>
        <w:t>recommendations in this setting (paragraph 7.8, nivolumab PSD, July 2022).</w:t>
      </w:r>
      <w:r w:rsidR="0013656F" w:rsidRPr="00367355">
        <w:t xml:space="preserve"> However,</w:t>
      </w:r>
      <w:r w:rsidR="00112C26" w:rsidRPr="00367355">
        <w:t xml:space="preserve"> the ESC</w:t>
      </w:r>
      <w:r w:rsidR="0013656F" w:rsidRPr="00367355">
        <w:t xml:space="preserve"> considered that </w:t>
      </w:r>
      <w:r w:rsidR="0013656F" w:rsidRPr="00367355">
        <w:rPr>
          <w:iCs/>
        </w:rPr>
        <w:t xml:space="preserve">the </w:t>
      </w:r>
      <w:r w:rsidR="00026198" w:rsidRPr="00367355">
        <w:t xml:space="preserve">model </w:t>
      </w:r>
      <w:r w:rsidR="0013656F" w:rsidRPr="00367355">
        <w:rPr>
          <w:iCs/>
        </w:rPr>
        <w:t>stratifications</w:t>
      </w:r>
      <w:r w:rsidR="001246BC" w:rsidRPr="00367355">
        <w:rPr>
          <w:iCs/>
        </w:rPr>
        <w:t xml:space="preserve">, </w:t>
      </w:r>
      <w:r w:rsidR="00C127C7" w:rsidRPr="00367355">
        <w:rPr>
          <w:iCs/>
        </w:rPr>
        <w:t>primarily</w:t>
      </w:r>
      <w:r w:rsidR="001246BC" w:rsidRPr="00367355">
        <w:rPr>
          <w:iCs/>
        </w:rPr>
        <w:t xml:space="preserve"> for </w:t>
      </w:r>
      <w:r w:rsidR="00847091">
        <w:rPr>
          <w:iCs/>
        </w:rPr>
        <w:t>RC</w:t>
      </w:r>
      <w:r w:rsidR="00847091" w:rsidRPr="00367355">
        <w:rPr>
          <w:iCs/>
        </w:rPr>
        <w:t xml:space="preserve"> </w:t>
      </w:r>
      <w:r w:rsidR="00242AB6" w:rsidRPr="00367355">
        <w:rPr>
          <w:iCs/>
        </w:rPr>
        <w:t>vs non-</w:t>
      </w:r>
      <w:r w:rsidR="00847091">
        <w:rPr>
          <w:iCs/>
        </w:rPr>
        <w:t>RC</w:t>
      </w:r>
      <w:r w:rsidR="00847091" w:rsidRPr="00367355">
        <w:rPr>
          <w:iCs/>
        </w:rPr>
        <w:t xml:space="preserve"> </w:t>
      </w:r>
      <w:r w:rsidR="00591AB1" w:rsidRPr="00367355">
        <w:rPr>
          <w:iCs/>
        </w:rPr>
        <w:t>subpopulations</w:t>
      </w:r>
      <w:r w:rsidR="00242AB6" w:rsidRPr="00367355">
        <w:rPr>
          <w:iCs/>
        </w:rPr>
        <w:t xml:space="preserve">, </w:t>
      </w:r>
      <w:r w:rsidR="0066654A" w:rsidRPr="00367355">
        <w:rPr>
          <w:rStyle w:val="CommentReference"/>
          <w:rFonts w:asciiTheme="minorHAnsi" w:hAnsiTheme="minorHAnsi" w:cstheme="minorHAnsi"/>
          <w:b w:val="0"/>
          <w:iCs/>
          <w:sz w:val="24"/>
          <w:szCs w:val="24"/>
        </w:rPr>
        <w:t xml:space="preserve">likely </w:t>
      </w:r>
      <w:r w:rsidR="0013656F" w:rsidRPr="00367355">
        <w:rPr>
          <w:rStyle w:val="CommentReference"/>
          <w:rFonts w:asciiTheme="minorHAnsi" w:hAnsiTheme="minorHAnsi" w:cstheme="minorHAnsi"/>
          <w:b w:val="0"/>
          <w:iCs/>
          <w:sz w:val="24"/>
          <w:szCs w:val="24"/>
        </w:rPr>
        <w:t>led to unnecessary complexity</w:t>
      </w:r>
      <w:r w:rsidR="00F669E3" w:rsidRPr="00367355">
        <w:rPr>
          <w:rStyle w:val="CommentReference"/>
          <w:rFonts w:asciiTheme="minorHAnsi" w:hAnsiTheme="minorHAnsi" w:cstheme="minorHAnsi"/>
          <w:b w:val="0"/>
          <w:iCs/>
          <w:sz w:val="24"/>
          <w:szCs w:val="24"/>
        </w:rPr>
        <w:t xml:space="preserve">. </w:t>
      </w:r>
      <w:r w:rsidR="00E74129" w:rsidRPr="00367355">
        <w:rPr>
          <w:rStyle w:val="CommentReference"/>
          <w:rFonts w:asciiTheme="minorHAnsi" w:hAnsiTheme="minorHAnsi" w:cstheme="minorHAnsi"/>
          <w:b w:val="0"/>
          <w:iCs/>
          <w:sz w:val="24"/>
          <w:szCs w:val="24"/>
        </w:rPr>
        <w:t>The ESC considered that a</w:t>
      </w:r>
      <w:r w:rsidR="00F669E3" w:rsidRPr="00367355">
        <w:rPr>
          <w:rStyle w:val="CommentReference"/>
          <w:rFonts w:asciiTheme="minorHAnsi" w:hAnsiTheme="minorHAnsi" w:cstheme="minorHAnsi"/>
          <w:b w:val="0"/>
          <w:iCs/>
          <w:sz w:val="24"/>
          <w:szCs w:val="24"/>
        </w:rPr>
        <w:t xml:space="preserve"> key issue related to the economic model was the </w:t>
      </w:r>
      <w:r w:rsidR="00EB4685" w:rsidRPr="00367355">
        <w:t>underestimation of OS.</w:t>
      </w:r>
      <w:r w:rsidR="00F669E3" w:rsidRPr="00367355">
        <w:rPr>
          <w:rFonts w:cstheme="minorHAnsi"/>
          <w:iCs/>
          <w:szCs w:val="24"/>
        </w:rPr>
        <w:t xml:space="preserve"> </w:t>
      </w:r>
      <w:r w:rsidR="00B11A72" w:rsidRPr="00367355">
        <w:rPr>
          <w:rFonts w:cstheme="minorHAnsi"/>
          <w:iCs/>
          <w:szCs w:val="24"/>
        </w:rPr>
        <w:t>However, the</w:t>
      </w:r>
      <w:r w:rsidR="00F669E3" w:rsidRPr="00367355">
        <w:rPr>
          <w:rFonts w:cstheme="minorHAnsi"/>
          <w:iCs/>
          <w:szCs w:val="24"/>
        </w:rPr>
        <w:t xml:space="preserve"> </w:t>
      </w:r>
      <w:r w:rsidR="009232EF" w:rsidRPr="00367355">
        <w:rPr>
          <w:rFonts w:cstheme="minorHAnsi"/>
          <w:iCs/>
          <w:szCs w:val="24"/>
        </w:rPr>
        <w:t>ESC considered that</w:t>
      </w:r>
      <w:r w:rsidR="008041AA" w:rsidRPr="00367355">
        <w:rPr>
          <w:rFonts w:cstheme="minorHAnsi"/>
          <w:iCs/>
          <w:szCs w:val="24"/>
        </w:rPr>
        <w:t xml:space="preserve"> clinically plausible outcomes would </w:t>
      </w:r>
      <w:r w:rsidR="00B11A72" w:rsidRPr="00367355">
        <w:rPr>
          <w:rFonts w:cstheme="minorHAnsi"/>
          <w:iCs/>
          <w:szCs w:val="24"/>
        </w:rPr>
        <w:t xml:space="preserve">likely </w:t>
      </w:r>
      <w:r w:rsidR="008041AA" w:rsidRPr="00367355">
        <w:rPr>
          <w:rFonts w:cstheme="minorHAnsi"/>
          <w:iCs/>
          <w:szCs w:val="24"/>
        </w:rPr>
        <w:t xml:space="preserve">be </w:t>
      </w:r>
      <w:r w:rsidR="009D7880" w:rsidRPr="00367355">
        <w:rPr>
          <w:rFonts w:cstheme="minorHAnsi"/>
          <w:iCs/>
          <w:szCs w:val="24"/>
        </w:rPr>
        <w:t>reflected by</w:t>
      </w:r>
      <w:r w:rsidR="00884361" w:rsidRPr="00367355">
        <w:rPr>
          <w:rFonts w:cstheme="minorHAnsi"/>
          <w:iCs/>
          <w:szCs w:val="24"/>
        </w:rPr>
        <w:t xml:space="preserve"> </w:t>
      </w:r>
      <w:r w:rsidR="00F669E3" w:rsidRPr="00367355">
        <w:rPr>
          <w:rFonts w:cstheme="minorHAnsi"/>
          <w:iCs/>
          <w:szCs w:val="24"/>
        </w:rPr>
        <w:t>a</w:t>
      </w:r>
      <w:r w:rsidR="00884361" w:rsidRPr="00367355">
        <w:rPr>
          <w:rFonts w:cstheme="minorHAnsi"/>
          <w:iCs/>
          <w:szCs w:val="24"/>
        </w:rPr>
        <w:t xml:space="preserve"> revised base case</w:t>
      </w:r>
      <w:r w:rsidR="00AC6693" w:rsidRPr="00367355">
        <w:rPr>
          <w:rFonts w:cstheme="minorHAnsi"/>
          <w:iCs/>
          <w:szCs w:val="24"/>
        </w:rPr>
        <w:t xml:space="preserve"> </w:t>
      </w:r>
      <w:r w:rsidR="008041AA" w:rsidRPr="00367355">
        <w:rPr>
          <w:rFonts w:cstheme="minorHAnsi"/>
          <w:iCs/>
          <w:szCs w:val="24"/>
        </w:rPr>
        <w:t>using</w:t>
      </w:r>
      <w:r w:rsidR="009232EF" w:rsidRPr="00367355">
        <w:rPr>
          <w:rFonts w:cstheme="minorHAnsi"/>
          <w:iCs/>
          <w:szCs w:val="24"/>
        </w:rPr>
        <w:t xml:space="preserve"> OS calibration</w:t>
      </w:r>
      <w:r w:rsidR="00884361" w:rsidRPr="00367355">
        <w:rPr>
          <w:rFonts w:cstheme="minorHAnsi"/>
          <w:iCs/>
          <w:szCs w:val="24"/>
        </w:rPr>
        <w:t xml:space="preserve"> in combination with</w:t>
      </w:r>
      <w:r w:rsidR="009917DF" w:rsidRPr="00367355">
        <w:rPr>
          <w:rFonts w:cstheme="minorHAnsi"/>
          <w:iCs/>
          <w:szCs w:val="24"/>
        </w:rPr>
        <w:t xml:space="preserve"> a</w:t>
      </w:r>
      <w:r w:rsidR="00884361" w:rsidRPr="00367355">
        <w:rPr>
          <w:rFonts w:cstheme="minorHAnsi"/>
          <w:iCs/>
          <w:szCs w:val="24"/>
        </w:rPr>
        <w:t xml:space="preserve"> 15</w:t>
      </w:r>
      <w:r w:rsidR="009917DF" w:rsidRPr="00367355">
        <w:rPr>
          <w:rFonts w:cstheme="minorHAnsi"/>
          <w:iCs/>
          <w:szCs w:val="24"/>
        </w:rPr>
        <w:t>-</w:t>
      </w:r>
      <w:r w:rsidR="00884361" w:rsidRPr="00367355">
        <w:rPr>
          <w:rFonts w:cstheme="minorHAnsi"/>
          <w:iCs/>
          <w:szCs w:val="24"/>
        </w:rPr>
        <w:t>year time horizon</w:t>
      </w:r>
      <w:r w:rsidR="001778FB" w:rsidRPr="00367355">
        <w:rPr>
          <w:rFonts w:cstheme="minorHAnsi"/>
          <w:iCs/>
          <w:szCs w:val="24"/>
        </w:rPr>
        <w:t xml:space="preserve">. The ESC noted </w:t>
      </w:r>
      <w:r w:rsidR="00D13831" w:rsidRPr="00367355">
        <w:rPr>
          <w:rFonts w:cstheme="minorHAnsi"/>
          <w:iCs/>
          <w:szCs w:val="24"/>
        </w:rPr>
        <w:t xml:space="preserve">the submission had included </w:t>
      </w:r>
      <w:r w:rsidR="00200B45" w:rsidRPr="00367355">
        <w:rPr>
          <w:rFonts w:cstheme="minorHAnsi"/>
          <w:iCs/>
          <w:szCs w:val="24"/>
        </w:rPr>
        <w:t>the best-fitting parametric functions</w:t>
      </w:r>
      <w:r w:rsidR="00B11A72" w:rsidRPr="00367355">
        <w:rPr>
          <w:rFonts w:cstheme="minorHAnsi"/>
          <w:iCs/>
          <w:szCs w:val="24"/>
        </w:rPr>
        <w:t xml:space="preserve"> for EFS</w:t>
      </w:r>
      <w:r w:rsidR="00200B45" w:rsidRPr="00367355">
        <w:rPr>
          <w:rFonts w:cstheme="minorHAnsi"/>
          <w:iCs/>
          <w:szCs w:val="24"/>
        </w:rPr>
        <w:t xml:space="preserve">, however the evaluator considered that </w:t>
      </w:r>
      <w:r w:rsidR="00B11A72" w:rsidRPr="00367355">
        <w:rPr>
          <w:rFonts w:cstheme="minorHAnsi"/>
          <w:iCs/>
          <w:szCs w:val="24"/>
        </w:rPr>
        <w:t xml:space="preserve">the </w:t>
      </w:r>
      <w:r w:rsidR="00CD754B" w:rsidRPr="00367355">
        <w:rPr>
          <w:rFonts w:cstheme="minorHAnsi"/>
          <w:iCs/>
          <w:szCs w:val="24"/>
        </w:rPr>
        <w:t>Weibull parametric functio</w:t>
      </w:r>
      <w:r w:rsidR="006A4724" w:rsidRPr="00367355">
        <w:rPr>
          <w:rFonts w:cstheme="minorHAnsi"/>
          <w:iCs/>
          <w:szCs w:val="24"/>
        </w:rPr>
        <w:t xml:space="preserve">ns </w:t>
      </w:r>
      <w:r w:rsidR="002252F6" w:rsidRPr="00367355">
        <w:rPr>
          <w:rFonts w:cstheme="minorHAnsi"/>
          <w:iCs/>
          <w:szCs w:val="24"/>
        </w:rPr>
        <w:t xml:space="preserve">had more plausible long-term projections. </w:t>
      </w:r>
      <w:r w:rsidR="00772A80" w:rsidRPr="00367355">
        <w:rPr>
          <w:rFonts w:cstheme="minorHAnsi"/>
          <w:iCs/>
          <w:szCs w:val="24"/>
        </w:rPr>
        <w:t>The ESC considered that</w:t>
      </w:r>
      <w:r w:rsidR="0064477C" w:rsidRPr="00367355">
        <w:rPr>
          <w:rFonts w:cstheme="minorHAnsi"/>
          <w:iCs/>
          <w:szCs w:val="24"/>
        </w:rPr>
        <w:t xml:space="preserve"> </w:t>
      </w:r>
      <w:r w:rsidR="009427AF" w:rsidRPr="00367355">
        <w:rPr>
          <w:rFonts w:cstheme="minorHAnsi"/>
          <w:iCs/>
          <w:szCs w:val="24"/>
        </w:rPr>
        <w:t>the</w:t>
      </w:r>
      <w:r w:rsidR="0064477C" w:rsidRPr="00367355">
        <w:rPr>
          <w:rFonts w:cstheme="minorHAnsi"/>
          <w:iCs/>
          <w:szCs w:val="24"/>
        </w:rPr>
        <w:t xml:space="preserve"> </w:t>
      </w:r>
      <w:r w:rsidR="009E405B" w:rsidRPr="00367355">
        <w:rPr>
          <w:rFonts w:cstheme="minorHAnsi"/>
          <w:iCs/>
          <w:szCs w:val="24"/>
        </w:rPr>
        <w:t>multivariate analysis</w:t>
      </w:r>
      <w:r w:rsidR="009427AF" w:rsidRPr="00367355">
        <w:rPr>
          <w:rFonts w:cstheme="minorHAnsi"/>
          <w:iCs/>
          <w:szCs w:val="24"/>
        </w:rPr>
        <w:t>, including the evaluator’s respecified base case</w:t>
      </w:r>
      <w:r w:rsidR="009E405B" w:rsidRPr="00367355">
        <w:rPr>
          <w:rFonts w:cstheme="minorHAnsi"/>
          <w:iCs/>
          <w:szCs w:val="24"/>
        </w:rPr>
        <w:t>,</w:t>
      </w:r>
      <w:r w:rsidR="009427AF" w:rsidRPr="00367355">
        <w:rPr>
          <w:rFonts w:cstheme="minorHAnsi"/>
          <w:iCs/>
          <w:szCs w:val="24"/>
        </w:rPr>
        <w:t xml:space="preserve"> </w:t>
      </w:r>
      <w:r w:rsidR="0064477C" w:rsidRPr="00367355">
        <w:rPr>
          <w:rFonts w:cstheme="minorHAnsi"/>
          <w:iCs/>
          <w:szCs w:val="24"/>
        </w:rPr>
        <w:t>within the current model structure</w:t>
      </w:r>
      <w:r w:rsidR="00F810D9" w:rsidRPr="00367355">
        <w:rPr>
          <w:rFonts w:cstheme="minorHAnsi"/>
          <w:iCs/>
          <w:szCs w:val="24"/>
        </w:rPr>
        <w:t>,</w:t>
      </w:r>
      <w:r w:rsidR="0064477C" w:rsidRPr="00367355">
        <w:rPr>
          <w:rFonts w:cstheme="minorHAnsi"/>
          <w:iCs/>
          <w:szCs w:val="24"/>
        </w:rPr>
        <w:t xml:space="preserve"> would result in</w:t>
      </w:r>
      <w:r w:rsidR="00772A80" w:rsidRPr="00367355">
        <w:rPr>
          <w:rFonts w:cstheme="minorHAnsi"/>
          <w:iCs/>
          <w:szCs w:val="24"/>
        </w:rPr>
        <w:t xml:space="preserve"> a reliable estimate of the ICER</w:t>
      </w:r>
      <w:r w:rsidR="00065E80" w:rsidRPr="00367355">
        <w:rPr>
          <w:rFonts w:cstheme="minorHAnsi"/>
          <w:iCs/>
          <w:szCs w:val="24"/>
        </w:rPr>
        <w:t xml:space="preserve"> (</w:t>
      </w:r>
      <w:bookmarkEnd w:id="102"/>
      <w:r w:rsidR="0021285D">
        <w:rPr>
          <w:rFonts w:cstheme="minorHAnsi"/>
          <w:iCs/>
          <w:szCs w:val="24"/>
        </w:rPr>
        <w:fldChar w:fldCharType="begin"/>
      </w:r>
      <w:r w:rsidR="0021285D">
        <w:rPr>
          <w:rFonts w:cstheme="minorHAnsi"/>
          <w:iCs/>
          <w:szCs w:val="24"/>
        </w:rPr>
        <w:instrText xml:space="preserve"> REF _Ref223516218 \h </w:instrText>
      </w:r>
      <w:r w:rsidR="0021285D">
        <w:rPr>
          <w:rFonts w:cstheme="minorHAnsi"/>
          <w:iCs/>
          <w:szCs w:val="24"/>
        </w:rPr>
      </w:r>
      <w:r w:rsidR="0021285D">
        <w:rPr>
          <w:rFonts w:cstheme="minorHAnsi"/>
          <w:iCs/>
          <w:szCs w:val="24"/>
        </w:rPr>
        <w:fldChar w:fldCharType="separate"/>
      </w:r>
      <w:r w:rsidR="005731FF" w:rsidRPr="00DF1914">
        <w:t xml:space="preserve">Table </w:t>
      </w:r>
      <w:r w:rsidR="005731FF">
        <w:rPr>
          <w:noProof/>
        </w:rPr>
        <w:t>18</w:t>
      </w:r>
      <w:r w:rsidR="0021285D">
        <w:rPr>
          <w:rFonts w:cstheme="minorHAnsi"/>
          <w:iCs/>
          <w:szCs w:val="24"/>
        </w:rPr>
        <w:fldChar w:fldCharType="end"/>
      </w:r>
      <w:r w:rsidR="00065E80" w:rsidRPr="00367355">
        <w:rPr>
          <w:rFonts w:cstheme="minorHAnsi"/>
          <w:iCs/>
          <w:szCs w:val="24"/>
        </w:rPr>
        <w:t>)</w:t>
      </w:r>
      <w:r w:rsidR="009232EF" w:rsidRPr="00367355">
        <w:rPr>
          <w:rFonts w:cstheme="minorHAnsi"/>
          <w:iCs/>
          <w:szCs w:val="24"/>
        </w:rPr>
        <w:t>.</w:t>
      </w:r>
      <w:r w:rsidR="00A35B47">
        <w:rPr>
          <w:rFonts w:cstheme="minorHAnsi"/>
          <w:iCs/>
          <w:szCs w:val="24"/>
        </w:rPr>
        <w:t xml:space="preserve"> The Pre-PBAC response commented that this approach would </w:t>
      </w:r>
      <w:r w:rsidR="00E97802">
        <w:rPr>
          <w:rFonts w:cstheme="minorHAnsi"/>
          <w:iCs/>
          <w:szCs w:val="24"/>
        </w:rPr>
        <w:t xml:space="preserve">be inappropriate </w:t>
      </w:r>
      <w:r w:rsidR="006C2450">
        <w:rPr>
          <w:rFonts w:cstheme="minorHAnsi"/>
          <w:iCs/>
          <w:szCs w:val="24"/>
        </w:rPr>
        <w:t xml:space="preserve">given that </w:t>
      </w:r>
      <w:r w:rsidR="000E413E">
        <w:rPr>
          <w:rFonts w:cstheme="minorHAnsi"/>
          <w:iCs/>
          <w:szCs w:val="24"/>
        </w:rPr>
        <w:t xml:space="preserve">the </w:t>
      </w:r>
      <w:r w:rsidR="000E413E" w:rsidRPr="000E413E">
        <w:rPr>
          <w:rFonts w:cstheme="minorHAnsi"/>
          <w:iCs/>
          <w:lang w:val="en"/>
        </w:rPr>
        <w:t>NIAGARA</w:t>
      </w:r>
      <w:r w:rsidR="000E413E">
        <w:rPr>
          <w:rFonts w:cstheme="minorHAnsi"/>
          <w:iCs/>
          <w:lang w:val="en"/>
        </w:rPr>
        <w:t xml:space="preserve"> trial</w:t>
      </w:r>
      <w:r w:rsidR="000E413E" w:rsidRPr="000E413E">
        <w:rPr>
          <w:rFonts w:cstheme="minorHAnsi"/>
          <w:iCs/>
          <w:lang w:val="en"/>
        </w:rPr>
        <w:t xml:space="preserve"> provides robust OS evidence in a curative setting which supports a more favourable reimbursement outcome than adjuvant nivolumab.</w:t>
      </w:r>
    </w:p>
    <w:p w14:paraId="082C4CB9" w14:textId="58A8BBF5" w:rsidR="005B12F9" w:rsidRDefault="00BA3B0E" w:rsidP="002F2C06">
      <w:pPr>
        <w:pStyle w:val="3-BodyText"/>
      </w:pPr>
      <w:r w:rsidRPr="00367355">
        <w:t xml:space="preserve">The ESC noted that the </w:t>
      </w:r>
      <w:r w:rsidR="00C47791" w:rsidRPr="00367355">
        <w:t xml:space="preserve">ICER </w:t>
      </w:r>
      <w:r w:rsidR="00F20131" w:rsidRPr="00367355">
        <w:t xml:space="preserve">threshold previously </w:t>
      </w:r>
      <w:r w:rsidR="00C47791" w:rsidRPr="00367355">
        <w:t xml:space="preserve">considered cost-effective for adjuvant nivolumab </w:t>
      </w:r>
      <w:r w:rsidR="00F20131" w:rsidRPr="00367355">
        <w:t>was $30,000/QALY gained</w:t>
      </w:r>
      <w:r w:rsidR="000754AD" w:rsidRPr="00367355">
        <w:t xml:space="preserve"> (paragraph 6.68, nivolumab PSD, March 2024)</w:t>
      </w:r>
      <w:r w:rsidR="00F20131" w:rsidRPr="00367355">
        <w:t xml:space="preserve">. </w:t>
      </w:r>
    </w:p>
    <w:p w14:paraId="740919AD" w14:textId="77777777" w:rsidR="001A1D0B" w:rsidRPr="00DF1914" w:rsidRDefault="001A1D0B" w:rsidP="00DF1914">
      <w:pPr>
        <w:pStyle w:val="4-SubsectionHeading"/>
      </w:pPr>
      <w:bookmarkStart w:id="103" w:name="_Toc209021288"/>
      <w:bookmarkStart w:id="104" w:name="_Toc209023184"/>
      <w:bookmarkStart w:id="105" w:name="_Ref104805102"/>
      <w:r w:rsidRPr="00DF1914">
        <w:t>Durvalumab cost/patient/course</w:t>
      </w:r>
      <w:bookmarkEnd w:id="103"/>
      <w:bookmarkEnd w:id="104"/>
      <w:r w:rsidRPr="00DF1914">
        <w:t xml:space="preserve"> </w:t>
      </w:r>
    </w:p>
    <w:p w14:paraId="165F5665" w14:textId="043A16AE" w:rsidR="006A43D9" w:rsidRPr="00FB6758" w:rsidRDefault="001A1D0B" w:rsidP="00FB6758">
      <w:pPr>
        <w:pStyle w:val="3-BodyText"/>
      </w:pPr>
      <w:r w:rsidRPr="00DF1914">
        <w:fldChar w:fldCharType="begin"/>
      </w:r>
      <w:r w:rsidRPr="00DF1914">
        <w:instrText xml:space="preserve"> REF _Ref207371888 \h </w:instrText>
      </w:r>
      <w:r w:rsidRPr="00DF1914">
        <w:fldChar w:fldCharType="separate"/>
      </w:r>
      <w:r w:rsidR="005731FF">
        <w:t xml:space="preserve">Table </w:t>
      </w:r>
      <w:r w:rsidR="005731FF">
        <w:rPr>
          <w:noProof/>
        </w:rPr>
        <w:t>19</w:t>
      </w:r>
      <w:r w:rsidRPr="00DF1914">
        <w:fldChar w:fldCharType="end"/>
      </w:r>
      <w:r w:rsidRPr="00DF1914">
        <w:t xml:space="preserve"> presents the cost per patient per course for </w:t>
      </w:r>
      <w:r w:rsidR="00430804">
        <w:t>durvalumab</w:t>
      </w:r>
      <w:r w:rsidR="005A5506">
        <w:t xml:space="preserve"> + GC</w:t>
      </w:r>
      <w:r w:rsidRPr="00DF1914">
        <w:t xml:space="preserve"> and GC.</w:t>
      </w:r>
    </w:p>
    <w:p w14:paraId="51691BD3" w14:textId="795E2192" w:rsidR="00494207" w:rsidRPr="00DF1914" w:rsidRDefault="00513BBC" w:rsidP="00E50816">
      <w:pPr>
        <w:pStyle w:val="TableFigureHeading"/>
        <w:rPr>
          <w:rStyle w:val="CommentReference"/>
          <w:b/>
          <w:szCs w:val="24"/>
        </w:rPr>
      </w:pPr>
      <w:bookmarkStart w:id="106" w:name="_Ref207371888"/>
      <w:r>
        <w:t xml:space="preserve">Table </w:t>
      </w:r>
      <w:r w:rsidR="0077772B">
        <w:fldChar w:fldCharType="begin"/>
      </w:r>
      <w:r w:rsidR="0077772B">
        <w:instrText xml:space="preserve"> SEQ Table \* ARABIC </w:instrText>
      </w:r>
      <w:r w:rsidR="0077772B">
        <w:fldChar w:fldCharType="separate"/>
      </w:r>
      <w:r w:rsidR="005731FF">
        <w:rPr>
          <w:noProof/>
        </w:rPr>
        <w:t>19</w:t>
      </w:r>
      <w:r w:rsidR="0077772B">
        <w:rPr>
          <w:noProof/>
        </w:rPr>
        <w:fldChar w:fldCharType="end"/>
      </w:r>
      <w:bookmarkEnd w:id="105"/>
      <w:bookmarkEnd w:id="106"/>
      <w:r w:rsidR="00E16AD8" w:rsidRPr="00DF1914">
        <w:t>:</w:t>
      </w:r>
      <w:r w:rsidR="00494207" w:rsidRPr="00DF1914">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Drug cost per patient for proposed and comparator drugs"/>
      </w:tblPr>
      <w:tblGrid>
        <w:gridCol w:w="1978"/>
        <w:gridCol w:w="1136"/>
        <w:gridCol w:w="1134"/>
        <w:gridCol w:w="1277"/>
        <w:gridCol w:w="1133"/>
        <w:gridCol w:w="1275"/>
        <w:gridCol w:w="1084"/>
      </w:tblGrid>
      <w:tr w:rsidR="001A1D0B" w:rsidRPr="00DF1914" w14:paraId="26C177C3" w14:textId="77777777">
        <w:trPr>
          <w:cantSplit/>
          <w:tblHeader/>
          <w:jc w:val="center"/>
        </w:trPr>
        <w:tc>
          <w:tcPr>
            <w:tcW w:w="1097" w:type="pct"/>
            <w:vMerge w:val="restart"/>
            <w:vAlign w:val="center"/>
          </w:tcPr>
          <w:p w14:paraId="65668CA4" w14:textId="77777777" w:rsidR="001A1D0B" w:rsidRPr="00DF1914" w:rsidRDefault="001A1D0B">
            <w:pPr>
              <w:pStyle w:val="In-tableHeading"/>
              <w:rPr>
                <w:lang w:val="en-AU"/>
              </w:rPr>
            </w:pPr>
          </w:p>
        </w:tc>
        <w:tc>
          <w:tcPr>
            <w:tcW w:w="1967" w:type="pct"/>
            <w:gridSpan w:val="3"/>
            <w:vAlign w:val="center"/>
          </w:tcPr>
          <w:p w14:paraId="2A2E69B7" w14:textId="77777777" w:rsidR="001A1D0B" w:rsidRPr="00DF1914" w:rsidRDefault="001A1D0B">
            <w:pPr>
              <w:pStyle w:val="In-tableHeading"/>
              <w:rPr>
                <w:lang w:val="en-AU"/>
              </w:rPr>
            </w:pPr>
            <w:r w:rsidRPr="00DF1914">
              <w:rPr>
                <w:lang w:val="en-AU"/>
              </w:rPr>
              <w:t>Durvalumab +GC</w:t>
            </w:r>
          </w:p>
        </w:tc>
        <w:tc>
          <w:tcPr>
            <w:tcW w:w="1936" w:type="pct"/>
            <w:gridSpan w:val="3"/>
            <w:vAlign w:val="center"/>
          </w:tcPr>
          <w:p w14:paraId="519A47CE" w14:textId="77777777" w:rsidR="001A1D0B" w:rsidRPr="00DF1914" w:rsidRDefault="001A1D0B">
            <w:pPr>
              <w:pStyle w:val="In-tableHeading"/>
              <w:rPr>
                <w:lang w:val="en-AU"/>
              </w:rPr>
            </w:pPr>
            <w:r w:rsidRPr="00DF1914">
              <w:rPr>
                <w:lang w:val="en-AU"/>
              </w:rPr>
              <w:t>GC</w:t>
            </w:r>
          </w:p>
        </w:tc>
      </w:tr>
      <w:tr w:rsidR="001A1D0B" w:rsidRPr="00DF1914" w14:paraId="7645B41C" w14:textId="77777777">
        <w:trPr>
          <w:cantSplit/>
          <w:tblHeader/>
          <w:jc w:val="center"/>
        </w:trPr>
        <w:tc>
          <w:tcPr>
            <w:tcW w:w="1097" w:type="pct"/>
            <w:vMerge/>
            <w:vAlign w:val="center"/>
          </w:tcPr>
          <w:p w14:paraId="671C4A15" w14:textId="77777777" w:rsidR="001A1D0B" w:rsidRPr="00DF1914" w:rsidRDefault="001A1D0B">
            <w:pPr>
              <w:pStyle w:val="In-tableHeading"/>
              <w:rPr>
                <w:lang w:val="en-AU"/>
              </w:rPr>
            </w:pPr>
          </w:p>
        </w:tc>
        <w:tc>
          <w:tcPr>
            <w:tcW w:w="630" w:type="pct"/>
            <w:vAlign w:val="center"/>
          </w:tcPr>
          <w:p w14:paraId="4352E417" w14:textId="77777777" w:rsidR="001A1D0B" w:rsidRPr="00DF1914" w:rsidRDefault="001A1D0B">
            <w:pPr>
              <w:pStyle w:val="In-tableHeading"/>
              <w:rPr>
                <w:lang w:val="en-AU"/>
              </w:rPr>
            </w:pPr>
            <w:r w:rsidRPr="00DF1914">
              <w:rPr>
                <w:lang w:val="en-AU"/>
              </w:rPr>
              <w:t>NIAGARA</w:t>
            </w:r>
          </w:p>
        </w:tc>
        <w:tc>
          <w:tcPr>
            <w:tcW w:w="629" w:type="pct"/>
            <w:vAlign w:val="center"/>
          </w:tcPr>
          <w:p w14:paraId="0685A645" w14:textId="17223DA1" w:rsidR="001A1D0B" w:rsidRPr="00DF1914" w:rsidRDefault="001A1D0B" w:rsidP="00DF1914">
            <w:pPr>
              <w:pStyle w:val="In-tableHeading"/>
              <w:rPr>
                <w:lang w:val="en-AU"/>
              </w:rPr>
            </w:pPr>
            <w:r w:rsidRPr="00DF1914">
              <w:rPr>
                <w:lang w:val="en-AU"/>
              </w:rPr>
              <w:t>Economic</w:t>
            </w:r>
            <w:r w:rsidR="00DF1914" w:rsidRPr="00DF1914">
              <w:rPr>
                <w:lang w:val="en-AU"/>
              </w:rPr>
              <w:t xml:space="preserve"> </w:t>
            </w:r>
            <w:r w:rsidRPr="00DF1914">
              <w:rPr>
                <w:lang w:val="en-AU"/>
              </w:rPr>
              <w:t>model</w:t>
            </w:r>
          </w:p>
        </w:tc>
        <w:tc>
          <w:tcPr>
            <w:tcW w:w="708" w:type="pct"/>
            <w:vAlign w:val="center"/>
          </w:tcPr>
          <w:p w14:paraId="50485A0A" w14:textId="77777777" w:rsidR="001A1D0B" w:rsidRPr="00DF1914" w:rsidRDefault="001A1D0B">
            <w:pPr>
              <w:pStyle w:val="In-tableHeading"/>
              <w:rPr>
                <w:lang w:val="en-AU"/>
              </w:rPr>
            </w:pPr>
            <w:r w:rsidRPr="00DF1914">
              <w:rPr>
                <w:lang w:val="en-AU"/>
              </w:rPr>
              <w:t>Financial estimates</w:t>
            </w:r>
          </w:p>
        </w:tc>
        <w:tc>
          <w:tcPr>
            <w:tcW w:w="628" w:type="pct"/>
            <w:vAlign w:val="center"/>
          </w:tcPr>
          <w:p w14:paraId="02B31B96" w14:textId="77777777" w:rsidR="001A1D0B" w:rsidRPr="00DF1914" w:rsidRDefault="001A1D0B">
            <w:pPr>
              <w:pStyle w:val="In-tableHeading"/>
              <w:rPr>
                <w:lang w:val="en-AU"/>
              </w:rPr>
            </w:pPr>
            <w:r w:rsidRPr="00DF1914">
              <w:rPr>
                <w:lang w:val="en-AU"/>
              </w:rPr>
              <w:t>NIAGARA</w:t>
            </w:r>
          </w:p>
        </w:tc>
        <w:tc>
          <w:tcPr>
            <w:tcW w:w="707" w:type="pct"/>
            <w:vAlign w:val="center"/>
          </w:tcPr>
          <w:p w14:paraId="2D4AD260" w14:textId="2DB91434" w:rsidR="001A1D0B" w:rsidRPr="00DF1914" w:rsidRDefault="001A1D0B" w:rsidP="00DF1914">
            <w:pPr>
              <w:pStyle w:val="In-tableHeading"/>
              <w:rPr>
                <w:lang w:val="en-AU"/>
              </w:rPr>
            </w:pPr>
            <w:r w:rsidRPr="00DF1914">
              <w:rPr>
                <w:lang w:val="en-AU"/>
              </w:rPr>
              <w:t>Economic</w:t>
            </w:r>
            <w:r w:rsidR="00DF1914" w:rsidRPr="00DF1914">
              <w:rPr>
                <w:lang w:val="en-AU"/>
              </w:rPr>
              <w:t xml:space="preserve"> m</w:t>
            </w:r>
            <w:r w:rsidRPr="00DF1914">
              <w:rPr>
                <w:lang w:val="en-AU"/>
              </w:rPr>
              <w:t>odel</w:t>
            </w:r>
          </w:p>
        </w:tc>
        <w:tc>
          <w:tcPr>
            <w:tcW w:w="601" w:type="pct"/>
          </w:tcPr>
          <w:p w14:paraId="2A756F90" w14:textId="77777777" w:rsidR="001A1D0B" w:rsidRPr="00DF1914" w:rsidRDefault="001A1D0B">
            <w:pPr>
              <w:pStyle w:val="In-tableHeading"/>
              <w:rPr>
                <w:lang w:val="en-AU"/>
              </w:rPr>
            </w:pPr>
            <w:r w:rsidRPr="00DF1914">
              <w:rPr>
                <w:lang w:val="en-AU"/>
              </w:rPr>
              <w:t>Financial estimates</w:t>
            </w:r>
          </w:p>
        </w:tc>
      </w:tr>
      <w:tr w:rsidR="001A1D0B" w:rsidRPr="00DF1914" w14:paraId="0AE1F088" w14:textId="77777777">
        <w:trPr>
          <w:cantSplit/>
          <w:jc w:val="center"/>
        </w:trPr>
        <w:tc>
          <w:tcPr>
            <w:tcW w:w="1097" w:type="pct"/>
            <w:vAlign w:val="center"/>
          </w:tcPr>
          <w:p w14:paraId="6B1B9D57" w14:textId="77777777" w:rsidR="001A1D0B" w:rsidRPr="00DF1914" w:rsidRDefault="001A1D0B">
            <w:pPr>
              <w:pStyle w:val="TableText0"/>
            </w:pPr>
            <w:r w:rsidRPr="00DF1914">
              <w:t>Mean dose per administration (mg)</w:t>
            </w:r>
          </w:p>
        </w:tc>
        <w:tc>
          <w:tcPr>
            <w:tcW w:w="630" w:type="pct"/>
            <w:vAlign w:val="center"/>
          </w:tcPr>
          <w:p w14:paraId="1D700686" w14:textId="77777777" w:rsidR="001A1D0B" w:rsidRPr="00DF1914" w:rsidRDefault="001A1D0B">
            <w:pPr>
              <w:pStyle w:val="TableText0"/>
            </w:pPr>
            <w:r w:rsidRPr="00DF1914">
              <w:t>D: 1,500</w:t>
            </w:r>
          </w:p>
          <w:p w14:paraId="6DB6F627" w14:textId="77777777" w:rsidR="001A1D0B" w:rsidRPr="00DF1914" w:rsidRDefault="001A1D0B">
            <w:pPr>
              <w:pStyle w:val="TableText0"/>
            </w:pPr>
            <w:r w:rsidRPr="00DF1914">
              <w:t>(3 vials)</w:t>
            </w:r>
          </w:p>
          <w:p w14:paraId="1F0E2E35" w14:textId="77777777" w:rsidR="001A1D0B" w:rsidRPr="00DF1914" w:rsidRDefault="001A1D0B">
            <w:pPr>
              <w:pStyle w:val="TableText0"/>
            </w:pPr>
            <w:r w:rsidRPr="00DF1914">
              <w:t>G: 1,875</w:t>
            </w:r>
          </w:p>
          <w:p w14:paraId="7E0F5A6D" w14:textId="77777777" w:rsidR="001A1D0B" w:rsidRPr="00DF1914" w:rsidRDefault="001A1D0B">
            <w:pPr>
              <w:pStyle w:val="TableText0"/>
            </w:pPr>
            <w:r w:rsidRPr="00DF1914">
              <w:t>C: 131.25</w:t>
            </w:r>
          </w:p>
        </w:tc>
        <w:tc>
          <w:tcPr>
            <w:tcW w:w="629" w:type="pct"/>
            <w:vAlign w:val="center"/>
          </w:tcPr>
          <w:p w14:paraId="2E0D0A20" w14:textId="77777777" w:rsidR="001A1D0B" w:rsidRPr="00DF1914" w:rsidRDefault="001A1D0B">
            <w:pPr>
              <w:pStyle w:val="TableText0"/>
            </w:pPr>
            <w:r w:rsidRPr="00DF1914">
              <w:t>D: 1,500</w:t>
            </w:r>
          </w:p>
          <w:p w14:paraId="454A3149" w14:textId="77777777" w:rsidR="001A1D0B" w:rsidRPr="00DF1914" w:rsidRDefault="001A1D0B">
            <w:pPr>
              <w:pStyle w:val="TableText0"/>
            </w:pPr>
            <w:r w:rsidRPr="00DF1914">
              <w:t>(3 vials)</w:t>
            </w:r>
          </w:p>
          <w:p w14:paraId="4A51982F" w14:textId="77777777" w:rsidR="001A1D0B" w:rsidRPr="00DF1914" w:rsidRDefault="001A1D0B">
            <w:pPr>
              <w:pStyle w:val="TableText0"/>
            </w:pPr>
            <w:r w:rsidRPr="00DF1914">
              <w:t>G: 1,875</w:t>
            </w:r>
          </w:p>
          <w:p w14:paraId="374814AC" w14:textId="77777777" w:rsidR="001A1D0B" w:rsidRPr="00DF1914" w:rsidRDefault="001A1D0B">
            <w:pPr>
              <w:pStyle w:val="TableText0"/>
            </w:pPr>
            <w:r w:rsidRPr="00DF1914">
              <w:t>C: 131.25</w:t>
            </w:r>
          </w:p>
        </w:tc>
        <w:tc>
          <w:tcPr>
            <w:tcW w:w="708" w:type="pct"/>
            <w:vAlign w:val="center"/>
          </w:tcPr>
          <w:p w14:paraId="634DDCE7" w14:textId="77777777" w:rsidR="001A1D0B" w:rsidRPr="00DF1914" w:rsidRDefault="001A1D0B">
            <w:pPr>
              <w:pStyle w:val="TableText0"/>
            </w:pPr>
            <w:r w:rsidRPr="00DF1914">
              <w:t>D: 1,500</w:t>
            </w:r>
          </w:p>
          <w:p w14:paraId="3D2082A1" w14:textId="77777777" w:rsidR="001A1D0B" w:rsidRPr="00DF1914" w:rsidRDefault="001A1D0B">
            <w:pPr>
              <w:pStyle w:val="TableText0"/>
            </w:pPr>
            <w:r w:rsidRPr="00DF1914">
              <w:t>(3 vials)</w:t>
            </w:r>
          </w:p>
          <w:p w14:paraId="234025DE" w14:textId="77777777" w:rsidR="001A1D0B" w:rsidRPr="00DF1914" w:rsidRDefault="001A1D0B">
            <w:pPr>
              <w:pStyle w:val="TableText0"/>
            </w:pPr>
            <w:r w:rsidRPr="00DF1914">
              <w:t>GC: not modelled</w:t>
            </w:r>
          </w:p>
        </w:tc>
        <w:tc>
          <w:tcPr>
            <w:tcW w:w="628" w:type="pct"/>
            <w:vAlign w:val="center"/>
          </w:tcPr>
          <w:p w14:paraId="6EF98525" w14:textId="77777777" w:rsidR="001A1D0B" w:rsidRPr="00DF1914" w:rsidRDefault="001A1D0B">
            <w:pPr>
              <w:pStyle w:val="TableText0"/>
            </w:pPr>
            <w:r w:rsidRPr="00DF1914">
              <w:t>G: 1,875</w:t>
            </w:r>
          </w:p>
          <w:p w14:paraId="7575D1ED" w14:textId="77777777" w:rsidR="001A1D0B" w:rsidRPr="00DF1914" w:rsidRDefault="001A1D0B">
            <w:pPr>
              <w:pStyle w:val="TableText0"/>
            </w:pPr>
            <w:r w:rsidRPr="00DF1914">
              <w:t>C: 131.25</w:t>
            </w:r>
          </w:p>
        </w:tc>
        <w:tc>
          <w:tcPr>
            <w:tcW w:w="707" w:type="pct"/>
            <w:vAlign w:val="center"/>
          </w:tcPr>
          <w:p w14:paraId="44036A1B" w14:textId="77777777" w:rsidR="001A1D0B" w:rsidRPr="00DF1914" w:rsidRDefault="001A1D0B">
            <w:pPr>
              <w:pStyle w:val="TableText0"/>
            </w:pPr>
            <w:r w:rsidRPr="00DF1914">
              <w:t>G: 1,875</w:t>
            </w:r>
          </w:p>
          <w:p w14:paraId="520A7522" w14:textId="77777777" w:rsidR="001A1D0B" w:rsidRPr="00DF1914" w:rsidRDefault="001A1D0B">
            <w:pPr>
              <w:pStyle w:val="TableText0"/>
            </w:pPr>
            <w:r w:rsidRPr="00DF1914">
              <w:t>C: 131.25</w:t>
            </w:r>
          </w:p>
        </w:tc>
        <w:tc>
          <w:tcPr>
            <w:tcW w:w="601" w:type="pct"/>
          </w:tcPr>
          <w:p w14:paraId="763C85B2" w14:textId="77777777" w:rsidR="001A1D0B" w:rsidRPr="00DF1914" w:rsidRDefault="001A1D0B">
            <w:pPr>
              <w:pStyle w:val="TableText0"/>
            </w:pPr>
            <w:r w:rsidRPr="00DF1914">
              <w:t>GC: not modelled</w:t>
            </w:r>
          </w:p>
        </w:tc>
      </w:tr>
      <w:tr w:rsidR="001A1D0B" w:rsidRPr="00DF1914" w14:paraId="3E401BBC" w14:textId="77777777">
        <w:trPr>
          <w:cantSplit/>
          <w:jc w:val="center"/>
        </w:trPr>
        <w:tc>
          <w:tcPr>
            <w:tcW w:w="1097" w:type="pct"/>
            <w:vAlign w:val="center"/>
          </w:tcPr>
          <w:p w14:paraId="18D5566B" w14:textId="77777777" w:rsidR="001A1D0B" w:rsidRPr="00DF1914" w:rsidRDefault="001A1D0B">
            <w:pPr>
              <w:pStyle w:val="TableText0"/>
            </w:pPr>
            <w:r w:rsidRPr="00DF1914">
              <w:t>Mean number of treatment cycles</w:t>
            </w:r>
          </w:p>
        </w:tc>
        <w:tc>
          <w:tcPr>
            <w:tcW w:w="630" w:type="pct"/>
            <w:vAlign w:val="center"/>
          </w:tcPr>
          <w:p w14:paraId="4B610583" w14:textId="1100FCEC" w:rsidR="001A1D0B" w:rsidRPr="00930141" w:rsidRDefault="001A1D0B">
            <w:pPr>
              <w:pStyle w:val="TableText0"/>
              <w:rPr>
                <w:vertAlign w:val="superscript"/>
              </w:rPr>
            </w:pPr>
            <w:r w:rsidRPr="00930141">
              <w:t>D: 8.8</w:t>
            </w:r>
            <w:r w:rsidR="000727D3" w:rsidRPr="00930141">
              <w:t xml:space="preserve"> </w:t>
            </w:r>
            <w:r w:rsidR="000727D3" w:rsidRPr="00930141">
              <w:rPr>
                <w:vertAlign w:val="superscript"/>
              </w:rPr>
              <w:t>a</w:t>
            </w:r>
          </w:p>
          <w:p w14:paraId="641D46BC" w14:textId="1EA973FC" w:rsidR="001A1D0B" w:rsidRPr="00930141" w:rsidRDefault="001A1D0B">
            <w:pPr>
              <w:pStyle w:val="TableText0"/>
            </w:pPr>
            <w:r w:rsidRPr="00930141">
              <w:t>GC: 3.8</w:t>
            </w:r>
            <w:r w:rsidR="000727D3" w:rsidRPr="00930141">
              <w:t xml:space="preserve"> </w:t>
            </w:r>
            <w:r w:rsidR="000727D3" w:rsidRPr="00930141">
              <w:rPr>
                <w:vertAlign w:val="superscript"/>
              </w:rPr>
              <w:t>a</w:t>
            </w:r>
          </w:p>
        </w:tc>
        <w:tc>
          <w:tcPr>
            <w:tcW w:w="629" w:type="pct"/>
            <w:vAlign w:val="center"/>
          </w:tcPr>
          <w:p w14:paraId="522F7376" w14:textId="73B6EDD1" w:rsidR="001A1D0B" w:rsidRPr="00930141" w:rsidRDefault="001A1D0B">
            <w:pPr>
              <w:pStyle w:val="TableText0"/>
            </w:pPr>
            <w:r w:rsidRPr="00930141">
              <w:t>D: 8.8</w:t>
            </w:r>
            <w:r w:rsidR="000727D3" w:rsidRPr="00930141">
              <w:t xml:space="preserve"> </w:t>
            </w:r>
            <w:r w:rsidR="000727D3" w:rsidRPr="00930141">
              <w:rPr>
                <w:vertAlign w:val="superscript"/>
              </w:rPr>
              <w:t>a</w:t>
            </w:r>
          </w:p>
          <w:p w14:paraId="016D558E" w14:textId="2481BF15" w:rsidR="001A1D0B" w:rsidRPr="00930141" w:rsidRDefault="001A1D0B">
            <w:pPr>
              <w:pStyle w:val="TableText0"/>
            </w:pPr>
            <w:r w:rsidRPr="00930141">
              <w:t>GC: 3.8</w:t>
            </w:r>
            <w:r w:rsidR="000727D3" w:rsidRPr="00930141">
              <w:t xml:space="preserve"> </w:t>
            </w:r>
            <w:r w:rsidR="000727D3" w:rsidRPr="00930141">
              <w:rPr>
                <w:vertAlign w:val="superscript"/>
              </w:rPr>
              <w:t>a</w:t>
            </w:r>
          </w:p>
        </w:tc>
        <w:tc>
          <w:tcPr>
            <w:tcW w:w="708" w:type="pct"/>
            <w:vAlign w:val="center"/>
          </w:tcPr>
          <w:p w14:paraId="5A77DA56" w14:textId="5ADF29D3" w:rsidR="001A1D0B" w:rsidRPr="00930141" w:rsidRDefault="001A1D0B">
            <w:pPr>
              <w:pStyle w:val="TableText0"/>
              <w:rPr>
                <w:vertAlign w:val="superscript"/>
              </w:rPr>
            </w:pPr>
            <w:r w:rsidRPr="00930141">
              <w:t xml:space="preserve">D: 10.7 </w:t>
            </w:r>
            <w:r w:rsidR="000727D3" w:rsidRPr="00930141">
              <w:rPr>
                <w:vertAlign w:val="superscript"/>
              </w:rPr>
              <w:t>b</w:t>
            </w:r>
          </w:p>
          <w:p w14:paraId="43000676" w14:textId="77777777" w:rsidR="001A1D0B" w:rsidRPr="00930141" w:rsidRDefault="001A1D0B">
            <w:pPr>
              <w:pStyle w:val="TableText0"/>
            </w:pPr>
            <w:r w:rsidRPr="00930141">
              <w:t>GC: -</w:t>
            </w:r>
          </w:p>
        </w:tc>
        <w:tc>
          <w:tcPr>
            <w:tcW w:w="628" w:type="pct"/>
            <w:vAlign w:val="center"/>
          </w:tcPr>
          <w:p w14:paraId="7304AD6A" w14:textId="77777777" w:rsidR="001A1D0B" w:rsidRPr="00930141" w:rsidRDefault="001A1D0B">
            <w:pPr>
              <w:pStyle w:val="TableText0"/>
            </w:pPr>
            <w:r w:rsidRPr="00930141">
              <w:t>GC: 3.6</w:t>
            </w:r>
          </w:p>
        </w:tc>
        <w:tc>
          <w:tcPr>
            <w:tcW w:w="707" w:type="pct"/>
            <w:vAlign w:val="center"/>
          </w:tcPr>
          <w:p w14:paraId="157D9F77" w14:textId="77777777" w:rsidR="001A1D0B" w:rsidRPr="00930141" w:rsidRDefault="001A1D0B">
            <w:pPr>
              <w:pStyle w:val="TableText0"/>
            </w:pPr>
            <w:r w:rsidRPr="00930141">
              <w:t>GC: 3.6</w:t>
            </w:r>
          </w:p>
        </w:tc>
        <w:tc>
          <w:tcPr>
            <w:tcW w:w="601" w:type="pct"/>
          </w:tcPr>
          <w:p w14:paraId="0F5B57B3" w14:textId="77777777" w:rsidR="001A1D0B" w:rsidRPr="00DF1914" w:rsidRDefault="001A1D0B">
            <w:pPr>
              <w:pStyle w:val="TableText0"/>
            </w:pPr>
            <w:r w:rsidRPr="00DF1914">
              <w:t>-</w:t>
            </w:r>
          </w:p>
        </w:tc>
      </w:tr>
      <w:tr w:rsidR="001A1D0B" w:rsidRPr="00DF1914" w14:paraId="02317892" w14:textId="77777777">
        <w:trPr>
          <w:cantSplit/>
          <w:jc w:val="center"/>
        </w:trPr>
        <w:tc>
          <w:tcPr>
            <w:tcW w:w="1097" w:type="pct"/>
            <w:vAlign w:val="center"/>
          </w:tcPr>
          <w:p w14:paraId="3C74CD7E" w14:textId="77777777" w:rsidR="001A1D0B" w:rsidRPr="00DF1914" w:rsidRDefault="001A1D0B">
            <w:pPr>
              <w:pStyle w:val="TableText0"/>
            </w:pPr>
            <w:r w:rsidRPr="00DF1914">
              <w:t>Cost/patient/treatment cycle</w:t>
            </w:r>
          </w:p>
        </w:tc>
        <w:tc>
          <w:tcPr>
            <w:tcW w:w="630" w:type="pct"/>
            <w:vAlign w:val="center"/>
          </w:tcPr>
          <w:p w14:paraId="67FC3E93" w14:textId="41E1D1BA" w:rsidR="001A1D0B" w:rsidRPr="00DF1914" w:rsidRDefault="001A1D0B">
            <w:pPr>
              <w:pStyle w:val="TableText0"/>
            </w:pPr>
            <w:r w:rsidRPr="00DF1914">
              <w:t>D: $</w:t>
            </w:r>
            <w:r w:rsidR="000F4FEC" w:rsidRPr="000F4FEC">
              <w:rPr>
                <w:highlight w:val="black"/>
              </w:rPr>
              <w:t>@@@@</w:t>
            </w:r>
          </w:p>
          <w:p w14:paraId="52F98B81" w14:textId="77777777" w:rsidR="001A1D0B" w:rsidRPr="00DF1914" w:rsidRDefault="001A1D0B">
            <w:pPr>
              <w:pStyle w:val="TableText0"/>
            </w:pPr>
            <w:r w:rsidRPr="00DF1914">
              <w:t>GC: $472.16</w:t>
            </w:r>
          </w:p>
        </w:tc>
        <w:tc>
          <w:tcPr>
            <w:tcW w:w="629" w:type="pct"/>
            <w:vAlign w:val="center"/>
          </w:tcPr>
          <w:p w14:paraId="4A69C89A" w14:textId="66FA64AA" w:rsidR="001A1D0B" w:rsidRPr="00DF1914" w:rsidRDefault="001A1D0B">
            <w:pPr>
              <w:pStyle w:val="TableText0"/>
            </w:pPr>
            <w:r w:rsidRPr="00DF1914">
              <w:t>D: $</w:t>
            </w:r>
            <w:r w:rsidR="000F4FEC" w:rsidRPr="000F4FEC">
              <w:rPr>
                <w:highlight w:val="black"/>
              </w:rPr>
              <w:t>@@@@</w:t>
            </w:r>
          </w:p>
          <w:p w14:paraId="574195A2" w14:textId="77777777" w:rsidR="001A1D0B" w:rsidRPr="00DF1914" w:rsidRDefault="001A1D0B">
            <w:pPr>
              <w:pStyle w:val="TableText0"/>
            </w:pPr>
            <w:r w:rsidRPr="00DF1914">
              <w:t>GC: $472.16</w:t>
            </w:r>
          </w:p>
        </w:tc>
        <w:tc>
          <w:tcPr>
            <w:tcW w:w="708" w:type="pct"/>
            <w:vAlign w:val="center"/>
          </w:tcPr>
          <w:p w14:paraId="0A1651F4" w14:textId="7F2C97F1" w:rsidR="001A1D0B" w:rsidRPr="00DF1914" w:rsidRDefault="001A1D0B">
            <w:pPr>
              <w:pStyle w:val="TableText0"/>
            </w:pPr>
            <w:r w:rsidRPr="00DF1914">
              <w:t>D: $</w:t>
            </w:r>
            <w:r w:rsidR="000F4FEC" w:rsidRPr="000F4FEC">
              <w:rPr>
                <w:highlight w:val="black"/>
              </w:rPr>
              <w:t>@@@@</w:t>
            </w:r>
          </w:p>
          <w:p w14:paraId="1552B8E9" w14:textId="77777777" w:rsidR="001A1D0B" w:rsidRPr="00DF1914" w:rsidRDefault="001A1D0B">
            <w:pPr>
              <w:pStyle w:val="TableText0"/>
            </w:pPr>
            <w:r w:rsidRPr="00DF1914">
              <w:t>GC: -</w:t>
            </w:r>
          </w:p>
        </w:tc>
        <w:tc>
          <w:tcPr>
            <w:tcW w:w="628" w:type="pct"/>
            <w:vAlign w:val="center"/>
          </w:tcPr>
          <w:p w14:paraId="218C901F" w14:textId="77777777" w:rsidR="001A1D0B" w:rsidRPr="00DF1914" w:rsidRDefault="001A1D0B">
            <w:pPr>
              <w:pStyle w:val="TableText0"/>
            </w:pPr>
            <w:r w:rsidRPr="00DF1914">
              <w:t>GC: $472.16</w:t>
            </w:r>
          </w:p>
        </w:tc>
        <w:tc>
          <w:tcPr>
            <w:tcW w:w="707" w:type="pct"/>
            <w:vAlign w:val="center"/>
          </w:tcPr>
          <w:p w14:paraId="2881C80F" w14:textId="77777777" w:rsidR="001A1D0B" w:rsidRPr="00DF1914" w:rsidRDefault="001A1D0B">
            <w:pPr>
              <w:pStyle w:val="TableText0"/>
            </w:pPr>
            <w:r w:rsidRPr="00DF1914">
              <w:t>GC: $472.16</w:t>
            </w:r>
          </w:p>
        </w:tc>
        <w:tc>
          <w:tcPr>
            <w:tcW w:w="601" w:type="pct"/>
          </w:tcPr>
          <w:p w14:paraId="15E4B647" w14:textId="77777777" w:rsidR="001A1D0B" w:rsidRPr="00DF1914" w:rsidRDefault="001A1D0B">
            <w:pPr>
              <w:pStyle w:val="TableText0"/>
            </w:pPr>
            <w:r w:rsidRPr="00DF1914">
              <w:t>-</w:t>
            </w:r>
          </w:p>
        </w:tc>
      </w:tr>
      <w:tr w:rsidR="001A1D0B" w:rsidRPr="00DF1914" w14:paraId="3347189B" w14:textId="77777777">
        <w:trPr>
          <w:cantSplit/>
          <w:jc w:val="center"/>
        </w:trPr>
        <w:tc>
          <w:tcPr>
            <w:tcW w:w="1097" w:type="pct"/>
            <w:vAlign w:val="center"/>
          </w:tcPr>
          <w:p w14:paraId="3EEB240C" w14:textId="77777777" w:rsidR="001A1D0B" w:rsidRPr="00DF1914" w:rsidRDefault="001A1D0B">
            <w:pPr>
              <w:pStyle w:val="TableText0"/>
            </w:pPr>
            <w:r w:rsidRPr="00DF1914">
              <w:t>Cost/patient/course</w:t>
            </w:r>
          </w:p>
        </w:tc>
        <w:tc>
          <w:tcPr>
            <w:tcW w:w="630" w:type="pct"/>
            <w:vAlign w:val="center"/>
          </w:tcPr>
          <w:p w14:paraId="5DD2C43D" w14:textId="35F4E89E" w:rsidR="001A1D0B" w:rsidRPr="00DF1914" w:rsidRDefault="001A1D0B">
            <w:pPr>
              <w:pStyle w:val="TableText0"/>
            </w:pPr>
            <w:r w:rsidRPr="00DF1914">
              <w:t>$</w:t>
            </w:r>
            <w:r w:rsidR="000F4FEC" w:rsidRPr="000F4FEC">
              <w:rPr>
                <w:highlight w:val="black"/>
              </w:rPr>
              <w:t>@@@@</w:t>
            </w:r>
          </w:p>
        </w:tc>
        <w:tc>
          <w:tcPr>
            <w:tcW w:w="629" w:type="pct"/>
            <w:vAlign w:val="center"/>
          </w:tcPr>
          <w:p w14:paraId="79BF4DDF" w14:textId="23E0D7E9" w:rsidR="001A1D0B" w:rsidRPr="00DF1914" w:rsidRDefault="001A1D0B">
            <w:pPr>
              <w:pStyle w:val="TableText0"/>
            </w:pPr>
            <w:r w:rsidRPr="00DF1914">
              <w:t>$</w:t>
            </w:r>
            <w:r w:rsidR="000F4FEC" w:rsidRPr="000F4FEC">
              <w:rPr>
                <w:highlight w:val="black"/>
              </w:rPr>
              <w:t>@@@@</w:t>
            </w:r>
          </w:p>
        </w:tc>
        <w:tc>
          <w:tcPr>
            <w:tcW w:w="708" w:type="pct"/>
            <w:vAlign w:val="center"/>
          </w:tcPr>
          <w:p w14:paraId="3B1B4B90" w14:textId="2099E5FD" w:rsidR="001A1D0B" w:rsidRPr="00DF1914" w:rsidRDefault="001A1D0B">
            <w:pPr>
              <w:pStyle w:val="TableText0"/>
            </w:pPr>
            <w:r w:rsidRPr="00DF1914">
              <w:t>$</w:t>
            </w:r>
            <w:r w:rsidR="000F4FEC" w:rsidRPr="000F4FEC">
              <w:rPr>
                <w:highlight w:val="black"/>
              </w:rPr>
              <w:t>@@@@</w:t>
            </w:r>
          </w:p>
        </w:tc>
        <w:tc>
          <w:tcPr>
            <w:tcW w:w="628" w:type="pct"/>
            <w:vAlign w:val="center"/>
          </w:tcPr>
          <w:p w14:paraId="212EAE5A" w14:textId="77777777" w:rsidR="001A1D0B" w:rsidRPr="00DF1914" w:rsidRDefault="001A1D0B">
            <w:pPr>
              <w:pStyle w:val="TableText0"/>
            </w:pPr>
            <w:r w:rsidRPr="00DF1914">
              <w:t>GC: $1,701</w:t>
            </w:r>
          </w:p>
        </w:tc>
        <w:tc>
          <w:tcPr>
            <w:tcW w:w="707" w:type="pct"/>
            <w:vAlign w:val="center"/>
          </w:tcPr>
          <w:p w14:paraId="16E380C6" w14:textId="77777777" w:rsidR="001A1D0B" w:rsidRPr="00DF1914" w:rsidRDefault="001A1D0B">
            <w:pPr>
              <w:pStyle w:val="TableText0"/>
            </w:pPr>
            <w:r w:rsidRPr="00DF1914">
              <w:t>GC: $1,701</w:t>
            </w:r>
          </w:p>
        </w:tc>
        <w:tc>
          <w:tcPr>
            <w:tcW w:w="601" w:type="pct"/>
          </w:tcPr>
          <w:p w14:paraId="30CFE9BF" w14:textId="77777777" w:rsidR="001A1D0B" w:rsidRPr="00DF1914" w:rsidRDefault="001A1D0B">
            <w:pPr>
              <w:pStyle w:val="TableText0"/>
            </w:pPr>
            <w:r w:rsidRPr="00DF1914">
              <w:t>-</w:t>
            </w:r>
          </w:p>
        </w:tc>
      </w:tr>
    </w:tbl>
    <w:p w14:paraId="4987D271" w14:textId="77777777" w:rsidR="001A1D0B" w:rsidRDefault="001A1D0B" w:rsidP="001A1D0B">
      <w:pPr>
        <w:pStyle w:val="TableFigureFooter"/>
      </w:pPr>
      <w:r w:rsidRPr="00DF1914">
        <w:t>Source: constructed during the evaluation using information provided in section 3.6 of the submission and the financial estimates from the submission: 2d. Patients - DTG, 3a. Scripts - proposed.</w:t>
      </w:r>
    </w:p>
    <w:p w14:paraId="50DDCAA7" w14:textId="77777777" w:rsidR="0041701F" w:rsidRPr="00DF1914" w:rsidRDefault="0041701F" w:rsidP="0041701F">
      <w:pPr>
        <w:pStyle w:val="TableFigureFooter"/>
      </w:pPr>
      <w:r w:rsidRPr="00DF1914">
        <w:rPr>
          <w:iCs/>
        </w:rPr>
        <w:t xml:space="preserve">D = durvalumab; </w:t>
      </w:r>
      <w:r>
        <w:t>GC = Gemcitabine plus cisplatin; mg = milligram.</w:t>
      </w:r>
    </w:p>
    <w:p w14:paraId="001E05BF" w14:textId="023888A3" w:rsidR="00C00FD4" w:rsidRDefault="001A1D0B" w:rsidP="001A1D0B">
      <w:pPr>
        <w:pStyle w:val="TableFigureFooter"/>
      </w:pPr>
      <w:r w:rsidRPr="00DF1914">
        <w:rPr>
          <w:vertAlign w:val="superscript"/>
        </w:rPr>
        <w:t>a</w:t>
      </w:r>
      <w:r w:rsidRPr="00DF1914">
        <w:t xml:space="preserve"> </w:t>
      </w:r>
      <w:r w:rsidR="005F5478">
        <w:t>Based on the overall safety analysis set</w:t>
      </w:r>
      <w:r w:rsidR="00DA4B76">
        <w:t xml:space="preserve"> (N = 530).</w:t>
      </w:r>
      <w:r w:rsidR="00B3426B">
        <w:t xml:space="preserve"> Therefore</w:t>
      </w:r>
      <w:r w:rsidR="00C56986">
        <w:t>, it</w:t>
      </w:r>
      <w:r w:rsidR="00B3426B">
        <w:t xml:space="preserve"> includes patients not continuing to </w:t>
      </w:r>
      <w:r w:rsidR="000E500C">
        <w:t xml:space="preserve">adjuvant therapy. </w:t>
      </w:r>
    </w:p>
    <w:p w14:paraId="7AA1149C" w14:textId="0A9186C4" w:rsidR="001A1D0B" w:rsidRPr="00DF1914" w:rsidRDefault="00DF0B6A" w:rsidP="001A1D0B">
      <w:pPr>
        <w:pStyle w:val="TableFigureFooter"/>
      </w:pPr>
      <w:r>
        <w:rPr>
          <w:vertAlign w:val="superscript"/>
        </w:rPr>
        <w:t xml:space="preserve">b </w:t>
      </w:r>
      <w:r w:rsidR="004053FC">
        <w:t>N</w:t>
      </w:r>
      <w:r w:rsidR="00563B00">
        <w:t>eo</w:t>
      </w:r>
      <w:r w:rsidR="007A2ED4">
        <w:t>adjuvant</w:t>
      </w:r>
      <w:r w:rsidR="004053FC">
        <w:t xml:space="preserve"> treatment based on safety analysis set</w:t>
      </w:r>
      <w:r w:rsidR="007A2ED4">
        <w:t xml:space="preserve"> </w:t>
      </w:r>
      <w:r w:rsidR="000144A5">
        <w:t>(N=530)</w:t>
      </w:r>
      <w:r w:rsidR="004053FC">
        <w:t>. Adjuvant</w:t>
      </w:r>
      <w:r w:rsidR="003010F7">
        <w:t>, based on</w:t>
      </w:r>
      <w:r w:rsidR="000E500C">
        <w:t>ly on</w:t>
      </w:r>
      <w:r w:rsidR="003010F7">
        <w:t xml:space="preserve"> those continuing to adjuvant treatment (N</w:t>
      </w:r>
      <w:r w:rsidR="00E427FB">
        <w:t>=383</w:t>
      </w:r>
      <w:r w:rsidR="00535947">
        <w:t xml:space="preserve"> / </w:t>
      </w:r>
      <w:r w:rsidR="00535947" w:rsidRPr="0081337A">
        <w:rPr>
          <w:lang w:val="en-US"/>
        </w:rPr>
        <w:t>72.3</w:t>
      </w:r>
      <w:r w:rsidR="00535947" w:rsidRPr="00A46467">
        <w:rPr>
          <w:lang w:val="en-US"/>
        </w:rPr>
        <w:t>%</w:t>
      </w:r>
      <w:r w:rsidR="00535947">
        <w:rPr>
          <w:lang w:val="en-US"/>
        </w:rPr>
        <w:t xml:space="preserve"> of </w:t>
      </w:r>
      <w:r w:rsidR="00F26CC5">
        <w:rPr>
          <w:lang w:val="en-US"/>
        </w:rPr>
        <w:t>study population</w:t>
      </w:r>
      <w:r w:rsidR="00E427FB">
        <w:t>)</w:t>
      </w:r>
      <w:r w:rsidR="00F26CC5">
        <w:t>.</w:t>
      </w:r>
      <w:r w:rsidR="000144A5">
        <w:t xml:space="preserve"> </w:t>
      </w:r>
      <w:r w:rsidR="001A1D0B" w:rsidRPr="00DF1914">
        <w:t>Neoadjuvant treatment (11.4 weeks) and adjuvant treatment (27.6 weeks) resulting in 3.8 + 6.9 scripts per patient (10.7 scripts per course of treatment).</w:t>
      </w:r>
    </w:p>
    <w:p w14:paraId="69BDAE63" w14:textId="541E6A99" w:rsidR="00F244EF" w:rsidRPr="00DF1914" w:rsidRDefault="00F244EF" w:rsidP="00F244EF">
      <w:pPr>
        <w:pStyle w:val="4-SubsectionHeading"/>
      </w:pPr>
      <w:bookmarkStart w:id="107" w:name="_Toc22897647"/>
      <w:bookmarkStart w:id="108" w:name="_Toc207213499"/>
      <w:bookmarkStart w:id="109" w:name="_Toc209021289"/>
      <w:bookmarkStart w:id="110" w:name="_Toc209023185"/>
      <w:r w:rsidRPr="00DF1914">
        <w:lastRenderedPageBreak/>
        <w:t>Estimated PBS usage &amp; financial implications</w:t>
      </w:r>
      <w:bookmarkEnd w:id="107"/>
      <w:bookmarkEnd w:id="108"/>
      <w:bookmarkEnd w:id="109"/>
      <w:bookmarkEnd w:id="110"/>
    </w:p>
    <w:p w14:paraId="5BC621D2" w14:textId="646B644D" w:rsidR="00453E18" w:rsidRDefault="00F244EF" w:rsidP="00F244EF">
      <w:pPr>
        <w:pStyle w:val="3-BodyText"/>
      </w:pPr>
      <w:r w:rsidRPr="00DF1914">
        <w:t xml:space="preserve">This submission </w:t>
      </w:r>
      <w:r w:rsidR="009306DD">
        <w:t>was</w:t>
      </w:r>
      <w:r w:rsidRPr="00DF1914">
        <w:t xml:space="preserve"> </w:t>
      </w:r>
      <w:r w:rsidRPr="00640731">
        <w:t>not</w:t>
      </w:r>
      <w:r w:rsidRPr="00DF1914">
        <w:t xml:space="preserve"> considered by DUSC. </w:t>
      </w:r>
    </w:p>
    <w:p w14:paraId="728396E6" w14:textId="4DF1F815" w:rsidR="00F244EF" w:rsidRPr="00DF1914" w:rsidRDefault="00F244EF" w:rsidP="00F244EF">
      <w:pPr>
        <w:pStyle w:val="3-BodyText"/>
      </w:pPr>
      <w:r w:rsidRPr="00DF1914">
        <w:t>The submission used an epidemiological approach to estimate the number of incident patients who would be eligible for durvalumab treatment. A summary of the data sources and parameter values used to estimate the utilisation and financial impacts associated with the proposed listing of durvalumab for the treatment of muscle invasive bladder cancer is shown in</w:t>
      </w:r>
      <w:r w:rsidR="00992730" w:rsidRPr="00DF1914">
        <w:t xml:space="preserve"> </w:t>
      </w:r>
      <w:r w:rsidR="00992730" w:rsidRPr="00DF1914">
        <w:fldChar w:fldCharType="begin"/>
      </w:r>
      <w:r w:rsidR="00992730" w:rsidRPr="00DF1914">
        <w:instrText xml:space="preserve"> REF _Ref207392269 \h </w:instrText>
      </w:r>
      <w:r w:rsidR="00992730" w:rsidRPr="00DF1914">
        <w:fldChar w:fldCharType="separate"/>
      </w:r>
      <w:r w:rsidR="005731FF">
        <w:t xml:space="preserve">Table </w:t>
      </w:r>
      <w:r w:rsidR="005731FF">
        <w:rPr>
          <w:noProof/>
        </w:rPr>
        <w:t>20</w:t>
      </w:r>
      <w:r w:rsidR="00992730" w:rsidRPr="00DF1914">
        <w:fldChar w:fldCharType="end"/>
      </w:r>
      <w:r w:rsidRPr="00DF1914">
        <w:t>.</w:t>
      </w:r>
      <w:r w:rsidR="00FA7A35" w:rsidRPr="00DF1914">
        <w:t xml:space="preserve"> </w:t>
      </w:r>
    </w:p>
    <w:p w14:paraId="3D40FCA7" w14:textId="3B535D0B" w:rsidR="00F244EF" w:rsidRPr="00640731" w:rsidRDefault="00513BBC" w:rsidP="00640731">
      <w:pPr>
        <w:pStyle w:val="Caption"/>
        <w:rPr>
          <w:rStyle w:val="CommentReference"/>
          <w:b/>
          <w:szCs w:val="18"/>
        </w:rPr>
      </w:pPr>
      <w:bookmarkStart w:id="111" w:name="_Ref207392269"/>
      <w:r>
        <w:t xml:space="preserve">Table </w:t>
      </w:r>
      <w:r w:rsidR="0077772B">
        <w:fldChar w:fldCharType="begin"/>
      </w:r>
      <w:r w:rsidR="0077772B">
        <w:instrText xml:space="preserve"> SEQ Table \* ARABIC </w:instrText>
      </w:r>
      <w:r w:rsidR="0077772B">
        <w:fldChar w:fldCharType="separate"/>
      </w:r>
      <w:r w:rsidR="005731FF">
        <w:rPr>
          <w:noProof/>
        </w:rPr>
        <w:t>20</w:t>
      </w:r>
      <w:r w:rsidR="0077772B">
        <w:rPr>
          <w:noProof/>
        </w:rPr>
        <w:fldChar w:fldCharType="end"/>
      </w:r>
      <w:bookmarkEnd w:id="111"/>
      <w:r w:rsidR="00F244EF" w:rsidRPr="00640731">
        <w:t>:</w:t>
      </w:r>
      <w:r w:rsidR="00F244EF" w:rsidRPr="00640731">
        <w:rPr>
          <w:rStyle w:val="CommentReference"/>
          <w:b/>
          <w:szCs w:val="18"/>
        </w:rPr>
        <w:t xml:space="preserve"> Key inputs for financial estimates</w:t>
      </w:r>
    </w:p>
    <w:tbl>
      <w:tblPr>
        <w:tblW w:w="5000" w:type="pct"/>
        <w:tblCellMar>
          <w:top w:w="28" w:type="dxa"/>
          <w:left w:w="57" w:type="dxa"/>
          <w:bottom w:w="28" w:type="dxa"/>
          <w:right w:w="57" w:type="dxa"/>
        </w:tblCellMar>
        <w:tblLook w:val="04A0" w:firstRow="1" w:lastRow="0" w:firstColumn="1" w:lastColumn="0" w:noHBand="0" w:noVBand="1"/>
        <w:tblCaption w:val="Table 20: Key inputs for financial estimates"/>
      </w:tblPr>
      <w:tblGrid>
        <w:gridCol w:w="1555"/>
        <w:gridCol w:w="1842"/>
        <w:gridCol w:w="2694"/>
        <w:gridCol w:w="2926"/>
      </w:tblGrid>
      <w:tr w:rsidR="00F244EF" w:rsidRPr="00DF1914" w14:paraId="1FF01085" w14:textId="77777777" w:rsidTr="00116400">
        <w:trPr>
          <w:cantSplit/>
          <w:tblHeader/>
        </w:trPr>
        <w:tc>
          <w:tcPr>
            <w:tcW w:w="1555" w:type="dxa"/>
            <w:tcBorders>
              <w:top w:val="single" w:sz="4" w:space="0" w:color="auto"/>
              <w:left w:val="single" w:sz="4" w:space="0" w:color="auto"/>
              <w:bottom w:val="single" w:sz="4" w:space="0" w:color="auto"/>
              <w:right w:val="single" w:sz="4" w:space="0" w:color="auto"/>
            </w:tcBorders>
            <w:hideMark/>
          </w:tcPr>
          <w:p w14:paraId="01295954" w14:textId="77777777" w:rsidR="00F244EF" w:rsidRPr="0068749D" w:rsidRDefault="00F244EF" w:rsidP="00E90D47">
            <w:pPr>
              <w:jc w:val="left"/>
              <w:rPr>
                <w:rFonts w:cs="Calibri"/>
                <w:b/>
                <w:color w:val="000000"/>
                <w:szCs w:val="20"/>
              </w:rPr>
            </w:pPr>
            <w:r w:rsidRPr="0068749D">
              <w:rPr>
                <w:rFonts w:ascii="Arial Narrow" w:hAnsi="Arial Narrow" w:cs="Calibri"/>
                <w:b/>
                <w:bCs/>
                <w:color w:val="000000"/>
                <w:sz w:val="20"/>
                <w:szCs w:val="20"/>
              </w:rPr>
              <w:t>Data</w:t>
            </w:r>
          </w:p>
        </w:tc>
        <w:tc>
          <w:tcPr>
            <w:tcW w:w="1842" w:type="dxa"/>
            <w:tcBorders>
              <w:top w:val="single" w:sz="4" w:space="0" w:color="auto"/>
              <w:left w:val="nil"/>
              <w:bottom w:val="single" w:sz="4" w:space="0" w:color="auto"/>
              <w:right w:val="single" w:sz="4" w:space="0" w:color="auto"/>
            </w:tcBorders>
            <w:hideMark/>
          </w:tcPr>
          <w:p w14:paraId="2A54AA02" w14:textId="77777777" w:rsidR="00F244EF" w:rsidRPr="0068749D" w:rsidRDefault="00F244EF" w:rsidP="00E90D47">
            <w:pPr>
              <w:jc w:val="left"/>
              <w:rPr>
                <w:rFonts w:ascii="Arial Narrow" w:hAnsi="Arial Narrow" w:cs="Calibri"/>
                <w:b/>
                <w:bCs/>
                <w:color w:val="000000"/>
                <w:sz w:val="20"/>
                <w:szCs w:val="20"/>
              </w:rPr>
            </w:pPr>
            <w:r w:rsidRPr="0068749D">
              <w:rPr>
                <w:rFonts w:ascii="Arial Narrow" w:hAnsi="Arial Narrow" w:cs="Calibri"/>
                <w:b/>
                <w:bCs/>
                <w:color w:val="000000"/>
                <w:sz w:val="20"/>
                <w:szCs w:val="20"/>
              </w:rPr>
              <w:t>Value</w:t>
            </w:r>
          </w:p>
        </w:tc>
        <w:tc>
          <w:tcPr>
            <w:tcW w:w="2694" w:type="dxa"/>
            <w:tcBorders>
              <w:top w:val="single" w:sz="4" w:space="0" w:color="auto"/>
              <w:left w:val="nil"/>
              <w:bottom w:val="single" w:sz="4" w:space="0" w:color="auto"/>
              <w:right w:val="single" w:sz="4" w:space="0" w:color="auto"/>
            </w:tcBorders>
            <w:hideMark/>
          </w:tcPr>
          <w:p w14:paraId="0D0AD4F0" w14:textId="77777777" w:rsidR="00F244EF" w:rsidRPr="0068749D" w:rsidRDefault="00F244EF" w:rsidP="00E90D47">
            <w:pPr>
              <w:jc w:val="left"/>
              <w:rPr>
                <w:rFonts w:ascii="Arial Narrow" w:hAnsi="Arial Narrow" w:cs="Calibri"/>
                <w:b/>
                <w:bCs/>
                <w:color w:val="000000"/>
                <w:sz w:val="20"/>
                <w:szCs w:val="20"/>
              </w:rPr>
            </w:pPr>
            <w:r w:rsidRPr="0068749D">
              <w:rPr>
                <w:rFonts w:ascii="Arial Narrow" w:hAnsi="Arial Narrow" w:cs="Calibri"/>
                <w:b/>
                <w:bCs/>
                <w:color w:val="000000"/>
                <w:sz w:val="20"/>
                <w:szCs w:val="20"/>
              </w:rPr>
              <w:t>Source</w:t>
            </w:r>
          </w:p>
        </w:tc>
        <w:tc>
          <w:tcPr>
            <w:tcW w:w="2926" w:type="dxa"/>
            <w:tcBorders>
              <w:top w:val="single" w:sz="4" w:space="0" w:color="auto"/>
              <w:left w:val="nil"/>
              <w:bottom w:val="single" w:sz="4" w:space="0" w:color="auto"/>
              <w:right w:val="single" w:sz="4" w:space="0" w:color="auto"/>
            </w:tcBorders>
            <w:hideMark/>
          </w:tcPr>
          <w:p w14:paraId="7397C1BB" w14:textId="145344BB" w:rsidR="00F244EF" w:rsidRPr="0068749D" w:rsidRDefault="00864E67" w:rsidP="00E90D47">
            <w:pPr>
              <w:jc w:val="left"/>
              <w:rPr>
                <w:rFonts w:ascii="Arial Narrow" w:hAnsi="Arial Narrow" w:cs="Calibri"/>
                <w:b/>
                <w:bCs/>
                <w:color w:val="000000"/>
                <w:sz w:val="20"/>
                <w:szCs w:val="20"/>
              </w:rPr>
            </w:pPr>
            <w:r>
              <w:rPr>
                <w:rFonts w:ascii="Arial Narrow" w:hAnsi="Arial Narrow" w:cs="Calibri"/>
                <w:b/>
                <w:bCs/>
                <w:color w:val="000000"/>
                <w:sz w:val="20"/>
                <w:szCs w:val="20"/>
              </w:rPr>
              <w:t>C</w:t>
            </w:r>
            <w:r w:rsidR="00F244EF" w:rsidRPr="0068749D">
              <w:rPr>
                <w:rFonts w:ascii="Arial Narrow" w:hAnsi="Arial Narrow" w:cs="Calibri"/>
                <w:b/>
                <w:bCs/>
                <w:color w:val="000000"/>
                <w:sz w:val="20"/>
                <w:szCs w:val="20"/>
              </w:rPr>
              <w:t>omment</w:t>
            </w:r>
          </w:p>
        </w:tc>
      </w:tr>
      <w:tr w:rsidR="00F244EF" w:rsidRPr="00DF1914" w14:paraId="0E188055" w14:textId="77777777" w:rsidTr="00E90D47">
        <w:trPr>
          <w:cantSplit/>
        </w:trPr>
        <w:tc>
          <w:tcPr>
            <w:tcW w:w="9017" w:type="dxa"/>
            <w:gridSpan w:val="4"/>
            <w:tcBorders>
              <w:top w:val="single" w:sz="4" w:space="0" w:color="auto"/>
              <w:left w:val="single" w:sz="4" w:space="0" w:color="auto"/>
              <w:bottom w:val="single" w:sz="4" w:space="0" w:color="auto"/>
              <w:right w:val="single" w:sz="4" w:space="0" w:color="auto"/>
            </w:tcBorders>
            <w:hideMark/>
          </w:tcPr>
          <w:p w14:paraId="57B677A3" w14:textId="77777777" w:rsidR="00F244EF" w:rsidRPr="0068749D" w:rsidRDefault="00F244EF" w:rsidP="00E90D47">
            <w:pPr>
              <w:jc w:val="left"/>
              <w:rPr>
                <w:rFonts w:ascii="Arial Narrow" w:hAnsi="Arial Narrow" w:cs="Calibri"/>
                <w:b/>
                <w:bCs/>
                <w:color w:val="000000"/>
                <w:sz w:val="20"/>
                <w:szCs w:val="20"/>
              </w:rPr>
            </w:pPr>
            <w:r w:rsidRPr="0068749D">
              <w:rPr>
                <w:rFonts w:ascii="Arial Narrow" w:hAnsi="Arial Narrow" w:cs="Calibri"/>
                <w:b/>
                <w:bCs/>
                <w:color w:val="000000"/>
                <w:sz w:val="20"/>
                <w:szCs w:val="20"/>
              </w:rPr>
              <w:t>Eligible population – proposed medicine</w:t>
            </w:r>
          </w:p>
        </w:tc>
      </w:tr>
      <w:tr w:rsidR="00F244EF" w:rsidRPr="00DF1914" w14:paraId="18AF8132" w14:textId="77777777" w:rsidTr="00116400">
        <w:trPr>
          <w:cantSplit/>
        </w:trPr>
        <w:tc>
          <w:tcPr>
            <w:tcW w:w="1555" w:type="dxa"/>
            <w:tcBorders>
              <w:top w:val="nil"/>
              <w:left w:val="single" w:sz="4" w:space="0" w:color="auto"/>
              <w:bottom w:val="single" w:sz="4" w:space="0" w:color="auto"/>
              <w:right w:val="single" w:sz="4" w:space="0" w:color="auto"/>
            </w:tcBorders>
            <w:hideMark/>
          </w:tcPr>
          <w:p w14:paraId="5D0007BB"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Incident patients</w:t>
            </w:r>
          </w:p>
        </w:tc>
        <w:tc>
          <w:tcPr>
            <w:tcW w:w="1842" w:type="dxa"/>
            <w:tcBorders>
              <w:top w:val="nil"/>
              <w:left w:val="nil"/>
              <w:bottom w:val="single" w:sz="4" w:space="0" w:color="auto"/>
              <w:right w:val="single" w:sz="4" w:space="0" w:color="auto"/>
            </w:tcBorders>
            <w:hideMark/>
          </w:tcPr>
          <w:p w14:paraId="65357C61"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Increasing from</w:t>
            </w:r>
          </w:p>
          <w:p w14:paraId="4FF18136"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3,468 in Year 1 to</w:t>
            </w:r>
          </w:p>
          <w:p w14:paraId="7EF6C4A3"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3,908 in Year 6</w:t>
            </w:r>
          </w:p>
        </w:tc>
        <w:tc>
          <w:tcPr>
            <w:tcW w:w="2694" w:type="dxa"/>
            <w:tcBorders>
              <w:top w:val="nil"/>
              <w:left w:val="nil"/>
              <w:bottom w:val="single" w:sz="4" w:space="0" w:color="auto"/>
              <w:right w:val="single" w:sz="4" w:space="0" w:color="auto"/>
            </w:tcBorders>
            <w:hideMark/>
          </w:tcPr>
          <w:p w14:paraId="5BE2A11E"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AIHW 2024 Book 1e</w:t>
            </w:r>
          </w:p>
        </w:tc>
        <w:tc>
          <w:tcPr>
            <w:tcW w:w="2926" w:type="dxa"/>
            <w:tcBorders>
              <w:top w:val="nil"/>
              <w:left w:val="nil"/>
              <w:bottom w:val="single" w:sz="4" w:space="0" w:color="auto"/>
              <w:right w:val="single" w:sz="4" w:space="0" w:color="auto"/>
            </w:tcBorders>
            <w:hideMark/>
          </w:tcPr>
          <w:p w14:paraId="204BD823" w14:textId="6014860D"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The population is patients with bladder cancer T1-4. </w:t>
            </w:r>
          </w:p>
        </w:tc>
      </w:tr>
      <w:tr w:rsidR="00F244EF" w:rsidRPr="00DF1914" w14:paraId="7AAD7CA4" w14:textId="77777777" w:rsidTr="00116400">
        <w:trPr>
          <w:cantSplit/>
        </w:trPr>
        <w:tc>
          <w:tcPr>
            <w:tcW w:w="1555" w:type="dxa"/>
            <w:tcBorders>
              <w:top w:val="nil"/>
              <w:left w:val="single" w:sz="4" w:space="0" w:color="auto"/>
              <w:bottom w:val="single" w:sz="4" w:space="0" w:color="auto"/>
              <w:right w:val="single" w:sz="4" w:space="0" w:color="auto"/>
            </w:tcBorders>
            <w:hideMark/>
          </w:tcPr>
          <w:p w14:paraId="1FFC23C6"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Proportion T2-T4</w:t>
            </w:r>
          </w:p>
        </w:tc>
        <w:tc>
          <w:tcPr>
            <w:tcW w:w="1842" w:type="dxa"/>
            <w:tcBorders>
              <w:top w:val="nil"/>
              <w:left w:val="nil"/>
              <w:bottom w:val="single" w:sz="4" w:space="0" w:color="auto"/>
              <w:right w:val="single" w:sz="4" w:space="0" w:color="auto"/>
            </w:tcBorders>
            <w:hideMark/>
          </w:tcPr>
          <w:p w14:paraId="26F516C8"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Constant at 53.47%</w:t>
            </w:r>
          </w:p>
        </w:tc>
        <w:tc>
          <w:tcPr>
            <w:tcW w:w="2694" w:type="dxa"/>
            <w:tcBorders>
              <w:top w:val="nil"/>
              <w:left w:val="nil"/>
              <w:bottom w:val="single" w:sz="4" w:space="0" w:color="auto"/>
              <w:right w:val="single" w:sz="4" w:space="0" w:color="auto"/>
            </w:tcBorders>
            <w:hideMark/>
          </w:tcPr>
          <w:p w14:paraId="2377C4CF"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Reynolds 2021</w:t>
            </w:r>
          </w:p>
        </w:tc>
        <w:tc>
          <w:tcPr>
            <w:tcW w:w="2926" w:type="dxa"/>
            <w:tcBorders>
              <w:top w:val="nil"/>
              <w:left w:val="nil"/>
              <w:bottom w:val="single" w:sz="4" w:space="0" w:color="auto"/>
              <w:right w:val="single" w:sz="4" w:space="0" w:color="auto"/>
            </w:tcBorders>
            <w:hideMark/>
          </w:tcPr>
          <w:p w14:paraId="44C5FDFC" w14:textId="3B2E682C"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The calculation</w:t>
            </w:r>
            <w:r w:rsidR="009F0974" w:rsidRPr="0068749D">
              <w:rPr>
                <w:rFonts w:ascii="Arial Narrow" w:hAnsi="Arial Narrow" w:cs="Calibri"/>
                <w:color w:val="000000"/>
                <w:sz w:val="20"/>
                <w:szCs w:val="20"/>
              </w:rPr>
              <w:t>, which</w:t>
            </w:r>
            <w:r w:rsidRPr="0068749D">
              <w:rPr>
                <w:rFonts w:ascii="Arial Narrow" w:hAnsi="Arial Narrow" w:cs="Calibri"/>
                <w:color w:val="000000"/>
                <w:sz w:val="20"/>
                <w:szCs w:val="20"/>
              </w:rPr>
              <w:t xml:space="preserve"> is based on the proportions of the T1 and T2-4 populations in Reynolds </w:t>
            </w:r>
            <w:r w:rsidR="00A84D37" w:rsidRPr="0068749D">
              <w:rPr>
                <w:rFonts w:ascii="Arial Narrow" w:hAnsi="Arial Narrow" w:cs="Calibri"/>
                <w:color w:val="000000"/>
                <w:sz w:val="20"/>
                <w:szCs w:val="20"/>
              </w:rPr>
              <w:t>2021</w:t>
            </w:r>
            <w:r w:rsidR="009F0974" w:rsidRPr="0068749D">
              <w:rPr>
                <w:rFonts w:ascii="Arial Narrow" w:hAnsi="Arial Narrow" w:cs="Calibri"/>
                <w:color w:val="000000"/>
                <w:sz w:val="20"/>
                <w:szCs w:val="20"/>
              </w:rPr>
              <w:t>,</w:t>
            </w:r>
            <w:r w:rsidRPr="0068749D">
              <w:rPr>
                <w:rFonts w:ascii="Arial Narrow" w:hAnsi="Arial Narrow" w:cs="Calibri"/>
                <w:color w:val="000000"/>
                <w:sz w:val="20"/>
                <w:szCs w:val="20"/>
              </w:rPr>
              <w:t xml:space="preserve"> could not be reproduced. The calculation was redone using the patient numbers presented in Reynolds. The revised value is 51.54%.</w:t>
            </w:r>
          </w:p>
        </w:tc>
      </w:tr>
      <w:tr w:rsidR="00F244EF" w:rsidRPr="00DF1914" w14:paraId="03576296" w14:textId="77777777" w:rsidTr="00116400">
        <w:trPr>
          <w:cantSplit/>
        </w:trPr>
        <w:tc>
          <w:tcPr>
            <w:tcW w:w="1555" w:type="dxa"/>
            <w:tcBorders>
              <w:top w:val="nil"/>
              <w:left w:val="single" w:sz="4" w:space="0" w:color="auto"/>
              <w:bottom w:val="single" w:sz="4" w:space="0" w:color="auto"/>
              <w:right w:val="single" w:sz="4" w:space="0" w:color="auto"/>
            </w:tcBorders>
            <w:hideMark/>
          </w:tcPr>
          <w:p w14:paraId="6C93A672"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Proportion T1</w:t>
            </w:r>
          </w:p>
        </w:tc>
        <w:tc>
          <w:tcPr>
            <w:tcW w:w="1842" w:type="dxa"/>
            <w:tcBorders>
              <w:top w:val="nil"/>
              <w:left w:val="nil"/>
              <w:bottom w:val="single" w:sz="4" w:space="0" w:color="auto"/>
              <w:right w:val="single" w:sz="4" w:space="0" w:color="auto"/>
            </w:tcBorders>
            <w:hideMark/>
          </w:tcPr>
          <w:p w14:paraId="776561D1"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Constant at 46.53%</w:t>
            </w:r>
          </w:p>
        </w:tc>
        <w:tc>
          <w:tcPr>
            <w:tcW w:w="2694" w:type="dxa"/>
            <w:tcBorders>
              <w:top w:val="nil"/>
              <w:left w:val="nil"/>
              <w:bottom w:val="single" w:sz="4" w:space="0" w:color="auto"/>
              <w:right w:val="single" w:sz="4" w:space="0" w:color="auto"/>
            </w:tcBorders>
            <w:hideMark/>
          </w:tcPr>
          <w:p w14:paraId="07667941"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Reynolds 2021</w:t>
            </w:r>
          </w:p>
        </w:tc>
        <w:tc>
          <w:tcPr>
            <w:tcW w:w="2926" w:type="dxa"/>
            <w:tcBorders>
              <w:top w:val="nil"/>
              <w:left w:val="nil"/>
              <w:bottom w:val="single" w:sz="4" w:space="0" w:color="auto"/>
              <w:right w:val="single" w:sz="4" w:space="0" w:color="auto"/>
            </w:tcBorders>
            <w:hideMark/>
          </w:tcPr>
          <w:p w14:paraId="01465C81" w14:textId="29E3F765"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This calculation </w:t>
            </w:r>
            <w:r w:rsidR="00F34CB6" w:rsidRPr="0068749D">
              <w:rPr>
                <w:rFonts w:ascii="Arial Narrow" w:hAnsi="Arial Narrow" w:cs="Calibri"/>
                <w:color w:val="000000"/>
                <w:sz w:val="20"/>
                <w:szCs w:val="20"/>
              </w:rPr>
              <w:t>(</w:t>
            </w:r>
            <w:r w:rsidR="001833B3" w:rsidRPr="0068749D">
              <w:rPr>
                <w:rFonts w:ascii="Arial Narrow" w:hAnsi="Arial Narrow" w:cs="Calibri"/>
                <w:color w:val="000000"/>
                <w:sz w:val="20"/>
                <w:szCs w:val="20"/>
              </w:rPr>
              <w:t>T1)</w:t>
            </w:r>
            <w:r w:rsidRPr="0068749D">
              <w:rPr>
                <w:rFonts w:ascii="Arial Narrow" w:hAnsi="Arial Narrow" w:cs="Calibri"/>
                <w:color w:val="000000"/>
                <w:sz w:val="20"/>
                <w:szCs w:val="20"/>
              </w:rPr>
              <w:t xml:space="preserve"> is the reciprocal of the previous </w:t>
            </w:r>
            <w:r w:rsidR="001833B3" w:rsidRPr="0068749D">
              <w:rPr>
                <w:rFonts w:ascii="Arial Narrow" w:hAnsi="Arial Narrow" w:cs="Calibri"/>
                <w:color w:val="000000"/>
                <w:sz w:val="20"/>
                <w:szCs w:val="20"/>
              </w:rPr>
              <w:t>(T</w:t>
            </w:r>
            <w:r w:rsidR="00111620" w:rsidRPr="0068749D">
              <w:rPr>
                <w:rFonts w:ascii="Arial Narrow" w:hAnsi="Arial Narrow" w:cs="Calibri"/>
                <w:color w:val="000000"/>
                <w:sz w:val="20"/>
                <w:szCs w:val="20"/>
              </w:rPr>
              <w:t>2-T4)</w:t>
            </w:r>
            <w:r w:rsidRPr="0068749D">
              <w:rPr>
                <w:rFonts w:ascii="Arial Narrow" w:hAnsi="Arial Narrow" w:cs="Calibri"/>
                <w:color w:val="000000"/>
                <w:sz w:val="20"/>
                <w:szCs w:val="20"/>
              </w:rPr>
              <w:t xml:space="preserve"> and hence is incorrect. The revised value is 48.46%.</w:t>
            </w:r>
          </w:p>
        </w:tc>
      </w:tr>
      <w:tr w:rsidR="00F244EF" w:rsidRPr="00DF1914" w14:paraId="46BECFCB" w14:textId="77777777" w:rsidTr="00116400">
        <w:trPr>
          <w:cantSplit/>
        </w:trPr>
        <w:tc>
          <w:tcPr>
            <w:tcW w:w="1555" w:type="dxa"/>
            <w:tcBorders>
              <w:top w:val="nil"/>
              <w:left w:val="single" w:sz="4" w:space="0" w:color="auto"/>
              <w:bottom w:val="single" w:sz="4" w:space="0" w:color="auto"/>
              <w:right w:val="single" w:sz="4" w:space="0" w:color="auto"/>
            </w:tcBorders>
            <w:hideMark/>
          </w:tcPr>
          <w:p w14:paraId="4A6DBDEE"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Proportion T1-T4</w:t>
            </w:r>
          </w:p>
        </w:tc>
        <w:tc>
          <w:tcPr>
            <w:tcW w:w="1842" w:type="dxa"/>
            <w:tcBorders>
              <w:top w:val="nil"/>
              <w:left w:val="nil"/>
              <w:bottom w:val="single" w:sz="4" w:space="0" w:color="auto"/>
              <w:right w:val="single" w:sz="4" w:space="0" w:color="auto"/>
            </w:tcBorders>
            <w:hideMark/>
          </w:tcPr>
          <w:p w14:paraId="6F1C2397"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Constant at 44.10%</w:t>
            </w:r>
          </w:p>
        </w:tc>
        <w:tc>
          <w:tcPr>
            <w:tcW w:w="2694" w:type="dxa"/>
            <w:tcBorders>
              <w:top w:val="nil"/>
              <w:left w:val="nil"/>
              <w:bottom w:val="single" w:sz="4" w:space="0" w:color="auto"/>
              <w:right w:val="single" w:sz="4" w:space="0" w:color="auto"/>
            </w:tcBorders>
            <w:hideMark/>
          </w:tcPr>
          <w:p w14:paraId="258E476D"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Reynolds 2021</w:t>
            </w:r>
          </w:p>
        </w:tc>
        <w:tc>
          <w:tcPr>
            <w:tcW w:w="2926" w:type="dxa"/>
            <w:tcBorders>
              <w:top w:val="nil"/>
              <w:left w:val="nil"/>
              <w:bottom w:val="single" w:sz="4" w:space="0" w:color="auto"/>
              <w:right w:val="single" w:sz="4" w:space="0" w:color="auto"/>
            </w:tcBorders>
            <w:hideMark/>
          </w:tcPr>
          <w:p w14:paraId="5E56E5E8" w14:textId="17E3FB3A"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This calculation included bladder and upper tract urothelial carcinoma which is not appropriate. The revised value is 42.48%.</w:t>
            </w:r>
            <w:r w:rsidR="000C6A4D">
              <w:rPr>
                <w:rFonts w:ascii="Arial Narrow" w:hAnsi="Arial Narrow" w:cs="Calibri"/>
                <w:color w:val="000000"/>
                <w:sz w:val="20"/>
                <w:szCs w:val="20"/>
              </w:rPr>
              <w:t xml:space="preserve"> The Pre-PBAC response </w:t>
            </w:r>
            <w:r w:rsidR="00EC0E30">
              <w:rPr>
                <w:rFonts w:ascii="Arial Narrow" w:hAnsi="Arial Narrow" w:cs="Calibri"/>
                <w:color w:val="000000"/>
                <w:sz w:val="20"/>
                <w:szCs w:val="20"/>
              </w:rPr>
              <w:t>agreed that</w:t>
            </w:r>
            <w:r w:rsidR="00A60E0C">
              <w:rPr>
                <w:rFonts w:ascii="Arial Narrow" w:hAnsi="Arial Narrow" w:cs="Calibri"/>
                <w:color w:val="000000"/>
                <w:sz w:val="20"/>
                <w:szCs w:val="20"/>
              </w:rPr>
              <w:t xml:space="preserve"> the proportion should represent bladder cancer only.</w:t>
            </w:r>
          </w:p>
        </w:tc>
      </w:tr>
      <w:tr w:rsidR="00F244EF" w:rsidRPr="00DF1914" w14:paraId="2DC6D2DD" w14:textId="77777777" w:rsidTr="00116400">
        <w:trPr>
          <w:cantSplit/>
        </w:trPr>
        <w:tc>
          <w:tcPr>
            <w:tcW w:w="1555" w:type="dxa"/>
            <w:tcBorders>
              <w:top w:val="nil"/>
              <w:left w:val="single" w:sz="4" w:space="0" w:color="auto"/>
              <w:bottom w:val="single" w:sz="4" w:space="0" w:color="auto"/>
              <w:right w:val="single" w:sz="4" w:space="0" w:color="auto"/>
            </w:tcBorders>
            <w:hideMark/>
          </w:tcPr>
          <w:p w14:paraId="213688C6"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Proportion Ta/Tis</w:t>
            </w:r>
          </w:p>
        </w:tc>
        <w:tc>
          <w:tcPr>
            <w:tcW w:w="1842" w:type="dxa"/>
            <w:tcBorders>
              <w:top w:val="nil"/>
              <w:left w:val="nil"/>
              <w:bottom w:val="single" w:sz="4" w:space="0" w:color="auto"/>
              <w:right w:val="single" w:sz="4" w:space="0" w:color="auto"/>
            </w:tcBorders>
            <w:hideMark/>
          </w:tcPr>
          <w:p w14:paraId="4429C83B"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Constant at 55.90%</w:t>
            </w:r>
          </w:p>
        </w:tc>
        <w:tc>
          <w:tcPr>
            <w:tcW w:w="2694" w:type="dxa"/>
            <w:tcBorders>
              <w:top w:val="nil"/>
              <w:left w:val="nil"/>
              <w:bottom w:val="single" w:sz="4" w:space="0" w:color="auto"/>
              <w:right w:val="single" w:sz="4" w:space="0" w:color="auto"/>
            </w:tcBorders>
            <w:hideMark/>
          </w:tcPr>
          <w:p w14:paraId="11F35109"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Reynolds 2021</w:t>
            </w:r>
          </w:p>
        </w:tc>
        <w:tc>
          <w:tcPr>
            <w:tcW w:w="2926" w:type="dxa"/>
            <w:tcBorders>
              <w:top w:val="nil"/>
              <w:left w:val="nil"/>
              <w:bottom w:val="single" w:sz="4" w:space="0" w:color="auto"/>
              <w:right w:val="single" w:sz="4" w:space="0" w:color="auto"/>
            </w:tcBorders>
            <w:hideMark/>
          </w:tcPr>
          <w:p w14:paraId="3E787254" w14:textId="14794030"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This calculation </w:t>
            </w:r>
            <w:r w:rsidR="000D1DDF" w:rsidRPr="0068749D">
              <w:rPr>
                <w:rFonts w:ascii="Arial Narrow" w:hAnsi="Arial Narrow" w:cs="Calibri"/>
                <w:color w:val="000000"/>
                <w:sz w:val="20"/>
                <w:szCs w:val="20"/>
              </w:rPr>
              <w:t>(Ta/Tis)</w:t>
            </w:r>
            <w:r w:rsidRPr="0068749D">
              <w:rPr>
                <w:rFonts w:ascii="Arial Narrow" w:hAnsi="Arial Narrow" w:cs="Calibri"/>
                <w:color w:val="000000"/>
                <w:sz w:val="20"/>
                <w:szCs w:val="20"/>
              </w:rPr>
              <w:t xml:space="preserve"> is the reciprocal of the previous </w:t>
            </w:r>
            <w:r w:rsidR="00C044B5" w:rsidRPr="0068749D">
              <w:rPr>
                <w:rFonts w:ascii="Arial Narrow" w:hAnsi="Arial Narrow" w:cs="Calibri"/>
                <w:color w:val="000000"/>
                <w:sz w:val="20"/>
                <w:szCs w:val="20"/>
              </w:rPr>
              <w:t>(T1-T4)</w:t>
            </w:r>
            <w:r w:rsidRPr="0068749D">
              <w:rPr>
                <w:rFonts w:ascii="Arial Narrow" w:hAnsi="Arial Narrow" w:cs="Calibri"/>
                <w:color w:val="000000"/>
                <w:sz w:val="20"/>
                <w:szCs w:val="20"/>
              </w:rPr>
              <w:t xml:space="preserve"> and hence is incorrect. The revised value is 57.52%.</w:t>
            </w:r>
          </w:p>
        </w:tc>
      </w:tr>
      <w:tr w:rsidR="00F244EF" w:rsidRPr="00DF1914" w14:paraId="67085F4D" w14:textId="77777777" w:rsidTr="00116400">
        <w:trPr>
          <w:cantSplit/>
        </w:trPr>
        <w:tc>
          <w:tcPr>
            <w:tcW w:w="1555" w:type="dxa"/>
            <w:tcBorders>
              <w:top w:val="nil"/>
              <w:left w:val="single" w:sz="4" w:space="0" w:color="auto"/>
              <w:bottom w:val="single" w:sz="4" w:space="0" w:color="auto"/>
              <w:right w:val="single" w:sz="4" w:space="0" w:color="auto"/>
            </w:tcBorders>
            <w:hideMark/>
          </w:tcPr>
          <w:p w14:paraId="3F9433AA"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Incident patients</w:t>
            </w:r>
          </w:p>
        </w:tc>
        <w:tc>
          <w:tcPr>
            <w:tcW w:w="1842" w:type="dxa"/>
            <w:tcBorders>
              <w:top w:val="nil"/>
              <w:left w:val="nil"/>
              <w:bottom w:val="single" w:sz="4" w:space="0" w:color="auto"/>
              <w:right w:val="single" w:sz="4" w:space="0" w:color="auto"/>
            </w:tcBorders>
            <w:hideMark/>
          </w:tcPr>
          <w:p w14:paraId="338ED042"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Increasing from</w:t>
            </w:r>
          </w:p>
          <w:p w14:paraId="08D8431B"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1,854 in Year 1 to</w:t>
            </w:r>
          </w:p>
          <w:p w14:paraId="6B930F17"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2,090 in Year 6</w:t>
            </w:r>
          </w:p>
        </w:tc>
        <w:tc>
          <w:tcPr>
            <w:tcW w:w="2694" w:type="dxa"/>
            <w:tcBorders>
              <w:top w:val="nil"/>
              <w:left w:val="nil"/>
              <w:bottom w:val="single" w:sz="4" w:space="0" w:color="auto"/>
              <w:right w:val="single" w:sz="4" w:space="0" w:color="auto"/>
            </w:tcBorders>
            <w:hideMark/>
          </w:tcPr>
          <w:p w14:paraId="03B6CC9C"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Calculation</w:t>
            </w:r>
          </w:p>
        </w:tc>
        <w:tc>
          <w:tcPr>
            <w:tcW w:w="2926" w:type="dxa"/>
            <w:tcBorders>
              <w:top w:val="nil"/>
              <w:left w:val="nil"/>
              <w:bottom w:val="single" w:sz="4" w:space="0" w:color="auto"/>
              <w:right w:val="single" w:sz="4" w:space="0" w:color="auto"/>
            </w:tcBorders>
            <w:hideMark/>
          </w:tcPr>
          <w:p w14:paraId="16D43BD7" w14:textId="6C294C11" w:rsidR="00F244EF" w:rsidRPr="0068749D" w:rsidRDefault="00F244EF" w:rsidP="00E90D47">
            <w:pPr>
              <w:jc w:val="left"/>
              <w:rPr>
                <w:rFonts w:ascii="Arial Narrow" w:hAnsi="Arial Narrow" w:cs="Calibri"/>
                <w:color w:val="000000"/>
                <w:sz w:val="20"/>
                <w:szCs w:val="20"/>
              </w:rPr>
            </w:pPr>
          </w:p>
        </w:tc>
      </w:tr>
      <w:tr w:rsidR="00F244EF" w:rsidRPr="00DF1914" w14:paraId="1A0DB40E" w14:textId="77777777" w:rsidTr="00116400">
        <w:trPr>
          <w:cantSplit/>
        </w:trPr>
        <w:tc>
          <w:tcPr>
            <w:tcW w:w="1555" w:type="dxa"/>
            <w:tcBorders>
              <w:top w:val="nil"/>
              <w:left w:val="single" w:sz="4" w:space="0" w:color="auto"/>
              <w:bottom w:val="single" w:sz="4" w:space="0" w:color="auto"/>
              <w:right w:val="single" w:sz="4" w:space="0" w:color="auto"/>
            </w:tcBorders>
            <w:hideMark/>
          </w:tcPr>
          <w:p w14:paraId="473CEFA7" w14:textId="2F642610"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Progression from NMIBC to M</w:t>
            </w:r>
            <w:r w:rsidR="00B954E4" w:rsidRPr="0068749D">
              <w:rPr>
                <w:rFonts w:ascii="Arial Narrow" w:hAnsi="Arial Narrow" w:cs="Calibri"/>
                <w:color w:val="000000"/>
                <w:sz w:val="20"/>
                <w:szCs w:val="20"/>
              </w:rPr>
              <w:t>I</w:t>
            </w:r>
            <w:r w:rsidRPr="0068749D">
              <w:rPr>
                <w:rFonts w:ascii="Arial Narrow" w:hAnsi="Arial Narrow" w:cs="Calibri"/>
                <w:color w:val="000000"/>
                <w:sz w:val="20"/>
                <w:szCs w:val="20"/>
              </w:rPr>
              <w:t>BC</w:t>
            </w:r>
          </w:p>
        </w:tc>
        <w:tc>
          <w:tcPr>
            <w:tcW w:w="1842" w:type="dxa"/>
            <w:tcBorders>
              <w:top w:val="nil"/>
              <w:left w:val="nil"/>
              <w:bottom w:val="single" w:sz="4" w:space="0" w:color="auto"/>
              <w:right w:val="single" w:sz="4" w:space="0" w:color="auto"/>
            </w:tcBorders>
            <w:hideMark/>
          </w:tcPr>
          <w:p w14:paraId="07C2BBFA"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Constant at 12%</w:t>
            </w:r>
          </w:p>
        </w:tc>
        <w:tc>
          <w:tcPr>
            <w:tcW w:w="2694" w:type="dxa"/>
            <w:tcBorders>
              <w:top w:val="nil"/>
              <w:left w:val="nil"/>
              <w:bottom w:val="single" w:sz="4" w:space="0" w:color="auto"/>
              <w:right w:val="single" w:sz="4" w:space="0" w:color="auto"/>
            </w:tcBorders>
            <w:hideMark/>
          </w:tcPr>
          <w:p w14:paraId="54B22549"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BLADDA Registry, October 2024 interim report</w:t>
            </w:r>
          </w:p>
        </w:tc>
        <w:tc>
          <w:tcPr>
            <w:tcW w:w="2926" w:type="dxa"/>
            <w:tcBorders>
              <w:top w:val="nil"/>
              <w:left w:val="nil"/>
              <w:bottom w:val="single" w:sz="4" w:space="0" w:color="auto"/>
              <w:right w:val="single" w:sz="4" w:space="0" w:color="auto"/>
            </w:tcBorders>
            <w:hideMark/>
          </w:tcPr>
          <w:p w14:paraId="514D3597" w14:textId="0E679B03" w:rsidR="00F244EF" w:rsidRPr="0068749D" w:rsidRDefault="00F244EF" w:rsidP="00E90D47">
            <w:pPr>
              <w:jc w:val="left"/>
              <w:rPr>
                <w:rFonts w:ascii="Arial Narrow" w:hAnsi="Arial Narrow" w:cs="Calibri"/>
                <w:color w:val="000000"/>
                <w:sz w:val="20"/>
                <w:szCs w:val="20"/>
              </w:rPr>
            </w:pPr>
          </w:p>
        </w:tc>
      </w:tr>
      <w:tr w:rsidR="00F244EF" w:rsidRPr="00DF1914" w14:paraId="6B2E976F" w14:textId="77777777" w:rsidTr="00116400">
        <w:trPr>
          <w:cantSplit/>
        </w:trPr>
        <w:tc>
          <w:tcPr>
            <w:tcW w:w="1555" w:type="dxa"/>
            <w:tcBorders>
              <w:top w:val="nil"/>
              <w:left w:val="single" w:sz="4" w:space="0" w:color="auto"/>
              <w:bottom w:val="single" w:sz="4" w:space="0" w:color="auto"/>
              <w:right w:val="single" w:sz="4" w:space="0" w:color="auto"/>
            </w:tcBorders>
            <w:hideMark/>
          </w:tcPr>
          <w:p w14:paraId="1AC13A88"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Progressing patients</w:t>
            </w:r>
          </w:p>
        </w:tc>
        <w:tc>
          <w:tcPr>
            <w:tcW w:w="1842" w:type="dxa"/>
            <w:tcBorders>
              <w:top w:val="nil"/>
              <w:left w:val="nil"/>
              <w:bottom w:val="single" w:sz="4" w:space="0" w:color="auto"/>
              <w:right w:val="single" w:sz="4" w:space="0" w:color="auto"/>
            </w:tcBorders>
            <w:hideMark/>
          </w:tcPr>
          <w:p w14:paraId="01EF24CA"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Increasing from</w:t>
            </w:r>
          </w:p>
          <w:p w14:paraId="4E630165"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721 in Year 1 to</w:t>
            </w:r>
          </w:p>
          <w:p w14:paraId="47395962"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813 in Year 6</w:t>
            </w:r>
          </w:p>
        </w:tc>
        <w:tc>
          <w:tcPr>
            <w:tcW w:w="2694" w:type="dxa"/>
            <w:tcBorders>
              <w:top w:val="nil"/>
              <w:left w:val="nil"/>
              <w:bottom w:val="single" w:sz="4" w:space="0" w:color="auto"/>
              <w:right w:val="single" w:sz="4" w:space="0" w:color="auto"/>
            </w:tcBorders>
            <w:hideMark/>
          </w:tcPr>
          <w:p w14:paraId="7E26DF56"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Calculation</w:t>
            </w:r>
          </w:p>
        </w:tc>
        <w:tc>
          <w:tcPr>
            <w:tcW w:w="2926" w:type="dxa"/>
            <w:tcBorders>
              <w:top w:val="nil"/>
              <w:left w:val="nil"/>
              <w:bottom w:val="single" w:sz="4" w:space="0" w:color="auto"/>
              <w:right w:val="single" w:sz="4" w:space="0" w:color="auto"/>
            </w:tcBorders>
            <w:hideMark/>
          </w:tcPr>
          <w:p w14:paraId="3452E52C" w14:textId="07580637" w:rsidR="00F244EF" w:rsidRPr="0068749D" w:rsidRDefault="00F244EF" w:rsidP="00E90D47">
            <w:pPr>
              <w:jc w:val="left"/>
              <w:rPr>
                <w:rFonts w:ascii="Arial Narrow" w:hAnsi="Arial Narrow" w:cs="Calibri"/>
                <w:color w:val="000000"/>
                <w:sz w:val="20"/>
                <w:szCs w:val="20"/>
              </w:rPr>
            </w:pPr>
          </w:p>
        </w:tc>
      </w:tr>
      <w:tr w:rsidR="00F244EF" w:rsidRPr="00DF1914" w14:paraId="0DACF704" w14:textId="77777777" w:rsidTr="00116400">
        <w:trPr>
          <w:cantSplit/>
        </w:trPr>
        <w:tc>
          <w:tcPr>
            <w:tcW w:w="1555" w:type="dxa"/>
            <w:tcBorders>
              <w:top w:val="nil"/>
              <w:left w:val="single" w:sz="4" w:space="0" w:color="auto"/>
              <w:bottom w:val="single" w:sz="4" w:space="0" w:color="auto"/>
              <w:right w:val="single" w:sz="4" w:space="0" w:color="auto"/>
            </w:tcBorders>
            <w:hideMark/>
          </w:tcPr>
          <w:p w14:paraId="75745DFB"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Overall incident patients</w:t>
            </w:r>
          </w:p>
        </w:tc>
        <w:tc>
          <w:tcPr>
            <w:tcW w:w="1842" w:type="dxa"/>
            <w:tcBorders>
              <w:top w:val="nil"/>
              <w:left w:val="nil"/>
              <w:bottom w:val="single" w:sz="4" w:space="0" w:color="auto"/>
              <w:right w:val="single" w:sz="4" w:space="0" w:color="auto"/>
            </w:tcBorders>
            <w:hideMark/>
          </w:tcPr>
          <w:p w14:paraId="0C464C50" w14:textId="77777777" w:rsidR="00F244EF" w:rsidRPr="00F822E4" w:rsidRDefault="00F244EF" w:rsidP="00E90D47">
            <w:pPr>
              <w:jc w:val="left"/>
              <w:rPr>
                <w:rFonts w:ascii="Arial Narrow" w:hAnsi="Arial Narrow" w:cs="Calibri"/>
                <w:color w:val="000000"/>
                <w:sz w:val="20"/>
                <w:szCs w:val="20"/>
              </w:rPr>
            </w:pPr>
            <w:r w:rsidRPr="00F822E4">
              <w:rPr>
                <w:rFonts w:ascii="Arial Narrow" w:hAnsi="Arial Narrow" w:cs="Calibri"/>
                <w:color w:val="000000"/>
                <w:sz w:val="20"/>
                <w:szCs w:val="20"/>
              </w:rPr>
              <w:t>Increasing from</w:t>
            </w:r>
            <w:r w:rsidRPr="00F822E4">
              <w:rPr>
                <w:rFonts w:ascii="Arial Narrow" w:hAnsi="Arial Narrow" w:cs="Calibri"/>
                <w:color w:val="000000"/>
                <w:sz w:val="20"/>
                <w:szCs w:val="20"/>
              </w:rPr>
              <w:br/>
              <w:t>2,575 in Year 1 to</w:t>
            </w:r>
            <w:r w:rsidRPr="00F822E4">
              <w:rPr>
                <w:rFonts w:ascii="Arial Narrow" w:hAnsi="Arial Narrow" w:cs="Calibri"/>
                <w:color w:val="000000"/>
                <w:sz w:val="20"/>
                <w:szCs w:val="20"/>
              </w:rPr>
              <w:br/>
              <w:t>2,902 in Year 6</w:t>
            </w:r>
          </w:p>
        </w:tc>
        <w:tc>
          <w:tcPr>
            <w:tcW w:w="2694" w:type="dxa"/>
            <w:tcBorders>
              <w:top w:val="nil"/>
              <w:left w:val="nil"/>
              <w:bottom w:val="single" w:sz="4" w:space="0" w:color="auto"/>
              <w:right w:val="single" w:sz="4" w:space="0" w:color="auto"/>
            </w:tcBorders>
            <w:hideMark/>
          </w:tcPr>
          <w:p w14:paraId="7FEA62B7"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Incident and progressing patients</w:t>
            </w:r>
          </w:p>
        </w:tc>
        <w:tc>
          <w:tcPr>
            <w:tcW w:w="2926" w:type="dxa"/>
            <w:tcBorders>
              <w:top w:val="nil"/>
              <w:left w:val="nil"/>
              <w:bottom w:val="single" w:sz="4" w:space="0" w:color="auto"/>
              <w:right w:val="single" w:sz="4" w:space="0" w:color="auto"/>
            </w:tcBorders>
            <w:hideMark/>
          </w:tcPr>
          <w:p w14:paraId="5DD9F586" w14:textId="56F31DF5" w:rsidR="00F244EF" w:rsidRPr="0068749D" w:rsidRDefault="00F244EF" w:rsidP="00E90D47">
            <w:pPr>
              <w:jc w:val="left"/>
              <w:rPr>
                <w:rFonts w:ascii="Arial Narrow" w:hAnsi="Arial Narrow" w:cs="Calibri"/>
                <w:color w:val="000000"/>
                <w:sz w:val="20"/>
                <w:szCs w:val="20"/>
              </w:rPr>
            </w:pPr>
          </w:p>
        </w:tc>
      </w:tr>
      <w:tr w:rsidR="00F244EF" w:rsidRPr="00DF1914" w14:paraId="5FB381C7" w14:textId="77777777" w:rsidTr="00116400">
        <w:trPr>
          <w:cantSplit/>
        </w:trPr>
        <w:tc>
          <w:tcPr>
            <w:tcW w:w="1555" w:type="dxa"/>
            <w:tcBorders>
              <w:top w:val="nil"/>
              <w:left w:val="single" w:sz="4" w:space="0" w:color="auto"/>
              <w:bottom w:val="single" w:sz="4" w:space="0" w:color="auto"/>
              <w:right w:val="single" w:sz="4" w:space="0" w:color="auto"/>
            </w:tcBorders>
            <w:hideMark/>
          </w:tcPr>
          <w:p w14:paraId="3F8D060E"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Patients receiving RC</w:t>
            </w:r>
          </w:p>
        </w:tc>
        <w:tc>
          <w:tcPr>
            <w:tcW w:w="1842" w:type="dxa"/>
            <w:tcBorders>
              <w:top w:val="nil"/>
              <w:left w:val="nil"/>
              <w:bottom w:val="single" w:sz="4" w:space="0" w:color="auto"/>
              <w:right w:val="single" w:sz="4" w:space="0" w:color="auto"/>
            </w:tcBorders>
            <w:hideMark/>
          </w:tcPr>
          <w:p w14:paraId="202E2A5E"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Constant </w:t>
            </w:r>
            <w:r w:rsidRPr="001C4CBA">
              <w:rPr>
                <w:rFonts w:ascii="Arial Narrow" w:hAnsi="Arial Narrow" w:cs="Calibri"/>
                <w:color w:val="000000"/>
                <w:sz w:val="20"/>
                <w:szCs w:val="20"/>
              </w:rPr>
              <w:t>at 65</w:t>
            </w:r>
            <w:r w:rsidRPr="0068749D">
              <w:rPr>
                <w:rFonts w:ascii="Arial Narrow" w:hAnsi="Arial Narrow" w:cs="Calibri"/>
                <w:color w:val="000000"/>
                <w:sz w:val="20"/>
                <w:szCs w:val="20"/>
              </w:rPr>
              <w:t>%</w:t>
            </w:r>
          </w:p>
        </w:tc>
        <w:tc>
          <w:tcPr>
            <w:tcW w:w="2694" w:type="dxa"/>
            <w:tcBorders>
              <w:top w:val="nil"/>
              <w:left w:val="nil"/>
              <w:bottom w:val="single" w:sz="4" w:space="0" w:color="auto"/>
              <w:right w:val="single" w:sz="4" w:space="0" w:color="auto"/>
            </w:tcBorders>
            <w:hideMark/>
          </w:tcPr>
          <w:p w14:paraId="261C257A"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BLADDA Registry, October 2024 interim report, Table 5</w:t>
            </w:r>
          </w:p>
        </w:tc>
        <w:tc>
          <w:tcPr>
            <w:tcW w:w="2926" w:type="dxa"/>
            <w:tcBorders>
              <w:top w:val="nil"/>
              <w:left w:val="nil"/>
              <w:bottom w:val="single" w:sz="4" w:space="0" w:color="auto"/>
              <w:right w:val="single" w:sz="4" w:space="0" w:color="auto"/>
            </w:tcBorders>
            <w:noWrap/>
            <w:hideMark/>
          </w:tcPr>
          <w:p w14:paraId="20D67E2F" w14:textId="7CA2DDA6" w:rsidR="00F244EF" w:rsidRPr="0068749D" w:rsidRDefault="00F244EF" w:rsidP="00E90D47">
            <w:pPr>
              <w:jc w:val="left"/>
              <w:rPr>
                <w:rFonts w:ascii="Arial Narrow" w:hAnsi="Arial Narrow" w:cs="Calibri"/>
                <w:color w:val="000000"/>
                <w:sz w:val="20"/>
                <w:szCs w:val="22"/>
              </w:rPr>
            </w:pPr>
          </w:p>
        </w:tc>
      </w:tr>
      <w:tr w:rsidR="00F244EF" w:rsidRPr="00DF1914" w14:paraId="39F38C01" w14:textId="77777777" w:rsidTr="00116400">
        <w:trPr>
          <w:cantSplit/>
        </w:trPr>
        <w:tc>
          <w:tcPr>
            <w:tcW w:w="1555" w:type="dxa"/>
            <w:tcBorders>
              <w:top w:val="nil"/>
              <w:left w:val="single" w:sz="4" w:space="0" w:color="auto"/>
              <w:bottom w:val="single" w:sz="4" w:space="0" w:color="auto"/>
              <w:right w:val="single" w:sz="4" w:space="0" w:color="auto"/>
            </w:tcBorders>
            <w:hideMark/>
          </w:tcPr>
          <w:p w14:paraId="04868BAF" w14:textId="77777777" w:rsidR="00F244EF" w:rsidRPr="0019435F" w:rsidRDefault="00F244EF" w:rsidP="00E90D47">
            <w:pPr>
              <w:jc w:val="left"/>
              <w:rPr>
                <w:rFonts w:ascii="Arial Narrow" w:hAnsi="Arial Narrow" w:cs="Calibri"/>
                <w:color w:val="000000"/>
                <w:sz w:val="20"/>
                <w:szCs w:val="20"/>
              </w:rPr>
            </w:pPr>
            <w:r w:rsidRPr="0019435F">
              <w:rPr>
                <w:rFonts w:ascii="Arial Narrow" w:hAnsi="Arial Narrow" w:cs="Calibri"/>
                <w:color w:val="000000"/>
                <w:sz w:val="20"/>
                <w:szCs w:val="20"/>
              </w:rPr>
              <w:lastRenderedPageBreak/>
              <w:t>RC patients receiving NAC</w:t>
            </w:r>
          </w:p>
        </w:tc>
        <w:tc>
          <w:tcPr>
            <w:tcW w:w="1842" w:type="dxa"/>
            <w:tcBorders>
              <w:top w:val="nil"/>
              <w:left w:val="nil"/>
              <w:bottom w:val="single" w:sz="4" w:space="0" w:color="auto"/>
              <w:right w:val="single" w:sz="4" w:space="0" w:color="auto"/>
            </w:tcBorders>
            <w:hideMark/>
          </w:tcPr>
          <w:p w14:paraId="38A96AA1" w14:textId="77777777" w:rsidR="00F244EF" w:rsidRPr="0019435F" w:rsidRDefault="00F244EF" w:rsidP="00E90D47">
            <w:pPr>
              <w:jc w:val="left"/>
              <w:rPr>
                <w:rFonts w:ascii="Arial Narrow" w:hAnsi="Arial Narrow" w:cs="Calibri"/>
                <w:color w:val="000000"/>
                <w:sz w:val="20"/>
                <w:szCs w:val="20"/>
              </w:rPr>
            </w:pPr>
            <w:r w:rsidRPr="0019435F">
              <w:rPr>
                <w:rFonts w:ascii="Arial Narrow" w:hAnsi="Arial Narrow" w:cs="Calibri"/>
                <w:color w:val="000000"/>
                <w:sz w:val="20"/>
                <w:szCs w:val="20"/>
              </w:rPr>
              <w:t>Increasing from</w:t>
            </w:r>
            <w:r w:rsidRPr="0019435F">
              <w:rPr>
                <w:rFonts w:ascii="Arial Narrow" w:hAnsi="Arial Narrow" w:cs="Calibri"/>
                <w:color w:val="000000"/>
                <w:sz w:val="20"/>
                <w:szCs w:val="20"/>
              </w:rPr>
              <w:br/>
              <w:t>60.50% in Year 1 to</w:t>
            </w:r>
            <w:r w:rsidRPr="0019435F">
              <w:rPr>
                <w:rFonts w:ascii="Arial Narrow" w:hAnsi="Arial Narrow" w:cs="Calibri"/>
                <w:color w:val="000000"/>
                <w:sz w:val="20"/>
                <w:szCs w:val="20"/>
              </w:rPr>
              <w:br/>
              <w:t>67.40% in Year 6</w:t>
            </w:r>
          </w:p>
        </w:tc>
        <w:tc>
          <w:tcPr>
            <w:tcW w:w="2694" w:type="dxa"/>
            <w:tcBorders>
              <w:top w:val="nil"/>
              <w:left w:val="nil"/>
              <w:bottom w:val="single" w:sz="4" w:space="0" w:color="auto"/>
              <w:right w:val="single" w:sz="4" w:space="0" w:color="auto"/>
            </w:tcBorders>
            <w:hideMark/>
          </w:tcPr>
          <w:p w14:paraId="566C62DA"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Hiong et al, 2022</w:t>
            </w:r>
          </w:p>
        </w:tc>
        <w:tc>
          <w:tcPr>
            <w:tcW w:w="2926" w:type="dxa"/>
            <w:tcBorders>
              <w:top w:val="nil"/>
              <w:left w:val="nil"/>
              <w:bottom w:val="single" w:sz="4" w:space="0" w:color="auto"/>
              <w:right w:val="single" w:sz="4" w:space="0" w:color="auto"/>
            </w:tcBorders>
            <w:noWrap/>
            <w:hideMark/>
          </w:tcPr>
          <w:p w14:paraId="17192029" w14:textId="534119C3" w:rsidR="00F244EF" w:rsidRPr="0068749D" w:rsidRDefault="00222352" w:rsidP="00E90D47">
            <w:pPr>
              <w:jc w:val="left"/>
              <w:rPr>
                <w:rFonts w:ascii="Arial Narrow" w:hAnsi="Arial Narrow" w:cs="Calibri"/>
                <w:color w:val="000000"/>
                <w:sz w:val="20"/>
                <w:szCs w:val="22"/>
              </w:rPr>
            </w:pPr>
            <w:r>
              <w:rPr>
                <w:rFonts w:ascii="Arial Narrow" w:hAnsi="Arial Narrow" w:cs="Calibri"/>
                <w:color w:val="000000"/>
                <w:sz w:val="20"/>
                <w:szCs w:val="20"/>
              </w:rPr>
              <w:t>T</w:t>
            </w:r>
            <w:r w:rsidR="00F244EF" w:rsidRPr="0068749D">
              <w:rPr>
                <w:rFonts w:ascii="Arial Narrow" w:hAnsi="Arial Narrow" w:cs="Calibri"/>
                <w:color w:val="000000"/>
                <w:sz w:val="20"/>
                <w:szCs w:val="20"/>
              </w:rPr>
              <w:t>he method used to extrapolate across the listing period is unclear. The rate decreases uniformly across time, except for the last year which increases by nearly double the rate of the prior year which is not appropriate.</w:t>
            </w:r>
          </w:p>
        </w:tc>
      </w:tr>
      <w:tr w:rsidR="00F244EF" w:rsidRPr="00DF1914" w14:paraId="5862A271" w14:textId="77777777" w:rsidTr="00116400">
        <w:trPr>
          <w:cantSplit/>
        </w:trPr>
        <w:tc>
          <w:tcPr>
            <w:tcW w:w="1555" w:type="dxa"/>
            <w:tcBorders>
              <w:top w:val="nil"/>
              <w:left w:val="single" w:sz="4" w:space="0" w:color="auto"/>
              <w:bottom w:val="single" w:sz="4" w:space="0" w:color="auto"/>
              <w:right w:val="single" w:sz="4" w:space="0" w:color="auto"/>
            </w:tcBorders>
            <w:hideMark/>
          </w:tcPr>
          <w:p w14:paraId="4F4EC44D"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Adjustment for patients who initiate NAC but do not progress to RC</w:t>
            </w:r>
          </w:p>
        </w:tc>
        <w:tc>
          <w:tcPr>
            <w:tcW w:w="1842" w:type="dxa"/>
            <w:tcBorders>
              <w:top w:val="nil"/>
              <w:left w:val="nil"/>
              <w:bottom w:val="single" w:sz="4" w:space="0" w:color="auto"/>
              <w:right w:val="single" w:sz="4" w:space="0" w:color="auto"/>
            </w:tcBorders>
            <w:hideMark/>
          </w:tcPr>
          <w:p w14:paraId="1BCD91D2"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Constant at </w:t>
            </w:r>
            <w:r w:rsidRPr="001C4CBA">
              <w:rPr>
                <w:rFonts w:ascii="Arial Narrow" w:hAnsi="Arial Narrow" w:cs="Calibri"/>
                <w:color w:val="000000"/>
                <w:sz w:val="20"/>
                <w:szCs w:val="20"/>
              </w:rPr>
              <w:t>113.65</w:t>
            </w:r>
            <w:r w:rsidRPr="0068749D">
              <w:rPr>
                <w:rFonts w:ascii="Arial Narrow" w:hAnsi="Arial Narrow" w:cs="Calibri"/>
                <w:color w:val="000000"/>
                <w:sz w:val="20"/>
                <w:szCs w:val="20"/>
              </w:rPr>
              <w:t>%</w:t>
            </w:r>
          </w:p>
        </w:tc>
        <w:tc>
          <w:tcPr>
            <w:tcW w:w="2694" w:type="dxa"/>
            <w:tcBorders>
              <w:top w:val="nil"/>
              <w:left w:val="nil"/>
              <w:bottom w:val="single" w:sz="4" w:space="0" w:color="auto"/>
              <w:right w:val="single" w:sz="4" w:space="0" w:color="auto"/>
            </w:tcBorders>
            <w:hideMark/>
          </w:tcPr>
          <w:p w14:paraId="385FE295" w14:textId="6B67B7EA"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Sponsor calculation</w:t>
            </w:r>
          </w:p>
        </w:tc>
        <w:tc>
          <w:tcPr>
            <w:tcW w:w="2926" w:type="dxa"/>
            <w:tcBorders>
              <w:top w:val="nil"/>
              <w:left w:val="nil"/>
              <w:bottom w:val="single" w:sz="4" w:space="0" w:color="auto"/>
              <w:right w:val="single" w:sz="4" w:space="0" w:color="auto"/>
            </w:tcBorders>
            <w:noWrap/>
            <w:hideMark/>
          </w:tcPr>
          <w:p w14:paraId="518437EF" w14:textId="23E0236C" w:rsidR="00F244EF" w:rsidRPr="0068749D" w:rsidRDefault="00F244EF" w:rsidP="00E90D47">
            <w:pPr>
              <w:jc w:val="left"/>
              <w:rPr>
                <w:rFonts w:ascii="Arial Narrow" w:hAnsi="Arial Narrow" w:cs="Calibri"/>
                <w:color w:val="000000"/>
                <w:sz w:val="20"/>
                <w:szCs w:val="22"/>
              </w:rPr>
            </w:pPr>
            <w:r w:rsidRPr="0068749D">
              <w:rPr>
                <w:rFonts w:ascii="Arial Narrow" w:hAnsi="Arial Narrow" w:cs="Calibri"/>
                <w:color w:val="000000"/>
                <w:sz w:val="20"/>
                <w:szCs w:val="22"/>
              </w:rPr>
              <w:t xml:space="preserve">The sponsor applied an adjustment based on the number of patients who underwent </w:t>
            </w:r>
            <w:r w:rsidR="004D33F4">
              <w:rPr>
                <w:rFonts w:ascii="Arial Narrow" w:hAnsi="Arial Narrow" w:cs="Calibri"/>
                <w:color w:val="000000"/>
                <w:sz w:val="20"/>
                <w:szCs w:val="22"/>
              </w:rPr>
              <w:t>RC</w:t>
            </w:r>
            <w:r w:rsidR="004D33F4" w:rsidRPr="0068749D">
              <w:rPr>
                <w:rFonts w:ascii="Arial Narrow" w:hAnsi="Arial Narrow" w:cs="Calibri"/>
                <w:color w:val="000000"/>
                <w:sz w:val="20"/>
                <w:szCs w:val="22"/>
              </w:rPr>
              <w:t xml:space="preserve"> </w:t>
            </w:r>
            <w:r w:rsidRPr="0068749D">
              <w:rPr>
                <w:rFonts w:ascii="Arial Narrow" w:hAnsi="Arial Narrow" w:cs="Calibri"/>
                <w:color w:val="000000"/>
                <w:sz w:val="20"/>
                <w:szCs w:val="22"/>
              </w:rPr>
              <w:t xml:space="preserve">(469) in the durvalumab + gemcitabine/cisplatin arm (533) of the NIAGARA trial. </w:t>
            </w:r>
          </w:p>
        </w:tc>
      </w:tr>
      <w:tr w:rsidR="00F244EF" w:rsidRPr="00DF1914" w14:paraId="3CB9CE48" w14:textId="77777777" w:rsidTr="00116400">
        <w:trPr>
          <w:cantSplit/>
        </w:trPr>
        <w:tc>
          <w:tcPr>
            <w:tcW w:w="1555" w:type="dxa"/>
            <w:tcBorders>
              <w:top w:val="nil"/>
              <w:left w:val="single" w:sz="4" w:space="0" w:color="auto"/>
              <w:bottom w:val="single" w:sz="4" w:space="0" w:color="auto"/>
              <w:right w:val="single" w:sz="4" w:space="0" w:color="auto"/>
            </w:tcBorders>
            <w:hideMark/>
          </w:tcPr>
          <w:p w14:paraId="5AFEA1FD" w14:textId="7E63A34B"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WHO Performance Status 0-1</w:t>
            </w:r>
          </w:p>
        </w:tc>
        <w:tc>
          <w:tcPr>
            <w:tcW w:w="1842" w:type="dxa"/>
            <w:tcBorders>
              <w:top w:val="nil"/>
              <w:left w:val="nil"/>
              <w:bottom w:val="single" w:sz="4" w:space="0" w:color="auto"/>
              <w:right w:val="single" w:sz="4" w:space="0" w:color="auto"/>
            </w:tcBorders>
            <w:hideMark/>
          </w:tcPr>
          <w:p w14:paraId="7599580D"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Constant at </w:t>
            </w:r>
            <w:r w:rsidRPr="001C4CBA">
              <w:rPr>
                <w:rFonts w:ascii="Arial Narrow" w:hAnsi="Arial Narrow" w:cs="Calibri"/>
                <w:color w:val="000000"/>
                <w:sz w:val="20"/>
                <w:szCs w:val="20"/>
              </w:rPr>
              <w:t>100</w:t>
            </w:r>
            <w:r w:rsidRPr="0068749D">
              <w:rPr>
                <w:rFonts w:ascii="Arial Narrow" w:hAnsi="Arial Narrow" w:cs="Calibri"/>
                <w:color w:val="000000"/>
                <w:sz w:val="20"/>
                <w:szCs w:val="20"/>
              </w:rPr>
              <w:t>%</w:t>
            </w:r>
          </w:p>
        </w:tc>
        <w:tc>
          <w:tcPr>
            <w:tcW w:w="2694" w:type="dxa"/>
            <w:tcBorders>
              <w:top w:val="nil"/>
              <w:left w:val="nil"/>
              <w:bottom w:val="single" w:sz="4" w:space="0" w:color="auto"/>
              <w:right w:val="single" w:sz="4" w:space="0" w:color="auto"/>
            </w:tcBorders>
            <w:hideMark/>
          </w:tcPr>
          <w:p w14:paraId="16D3CF34"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Sponsor assumption</w:t>
            </w:r>
          </w:p>
        </w:tc>
        <w:tc>
          <w:tcPr>
            <w:tcW w:w="2926" w:type="dxa"/>
            <w:tcBorders>
              <w:top w:val="nil"/>
              <w:left w:val="nil"/>
              <w:bottom w:val="single" w:sz="4" w:space="0" w:color="auto"/>
              <w:right w:val="single" w:sz="4" w:space="0" w:color="auto"/>
            </w:tcBorders>
            <w:hideMark/>
          </w:tcPr>
          <w:p w14:paraId="56C0C7B2" w14:textId="6CDF93BC"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The sponsor assumed that all patients would have a WHO PS of 0-1, due to their eligibility for RC and NAC. However, in the nivolumab MIUC submission only 97% of patients have this status.</w:t>
            </w:r>
            <w:r w:rsidR="001163AC">
              <w:rPr>
                <w:rFonts w:ascii="Arial Narrow" w:hAnsi="Arial Narrow" w:cs="Calibri"/>
                <w:color w:val="000000"/>
                <w:sz w:val="20"/>
                <w:szCs w:val="20"/>
              </w:rPr>
              <w:t xml:space="preserve"> The Pre-PBAC response stated that this adjustment is not required because </w:t>
            </w:r>
            <w:r w:rsidR="00335815">
              <w:rPr>
                <w:rFonts w:ascii="Arial Narrow" w:hAnsi="Arial Narrow" w:cs="Calibri"/>
                <w:color w:val="000000"/>
                <w:sz w:val="20"/>
                <w:szCs w:val="20"/>
              </w:rPr>
              <w:t xml:space="preserve">the nivolumab MIUC population </w:t>
            </w:r>
            <w:r w:rsidR="00335815" w:rsidRPr="00335815">
              <w:rPr>
                <w:rFonts w:ascii="Arial Narrow" w:hAnsi="Arial Narrow" w:cs="Calibri"/>
                <w:color w:val="000000"/>
                <w:sz w:val="20"/>
                <w:szCs w:val="20"/>
              </w:rPr>
              <w:t>represents a cohort</w:t>
            </w:r>
            <w:r w:rsidR="00335815">
              <w:rPr>
                <w:rFonts w:ascii="Arial Narrow" w:hAnsi="Arial Narrow" w:cs="Calibri"/>
                <w:color w:val="000000"/>
                <w:sz w:val="20"/>
                <w:szCs w:val="20"/>
              </w:rPr>
              <w:t xml:space="preserve"> that is</w:t>
            </w:r>
            <w:r w:rsidR="00335815" w:rsidRPr="00335815">
              <w:rPr>
                <w:rFonts w:ascii="Arial Narrow" w:hAnsi="Arial Narrow" w:cs="Calibri"/>
                <w:color w:val="000000"/>
                <w:sz w:val="20"/>
                <w:szCs w:val="20"/>
              </w:rPr>
              <w:t xml:space="preserve"> post-NAC and RC</w:t>
            </w:r>
            <w:r w:rsidR="00335815">
              <w:rPr>
                <w:rFonts w:ascii="Arial Narrow" w:hAnsi="Arial Narrow" w:cs="Calibri"/>
                <w:color w:val="000000"/>
                <w:sz w:val="20"/>
                <w:szCs w:val="20"/>
              </w:rPr>
              <w:t>, which is</w:t>
            </w:r>
            <w:r w:rsidR="00335815" w:rsidRPr="00335815">
              <w:rPr>
                <w:rFonts w:ascii="Arial Narrow" w:hAnsi="Arial Narrow" w:cs="Calibri"/>
                <w:color w:val="000000"/>
                <w:sz w:val="20"/>
                <w:szCs w:val="20"/>
              </w:rPr>
              <w:t xml:space="preserve"> not the NIAGARA population</w:t>
            </w:r>
            <w:r w:rsidR="00942951">
              <w:rPr>
                <w:rFonts w:ascii="Arial Narrow" w:hAnsi="Arial Narrow" w:cs="Calibri"/>
                <w:color w:val="000000"/>
                <w:sz w:val="20"/>
                <w:szCs w:val="20"/>
              </w:rPr>
              <w:t>.</w:t>
            </w:r>
          </w:p>
        </w:tc>
      </w:tr>
      <w:tr w:rsidR="00F244EF" w:rsidRPr="00DF1914" w14:paraId="08BE7F76" w14:textId="77777777" w:rsidTr="00116400">
        <w:trPr>
          <w:cantSplit/>
        </w:trPr>
        <w:tc>
          <w:tcPr>
            <w:tcW w:w="1555" w:type="dxa"/>
            <w:tcBorders>
              <w:top w:val="nil"/>
              <w:left w:val="single" w:sz="4" w:space="0" w:color="auto"/>
              <w:bottom w:val="single" w:sz="4" w:space="0" w:color="auto"/>
              <w:right w:val="single" w:sz="4" w:space="0" w:color="auto"/>
            </w:tcBorders>
            <w:hideMark/>
          </w:tcPr>
          <w:p w14:paraId="3F2B7919"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Eligible patients</w:t>
            </w:r>
          </w:p>
        </w:tc>
        <w:tc>
          <w:tcPr>
            <w:tcW w:w="1842" w:type="dxa"/>
            <w:tcBorders>
              <w:top w:val="nil"/>
              <w:left w:val="nil"/>
              <w:bottom w:val="single" w:sz="4" w:space="0" w:color="auto"/>
              <w:right w:val="single" w:sz="4" w:space="0" w:color="auto"/>
            </w:tcBorders>
            <w:hideMark/>
          </w:tcPr>
          <w:p w14:paraId="01D17EDD"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Increasing from</w:t>
            </w:r>
            <w:r w:rsidRPr="0068749D">
              <w:rPr>
                <w:rFonts w:ascii="Arial Narrow" w:hAnsi="Arial Narrow" w:cs="Calibri"/>
                <w:color w:val="000000"/>
                <w:sz w:val="20"/>
                <w:szCs w:val="20"/>
              </w:rPr>
              <w:br/>
            </w:r>
            <w:r w:rsidRPr="001C4CBA">
              <w:rPr>
                <w:rFonts w:ascii="Arial Narrow" w:hAnsi="Arial Narrow" w:cs="Calibri"/>
                <w:color w:val="000000"/>
                <w:sz w:val="20"/>
                <w:szCs w:val="20"/>
              </w:rPr>
              <w:t>1,151 in Year 1 to</w:t>
            </w:r>
            <w:r w:rsidRPr="001C4CBA">
              <w:rPr>
                <w:rFonts w:ascii="Arial Narrow" w:hAnsi="Arial Narrow" w:cs="Calibri"/>
                <w:color w:val="000000"/>
                <w:sz w:val="20"/>
                <w:szCs w:val="20"/>
              </w:rPr>
              <w:br/>
              <w:t>1,445 in Year 6</w:t>
            </w:r>
          </w:p>
        </w:tc>
        <w:tc>
          <w:tcPr>
            <w:tcW w:w="2694" w:type="dxa"/>
            <w:tcBorders>
              <w:top w:val="nil"/>
              <w:left w:val="nil"/>
              <w:bottom w:val="single" w:sz="4" w:space="0" w:color="auto"/>
              <w:right w:val="single" w:sz="4" w:space="0" w:color="auto"/>
            </w:tcBorders>
            <w:hideMark/>
          </w:tcPr>
          <w:p w14:paraId="5CFCA266"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Calculation</w:t>
            </w:r>
          </w:p>
        </w:tc>
        <w:tc>
          <w:tcPr>
            <w:tcW w:w="2926" w:type="dxa"/>
            <w:tcBorders>
              <w:top w:val="nil"/>
              <w:left w:val="nil"/>
              <w:bottom w:val="single" w:sz="4" w:space="0" w:color="auto"/>
              <w:right w:val="single" w:sz="4" w:space="0" w:color="auto"/>
            </w:tcBorders>
            <w:hideMark/>
          </w:tcPr>
          <w:p w14:paraId="62EF1326" w14:textId="68BBAD1D" w:rsidR="00F244EF" w:rsidRPr="0068749D" w:rsidRDefault="00F244EF" w:rsidP="00E90D47">
            <w:pPr>
              <w:jc w:val="left"/>
              <w:rPr>
                <w:rFonts w:ascii="Arial Narrow" w:hAnsi="Arial Narrow" w:cs="Calibri"/>
                <w:color w:val="000000"/>
                <w:sz w:val="20"/>
                <w:szCs w:val="20"/>
              </w:rPr>
            </w:pPr>
          </w:p>
        </w:tc>
      </w:tr>
      <w:tr w:rsidR="00F244EF" w:rsidRPr="00DF1914" w14:paraId="39241CBB" w14:textId="77777777" w:rsidTr="00E90D47">
        <w:trPr>
          <w:cantSplit/>
        </w:trPr>
        <w:tc>
          <w:tcPr>
            <w:tcW w:w="9017" w:type="dxa"/>
            <w:gridSpan w:val="4"/>
            <w:tcBorders>
              <w:top w:val="single" w:sz="4" w:space="0" w:color="auto"/>
              <w:left w:val="single" w:sz="4" w:space="0" w:color="auto"/>
              <w:bottom w:val="single" w:sz="4" w:space="0" w:color="auto"/>
              <w:right w:val="single" w:sz="4" w:space="0" w:color="auto"/>
            </w:tcBorders>
            <w:hideMark/>
          </w:tcPr>
          <w:p w14:paraId="0F2C7F80" w14:textId="77777777" w:rsidR="00F244EF" w:rsidRPr="0068749D" w:rsidRDefault="00F244EF" w:rsidP="00E90D47">
            <w:pPr>
              <w:jc w:val="left"/>
              <w:rPr>
                <w:rFonts w:ascii="Arial Narrow" w:hAnsi="Arial Narrow" w:cs="Calibri"/>
                <w:b/>
                <w:bCs/>
                <w:color w:val="000000"/>
                <w:sz w:val="20"/>
                <w:szCs w:val="20"/>
              </w:rPr>
            </w:pPr>
            <w:r w:rsidRPr="0068749D">
              <w:rPr>
                <w:rFonts w:ascii="Arial Narrow" w:hAnsi="Arial Narrow" w:cs="Calibri"/>
                <w:b/>
                <w:bCs/>
                <w:color w:val="000000"/>
                <w:sz w:val="20"/>
                <w:szCs w:val="20"/>
              </w:rPr>
              <w:t>Treatment utilisation</w:t>
            </w:r>
          </w:p>
        </w:tc>
      </w:tr>
      <w:tr w:rsidR="00F244EF" w:rsidRPr="00DF1914" w14:paraId="39EBE1BD" w14:textId="77777777" w:rsidTr="00116400">
        <w:trPr>
          <w:cantSplit/>
        </w:trPr>
        <w:tc>
          <w:tcPr>
            <w:tcW w:w="1555" w:type="dxa"/>
            <w:tcBorders>
              <w:top w:val="nil"/>
              <w:left w:val="single" w:sz="4" w:space="0" w:color="auto"/>
              <w:bottom w:val="single" w:sz="4" w:space="0" w:color="auto"/>
              <w:right w:val="single" w:sz="4" w:space="0" w:color="auto"/>
            </w:tcBorders>
            <w:hideMark/>
          </w:tcPr>
          <w:p w14:paraId="396EF37F"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Uptake – initial treatment</w:t>
            </w:r>
          </w:p>
        </w:tc>
        <w:tc>
          <w:tcPr>
            <w:tcW w:w="1842" w:type="dxa"/>
            <w:tcBorders>
              <w:top w:val="nil"/>
              <w:left w:val="nil"/>
              <w:bottom w:val="single" w:sz="4" w:space="0" w:color="auto"/>
              <w:right w:val="single" w:sz="4" w:space="0" w:color="auto"/>
            </w:tcBorders>
            <w:hideMark/>
          </w:tcPr>
          <w:p w14:paraId="70802680" w14:textId="3DA7206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Increasing from</w:t>
            </w:r>
            <w:r w:rsidRPr="0068749D">
              <w:rPr>
                <w:rFonts w:ascii="Arial Narrow" w:hAnsi="Arial Narrow" w:cs="Calibri"/>
                <w:color w:val="000000"/>
                <w:sz w:val="20"/>
                <w:szCs w:val="20"/>
              </w:rPr>
              <w:br/>
            </w:r>
            <w:r w:rsidR="000F4FEC" w:rsidRPr="000F4FEC">
              <w:rPr>
                <w:rFonts w:ascii="Arial Narrow" w:hAnsi="Arial Narrow" w:cs="Calibri"/>
                <w:color w:val="000000"/>
                <w:sz w:val="20"/>
                <w:szCs w:val="20"/>
                <w:highlight w:val="black"/>
              </w:rPr>
              <w:t>@@@@</w:t>
            </w:r>
            <w:r w:rsidRPr="0068749D">
              <w:rPr>
                <w:rFonts w:ascii="Arial Narrow" w:hAnsi="Arial Narrow" w:cs="Calibri"/>
                <w:color w:val="000000"/>
                <w:sz w:val="20"/>
                <w:szCs w:val="20"/>
              </w:rPr>
              <w:t>% in Year 1 to</w:t>
            </w:r>
            <w:r w:rsidRPr="0068749D">
              <w:rPr>
                <w:rFonts w:ascii="Arial Narrow" w:hAnsi="Arial Narrow" w:cs="Calibri"/>
                <w:color w:val="000000"/>
                <w:sz w:val="20"/>
                <w:szCs w:val="20"/>
              </w:rPr>
              <w:br/>
            </w:r>
            <w:r w:rsidR="000F4FEC" w:rsidRPr="000F4FEC">
              <w:rPr>
                <w:rFonts w:ascii="Arial Narrow" w:hAnsi="Arial Narrow" w:cs="Calibri"/>
                <w:color w:val="000000"/>
                <w:sz w:val="20"/>
                <w:szCs w:val="20"/>
                <w:highlight w:val="black"/>
              </w:rPr>
              <w:t>@@@@</w:t>
            </w:r>
            <w:r w:rsidRPr="0068749D">
              <w:rPr>
                <w:rFonts w:ascii="Arial Narrow" w:hAnsi="Arial Narrow" w:cs="Calibri"/>
                <w:color w:val="000000"/>
                <w:sz w:val="20"/>
                <w:szCs w:val="20"/>
              </w:rPr>
              <w:t>% in Year 6</w:t>
            </w:r>
          </w:p>
        </w:tc>
        <w:tc>
          <w:tcPr>
            <w:tcW w:w="2694" w:type="dxa"/>
            <w:tcBorders>
              <w:top w:val="nil"/>
              <w:left w:val="nil"/>
              <w:bottom w:val="single" w:sz="4" w:space="0" w:color="auto"/>
              <w:right w:val="single" w:sz="4" w:space="0" w:color="auto"/>
            </w:tcBorders>
            <w:hideMark/>
          </w:tcPr>
          <w:p w14:paraId="7F51F4C2"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Expert opinion and sponsor assumption</w:t>
            </w:r>
          </w:p>
        </w:tc>
        <w:tc>
          <w:tcPr>
            <w:tcW w:w="2926" w:type="dxa"/>
            <w:tcBorders>
              <w:top w:val="nil"/>
              <w:left w:val="nil"/>
              <w:bottom w:val="single" w:sz="4" w:space="0" w:color="auto"/>
              <w:right w:val="single" w:sz="4" w:space="0" w:color="auto"/>
            </w:tcBorders>
            <w:hideMark/>
          </w:tcPr>
          <w:p w14:paraId="0627A4DA" w14:textId="34B89E4A"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Given the high recurrence rate and the lack of alternative treatment </w:t>
            </w:r>
            <w:r w:rsidR="00514406">
              <w:rPr>
                <w:rFonts w:ascii="Arial Narrow" w:hAnsi="Arial Narrow" w:cs="Calibri"/>
                <w:color w:val="000000"/>
                <w:sz w:val="20"/>
                <w:szCs w:val="20"/>
              </w:rPr>
              <w:t>the evaluation considered that this</w:t>
            </w:r>
            <w:r w:rsidRPr="0068749D">
              <w:rPr>
                <w:rFonts w:ascii="Arial Narrow" w:hAnsi="Arial Narrow" w:cs="Calibri"/>
                <w:color w:val="000000"/>
                <w:sz w:val="20"/>
                <w:szCs w:val="20"/>
              </w:rPr>
              <w:t xml:space="preserve"> appear</w:t>
            </w:r>
            <w:r w:rsidR="00514406">
              <w:rPr>
                <w:rFonts w:ascii="Arial Narrow" w:hAnsi="Arial Narrow" w:cs="Calibri"/>
                <w:color w:val="000000"/>
                <w:sz w:val="20"/>
                <w:szCs w:val="20"/>
              </w:rPr>
              <w:t xml:space="preserve">ed </w:t>
            </w:r>
            <w:r w:rsidRPr="0068749D">
              <w:rPr>
                <w:rFonts w:ascii="Arial Narrow" w:hAnsi="Arial Narrow" w:cs="Calibri"/>
                <w:color w:val="000000"/>
                <w:sz w:val="20"/>
                <w:szCs w:val="20"/>
              </w:rPr>
              <w:t>appropriate.</w:t>
            </w:r>
          </w:p>
        </w:tc>
      </w:tr>
      <w:tr w:rsidR="00F244EF" w:rsidRPr="00DF1914" w14:paraId="75A2DD75" w14:textId="77777777" w:rsidTr="00116400">
        <w:trPr>
          <w:cantSplit/>
        </w:trPr>
        <w:tc>
          <w:tcPr>
            <w:tcW w:w="1555" w:type="dxa"/>
            <w:tcBorders>
              <w:top w:val="nil"/>
              <w:left w:val="single" w:sz="4" w:space="0" w:color="auto"/>
              <w:bottom w:val="single" w:sz="4" w:space="0" w:color="auto"/>
              <w:right w:val="single" w:sz="4" w:space="0" w:color="auto"/>
            </w:tcBorders>
            <w:hideMark/>
          </w:tcPr>
          <w:p w14:paraId="293FDF63"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Initial patients</w:t>
            </w:r>
          </w:p>
        </w:tc>
        <w:tc>
          <w:tcPr>
            <w:tcW w:w="1842" w:type="dxa"/>
            <w:tcBorders>
              <w:top w:val="nil"/>
              <w:left w:val="nil"/>
              <w:bottom w:val="single" w:sz="4" w:space="0" w:color="auto"/>
              <w:right w:val="single" w:sz="4" w:space="0" w:color="auto"/>
            </w:tcBorders>
            <w:hideMark/>
          </w:tcPr>
          <w:p w14:paraId="126996A2" w14:textId="40A1DEAF"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Increasing from</w:t>
            </w:r>
            <w:r w:rsidRPr="0068749D">
              <w:rPr>
                <w:rFonts w:ascii="Arial Narrow" w:hAnsi="Arial Narrow" w:cs="Calibri"/>
                <w:color w:val="000000"/>
                <w:sz w:val="20"/>
                <w:szCs w:val="20"/>
              </w:rPr>
              <w:br/>
            </w:r>
            <w:r w:rsidR="000F4FEC" w:rsidRPr="000F4FEC">
              <w:rPr>
                <w:rFonts w:ascii="Arial Narrow" w:hAnsi="Arial Narrow" w:cs="Calibri"/>
                <w:color w:val="000000"/>
                <w:sz w:val="20"/>
                <w:szCs w:val="20"/>
                <w:highlight w:val="black"/>
              </w:rPr>
              <w:t>@@@@</w:t>
            </w:r>
            <w:r w:rsidR="00142336">
              <w:rPr>
                <w:rFonts w:ascii="Arial Narrow" w:hAnsi="Arial Narrow" w:cs="Calibri"/>
                <w:color w:val="000000"/>
                <w:sz w:val="20"/>
                <w:szCs w:val="20"/>
                <w:vertAlign w:val="superscript"/>
              </w:rPr>
              <w:t>1</w:t>
            </w:r>
            <w:r w:rsidRPr="0068749D">
              <w:rPr>
                <w:rFonts w:ascii="Arial Narrow" w:hAnsi="Arial Narrow" w:cs="Calibri"/>
                <w:color w:val="000000"/>
                <w:sz w:val="20"/>
                <w:szCs w:val="20"/>
              </w:rPr>
              <w:t xml:space="preserve"> in Year 1 to</w:t>
            </w:r>
            <w:r w:rsidRPr="0068749D">
              <w:rPr>
                <w:rFonts w:ascii="Arial Narrow" w:hAnsi="Arial Narrow" w:cs="Calibri"/>
                <w:color w:val="000000"/>
                <w:sz w:val="20"/>
                <w:szCs w:val="20"/>
              </w:rPr>
              <w:br/>
            </w:r>
            <w:r w:rsidR="000F4FEC" w:rsidRPr="000F4FEC">
              <w:rPr>
                <w:rFonts w:ascii="Arial Narrow" w:hAnsi="Arial Narrow" w:cs="Calibri"/>
                <w:color w:val="000000"/>
                <w:sz w:val="20"/>
                <w:szCs w:val="20"/>
                <w:highlight w:val="black"/>
              </w:rPr>
              <w:t>@@@@</w:t>
            </w:r>
            <w:r w:rsidR="00142336">
              <w:rPr>
                <w:rFonts w:ascii="Arial Narrow" w:hAnsi="Arial Narrow" w:cs="Calibri"/>
                <w:color w:val="000000"/>
                <w:sz w:val="20"/>
                <w:szCs w:val="20"/>
                <w:vertAlign w:val="superscript"/>
              </w:rPr>
              <w:t>1</w:t>
            </w:r>
            <w:r w:rsidRPr="0068749D">
              <w:rPr>
                <w:rFonts w:ascii="Arial Narrow" w:hAnsi="Arial Narrow" w:cs="Calibri"/>
                <w:color w:val="000000"/>
                <w:sz w:val="20"/>
                <w:szCs w:val="20"/>
              </w:rPr>
              <w:t xml:space="preserve"> in Year 6</w:t>
            </w:r>
          </w:p>
        </w:tc>
        <w:tc>
          <w:tcPr>
            <w:tcW w:w="2694" w:type="dxa"/>
            <w:tcBorders>
              <w:top w:val="nil"/>
              <w:left w:val="nil"/>
              <w:bottom w:val="single" w:sz="4" w:space="0" w:color="auto"/>
              <w:right w:val="single" w:sz="4" w:space="0" w:color="auto"/>
            </w:tcBorders>
            <w:hideMark/>
          </w:tcPr>
          <w:p w14:paraId="77C48B22"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Calculation</w:t>
            </w:r>
          </w:p>
        </w:tc>
        <w:tc>
          <w:tcPr>
            <w:tcW w:w="2926" w:type="dxa"/>
            <w:tcBorders>
              <w:top w:val="nil"/>
              <w:left w:val="nil"/>
              <w:bottom w:val="single" w:sz="4" w:space="0" w:color="auto"/>
              <w:right w:val="single" w:sz="4" w:space="0" w:color="auto"/>
            </w:tcBorders>
            <w:hideMark/>
          </w:tcPr>
          <w:p w14:paraId="4A1A7FBA" w14:textId="02ED2B4C" w:rsidR="00F244EF" w:rsidRPr="0068749D" w:rsidRDefault="00F244EF" w:rsidP="00E90D47">
            <w:pPr>
              <w:jc w:val="left"/>
              <w:rPr>
                <w:rFonts w:ascii="Arial Narrow" w:hAnsi="Arial Narrow" w:cs="Calibri"/>
                <w:color w:val="000000"/>
                <w:sz w:val="20"/>
                <w:szCs w:val="20"/>
              </w:rPr>
            </w:pPr>
          </w:p>
        </w:tc>
      </w:tr>
      <w:tr w:rsidR="00F244EF" w:rsidRPr="00DF1914" w14:paraId="4CFA86A5" w14:textId="77777777" w:rsidTr="00116400">
        <w:trPr>
          <w:cantSplit/>
        </w:trPr>
        <w:tc>
          <w:tcPr>
            <w:tcW w:w="1555" w:type="dxa"/>
            <w:tcBorders>
              <w:top w:val="nil"/>
              <w:left w:val="single" w:sz="4" w:space="0" w:color="auto"/>
              <w:bottom w:val="single" w:sz="4" w:space="0" w:color="auto"/>
              <w:right w:val="single" w:sz="4" w:space="0" w:color="auto"/>
            </w:tcBorders>
            <w:hideMark/>
          </w:tcPr>
          <w:p w14:paraId="0416B803"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Uptake - continuing treatment based on initial patients</w:t>
            </w:r>
          </w:p>
        </w:tc>
        <w:tc>
          <w:tcPr>
            <w:tcW w:w="1842" w:type="dxa"/>
            <w:tcBorders>
              <w:top w:val="nil"/>
              <w:left w:val="nil"/>
              <w:bottom w:val="single" w:sz="4" w:space="0" w:color="auto"/>
              <w:right w:val="single" w:sz="4" w:space="0" w:color="auto"/>
            </w:tcBorders>
            <w:hideMark/>
          </w:tcPr>
          <w:p w14:paraId="769DEAC8" w14:textId="77777777" w:rsidR="00F244EF" w:rsidRPr="0068749D" w:rsidRDefault="00F244EF" w:rsidP="00E90D47">
            <w:pPr>
              <w:jc w:val="left"/>
              <w:rPr>
                <w:rFonts w:ascii="Arial Narrow" w:hAnsi="Arial Narrow" w:cs="Calibri"/>
                <w:color w:val="000000"/>
                <w:sz w:val="20"/>
                <w:szCs w:val="20"/>
              </w:rPr>
            </w:pPr>
            <w:r w:rsidRPr="00B36C34">
              <w:rPr>
                <w:rFonts w:ascii="Arial Narrow" w:hAnsi="Arial Narrow" w:cs="Calibri"/>
                <w:color w:val="000000"/>
                <w:sz w:val="20"/>
                <w:szCs w:val="20"/>
              </w:rPr>
              <w:t xml:space="preserve">Constant at </w:t>
            </w:r>
            <w:r w:rsidRPr="001C4CBA">
              <w:rPr>
                <w:rFonts w:ascii="Arial Narrow" w:hAnsi="Arial Narrow" w:cs="Calibri"/>
                <w:color w:val="000000"/>
                <w:sz w:val="20"/>
                <w:szCs w:val="20"/>
              </w:rPr>
              <w:t>72.26</w:t>
            </w:r>
            <w:r w:rsidRPr="0068749D">
              <w:rPr>
                <w:rFonts w:ascii="Arial Narrow" w:hAnsi="Arial Narrow" w:cs="Calibri"/>
                <w:color w:val="000000"/>
                <w:sz w:val="20"/>
                <w:szCs w:val="20"/>
              </w:rPr>
              <w:t>%</w:t>
            </w:r>
          </w:p>
        </w:tc>
        <w:tc>
          <w:tcPr>
            <w:tcW w:w="2694" w:type="dxa"/>
            <w:tcBorders>
              <w:top w:val="nil"/>
              <w:left w:val="nil"/>
              <w:bottom w:val="single" w:sz="4" w:space="0" w:color="auto"/>
              <w:right w:val="single" w:sz="4" w:space="0" w:color="auto"/>
            </w:tcBorders>
            <w:hideMark/>
          </w:tcPr>
          <w:p w14:paraId="2344F47E" w14:textId="59823351" w:rsidR="00F244EF" w:rsidRPr="0068749D" w:rsidRDefault="00F81E61"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This was based on the number of patients in the NIAGARA trial who received adjuvant treatment following RC surgery (383/530).</w:t>
            </w:r>
          </w:p>
        </w:tc>
        <w:tc>
          <w:tcPr>
            <w:tcW w:w="2926" w:type="dxa"/>
            <w:tcBorders>
              <w:top w:val="nil"/>
              <w:left w:val="nil"/>
              <w:bottom w:val="single" w:sz="4" w:space="0" w:color="auto"/>
              <w:right w:val="single" w:sz="4" w:space="0" w:color="auto"/>
            </w:tcBorders>
            <w:hideMark/>
          </w:tcPr>
          <w:p w14:paraId="276446BD" w14:textId="4BFC4A80"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This is consistent with the economic model.</w:t>
            </w:r>
          </w:p>
        </w:tc>
      </w:tr>
      <w:tr w:rsidR="00F244EF" w:rsidRPr="00DF1914" w14:paraId="3BF7BB4C" w14:textId="77777777" w:rsidTr="00116400">
        <w:trPr>
          <w:cantSplit/>
        </w:trPr>
        <w:tc>
          <w:tcPr>
            <w:tcW w:w="1555" w:type="dxa"/>
            <w:tcBorders>
              <w:top w:val="nil"/>
              <w:left w:val="single" w:sz="4" w:space="0" w:color="auto"/>
              <w:bottom w:val="single" w:sz="4" w:space="0" w:color="auto"/>
              <w:right w:val="single" w:sz="4" w:space="0" w:color="auto"/>
            </w:tcBorders>
            <w:hideMark/>
          </w:tcPr>
          <w:p w14:paraId="420C3472"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Continuing patients</w:t>
            </w:r>
          </w:p>
        </w:tc>
        <w:tc>
          <w:tcPr>
            <w:tcW w:w="1842" w:type="dxa"/>
            <w:tcBorders>
              <w:top w:val="nil"/>
              <w:left w:val="nil"/>
              <w:bottom w:val="single" w:sz="4" w:space="0" w:color="auto"/>
              <w:right w:val="single" w:sz="4" w:space="0" w:color="auto"/>
            </w:tcBorders>
            <w:hideMark/>
          </w:tcPr>
          <w:p w14:paraId="6944BE59" w14:textId="4C177046"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Increasing from</w:t>
            </w:r>
            <w:r w:rsidRPr="0068749D">
              <w:rPr>
                <w:rFonts w:ascii="Arial Narrow" w:hAnsi="Arial Narrow" w:cs="Calibri"/>
                <w:color w:val="000000"/>
                <w:sz w:val="20"/>
                <w:szCs w:val="20"/>
              </w:rPr>
              <w:br/>
            </w:r>
            <w:r w:rsidR="000F4FEC" w:rsidRPr="000F4FEC">
              <w:rPr>
                <w:rFonts w:ascii="Arial Narrow" w:hAnsi="Arial Narrow" w:cs="Calibri"/>
                <w:color w:val="000000"/>
                <w:sz w:val="20"/>
                <w:szCs w:val="20"/>
                <w:highlight w:val="black"/>
              </w:rPr>
              <w:t>@@@@</w:t>
            </w:r>
            <w:r w:rsidR="00142336">
              <w:rPr>
                <w:rFonts w:ascii="Arial Narrow" w:hAnsi="Arial Narrow" w:cs="Calibri"/>
                <w:color w:val="000000"/>
                <w:sz w:val="20"/>
                <w:szCs w:val="20"/>
                <w:vertAlign w:val="superscript"/>
              </w:rPr>
              <w:t>1</w:t>
            </w:r>
            <w:r w:rsidRPr="0068749D">
              <w:rPr>
                <w:rFonts w:ascii="Arial Narrow" w:hAnsi="Arial Narrow" w:cs="Calibri"/>
                <w:color w:val="000000"/>
                <w:sz w:val="20"/>
                <w:szCs w:val="20"/>
              </w:rPr>
              <w:t xml:space="preserve"> in Year 1 to</w:t>
            </w:r>
            <w:r w:rsidRPr="0068749D">
              <w:rPr>
                <w:rFonts w:ascii="Arial Narrow" w:hAnsi="Arial Narrow" w:cs="Calibri"/>
                <w:color w:val="000000"/>
                <w:sz w:val="20"/>
                <w:szCs w:val="20"/>
              </w:rPr>
              <w:br/>
            </w:r>
            <w:r w:rsidR="000F4FEC" w:rsidRPr="000F4FEC">
              <w:rPr>
                <w:rFonts w:ascii="Arial Narrow" w:hAnsi="Arial Narrow" w:cs="Calibri"/>
                <w:color w:val="000000"/>
                <w:sz w:val="20"/>
                <w:szCs w:val="20"/>
                <w:highlight w:val="black"/>
              </w:rPr>
              <w:t>@@@@</w:t>
            </w:r>
            <w:r w:rsidR="00142336">
              <w:rPr>
                <w:rFonts w:ascii="Arial Narrow" w:hAnsi="Arial Narrow" w:cs="Calibri"/>
                <w:color w:val="000000"/>
                <w:sz w:val="20"/>
                <w:szCs w:val="20"/>
                <w:vertAlign w:val="superscript"/>
              </w:rPr>
              <w:t>1</w:t>
            </w:r>
            <w:r w:rsidRPr="0068749D">
              <w:rPr>
                <w:rFonts w:ascii="Arial Narrow" w:hAnsi="Arial Narrow" w:cs="Calibri"/>
                <w:color w:val="000000"/>
                <w:sz w:val="20"/>
                <w:szCs w:val="20"/>
              </w:rPr>
              <w:t xml:space="preserve"> in Year 6</w:t>
            </w:r>
          </w:p>
        </w:tc>
        <w:tc>
          <w:tcPr>
            <w:tcW w:w="2694" w:type="dxa"/>
            <w:tcBorders>
              <w:top w:val="nil"/>
              <w:left w:val="nil"/>
              <w:bottom w:val="single" w:sz="4" w:space="0" w:color="auto"/>
              <w:right w:val="single" w:sz="4" w:space="0" w:color="auto"/>
            </w:tcBorders>
            <w:hideMark/>
          </w:tcPr>
          <w:p w14:paraId="0D473A5F"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Calculation</w:t>
            </w:r>
          </w:p>
        </w:tc>
        <w:tc>
          <w:tcPr>
            <w:tcW w:w="2926" w:type="dxa"/>
            <w:tcBorders>
              <w:top w:val="nil"/>
              <w:left w:val="nil"/>
              <w:bottom w:val="single" w:sz="4" w:space="0" w:color="auto"/>
              <w:right w:val="single" w:sz="4" w:space="0" w:color="auto"/>
            </w:tcBorders>
            <w:hideMark/>
          </w:tcPr>
          <w:p w14:paraId="0097006B" w14:textId="5FA2BC74" w:rsidR="00F244EF" w:rsidRPr="0068749D" w:rsidRDefault="00F244EF" w:rsidP="00E90D47">
            <w:pPr>
              <w:jc w:val="left"/>
              <w:rPr>
                <w:rFonts w:ascii="Arial Narrow" w:hAnsi="Arial Narrow" w:cs="Calibri"/>
                <w:color w:val="000000"/>
                <w:sz w:val="20"/>
                <w:szCs w:val="20"/>
              </w:rPr>
            </w:pPr>
          </w:p>
        </w:tc>
      </w:tr>
      <w:tr w:rsidR="00F244EF" w:rsidRPr="00DF1914" w14:paraId="50249F78" w14:textId="77777777" w:rsidTr="00116400">
        <w:trPr>
          <w:cantSplit/>
        </w:trPr>
        <w:tc>
          <w:tcPr>
            <w:tcW w:w="1555" w:type="dxa"/>
            <w:tcBorders>
              <w:top w:val="nil"/>
              <w:left w:val="single" w:sz="4" w:space="0" w:color="auto"/>
              <w:bottom w:val="single" w:sz="4" w:space="0" w:color="auto"/>
              <w:right w:val="single" w:sz="4" w:space="0" w:color="auto"/>
            </w:tcBorders>
            <w:hideMark/>
          </w:tcPr>
          <w:p w14:paraId="29D935D1"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Treatment duration (days)</w:t>
            </w:r>
          </w:p>
        </w:tc>
        <w:tc>
          <w:tcPr>
            <w:tcW w:w="1842" w:type="dxa"/>
            <w:tcBorders>
              <w:top w:val="nil"/>
              <w:left w:val="nil"/>
              <w:bottom w:val="single" w:sz="4" w:space="0" w:color="auto"/>
              <w:right w:val="single" w:sz="4" w:space="0" w:color="auto"/>
            </w:tcBorders>
            <w:hideMark/>
          </w:tcPr>
          <w:p w14:paraId="0CF264C0" w14:textId="77777777" w:rsidR="00F244EF" w:rsidRPr="001C4CBA" w:rsidRDefault="00F244EF" w:rsidP="00E90D47">
            <w:pPr>
              <w:jc w:val="left"/>
              <w:rPr>
                <w:rFonts w:ascii="Arial Narrow" w:hAnsi="Arial Narrow" w:cs="Calibri"/>
                <w:color w:val="000000"/>
                <w:sz w:val="20"/>
                <w:szCs w:val="20"/>
              </w:rPr>
            </w:pPr>
            <w:r w:rsidRPr="001C4CBA">
              <w:rPr>
                <w:rFonts w:ascii="Arial Narrow" w:hAnsi="Arial Narrow" w:cs="Calibri"/>
                <w:color w:val="000000"/>
                <w:sz w:val="20"/>
                <w:szCs w:val="20"/>
              </w:rPr>
              <w:t xml:space="preserve">Initial: 79.80 </w:t>
            </w:r>
            <w:r w:rsidRPr="001C4CBA">
              <w:rPr>
                <w:rFonts w:ascii="Arial Narrow" w:hAnsi="Arial Narrow" w:cs="Calibri"/>
                <w:color w:val="000000"/>
                <w:sz w:val="20"/>
                <w:szCs w:val="20"/>
              </w:rPr>
              <w:br/>
              <w:t>Continuing: 193.20</w:t>
            </w:r>
          </w:p>
        </w:tc>
        <w:tc>
          <w:tcPr>
            <w:tcW w:w="2694" w:type="dxa"/>
            <w:tcBorders>
              <w:top w:val="nil"/>
              <w:left w:val="nil"/>
              <w:bottom w:val="single" w:sz="4" w:space="0" w:color="auto"/>
              <w:right w:val="single" w:sz="4" w:space="0" w:color="auto"/>
            </w:tcBorders>
            <w:hideMark/>
          </w:tcPr>
          <w:p w14:paraId="1CA07B97" w14:textId="77777777" w:rsidR="00F81E61" w:rsidRPr="001C4CBA" w:rsidRDefault="00F81E61" w:rsidP="00F81E61">
            <w:pPr>
              <w:jc w:val="left"/>
              <w:rPr>
                <w:rFonts w:ascii="Arial Narrow" w:hAnsi="Arial Narrow" w:cs="Calibri"/>
                <w:color w:val="000000"/>
                <w:sz w:val="20"/>
                <w:szCs w:val="20"/>
              </w:rPr>
            </w:pPr>
            <w:r w:rsidRPr="001C4CBA">
              <w:rPr>
                <w:rFonts w:ascii="Arial Narrow" w:hAnsi="Arial Narrow" w:cs="Calibri"/>
                <w:color w:val="000000"/>
                <w:sz w:val="20"/>
                <w:szCs w:val="20"/>
              </w:rPr>
              <w:t>Initial: 3.8 cycles x 3 weeks x 7 days = 79.80 days</w:t>
            </w:r>
          </w:p>
          <w:p w14:paraId="53B2141D" w14:textId="77777777" w:rsidR="00F81E61" w:rsidRPr="001C4CBA" w:rsidRDefault="00F81E61" w:rsidP="00F81E61">
            <w:pPr>
              <w:jc w:val="left"/>
              <w:rPr>
                <w:rFonts w:ascii="Arial Narrow" w:hAnsi="Arial Narrow" w:cs="Calibri"/>
                <w:color w:val="000000"/>
                <w:sz w:val="20"/>
                <w:szCs w:val="20"/>
              </w:rPr>
            </w:pPr>
            <w:r w:rsidRPr="001C4CBA">
              <w:rPr>
                <w:rFonts w:ascii="Arial Narrow" w:hAnsi="Arial Narrow" w:cs="Calibri"/>
                <w:color w:val="000000"/>
                <w:sz w:val="20"/>
                <w:szCs w:val="20"/>
              </w:rPr>
              <w:t>Continuing: 6.9 cycles x 4 weeks x 7 days = 193.20 days</w:t>
            </w:r>
          </w:p>
          <w:p w14:paraId="4A0FDAB6" w14:textId="485915A7" w:rsidR="00F244EF" w:rsidRPr="001C4CBA" w:rsidRDefault="00F244EF" w:rsidP="00E90D47">
            <w:pPr>
              <w:jc w:val="left"/>
              <w:rPr>
                <w:rFonts w:ascii="Arial Narrow" w:hAnsi="Arial Narrow" w:cs="Calibri"/>
                <w:color w:val="000000"/>
                <w:sz w:val="20"/>
                <w:szCs w:val="20"/>
                <w:highlight w:val="black"/>
              </w:rPr>
            </w:pPr>
          </w:p>
        </w:tc>
        <w:tc>
          <w:tcPr>
            <w:tcW w:w="2926" w:type="dxa"/>
            <w:tcBorders>
              <w:top w:val="nil"/>
              <w:left w:val="nil"/>
              <w:bottom w:val="single" w:sz="4" w:space="0" w:color="auto"/>
              <w:right w:val="single" w:sz="4" w:space="0" w:color="auto"/>
            </w:tcBorders>
            <w:hideMark/>
          </w:tcPr>
          <w:p w14:paraId="5147F23B"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This is consistent with the economic model.</w:t>
            </w:r>
          </w:p>
        </w:tc>
      </w:tr>
      <w:tr w:rsidR="00F244EF" w:rsidRPr="00DF1914" w14:paraId="1739BFA6" w14:textId="77777777" w:rsidTr="00116400">
        <w:trPr>
          <w:cantSplit/>
        </w:trPr>
        <w:tc>
          <w:tcPr>
            <w:tcW w:w="1555" w:type="dxa"/>
            <w:tcBorders>
              <w:top w:val="nil"/>
              <w:left w:val="single" w:sz="4" w:space="0" w:color="auto"/>
              <w:bottom w:val="single" w:sz="4" w:space="0" w:color="auto"/>
              <w:right w:val="single" w:sz="4" w:space="0" w:color="auto"/>
            </w:tcBorders>
            <w:hideMark/>
          </w:tcPr>
          <w:p w14:paraId="280696DC"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Durvalumab scripts</w:t>
            </w:r>
            <w:r w:rsidRPr="0068749D">
              <w:rPr>
                <w:rFonts w:ascii="Arial Narrow" w:hAnsi="Arial Narrow" w:cs="Calibri"/>
                <w:color w:val="000000"/>
                <w:sz w:val="20"/>
                <w:szCs w:val="20"/>
              </w:rPr>
              <w:br/>
              <w:t>initial treatment</w:t>
            </w:r>
          </w:p>
        </w:tc>
        <w:tc>
          <w:tcPr>
            <w:tcW w:w="1842" w:type="dxa"/>
            <w:tcBorders>
              <w:top w:val="nil"/>
              <w:left w:val="nil"/>
              <w:bottom w:val="single" w:sz="4" w:space="0" w:color="auto"/>
              <w:right w:val="single" w:sz="4" w:space="0" w:color="auto"/>
            </w:tcBorders>
            <w:hideMark/>
          </w:tcPr>
          <w:p w14:paraId="1FD64EB7" w14:textId="77777777" w:rsidR="00F244EF" w:rsidRPr="0068749D" w:rsidRDefault="00F244EF" w:rsidP="00E90D47">
            <w:pPr>
              <w:jc w:val="left"/>
              <w:rPr>
                <w:rFonts w:ascii="Arial Narrow" w:hAnsi="Arial Narrow" w:cs="Calibri"/>
                <w:color w:val="000000"/>
                <w:sz w:val="20"/>
                <w:szCs w:val="20"/>
              </w:rPr>
            </w:pPr>
            <w:r w:rsidRPr="0028107A">
              <w:rPr>
                <w:rFonts w:ascii="Arial Narrow" w:hAnsi="Arial Narrow" w:cs="Calibri"/>
                <w:color w:val="000000"/>
                <w:sz w:val="20"/>
                <w:szCs w:val="20"/>
              </w:rPr>
              <w:t>3.8, based on 11.4 weeks of treatment, assuming 100% compliance</w:t>
            </w:r>
          </w:p>
        </w:tc>
        <w:tc>
          <w:tcPr>
            <w:tcW w:w="2694" w:type="dxa"/>
            <w:tcBorders>
              <w:top w:val="nil"/>
              <w:left w:val="nil"/>
              <w:bottom w:val="single" w:sz="4" w:space="0" w:color="auto"/>
              <w:right w:val="single" w:sz="4" w:space="0" w:color="auto"/>
            </w:tcBorders>
            <w:hideMark/>
          </w:tcPr>
          <w:p w14:paraId="7B967F52"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Calculation</w:t>
            </w:r>
          </w:p>
        </w:tc>
        <w:tc>
          <w:tcPr>
            <w:tcW w:w="2926" w:type="dxa"/>
            <w:tcBorders>
              <w:top w:val="nil"/>
              <w:left w:val="nil"/>
              <w:bottom w:val="single" w:sz="4" w:space="0" w:color="auto"/>
              <w:right w:val="single" w:sz="4" w:space="0" w:color="auto"/>
            </w:tcBorders>
          </w:tcPr>
          <w:p w14:paraId="579F5982" w14:textId="15901218"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This is consistent with the treatment duration presented in the economic model.</w:t>
            </w:r>
          </w:p>
        </w:tc>
      </w:tr>
      <w:tr w:rsidR="00F244EF" w:rsidRPr="00DF1914" w14:paraId="123C27CD" w14:textId="77777777" w:rsidTr="00116400">
        <w:trPr>
          <w:cantSplit/>
        </w:trPr>
        <w:tc>
          <w:tcPr>
            <w:tcW w:w="1555" w:type="dxa"/>
            <w:tcBorders>
              <w:top w:val="nil"/>
              <w:left w:val="single" w:sz="4" w:space="0" w:color="auto"/>
              <w:bottom w:val="single" w:sz="4" w:space="0" w:color="auto"/>
              <w:right w:val="single" w:sz="4" w:space="0" w:color="auto"/>
            </w:tcBorders>
            <w:hideMark/>
          </w:tcPr>
          <w:p w14:paraId="1D79FA9B" w14:textId="77777777" w:rsidR="00F244EF" w:rsidRPr="002D598E" w:rsidRDefault="00F244EF" w:rsidP="00E90D47">
            <w:pPr>
              <w:jc w:val="left"/>
              <w:rPr>
                <w:rFonts w:ascii="Arial Narrow" w:hAnsi="Arial Narrow" w:cs="Calibri"/>
                <w:color w:val="000000"/>
                <w:sz w:val="20"/>
                <w:szCs w:val="20"/>
              </w:rPr>
            </w:pPr>
            <w:r w:rsidRPr="002D598E">
              <w:rPr>
                <w:rFonts w:ascii="Arial Narrow" w:hAnsi="Arial Narrow" w:cs="Calibri"/>
                <w:color w:val="000000"/>
                <w:sz w:val="20"/>
                <w:szCs w:val="20"/>
              </w:rPr>
              <w:lastRenderedPageBreak/>
              <w:t>Durvalumab scripts</w:t>
            </w:r>
            <w:r w:rsidRPr="002D598E">
              <w:rPr>
                <w:rFonts w:ascii="Arial Narrow" w:hAnsi="Arial Narrow" w:cs="Calibri"/>
                <w:color w:val="000000"/>
                <w:sz w:val="20"/>
                <w:szCs w:val="20"/>
              </w:rPr>
              <w:br/>
              <w:t>continuing treatment</w:t>
            </w:r>
          </w:p>
        </w:tc>
        <w:tc>
          <w:tcPr>
            <w:tcW w:w="1842" w:type="dxa"/>
            <w:tcBorders>
              <w:top w:val="nil"/>
              <w:left w:val="nil"/>
              <w:bottom w:val="single" w:sz="4" w:space="0" w:color="auto"/>
              <w:right w:val="single" w:sz="4" w:space="0" w:color="auto"/>
            </w:tcBorders>
            <w:hideMark/>
          </w:tcPr>
          <w:p w14:paraId="6B8FC1BB" w14:textId="77777777" w:rsidR="00F244EF" w:rsidRPr="002D598E" w:rsidRDefault="00F244EF" w:rsidP="00E90D47">
            <w:pPr>
              <w:jc w:val="left"/>
              <w:rPr>
                <w:rFonts w:ascii="Arial Narrow" w:hAnsi="Arial Narrow" w:cs="Calibri"/>
                <w:color w:val="000000"/>
                <w:sz w:val="20"/>
                <w:szCs w:val="20"/>
              </w:rPr>
            </w:pPr>
            <w:r w:rsidRPr="002D598E">
              <w:rPr>
                <w:rFonts w:ascii="Arial Narrow" w:hAnsi="Arial Narrow" w:cs="Calibri"/>
                <w:color w:val="000000"/>
                <w:sz w:val="20"/>
                <w:szCs w:val="20"/>
              </w:rPr>
              <w:t>6.9, based on 27.6 weeks of treatment, assuming 100% compliance</w:t>
            </w:r>
          </w:p>
        </w:tc>
        <w:tc>
          <w:tcPr>
            <w:tcW w:w="2694" w:type="dxa"/>
            <w:tcBorders>
              <w:top w:val="nil"/>
              <w:left w:val="nil"/>
              <w:bottom w:val="single" w:sz="4" w:space="0" w:color="auto"/>
              <w:right w:val="single" w:sz="4" w:space="0" w:color="auto"/>
            </w:tcBorders>
            <w:hideMark/>
          </w:tcPr>
          <w:p w14:paraId="05081055"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Calculation</w:t>
            </w:r>
          </w:p>
        </w:tc>
        <w:tc>
          <w:tcPr>
            <w:tcW w:w="2926" w:type="dxa"/>
            <w:tcBorders>
              <w:top w:val="nil"/>
              <w:left w:val="nil"/>
              <w:bottom w:val="single" w:sz="4" w:space="0" w:color="auto"/>
              <w:right w:val="single" w:sz="4" w:space="0" w:color="auto"/>
            </w:tcBorders>
          </w:tcPr>
          <w:p w14:paraId="216747DA" w14:textId="17F51202" w:rsidR="00F244EF" w:rsidRPr="0068749D" w:rsidRDefault="005A38F8" w:rsidP="00E90D47">
            <w:pPr>
              <w:jc w:val="left"/>
              <w:rPr>
                <w:rFonts w:ascii="Arial Narrow" w:hAnsi="Arial Narrow" w:cs="Calibri"/>
                <w:color w:val="000000"/>
                <w:sz w:val="20"/>
                <w:szCs w:val="20"/>
              </w:rPr>
            </w:pPr>
            <w:r w:rsidRPr="005A38F8">
              <w:rPr>
                <w:rFonts w:ascii="Arial Narrow" w:hAnsi="Arial Narrow" w:cs="Calibri"/>
                <w:color w:val="000000"/>
                <w:sz w:val="20"/>
                <w:szCs w:val="20"/>
              </w:rPr>
              <w:t xml:space="preserve">While 6.9 scripts </w:t>
            </w:r>
            <w:r w:rsidR="00F63B47">
              <w:rPr>
                <w:rFonts w:ascii="Arial Narrow" w:hAnsi="Arial Narrow" w:cs="Calibri"/>
                <w:color w:val="000000"/>
                <w:sz w:val="20"/>
                <w:szCs w:val="20"/>
              </w:rPr>
              <w:t>are</w:t>
            </w:r>
            <w:r w:rsidRPr="005A38F8">
              <w:rPr>
                <w:rFonts w:ascii="Arial Narrow" w:hAnsi="Arial Narrow" w:cs="Calibri"/>
                <w:color w:val="000000"/>
                <w:sz w:val="20"/>
                <w:szCs w:val="20"/>
              </w:rPr>
              <w:t xml:space="preserve"> inconsistent with the treatment duration presented in the economic model (5 scripts), the treatment duration for the financials includes only those patients continuing to adjuvant therapy (72.26% of the total), whereas the economics estimate includes patients not continuing to adjuvant therapy.</w:t>
            </w:r>
          </w:p>
        </w:tc>
      </w:tr>
      <w:tr w:rsidR="00F244EF" w:rsidRPr="00DF1914" w14:paraId="4048E9A8" w14:textId="77777777" w:rsidTr="00E90D47">
        <w:trPr>
          <w:cantSplit/>
        </w:trPr>
        <w:tc>
          <w:tcPr>
            <w:tcW w:w="9017" w:type="dxa"/>
            <w:gridSpan w:val="4"/>
            <w:tcBorders>
              <w:top w:val="single" w:sz="4" w:space="0" w:color="auto"/>
              <w:left w:val="single" w:sz="4" w:space="0" w:color="auto"/>
              <w:bottom w:val="single" w:sz="4" w:space="0" w:color="auto"/>
              <w:right w:val="single" w:sz="4" w:space="0" w:color="auto"/>
            </w:tcBorders>
            <w:hideMark/>
          </w:tcPr>
          <w:p w14:paraId="28CFA064" w14:textId="77777777" w:rsidR="00F244EF" w:rsidRPr="0068749D" w:rsidRDefault="00F244EF" w:rsidP="00E90D47">
            <w:pPr>
              <w:jc w:val="left"/>
              <w:rPr>
                <w:rFonts w:ascii="Arial Narrow" w:hAnsi="Arial Narrow" w:cs="Calibri"/>
                <w:b/>
                <w:bCs/>
                <w:color w:val="000000"/>
                <w:sz w:val="20"/>
                <w:szCs w:val="20"/>
              </w:rPr>
            </w:pPr>
            <w:r w:rsidRPr="0068749D">
              <w:rPr>
                <w:rFonts w:ascii="Arial Narrow" w:hAnsi="Arial Narrow" w:cs="Calibri"/>
                <w:b/>
                <w:bCs/>
                <w:color w:val="000000"/>
                <w:sz w:val="20"/>
                <w:szCs w:val="20"/>
              </w:rPr>
              <w:t>Eligible population – proposed medicine</w:t>
            </w:r>
          </w:p>
        </w:tc>
      </w:tr>
      <w:tr w:rsidR="00F244EF" w:rsidRPr="00DF1914" w14:paraId="7733C96F" w14:textId="77777777" w:rsidTr="00116400">
        <w:trPr>
          <w:cantSplit/>
        </w:trPr>
        <w:tc>
          <w:tcPr>
            <w:tcW w:w="1555" w:type="dxa"/>
            <w:tcBorders>
              <w:top w:val="nil"/>
              <w:left w:val="single" w:sz="4" w:space="0" w:color="auto"/>
              <w:bottom w:val="single" w:sz="4" w:space="0" w:color="auto"/>
              <w:right w:val="single" w:sz="4" w:space="0" w:color="auto"/>
            </w:tcBorders>
            <w:hideMark/>
          </w:tcPr>
          <w:p w14:paraId="483896E4"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Grandfathered patients</w:t>
            </w:r>
          </w:p>
        </w:tc>
        <w:tc>
          <w:tcPr>
            <w:tcW w:w="1842" w:type="dxa"/>
            <w:tcBorders>
              <w:top w:val="nil"/>
              <w:left w:val="nil"/>
              <w:bottom w:val="single" w:sz="4" w:space="0" w:color="auto"/>
              <w:right w:val="single" w:sz="4" w:space="0" w:color="auto"/>
            </w:tcBorders>
            <w:hideMark/>
          </w:tcPr>
          <w:p w14:paraId="3E017FE5" w14:textId="05FA2F16" w:rsidR="00F244EF" w:rsidRPr="00CE3B9F" w:rsidRDefault="000F4FEC" w:rsidP="00E90D47">
            <w:pPr>
              <w:jc w:val="left"/>
              <w:rPr>
                <w:rFonts w:ascii="Arial Narrow" w:hAnsi="Arial Narrow" w:cs="Calibri"/>
                <w:color w:val="000000"/>
                <w:sz w:val="20"/>
                <w:szCs w:val="20"/>
                <w:vertAlign w:val="superscript"/>
              </w:rPr>
            </w:pPr>
            <w:r w:rsidRPr="000F4FEC">
              <w:rPr>
                <w:rFonts w:ascii="Arial Narrow" w:hAnsi="Arial Narrow" w:cs="Calibri"/>
                <w:color w:val="000000"/>
                <w:sz w:val="20"/>
                <w:szCs w:val="20"/>
                <w:highlight w:val="black"/>
              </w:rPr>
              <w:t>@@@@</w:t>
            </w:r>
            <w:r w:rsidR="00CE3B9F" w:rsidRPr="00CE3B9F">
              <w:rPr>
                <w:rFonts w:ascii="Arial Narrow" w:hAnsi="Arial Narrow" w:cs="Calibri"/>
                <w:color w:val="000000"/>
                <w:sz w:val="20"/>
                <w:szCs w:val="20"/>
                <w:vertAlign w:val="superscript"/>
              </w:rPr>
              <w:t>1</w:t>
            </w:r>
          </w:p>
        </w:tc>
        <w:tc>
          <w:tcPr>
            <w:tcW w:w="2694" w:type="dxa"/>
            <w:tcBorders>
              <w:top w:val="nil"/>
              <w:left w:val="nil"/>
              <w:bottom w:val="single" w:sz="4" w:space="0" w:color="auto"/>
              <w:right w:val="single" w:sz="4" w:space="0" w:color="auto"/>
            </w:tcBorders>
            <w:hideMark/>
          </w:tcPr>
          <w:p w14:paraId="5A945094"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Sponsor assumption</w:t>
            </w:r>
          </w:p>
        </w:tc>
        <w:tc>
          <w:tcPr>
            <w:tcW w:w="2926" w:type="dxa"/>
            <w:tcBorders>
              <w:top w:val="nil"/>
              <w:left w:val="nil"/>
              <w:bottom w:val="single" w:sz="4" w:space="0" w:color="auto"/>
              <w:right w:val="single" w:sz="4" w:space="0" w:color="auto"/>
            </w:tcBorders>
            <w:hideMark/>
          </w:tcPr>
          <w:p w14:paraId="06E4162F" w14:textId="06E6111A"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 xml:space="preserve">These patients will be drawn from the sponsor’s proposed </w:t>
            </w:r>
            <w:r w:rsidR="003A5BDC">
              <w:rPr>
                <w:rFonts w:ascii="Arial Narrow" w:hAnsi="Arial Narrow" w:cs="Calibri"/>
                <w:color w:val="000000"/>
                <w:sz w:val="20"/>
                <w:szCs w:val="20"/>
              </w:rPr>
              <w:t>PFP</w:t>
            </w:r>
            <w:r w:rsidRPr="0068749D">
              <w:rPr>
                <w:rFonts w:ascii="Arial Narrow" w:hAnsi="Arial Narrow" w:cs="Calibri"/>
                <w:color w:val="000000"/>
                <w:sz w:val="20"/>
                <w:szCs w:val="20"/>
              </w:rPr>
              <w:t xml:space="preserve">. </w:t>
            </w:r>
          </w:p>
        </w:tc>
      </w:tr>
      <w:tr w:rsidR="00F244EF" w:rsidRPr="00DF1914" w14:paraId="63D34276" w14:textId="77777777" w:rsidTr="00E90D47">
        <w:trPr>
          <w:cantSplit/>
        </w:trPr>
        <w:tc>
          <w:tcPr>
            <w:tcW w:w="9017" w:type="dxa"/>
            <w:gridSpan w:val="4"/>
            <w:tcBorders>
              <w:top w:val="single" w:sz="4" w:space="0" w:color="auto"/>
              <w:left w:val="single" w:sz="4" w:space="0" w:color="auto"/>
              <w:bottom w:val="single" w:sz="4" w:space="0" w:color="auto"/>
              <w:right w:val="single" w:sz="4" w:space="0" w:color="auto"/>
            </w:tcBorders>
            <w:hideMark/>
          </w:tcPr>
          <w:p w14:paraId="2F4E244C" w14:textId="77777777" w:rsidR="00F244EF" w:rsidRPr="0068749D" w:rsidRDefault="00F244EF" w:rsidP="00E90D47">
            <w:pPr>
              <w:jc w:val="left"/>
              <w:rPr>
                <w:rFonts w:ascii="Arial Narrow" w:hAnsi="Arial Narrow" w:cs="Calibri"/>
                <w:b/>
                <w:bCs/>
                <w:color w:val="000000"/>
                <w:sz w:val="20"/>
                <w:szCs w:val="20"/>
              </w:rPr>
            </w:pPr>
            <w:r w:rsidRPr="0068749D">
              <w:rPr>
                <w:rFonts w:ascii="Arial Narrow" w:hAnsi="Arial Narrow" w:cs="Calibri"/>
                <w:b/>
                <w:bCs/>
                <w:color w:val="000000"/>
                <w:sz w:val="20"/>
                <w:szCs w:val="20"/>
              </w:rPr>
              <w:t>MBS Items - proposed and affected medicines</w:t>
            </w:r>
          </w:p>
        </w:tc>
      </w:tr>
      <w:tr w:rsidR="00F244EF" w:rsidRPr="00DF1914" w14:paraId="77148B2E" w14:textId="77777777" w:rsidTr="00116400">
        <w:trPr>
          <w:cantSplit/>
        </w:trPr>
        <w:tc>
          <w:tcPr>
            <w:tcW w:w="1555" w:type="dxa"/>
            <w:tcBorders>
              <w:top w:val="nil"/>
              <w:left w:val="single" w:sz="4" w:space="0" w:color="auto"/>
              <w:bottom w:val="single" w:sz="4" w:space="0" w:color="auto"/>
              <w:right w:val="single" w:sz="4" w:space="0" w:color="auto"/>
            </w:tcBorders>
            <w:hideMark/>
          </w:tcPr>
          <w:p w14:paraId="3AA99451"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Parenteral administration of one or more antineoplastic agents</w:t>
            </w:r>
          </w:p>
        </w:tc>
        <w:tc>
          <w:tcPr>
            <w:tcW w:w="1842" w:type="dxa"/>
            <w:tcBorders>
              <w:top w:val="nil"/>
              <w:left w:val="nil"/>
              <w:bottom w:val="single" w:sz="4" w:space="0" w:color="auto"/>
              <w:right w:val="single" w:sz="4" w:space="0" w:color="auto"/>
            </w:tcBorders>
            <w:noWrap/>
            <w:hideMark/>
          </w:tcPr>
          <w:p w14:paraId="16ABAD09"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$123.05</w:t>
            </w:r>
          </w:p>
        </w:tc>
        <w:tc>
          <w:tcPr>
            <w:tcW w:w="2694" w:type="dxa"/>
            <w:tcBorders>
              <w:top w:val="nil"/>
              <w:left w:val="nil"/>
              <w:bottom w:val="single" w:sz="4" w:space="0" w:color="auto"/>
              <w:right w:val="single" w:sz="4" w:space="0" w:color="auto"/>
            </w:tcBorders>
            <w:hideMark/>
          </w:tcPr>
          <w:p w14:paraId="531A024B" w14:textId="77777777" w:rsidR="00F244EF" w:rsidRPr="0068749D" w:rsidRDefault="00F244EF" w:rsidP="00E90D47">
            <w:pPr>
              <w:jc w:val="left"/>
              <w:rPr>
                <w:rFonts w:ascii="Arial Narrow" w:hAnsi="Arial Narrow" w:cs="Calibri"/>
                <w:color w:val="000000"/>
                <w:sz w:val="20"/>
                <w:szCs w:val="20"/>
              </w:rPr>
            </w:pPr>
            <w:r w:rsidRPr="0068749D">
              <w:rPr>
                <w:rFonts w:ascii="Arial Narrow" w:hAnsi="Arial Narrow" w:cs="Calibri"/>
                <w:color w:val="000000"/>
                <w:sz w:val="20"/>
                <w:szCs w:val="20"/>
              </w:rPr>
              <w:t>MBS item 13950</w:t>
            </w:r>
          </w:p>
        </w:tc>
        <w:tc>
          <w:tcPr>
            <w:tcW w:w="2926" w:type="dxa"/>
            <w:tcBorders>
              <w:top w:val="nil"/>
              <w:left w:val="nil"/>
              <w:bottom w:val="single" w:sz="4" w:space="0" w:color="auto"/>
              <w:right w:val="single" w:sz="4" w:space="0" w:color="auto"/>
            </w:tcBorders>
            <w:hideMark/>
          </w:tcPr>
          <w:p w14:paraId="27D6D0CA" w14:textId="432ACB9E" w:rsidR="00F244EF" w:rsidRPr="0068749D" w:rsidRDefault="00F244EF" w:rsidP="00E90D47">
            <w:pPr>
              <w:jc w:val="left"/>
              <w:rPr>
                <w:rFonts w:ascii="Arial Narrow" w:hAnsi="Arial Narrow" w:cs="Calibri"/>
                <w:color w:val="000000"/>
                <w:sz w:val="20"/>
                <w:szCs w:val="20"/>
              </w:rPr>
            </w:pPr>
          </w:p>
        </w:tc>
      </w:tr>
    </w:tbl>
    <w:p w14:paraId="6A2C4D95" w14:textId="77777777" w:rsidR="00F244EF" w:rsidRDefault="00F244EF" w:rsidP="00011059">
      <w:pPr>
        <w:pStyle w:val="TableFigureFooter"/>
      </w:pPr>
      <w:r w:rsidRPr="00DF1914">
        <w:t>Source: The financial estimates from the submission: 10. Registry population, 2a. Patients - incident, 2d. Patients - DTG, 3a. Scripts - proposed, 2c. Patients - GF, 11. Persistent population, 3b. Impact - proposed (pub), 3c. Impact - proposed (eff), 2e. Scripts - market, 7. Net changes - MBS.</w:t>
      </w:r>
    </w:p>
    <w:p w14:paraId="10FF9C78" w14:textId="6995282E" w:rsidR="00640731" w:rsidRDefault="00640731" w:rsidP="00640731">
      <w:pPr>
        <w:pStyle w:val="TableFigureFooter"/>
      </w:pPr>
      <w:r>
        <w:t xml:space="preserve">AEMP = </w:t>
      </w:r>
      <w:r w:rsidR="00ED24D6">
        <w:t>a</w:t>
      </w:r>
      <w:r>
        <w:t xml:space="preserve">pproved ex-manufacturer price; AIHW = Australian Institute of Health and Welfare; </w:t>
      </w:r>
      <w:r w:rsidR="00494A21">
        <w:t xml:space="preserve">CEA = </w:t>
      </w:r>
      <w:r w:rsidR="00672EAF">
        <w:t>cost effectiveness analysis</w:t>
      </w:r>
      <w:r w:rsidR="00494A21">
        <w:t>;</w:t>
      </w:r>
      <w:r>
        <w:t xml:space="preserve"> </w:t>
      </w:r>
      <w:r w:rsidR="00AC30D1" w:rsidRPr="004C0A2C">
        <w:t xml:space="preserve">CPG = </w:t>
      </w:r>
      <w:r w:rsidR="004C0A2C">
        <w:t>co-payment group</w:t>
      </w:r>
      <w:r w:rsidR="00AC30D1">
        <w:t xml:space="preserve">; </w:t>
      </w:r>
      <w:r>
        <w:t xml:space="preserve">DPMA = </w:t>
      </w:r>
      <w:r w:rsidR="00ED24D6">
        <w:t>d</w:t>
      </w:r>
      <w:r>
        <w:t xml:space="preserve">ispensed price for maximum amount; MBS = Medicare Benefits Schedule; </w:t>
      </w:r>
      <w:r w:rsidR="00085473">
        <w:t xml:space="preserve">MIBC = </w:t>
      </w:r>
      <w:r w:rsidR="00085473" w:rsidRPr="00BF1D3B">
        <w:t>muscle-invasive bladder cancer</w:t>
      </w:r>
      <w:r w:rsidR="00085473">
        <w:t xml:space="preserve">; </w:t>
      </w:r>
      <w:r>
        <w:t xml:space="preserve">MIUC = </w:t>
      </w:r>
      <w:r w:rsidR="00ED24D6">
        <w:t>m</w:t>
      </w:r>
      <w:r>
        <w:t xml:space="preserve">uscle-invasive urothelial carcinoma; NAC = </w:t>
      </w:r>
      <w:r w:rsidR="00ED24D6">
        <w:t>n</w:t>
      </w:r>
      <w:r>
        <w:t xml:space="preserve">eoadjuvant chemotherapy; NMIBC = </w:t>
      </w:r>
      <w:r w:rsidR="00ED24D6">
        <w:t>n</w:t>
      </w:r>
      <w:r>
        <w:t xml:space="preserve">on-muscle-invasive bladder cancer; PBS = Pharmaceutical Benefits scheme; </w:t>
      </w:r>
      <w:r w:rsidR="00343743" w:rsidRPr="00021844">
        <w:t xml:space="preserve">PFP = </w:t>
      </w:r>
      <w:r w:rsidR="00021844" w:rsidRPr="00021844">
        <w:t>patient familiarisation program</w:t>
      </w:r>
      <w:r w:rsidR="00343743">
        <w:t xml:space="preserve">; </w:t>
      </w:r>
      <w:r>
        <w:t xml:space="preserve">RC = </w:t>
      </w:r>
      <w:r w:rsidR="004D33F4">
        <w:t>r</w:t>
      </w:r>
      <w:r>
        <w:t xml:space="preserve">adical cystectomy; RPBS = Repatriation Pharmaceutical Benefits Scheme; </w:t>
      </w:r>
      <w:r w:rsidR="00E61572" w:rsidRPr="00882DFF">
        <w:t xml:space="preserve">Ta/Tis = </w:t>
      </w:r>
      <w:r w:rsidR="003C585B" w:rsidRPr="00882DFF">
        <w:t xml:space="preserve">non-invasive papillary carcinoma </w:t>
      </w:r>
      <w:r w:rsidR="00103BC2" w:rsidRPr="00882DFF">
        <w:t>/</w:t>
      </w:r>
      <w:r w:rsidR="00FF100E" w:rsidRPr="00882DFF">
        <w:t>carcinoma in situ</w:t>
      </w:r>
      <w:r w:rsidR="00E61572">
        <w:t xml:space="preserve">; </w:t>
      </w:r>
      <w:r w:rsidR="003A3FB4">
        <w:t xml:space="preserve">UC = urothelial carcinoma; </w:t>
      </w:r>
      <w:r>
        <w:t>WHO = World Health Organisation</w:t>
      </w:r>
      <w:r w:rsidR="007D677D">
        <w:t>.</w:t>
      </w:r>
    </w:p>
    <w:p w14:paraId="4AA2EA70" w14:textId="7DFA9092" w:rsidR="00CE3B9F" w:rsidRDefault="00CE3B9F" w:rsidP="00640731">
      <w:pPr>
        <w:pStyle w:val="TableFigureFooter"/>
        <w:rPr>
          <w:i/>
          <w:iCs/>
        </w:rPr>
      </w:pPr>
      <w:r>
        <w:rPr>
          <w:i/>
          <w:iCs/>
        </w:rPr>
        <w:t>The redacted value corresponds to the following range:</w:t>
      </w:r>
    </w:p>
    <w:p w14:paraId="4B0E983C" w14:textId="754BC340" w:rsidR="00142336" w:rsidRPr="00142336" w:rsidRDefault="00CE3B9F" w:rsidP="00640731">
      <w:pPr>
        <w:pStyle w:val="TableFigureFooter"/>
        <w:rPr>
          <w:i/>
          <w:iCs/>
        </w:rPr>
      </w:pPr>
      <w:r>
        <w:rPr>
          <w:i/>
          <w:iCs/>
          <w:vertAlign w:val="superscript"/>
        </w:rPr>
        <w:t xml:space="preserve">1 </w:t>
      </w:r>
      <w:r w:rsidR="00142336">
        <w:rPr>
          <w:i/>
          <w:iCs/>
        </w:rPr>
        <w:t>500 to &lt; 5,000</w:t>
      </w:r>
    </w:p>
    <w:p w14:paraId="3AE34FDC" w14:textId="7A8322D8" w:rsidR="00CE3B9F" w:rsidRPr="00CE3B9F" w:rsidRDefault="00142336" w:rsidP="00640731">
      <w:pPr>
        <w:pStyle w:val="TableFigureFooter"/>
        <w:rPr>
          <w:i/>
          <w:iCs/>
        </w:rPr>
      </w:pPr>
      <w:r>
        <w:rPr>
          <w:i/>
          <w:iCs/>
          <w:vertAlign w:val="superscript"/>
        </w:rPr>
        <w:t xml:space="preserve">2 </w:t>
      </w:r>
      <w:r w:rsidR="00CE3B9F">
        <w:rPr>
          <w:i/>
          <w:iCs/>
        </w:rPr>
        <w:t>&lt; 500</w:t>
      </w:r>
    </w:p>
    <w:p w14:paraId="00690CA4" w14:textId="3481C1AF" w:rsidR="00F244EF" w:rsidRPr="00DF1914" w:rsidRDefault="00F244EF" w:rsidP="00F244EF">
      <w:pPr>
        <w:pStyle w:val="3-BodyText"/>
      </w:pPr>
      <w:r w:rsidRPr="00DF1914">
        <w:t>The estimated use and financial impacts of listing durvalumab are shown in</w:t>
      </w:r>
      <w:r w:rsidR="00992730" w:rsidRPr="00DF1914">
        <w:t xml:space="preserve"> </w:t>
      </w:r>
      <w:r w:rsidR="00992730" w:rsidRPr="00DF1914">
        <w:fldChar w:fldCharType="begin"/>
      </w:r>
      <w:r w:rsidR="00992730" w:rsidRPr="00DF1914">
        <w:instrText xml:space="preserve"> REF _Ref207392312 \h </w:instrText>
      </w:r>
      <w:r w:rsidR="00992730" w:rsidRPr="00DF1914">
        <w:fldChar w:fldCharType="separate"/>
      </w:r>
      <w:r w:rsidR="005731FF">
        <w:t xml:space="preserve">Table </w:t>
      </w:r>
      <w:r w:rsidR="005731FF">
        <w:rPr>
          <w:noProof/>
        </w:rPr>
        <w:t>21</w:t>
      </w:r>
      <w:r w:rsidR="00992730" w:rsidRPr="00DF1914">
        <w:fldChar w:fldCharType="end"/>
      </w:r>
      <w:r w:rsidRPr="00DF1914">
        <w:t>.</w:t>
      </w:r>
    </w:p>
    <w:p w14:paraId="5916A2FA" w14:textId="51C78E57" w:rsidR="00F244EF" w:rsidRPr="00640731" w:rsidRDefault="00513BBC" w:rsidP="00EE0F34">
      <w:pPr>
        <w:pStyle w:val="Caption"/>
      </w:pPr>
      <w:bookmarkStart w:id="112" w:name="_Ref207392312"/>
      <w:r>
        <w:lastRenderedPageBreak/>
        <w:t xml:space="preserve">Table </w:t>
      </w:r>
      <w:r w:rsidR="0077772B">
        <w:fldChar w:fldCharType="begin"/>
      </w:r>
      <w:r w:rsidR="0077772B">
        <w:instrText xml:space="preserve"> SEQ Table \* ARABIC </w:instrText>
      </w:r>
      <w:r w:rsidR="0077772B">
        <w:fldChar w:fldCharType="separate"/>
      </w:r>
      <w:r w:rsidR="005731FF">
        <w:rPr>
          <w:noProof/>
        </w:rPr>
        <w:t>21</w:t>
      </w:r>
      <w:r w:rsidR="0077772B">
        <w:rPr>
          <w:noProof/>
        </w:rPr>
        <w:fldChar w:fldCharType="end"/>
      </w:r>
      <w:bookmarkEnd w:id="112"/>
      <w:r w:rsidR="00F244EF" w:rsidRPr="00640731">
        <w:t>:</w:t>
      </w:r>
      <w:r w:rsidR="00F244EF" w:rsidRPr="00640731">
        <w:rPr>
          <w:rStyle w:val="CommentReference"/>
          <w:b/>
          <w:szCs w:val="18"/>
        </w:rPr>
        <w:t xml:space="preserve"> Estimated use and financial impact of listing durvalumab (effective)</w:t>
      </w:r>
    </w:p>
    <w:tbl>
      <w:tblPr>
        <w:tblW w:w="5000" w:type="pct"/>
        <w:tblCellMar>
          <w:top w:w="28" w:type="dxa"/>
          <w:left w:w="57" w:type="dxa"/>
          <w:bottom w:w="28" w:type="dxa"/>
          <w:right w:w="57" w:type="dxa"/>
        </w:tblCellMar>
        <w:tblLook w:val="04A0" w:firstRow="1" w:lastRow="0" w:firstColumn="1" w:lastColumn="0" w:noHBand="0" w:noVBand="1"/>
        <w:tblCaption w:val="Table 21: Estimated use and financial impact of listing durvalumab (effective)"/>
      </w:tblPr>
      <w:tblGrid>
        <w:gridCol w:w="2787"/>
        <w:gridCol w:w="1043"/>
        <w:gridCol w:w="1042"/>
        <w:gridCol w:w="1042"/>
        <w:gridCol w:w="1042"/>
        <w:gridCol w:w="1042"/>
        <w:gridCol w:w="1019"/>
      </w:tblGrid>
      <w:tr w:rsidR="00404278" w:rsidRPr="00DF1914" w14:paraId="4F9315C8" w14:textId="77777777" w:rsidTr="00575D94">
        <w:trPr>
          <w:cantSplit/>
        </w:trPr>
        <w:tc>
          <w:tcPr>
            <w:tcW w:w="154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E66F1D7" w14:textId="77777777" w:rsidR="00F244EF" w:rsidRPr="00DF1914" w:rsidRDefault="00F244EF" w:rsidP="00EE0F34">
            <w:pPr>
              <w:keepNext/>
              <w:keepLines/>
              <w:rPr>
                <w:rFonts w:cs="Calibri"/>
                <w:color w:val="000000"/>
                <w:sz w:val="22"/>
                <w:szCs w:val="22"/>
              </w:rPr>
            </w:pPr>
            <w:r w:rsidRPr="00DF1914">
              <w:rPr>
                <w:rFonts w:cs="Calibri"/>
                <w:color w:val="000000"/>
                <w:sz w:val="22"/>
                <w:szCs w:val="22"/>
              </w:rPr>
              <w:t> </w:t>
            </w:r>
          </w:p>
        </w:tc>
        <w:tc>
          <w:tcPr>
            <w:tcW w:w="578"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5E58A2D7" w14:textId="77777777" w:rsidR="00F244EF" w:rsidRPr="00DF1914" w:rsidRDefault="00F244EF" w:rsidP="00EE0F34">
            <w:pPr>
              <w:keepNext/>
              <w:keepLines/>
              <w:jc w:val="center"/>
              <w:rPr>
                <w:rFonts w:ascii="Arial Narrow" w:hAnsi="Arial Narrow" w:cs="Calibri"/>
                <w:b/>
                <w:bCs/>
                <w:color w:val="000000"/>
                <w:sz w:val="20"/>
                <w:szCs w:val="20"/>
              </w:rPr>
            </w:pPr>
            <w:r w:rsidRPr="00DF1914">
              <w:rPr>
                <w:rFonts w:ascii="Arial Narrow" w:hAnsi="Arial Narrow" w:cs="Calibri"/>
                <w:b/>
                <w:bCs/>
                <w:color w:val="000000"/>
                <w:sz w:val="20"/>
                <w:szCs w:val="20"/>
              </w:rPr>
              <w:t>Year 1</w:t>
            </w:r>
          </w:p>
        </w:tc>
        <w:tc>
          <w:tcPr>
            <w:tcW w:w="578"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096BF4DD" w14:textId="77777777" w:rsidR="00F244EF" w:rsidRPr="00DF1914" w:rsidRDefault="00F244EF" w:rsidP="00EE0F34">
            <w:pPr>
              <w:keepNext/>
              <w:keepLines/>
              <w:jc w:val="center"/>
              <w:rPr>
                <w:rFonts w:ascii="Arial Narrow" w:hAnsi="Arial Narrow" w:cs="Calibri"/>
                <w:b/>
                <w:bCs/>
                <w:color w:val="000000"/>
                <w:sz w:val="20"/>
                <w:szCs w:val="20"/>
              </w:rPr>
            </w:pPr>
            <w:r w:rsidRPr="00DF1914">
              <w:rPr>
                <w:rFonts w:ascii="Arial Narrow" w:hAnsi="Arial Narrow" w:cs="Calibri"/>
                <w:b/>
                <w:bCs/>
                <w:color w:val="000000"/>
                <w:sz w:val="20"/>
                <w:szCs w:val="20"/>
              </w:rPr>
              <w:t>Year 2</w:t>
            </w:r>
          </w:p>
        </w:tc>
        <w:tc>
          <w:tcPr>
            <w:tcW w:w="578"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0D9D8533" w14:textId="77777777" w:rsidR="00F244EF" w:rsidRPr="00DF1914" w:rsidRDefault="00F244EF" w:rsidP="00EE0F34">
            <w:pPr>
              <w:keepNext/>
              <w:keepLines/>
              <w:jc w:val="center"/>
              <w:rPr>
                <w:rFonts w:ascii="Arial Narrow" w:hAnsi="Arial Narrow" w:cs="Calibri"/>
                <w:b/>
                <w:bCs/>
                <w:color w:val="000000"/>
                <w:sz w:val="20"/>
                <w:szCs w:val="20"/>
              </w:rPr>
            </w:pPr>
            <w:r w:rsidRPr="00DF1914">
              <w:rPr>
                <w:rFonts w:ascii="Arial Narrow" w:hAnsi="Arial Narrow" w:cs="Calibri"/>
                <w:b/>
                <w:bCs/>
                <w:color w:val="000000"/>
                <w:sz w:val="20"/>
                <w:szCs w:val="20"/>
              </w:rPr>
              <w:t>Year 3</w:t>
            </w:r>
          </w:p>
        </w:tc>
        <w:tc>
          <w:tcPr>
            <w:tcW w:w="578"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6F0BB0DE" w14:textId="77777777" w:rsidR="00F244EF" w:rsidRPr="00DF1914" w:rsidRDefault="00F244EF" w:rsidP="00EE0F34">
            <w:pPr>
              <w:keepNext/>
              <w:keepLines/>
              <w:jc w:val="center"/>
              <w:rPr>
                <w:rFonts w:ascii="Arial Narrow" w:hAnsi="Arial Narrow" w:cs="Calibri"/>
                <w:b/>
                <w:bCs/>
                <w:color w:val="000000"/>
                <w:sz w:val="20"/>
                <w:szCs w:val="20"/>
              </w:rPr>
            </w:pPr>
            <w:r w:rsidRPr="00DF1914">
              <w:rPr>
                <w:rFonts w:ascii="Arial Narrow" w:hAnsi="Arial Narrow" w:cs="Calibri"/>
                <w:b/>
                <w:bCs/>
                <w:color w:val="000000"/>
                <w:sz w:val="20"/>
                <w:szCs w:val="20"/>
              </w:rPr>
              <w:t>Year 4</w:t>
            </w:r>
          </w:p>
        </w:tc>
        <w:tc>
          <w:tcPr>
            <w:tcW w:w="578"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2E8D2F75" w14:textId="77777777" w:rsidR="00F244EF" w:rsidRPr="00DF1914" w:rsidRDefault="00F244EF" w:rsidP="00EE0F34">
            <w:pPr>
              <w:keepNext/>
              <w:keepLines/>
              <w:jc w:val="center"/>
              <w:rPr>
                <w:rFonts w:ascii="Arial Narrow" w:hAnsi="Arial Narrow" w:cs="Calibri"/>
                <w:b/>
                <w:bCs/>
                <w:color w:val="000000"/>
                <w:sz w:val="20"/>
                <w:szCs w:val="20"/>
              </w:rPr>
            </w:pPr>
            <w:r w:rsidRPr="00DF1914">
              <w:rPr>
                <w:rFonts w:ascii="Arial Narrow" w:hAnsi="Arial Narrow" w:cs="Calibri"/>
                <w:b/>
                <w:bCs/>
                <w:color w:val="000000"/>
                <w:sz w:val="20"/>
                <w:szCs w:val="20"/>
              </w:rPr>
              <w:t>Year 5</w:t>
            </w:r>
          </w:p>
        </w:tc>
        <w:tc>
          <w:tcPr>
            <w:tcW w:w="563" w:type="pct"/>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79626A40" w14:textId="77777777" w:rsidR="00F244EF" w:rsidRPr="00DF1914" w:rsidRDefault="00F244EF" w:rsidP="00EE0F34">
            <w:pPr>
              <w:keepNext/>
              <w:keepLines/>
              <w:jc w:val="center"/>
              <w:rPr>
                <w:rFonts w:ascii="Arial Narrow" w:hAnsi="Arial Narrow" w:cs="Calibri"/>
                <w:b/>
                <w:bCs/>
                <w:color w:val="000000"/>
                <w:sz w:val="20"/>
                <w:szCs w:val="20"/>
              </w:rPr>
            </w:pPr>
            <w:r w:rsidRPr="00DF1914">
              <w:rPr>
                <w:rFonts w:ascii="Arial Narrow" w:hAnsi="Arial Narrow" w:cs="Calibri"/>
                <w:b/>
                <w:bCs/>
                <w:color w:val="000000"/>
                <w:sz w:val="20"/>
                <w:szCs w:val="20"/>
              </w:rPr>
              <w:t>Year 6</w:t>
            </w:r>
          </w:p>
        </w:tc>
      </w:tr>
      <w:tr w:rsidR="00832F97" w:rsidRPr="00DF1914" w14:paraId="46B20D3A" w14:textId="77777777" w:rsidTr="00575D94">
        <w:trPr>
          <w:cantSplit/>
        </w:trPr>
        <w:tc>
          <w:tcPr>
            <w:tcW w:w="5000" w:type="pct"/>
            <w:gridSpan w:val="7"/>
            <w:tcBorders>
              <w:top w:val="nil"/>
              <w:left w:val="single" w:sz="4" w:space="0" w:color="auto"/>
              <w:bottom w:val="single" w:sz="4" w:space="0" w:color="auto"/>
              <w:right w:val="single" w:sz="4" w:space="0" w:color="auto"/>
            </w:tcBorders>
            <w:tcMar>
              <w:top w:w="15" w:type="dxa"/>
              <w:left w:w="15" w:type="dxa"/>
              <w:bottom w:w="0" w:type="dxa"/>
              <w:right w:w="15" w:type="dxa"/>
            </w:tcMar>
          </w:tcPr>
          <w:p w14:paraId="400CD0C6" w14:textId="2AA44650" w:rsidR="00832F97" w:rsidRPr="00832F97" w:rsidRDefault="00832F97" w:rsidP="00EE0F34">
            <w:pPr>
              <w:keepNext/>
              <w:keepLines/>
              <w:jc w:val="left"/>
              <w:rPr>
                <w:rFonts w:ascii="Arial Narrow" w:hAnsi="Arial Narrow" w:cs="Calibri"/>
                <w:b/>
                <w:bCs/>
                <w:color w:val="000000"/>
                <w:sz w:val="20"/>
                <w:szCs w:val="20"/>
              </w:rPr>
            </w:pPr>
            <w:r w:rsidRPr="00832F97">
              <w:rPr>
                <w:rFonts w:ascii="Arial Narrow" w:hAnsi="Arial Narrow" w:cs="Calibri"/>
                <w:b/>
                <w:bCs/>
                <w:color w:val="000000"/>
                <w:sz w:val="20"/>
                <w:szCs w:val="20"/>
              </w:rPr>
              <w:t>Patients</w:t>
            </w:r>
          </w:p>
        </w:tc>
      </w:tr>
      <w:tr w:rsidR="00E26410" w:rsidRPr="00DF1914" w14:paraId="6919927C"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62A2820A" w14:textId="1F05687B" w:rsidR="00E26410" w:rsidRPr="00DF1914" w:rsidRDefault="00E26410"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Eligible patients</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0F639FC3" w14:textId="5D71110C" w:rsidR="00E26410" w:rsidRPr="000F4FEC" w:rsidRDefault="00E26410" w:rsidP="00EE0F34">
            <w:pPr>
              <w:keepNext/>
              <w:keepLines/>
              <w:jc w:val="right"/>
              <w:rPr>
                <w:rFonts w:ascii="Arial Narrow" w:hAnsi="Arial Narrow" w:cs="Calibri"/>
                <w:color w:val="000000"/>
                <w:sz w:val="20"/>
                <w:szCs w:val="20"/>
                <w:vertAlign w:val="superscript"/>
              </w:rPr>
            </w:pPr>
            <w:r w:rsidRPr="000F4FEC">
              <w:rPr>
                <w:rFonts w:ascii="Arial Narrow" w:hAnsi="Arial Narrow" w:cs="Calibri"/>
                <w:color w:val="000000"/>
                <w:sz w:val="20"/>
                <w:szCs w:val="20"/>
              </w:rPr>
              <w:t>1,151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BF4C56B" w14:textId="6F7DE41A" w:rsidR="00E26410" w:rsidRPr="000F4FEC" w:rsidRDefault="00E26410"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rPr>
              <w:t>1,204</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84681F2" w14:textId="5488A0E1" w:rsidR="00E26410" w:rsidRPr="000F4FEC" w:rsidRDefault="00E26410"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rPr>
              <w:t>1,254</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3F4064B" w14:textId="24034967" w:rsidR="00E26410" w:rsidRPr="000F4FEC" w:rsidRDefault="00E26410"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rPr>
              <w:t>1,309</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03A23BF3" w14:textId="5B3735A1" w:rsidR="00E26410" w:rsidRPr="000F4FEC" w:rsidRDefault="00E26410"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rPr>
              <w:t>1,364</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01E27E72" w14:textId="297EE076" w:rsidR="00E26410" w:rsidRPr="000F4FEC" w:rsidRDefault="00E26410"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rPr>
              <w:t>1,445</w:t>
            </w:r>
          </w:p>
        </w:tc>
      </w:tr>
      <w:tr w:rsidR="00E26410" w:rsidRPr="00DF1914" w14:paraId="00C6BFF1"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54C95979" w14:textId="7C3E4AD2" w:rsidR="00E26410" w:rsidRPr="00DF1914" w:rsidRDefault="00E26410" w:rsidP="00DF0867">
            <w:pPr>
              <w:keepNext/>
              <w:keepLines/>
              <w:ind w:left="-22"/>
              <w:jc w:val="left"/>
              <w:rPr>
                <w:rFonts w:ascii="Arial Narrow" w:hAnsi="Arial Narrow" w:cs="Calibri"/>
                <w:color w:val="000000"/>
                <w:sz w:val="20"/>
                <w:szCs w:val="20"/>
              </w:rPr>
            </w:pPr>
            <w:r>
              <w:rPr>
                <w:rFonts w:ascii="Arial Narrow" w:hAnsi="Arial Narrow" w:cs="Calibri"/>
                <w:color w:val="000000"/>
                <w:sz w:val="20"/>
                <w:szCs w:val="20"/>
              </w:rPr>
              <w:t>Uptake – initial (neoadjuvant)</w:t>
            </w:r>
            <w:r w:rsidR="00DF0867">
              <w:rPr>
                <w:rFonts w:ascii="Arial Narrow" w:hAnsi="Arial Narrow" w:cs="Calibri"/>
                <w:color w:val="000000"/>
                <w:sz w:val="20"/>
                <w:szCs w:val="20"/>
              </w:rPr>
              <w:t xml:space="preserve"> (%)</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B7A5A63" w14:textId="479C8F3F"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2FEA633B" w14:textId="439FC484"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DED8B0D" w14:textId="15BA624D"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2CFC498A" w14:textId="54E19A7B"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59E0879" w14:textId="363B1EBF"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7AB805E3" w14:textId="3B0F185E"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r>
      <w:tr w:rsidR="00E26410" w:rsidRPr="00DF1914" w14:paraId="65699DD7"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46C94DF3" w14:textId="70CE95E1" w:rsidR="00E26410" w:rsidRPr="00DF1914" w:rsidRDefault="00E26410"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Neoadjuvant patients</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33C03420" w14:textId="5BE84A89"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F9C8916" w14:textId="47D4132C"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3440C8C" w14:textId="79725DFA"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4A244EE" w14:textId="2305E005"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203B31C9" w14:textId="66BE76C0"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19F19EE6" w14:textId="7A1774EE"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r>
      <w:tr w:rsidR="00E26410" w:rsidRPr="00DF1914" w14:paraId="42A4C38C"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5C8B9C95" w14:textId="4F41CB37" w:rsidR="00E26410" w:rsidRPr="00DF1914" w:rsidRDefault="00E26410"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Uptake – continuing (adjuvant)</w:t>
            </w:r>
            <w:r w:rsidR="00DF0867">
              <w:rPr>
                <w:rFonts w:ascii="Arial Narrow" w:hAnsi="Arial Narrow" w:cs="Calibri"/>
                <w:color w:val="000000"/>
                <w:sz w:val="20"/>
                <w:szCs w:val="20"/>
              </w:rPr>
              <w:t xml:space="preserve"> (%)</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302FAA2" w14:textId="6B4CA1E3"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4561861" w14:textId="669551F8"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05F22113" w14:textId="242720D6"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34EB9598" w14:textId="492D7621"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CD6AAD4" w14:textId="25C86257"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62647336" w14:textId="038A543A"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p>
        </w:tc>
      </w:tr>
      <w:tr w:rsidR="00E26410" w:rsidRPr="00DF1914" w14:paraId="55218689"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3D97AD84" w14:textId="2FC4E81D" w:rsidR="00E26410" w:rsidRPr="00DF1914" w:rsidRDefault="00E26410"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Adjuvant patients</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EE86C1A" w14:textId="34D1B857"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358828C4" w14:textId="5E407289"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390C2D7" w14:textId="1105C7F6"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238F9191" w14:textId="75895688"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5D02AE3" w14:textId="3DB8A690"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2E0A1DAF" w14:textId="3562967D" w:rsidR="00E26410"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r>
      <w:tr w:rsidR="0048136D" w:rsidRPr="00DF1914" w14:paraId="71ED076D"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4B17D970" w14:textId="2633F41C" w:rsidR="0048136D" w:rsidRDefault="00236127"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Grandfathered</w:t>
            </w:r>
            <w:r w:rsidR="009857F2">
              <w:rPr>
                <w:rFonts w:ascii="Arial Narrow" w:hAnsi="Arial Narrow" w:cs="Calibri"/>
                <w:color w:val="000000"/>
                <w:sz w:val="20"/>
                <w:szCs w:val="20"/>
              </w:rPr>
              <w:t xml:space="preserve"> patients</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CFD71D4" w14:textId="401BAF38" w:rsidR="0048136D" w:rsidRPr="00DF0867"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7555DD">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204D18B" w14:textId="77777777" w:rsidR="0048136D" w:rsidRPr="00DF0867" w:rsidRDefault="0048136D"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1DE7A155" w14:textId="77777777" w:rsidR="0048136D" w:rsidRPr="00DF0867" w:rsidRDefault="0048136D"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A24F991" w14:textId="77777777" w:rsidR="0048136D" w:rsidRPr="00DF0867" w:rsidRDefault="0048136D"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78718A6" w14:textId="77777777" w:rsidR="0048136D" w:rsidRPr="00DF0867" w:rsidRDefault="0048136D" w:rsidP="00EE0F34">
            <w:pPr>
              <w:keepNext/>
              <w:keepLines/>
              <w:jc w:val="right"/>
              <w:rPr>
                <w:rFonts w:ascii="Arial Narrow" w:hAnsi="Arial Narrow" w:cs="Calibri"/>
                <w:color w:val="000000"/>
                <w:sz w:val="20"/>
                <w:szCs w:val="20"/>
                <w:highlight w:val="darkGray"/>
              </w:rPr>
            </w:pP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74C98480" w14:textId="77777777" w:rsidR="0048136D" w:rsidRPr="00DF0867" w:rsidRDefault="0048136D" w:rsidP="00EE0F34">
            <w:pPr>
              <w:keepNext/>
              <w:keepLines/>
              <w:jc w:val="right"/>
              <w:rPr>
                <w:rFonts w:ascii="Arial Narrow" w:hAnsi="Arial Narrow" w:cs="Calibri"/>
                <w:color w:val="000000"/>
                <w:sz w:val="20"/>
                <w:szCs w:val="20"/>
                <w:highlight w:val="darkGray"/>
              </w:rPr>
            </w:pPr>
          </w:p>
        </w:tc>
      </w:tr>
      <w:tr w:rsidR="008F7284" w:rsidRPr="00DF1914" w14:paraId="6108F696" w14:textId="77777777" w:rsidTr="00575D94">
        <w:trPr>
          <w:cantSplit/>
        </w:trPr>
        <w:tc>
          <w:tcPr>
            <w:tcW w:w="5000" w:type="pct"/>
            <w:gridSpan w:val="7"/>
            <w:tcBorders>
              <w:top w:val="nil"/>
              <w:left w:val="single" w:sz="4" w:space="0" w:color="auto"/>
              <w:bottom w:val="single" w:sz="4" w:space="0" w:color="auto"/>
              <w:right w:val="single" w:sz="4" w:space="0" w:color="auto"/>
            </w:tcBorders>
            <w:tcMar>
              <w:top w:w="15" w:type="dxa"/>
              <w:left w:w="15" w:type="dxa"/>
              <w:bottom w:w="0" w:type="dxa"/>
              <w:right w:w="15" w:type="dxa"/>
            </w:tcMar>
          </w:tcPr>
          <w:p w14:paraId="1E55EA44" w14:textId="78625DC2" w:rsidR="008F7284" w:rsidRPr="00DF1914" w:rsidRDefault="008F7284" w:rsidP="00EE0F34">
            <w:pPr>
              <w:keepNext/>
              <w:keepLines/>
              <w:jc w:val="left"/>
              <w:rPr>
                <w:rFonts w:ascii="Arial Narrow" w:hAnsi="Arial Narrow" w:cs="Calibri"/>
                <w:color w:val="000000"/>
                <w:sz w:val="20"/>
                <w:szCs w:val="20"/>
              </w:rPr>
            </w:pPr>
            <w:r w:rsidRPr="00DF1914">
              <w:rPr>
                <w:rFonts w:ascii="Arial Narrow" w:hAnsi="Arial Narrow" w:cs="Calibri"/>
                <w:b/>
                <w:bCs/>
                <w:color w:val="000000"/>
                <w:sz w:val="20"/>
                <w:szCs w:val="20"/>
              </w:rPr>
              <w:t>Scripts – proposed medicine</w:t>
            </w:r>
          </w:p>
        </w:tc>
      </w:tr>
      <w:tr w:rsidR="00C8682A" w:rsidRPr="00DF1914" w14:paraId="68B31B21"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58B76F4C" w14:textId="77777777" w:rsidR="00F244EF" w:rsidRPr="00DF1914" w:rsidRDefault="00F244EF" w:rsidP="00EE0F34">
            <w:pPr>
              <w:keepNext/>
              <w:keepLines/>
              <w:jc w:val="left"/>
              <w:rPr>
                <w:rFonts w:ascii="Arial Narrow" w:hAnsi="Arial Narrow" w:cs="Calibri"/>
                <w:color w:val="000000"/>
                <w:sz w:val="20"/>
                <w:szCs w:val="20"/>
              </w:rPr>
            </w:pPr>
            <w:r w:rsidRPr="00DF1914">
              <w:rPr>
                <w:rFonts w:ascii="Arial Narrow" w:hAnsi="Arial Narrow" w:cs="Calibri"/>
                <w:color w:val="000000"/>
                <w:sz w:val="20"/>
                <w:szCs w:val="20"/>
              </w:rPr>
              <w:t>Durvalumab - Initial</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1035A80E" w14:textId="6FD7CAC7"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57CD4B5" w14:textId="2A899383"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0F929BA" w14:textId="69F72751"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1C295B9" w14:textId="6E57B5F0"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20F682D2" w14:textId="2F24A50B"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2C057701" w14:textId="3EEAE111"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r>
      <w:tr w:rsidR="00C8682A" w:rsidRPr="00DF1914" w14:paraId="29ED2708"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3A24C2EA" w14:textId="77777777" w:rsidR="00F244EF" w:rsidRPr="00DF1914" w:rsidRDefault="00F244EF" w:rsidP="00EE0F34">
            <w:pPr>
              <w:keepNext/>
              <w:keepLines/>
              <w:jc w:val="left"/>
              <w:rPr>
                <w:rFonts w:ascii="Arial Narrow" w:hAnsi="Arial Narrow" w:cs="Calibri"/>
                <w:color w:val="000000"/>
                <w:sz w:val="20"/>
                <w:szCs w:val="20"/>
              </w:rPr>
            </w:pPr>
            <w:r w:rsidRPr="00DF1914">
              <w:rPr>
                <w:rFonts w:ascii="Arial Narrow" w:hAnsi="Arial Narrow" w:cs="Calibri"/>
                <w:color w:val="000000"/>
                <w:sz w:val="20"/>
                <w:szCs w:val="20"/>
              </w:rPr>
              <w:t>Durvalumab - Continuing</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2F566380" w14:textId="65CA0834"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2033ECD6" w14:textId="0DBF5127"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3117E3A" w14:textId="2A3A071B"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1241830" w14:textId="29606938"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0C0CE37" w14:textId="1A3C937D"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2FB41096" w14:textId="237683ED"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r>
      <w:tr w:rsidR="00C8682A" w:rsidRPr="00DF1914" w14:paraId="3C73A69B"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09FF1DE6" w14:textId="77777777" w:rsidR="00F244EF" w:rsidRPr="00DF1914" w:rsidRDefault="00F244EF" w:rsidP="00EE0F34">
            <w:pPr>
              <w:keepNext/>
              <w:keepLines/>
              <w:jc w:val="left"/>
              <w:rPr>
                <w:rFonts w:ascii="Arial Narrow" w:hAnsi="Arial Narrow" w:cs="Calibri"/>
                <w:color w:val="000000"/>
                <w:sz w:val="20"/>
                <w:szCs w:val="20"/>
              </w:rPr>
            </w:pPr>
            <w:r w:rsidRPr="00DF1914">
              <w:rPr>
                <w:rFonts w:ascii="Arial Narrow" w:hAnsi="Arial Narrow" w:cs="Calibri"/>
                <w:color w:val="000000"/>
                <w:sz w:val="20"/>
                <w:szCs w:val="20"/>
              </w:rPr>
              <w:t>Durvalumab GF - Initial</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1B2AB8AE" w14:textId="3A29D154"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0FBA08F"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04B7460"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9BC6C54"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5C94AA1B"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4E4EB49C" w14:textId="77777777" w:rsidR="00F244EF" w:rsidRPr="007555DD" w:rsidRDefault="00F244EF" w:rsidP="00EE0F34">
            <w:pPr>
              <w:keepNext/>
              <w:keepLines/>
              <w:jc w:val="right"/>
              <w:rPr>
                <w:rFonts w:ascii="Arial Narrow" w:hAnsi="Arial Narrow" w:cs="Calibri"/>
                <w:color w:val="000000"/>
                <w:sz w:val="20"/>
                <w:szCs w:val="20"/>
                <w:highlight w:val="darkGray"/>
              </w:rPr>
            </w:pPr>
          </w:p>
        </w:tc>
      </w:tr>
      <w:tr w:rsidR="00C8682A" w:rsidRPr="00DF1914" w14:paraId="7D9D7D2A"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3BCB4B4C" w14:textId="77777777" w:rsidR="00F244EF" w:rsidRPr="00DF1914" w:rsidRDefault="00F244EF" w:rsidP="00EE0F34">
            <w:pPr>
              <w:keepNext/>
              <w:keepLines/>
              <w:jc w:val="left"/>
              <w:rPr>
                <w:rFonts w:ascii="Arial Narrow" w:hAnsi="Arial Narrow" w:cs="Calibri"/>
                <w:color w:val="000000"/>
                <w:sz w:val="20"/>
                <w:szCs w:val="20"/>
              </w:rPr>
            </w:pPr>
            <w:r w:rsidRPr="00DF1914">
              <w:rPr>
                <w:rFonts w:ascii="Arial Narrow" w:hAnsi="Arial Narrow" w:cs="Calibri"/>
                <w:color w:val="000000"/>
                <w:sz w:val="20"/>
                <w:szCs w:val="20"/>
              </w:rPr>
              <w:t>Durvalumab GF - Continuing</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11464ED" w14:textId="34B82B1C"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sidRPr="00DF0867">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06708210"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253A4880"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7FC2DAD"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307111DD" w14:textId="77777777" w:rsidR="00F244EF" w:rsidRPr="007555DD" w:rsidRDefault="00F244EF" w:rsidP="00EE0F34">
            <w:pPr>
              <w:keepNext/>
              <w:keepLines/>
              <w:jc w:val="right"/>
              <w:rPr>
                <w:rFonts w:ascii="Arial Narrow" w:hAnsi="Arial Narrow" w:cs="Calibri"/>
                <w:color w:val="000000"/>
                <w:sz w:val="20"/>
                <w:szCs w:val="20"/>
                <w:highlight w:val="darkGray"/>
              </w:rPr>
            </w:pP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7CC71C81" w14:textId="77777777" w:rsidR="00F244EF" w:rsidRPr="007555DD" w:rsidRDefault="00F244EF" w:rsidP="00EE0F34">
            <w:pPr>
              <w:keepNext/>
              <w:keepLines/>
              <w:jc w:val="right"/>
              <w:rPr>
                <w:rFonts w:ascii="Arial Narrow" w:hAnsi="Arial Narrow" w:cs="Calibri"/>
                <w:color w:val="000000"/>
                <w:sz w:val="20"/>
                <w:szCs w:val="20"/>
                <w:highlight w:val="darkGray"/>
              </w:rPr>
            </w:pPr>
          </w:p>
        </w:tc>
      </w:tr>
      <w:tr w:rsidR="00C8682A" w:rsidRPr="00DF1914" w14:paraId="216FB672"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1DD7C1A6" w14:textId="77777777" w:rsidR="00F244EF" w:rsidRPr="00DF1914" w:rsidRDefault="00F244EF" w:rsidP="00EE0F34">
            <w:pPr>
              <w:keepNext/>
              <w:keepLines/>
              <w:jc w:val="left"/>
              <w:rPr>
                <w:rFonts w:ascii="Arial Narrow" w:hAnsi="Arial Narrow" w:cs="Calibri"/>
                <w:color w:val="000000"/>
                <w:sz w:val="20"/>
                <w:szCs w:val="20"/>
              </w:rPr>
            </w:pPr>
            <w:r w:rsidRPr="00DF1914">
              <w:rPr>
                <w:rFonts w:ascii="Arial Narrow" w:hAnsi="Arial Narrow" w:cs="Calibri"/>
                <w:color w:val="000000"/>
                <w:sz w:val="20"/>
                <w:szCs w:val="20"/>
              </w:rPr>
              <w:t>Total scripts</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92CCDD9" w14:textId="66A20351"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46E20826" w14:textId="18497930"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85F7FA1" w14:textId="7C74B59B"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2B03DEC" w14:textId="45B5507D"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4</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2E4458EF" w14:textId="6F162307"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4</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0F148645" w14:textId="321EE9E4" w:rsidR="00F244EF" w:rsidRPr="007555DD"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7555DD">
              <w:rPr>
                <w:rFonts w:ascii="Arial Narrow" w:hAnsi="Arial Narrow" w:cs="Calibri"/>
                <w:color w:val="000000"/>
                <w:sz w:val="20"/>
                <w:szCs w:val="20"/>
                <w:vertAlign w:val="superscript"/>
              </w:rPr>
              <w:t>4</w:t>
            </w:r>
          </w:p>
        </w:tc>
      </w:tr>
      <w:tr w:rsidR="00F244EF" w:rsidRPr="00DF1914" w14:paraId="68CC7C12" w14:textId="77777777" w:rsidTr="00575D94">
        <w:trPr>
          <w:cantSplit/>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B701CA" w14:textId="77777777" w:rsidR="00F244EF" w:rsidRPr="00DF1914" w:rsidRDefault="00F244EF" w:rsidP="00EE0F34">
            <w:pPr>
              <w:keepNext/>
              <w:keepLines/>
              <w:jc w:val="left"/>
              <w:rPr>
                <w:rFonts w:ascii="Arial Narrow" w:hAnsi="Arial Narrow" w:cs="Calibri"/>
                <w:b/>
                <w:bCs/>
                <w:color w:val="000000"/>
                <w:sz w:val="20"/>
                <w:szCs w:val="20"/>
              </w:rPr>
            </w:pPr>
            <w:r w:rsidRPr="00DF1914">
              <w:rPr>
                <w:rFonts w:ascii="Arial Narrow" w:hAnsi="Arial Narrow" w:cs="Calibri"/>
                <w:b/>
                <w:bCs/>
                <w:color w:val="000000"/>
                <w:sz w:val="20"/>
                <w:szCs w:val="20"/>
              </w:rPr>
              <w:t>Net financial impact of durvalumab</w:t>
            </w:r>
          </w:p>
        </w:tc>
      </w:tr>
      <w:tr w:rsidR="00C8682A" w:rsidRPr="00DF1914" w14:paraId="458C30AD"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07C0A8A4" w14:textId="509C2146"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PBS/RPBS less copayments</w:t>
            </w:r>
            <w:r w:rsidR="00A76235">
              <w:rPr>
                <w:rFonts w:ascii="Arial Narrow" w:hAnsi="Arial Narrow" w:cs="Calibri"/>
                <w:color w:val="000000"/>
                <w:sz w:val="20"/>
                <w:szCs w:val="20"/>
              </w:rPr>
              <w:t xml:space="preserve"> ($)</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51256DA" w14:textId="77AA0779" w:rsidR="00F244EF" w:rsidRPr="0020332D" w:rsidRDefault="000F4FEC" w:rsidP="00EE0F34">
            <w:pPr>
              <w:keepNext/>
              <w:keepLines/>
              <w:jc w:val="right"/>
              <w:rPr>
                <w:rFonts w:ascii="Arial Narrow" w:hAnsi="Arial Narrow" w:cs="Calibri"/>
                <w:color w:val="000000"/>
                <w:sz w:val="20"/>
                <w:szCs w:val="20"/>
                <w:vertAlign w:val="superscript"/>
              </w:rPr>
            </w:pPr>
            <w:r w:rsidRPr="000F4FEC">
              <w:rPr>
                <w:rFonts w:ascii="Arial Narrow" w:hAnsi="Arial Narrow" w:cs="Calibri"/>
                <w:color w:val="000000"/>
                <w:sz w:val="20"/>
                <w:szCs w:val="20"/>
                <w:highlight w:val="black"/>
              </w:rPr>
              <w:t>@@@@</w:t>
            </w:r>
            <w:r w:rsidR="0020332D">
              <w:rPr>
                <w:rFonts w:ascii="Arial Narrow" w:hAnsi="Arial Narrow" w:cs="Calibri"/>
                <w:color w:val="000000"/>
                <w:sz w:val="20"/>
                <w:szCs w:val="20"/>
                <w:vertAlign w:val="superscript"/>
              </w:rPr>
              <w:t>5</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2B9A904F" w14:textId="4835B9C8" w:rsidR="00F244EF" w:rsidRPr="00DF1914" w:rsidRDefault="000F4FEC"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highlight w:val="black"/>
              </w:rPr>
              <w:t>@@@@</w:t>
            </w:r>
            <w:r w:rsidR="0020332D">
              <w:rPr>
                <w:rFonts w:ascii="Arial Narrow" w:hAnsi="Arial Narrow" w:cs="Calibri"/>
                <w:color w:val="000000"/>
                <w:sz w:val="20"/>
                <w:szCs w:val="20"/>
                <w:vertAlign w:val="superscript"/>
              </w:rPr>
              <w:t>5</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39EF97E" w14:textId="3A57E562" w:rsidR="00F244EF" w:rsidRPr="00DF1914" w:rsidRDefault="000F4FEC" w:rsidP="00EE0F34">
            <w:pPr>
              <w:keepNext/>
              <w:keepLines/>
              <w:jc w:val="right"/>
              <w:rPr>
                <w:rFonts w:ascii="Arial Narrow" w:hAnsi="Arial Narrow" w:cs="Calibri"/>
                <w:color w:val="000000"/>
                <w:sz w:val="20"/>
                <w:szCs w:val="20"/>
              </w:rPr>
            </w:pPr>
            <w:r w:rsidRPr="000F4FEC">
              <w:rPr>
                <w:rFonts w:ascii="Arial Narrow" w:hAnsi="Arial Narrow" w:cs="Calibri"/>
                <w:color w:val="000000"/>
                <w:sz w:val="20"/>
                <w:szCs w:val="20"/>
                <w:highlight w:val="black"/>
              </w:rPr>
              <w:t>@@@@</w:t>
            </w:r>
            <w:r w:rsidR="0020332D">
              <w:rPr>
                <w:rFonts w:ascii="Arial Narrow" w:hAnsi="Arial Narrow" w:cs="Calibri"/>
                <w:color w:val="000000"/>
                <w:sz w:val="20"/>
                <w:szCs w:val="20"/>
                <w:vertAlign w:val="superscript"/>
              </w:rPr>
              <w:t>5</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4D64BF6" w14:textId="17DEBA5B" w:rsidR="00F244EF" w:rsidRPr="00A76235"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76235">
              <w:rPr>
                <w:rFonts w:ascii="Arial Narrow" w:hAnsi="Arial Narrow" w:cs="Calibri"/>
                <w:color w:val="000000"/>
                <w:sz w:val="20"/>
                <w:szCs w:val="20"/>
                <w:vertAlign w:val="superscript"/>
              </w:rPr>
              <w:t>6</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C2CF982" w14:textId="5188ABD8" w:rsidR="00F244EF" w:rsidRPr="00A76235"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76235">
              <w:rPr>
                <w:rFonts w:ascii="Arial Narrow" w:hAnsi="Arial Narrow" w:cs="Calibri"/>
                <w:color w:val="000000"/>
                <w:sz w:val="20"/>
                <w:szCs w:val="20"/>
                <w:vertAlign w:val="superscript"/>
              </w:rPr>
              <w:t>6</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346C9B3D" w14:textId="30AB2024" w:rsidR="00F244EF" w:rsidRPr="00A76235"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76235">
              <w:rPr>
                <w:rFonts w:ascii="Arial Narrow" w:hAnsi="Arial Narrow" w:cs="Calibri"/>
                <w:color w:val="000000"/>
                <w:sz w:val="20"/>
                <w:szCs w:val="20"/>
                <w:vertAlign w:val="superscript"/>
              </w:rPr>
              <w:t>6</w:t>
            </w:r>
          </w:p>
        </w:tc>
      </w:tr>
      <w:tr w:rsidR="00F244EF" w:rsidRPr="00DF1914" w14:paraId="24DDA735" w14:textId="77777777" w:rsidTr="00575D94">
        <w:trPr>
          <w:cantSplit/>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343B8F" w14:textId="32FF8A3E" w:rsidR="00F244EF" w:rsidRPr="00DF1914" w:rsidRDefault="00F244EF" w:rsidP="00EE0F34">
            <w:pPr>
              <w:keepNext/>
              <w:keepLines/>
              <w:jc w:val="left"/>
              <w:rPr>
                <w:rFonts w:ascii="Arial Narrow" w:hAnsi="Arial Narrow" w:cs="Calibri"/>
                <w:b/>
                <w:bCs/>
                <w:color w:val="000000"/>
                <w:sz w:val="20"/>
                <w:szCs w:val="20"/>
              </w:rPr>
            </w:pPr>
            <w:r w:rsidRPr="00DF1914">
              <w:rPr>
                <w:rFonts w:ascii="Arial Narrow" w:hAnsi="Arial Narrow" w:cs="Calibri"/>
                <w:b/>
                <w:bCs/>
                <w:color w:val="000000"/>
                <w:sz w:val="20"/>
                <w:szCs w:val="20"/>
              </w:rPr>
              <w:t>Scripts – affected medicines</w:t>
            </w:r>
          </w:p>
        </w:tc>
      </w:tr>
      <w:tr w:rsidR="00C8682A" w:rsidRPr="00DF1914" w14:paraId="66747383"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66644FF4" w14:textId="77777777"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Nivolumab – Q4W</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15C2A38" w14:textId="0EFE9438"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sidRP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7CC735F" w14:textId="38FB523D"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sidRP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972D2DD" w14:textId="292BE13F"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sidRP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510297A" w14:textId="57FF458D"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sidRP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813E1D8" w14:textId="0E2F23A3"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sidRPr="00366261">
              <w:rPr>
                <w:rFonts w:ascii="Arial Narrow" w:hAnsi="Arial Narrow" w:cs="Calibri"/>
                <w:color w:val="000000"/>
                <w:sz w:val="20"/>
                <w:szCs w:val="20"/>
                <w:vertAlign w:val="superscript"/>
              </w:rPr>
              <w:t>1</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0DCC01F9" w14:textId="08A1E2F1"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sidRPr="00366261">
              <w:rPr>
                <w:rFonts w:ascii="Arial Narrow" w:hAnsi="Arial Narrow" w:cs="Calibri"/>
                <w:color w:val="000000"/>
                <w:sz w:val="20"/>
                <w:szCs w:val="20"/>
                <w:vertAlign w:val="superscript"/>
              </w:rPr>
              <w:t>1</w:t>
            </w:r>
          </w:p>
        </w:tc>
      </w:tr>
      <w:tr w:rsidR="00C8682A" w:rsidRPr="00DF1914" w14:paraId="4ED2CCCF"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1C80626D" w14:textId="77777777"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Nivolumab – Q2W</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44CB06A" w14:textId="21DB9334"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D188A8F" w14:textId="5B9E0844"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1883E55" w14:textId="725D0021"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2CC0710" w14:textId="0CA16989"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4837D5E4" w14:textId="53A945D9"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1</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21157268" w14:textId="5A3CE1D8"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1</w:t>
            </w:r>
          </w:p>
        </w:tc>
      </w:tr>
      <w:tr w:rsidR="00C8682A" w:rsidRPr="00DF1914" w14:paraId="0B7D49FF"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0807F08D" w14:textId="77777777"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Avelumab - Initial</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3A41269" w14:textId="5D35588F"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8632109" w14:textId="46257881"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1</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4DF71668" w14:textId="7FF50CFA"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1B238034" w14:textId="4C9D7DF7"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BFA1E5C" w14:textId="12B923D1"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056B969A" w14:textId="054D2797"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r>
      <w:tr w:rsidR="00C8682A" w:rsidRPr="00DF1914" w14:paraId="613D362E"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608C6A04" w14:textId="77777777"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Avelumab – Continuing</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5CC0601" w14:textId="6CD43C69"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F0F1313" w14:textId="1F788F0C"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05BC162" w14:textId="004F58DB"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B167B48" w14:textId="361559E5"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8845938" w14:textId="180B329F"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585F75F6" w14:textId="57723350"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r>
      <w:tr w:rsidR="00C8682A" w:rsidRPr="00DF1914" w14:paraId="20989938"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04547E6C" w14:textId="77777777"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Total scripts</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882A471" w14:textId="28D9FD97"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6EB472A" w14:textId="7DB07C85"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2</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B15CE02" w14:textId="55DF50CA"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E8CDB98" w14:textId="59AB7BCB"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3</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CD15140" w14:textId="2E4C5BFE"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3</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6526E7D4" w14:textId="2502122A" w:rsidR="00F244EF" w:rsidRPr="00DF1914" w:rsidRDefault="00F244EF" w:rsidP="00EE0F34">
            <w:pPr>
              <w:keepNext/>
              <w:keepLines/>
              <w:jc w:val="right"/>
              <w:rPr>
                <w:rFonts w:ascii="Arial Narrow" w:hAnsi="Arial Narrow" w:cs="Calibri"/>
                <w:color w:val="000000"/>
                <w:sz w:val="20"/>
                <w:szCs w:val="20"/>
              </w:rPr>
            </w:pPr>
            <w:r w:rsidRPr="00DF191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366261">
              <w:rPr>
                <w:rFonts w:ascii="Arial Narrow" w:hAnsi="Arial Narrow" w:cs="Calibri"/>
                <w:color w:val="000000"/>
                <w:sz w:val="20"/>
                <w:szCs w:val="20"/>
                <w:vertAlign w:val="superscript"/>
              </w:rPr>
              <w:t>3</w:t>
            </w:r>
          </w:p>
        </w:tc>
      </w:tr>
      <w:tr w:rsidR="00F244EF" w:rsidRPr="00DF1914" w14:paraId="7B274468" w14:textId="77777777" w:rsidTr="00575D94">
        <w:trPr>
          <w:cantSplit/>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3AADB9" w14:textId="10674192" w:rsidR="00F244EF" w:rsidRPr="00DF1914" w:rsidRDefault="00F244EF" w:rsidP="00EE0F34">
            <w:pPr>
              <w:keepNext/>
              <w:keepLines/>
              <w:jc w:val="left"/>
              <w:rPr>
                <w:rFonts w:ascii="Arial Narrow" w:hAnsi="Arial Narrow" w:cs="Calibri"/>
                <w:b/>
                <w:bCs/>
                <w:color w:val="000000"/>
                <w:sz w:val="20"/>
                <w:szCs w:val="20"/>
              </w:rPr>
            </w:pPr>
            <w:r w:rsidRPr="00DF1914">
              <w:rPr>
                <w:rFonts w:ascii="Arial Narrow" w:hAnsi="Arial Narrow" w:cs="Calibri"/>
                <w:b/>
                <w:bCs/>
                <w:color w:val="000000"/>
                <w:sz w:val="20"/>
                <w:szCs w:val="20"/>
              </w:rPr>
              <w:t>Net financial impact of affected medicines</w:t>
            </w:r>
            <w:r w:rsidR="00355ED9" w:rsidRPr="00355ED9">
              <w:rPr>
                <w:rFonts w:ascii="Arial Narrow" w:hAnsi="Arial Narrow" w:cs="Calibri"/>
                <w:b/>
                <w:bCs/>
                <w:color w:val="000000"/>
                <w:sz w:val="20"/>
                <w:szCs w:val="20"/>
                <w:vertAlign w:val="superscript"/>
              </w:rPr>
              <w:t>a</w:t>
            </w:r>
          </w:p>
        </w:tc>
      </w:tr>
      <w:tr w:rsidR="00C8682A" w:rsidRPr="00DF1914" w14:paraId="28D690DB"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2C783E72" w14:textId="40DA59B2"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PBS/RPBS less copayments</w:t>
            </w:r>
            <w:r w:rsidR="00366261">
              <w:rPr>
                <w:rFonts w:ascii="Arial Narrow" w:hAnsi="Arial Narrow" w:cs="Calibri"/>
                <w:color w:val="000000"/>
                <w:sz w:val="20"/>
                <w:szCs w:val="20"/>
              </w:rPr>
              <w:t xml:space="preserve"> ($)</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1C006E36" w14:textId="48795147" w:rsidR="00F244EF" w:rsidRPr="00366261" w:rsidRDefault="00F244EF" w:rsidP="00EE0F34">
            <w:pPr>
              <w:keepNext/>
              <w:keepLines/>
              <w:jc w:val="right"/>
              <w:rPr>
                <w:rFonts w:ascii="Arial Narrow" w:hAnsi="Arial Narrow" w:cs="Calibri"/>
                <w:color w:val="000000"/>
                <w:sz w:val="20"/>
                <w:szCs w:val="20"/>
                <w:highlight w:val="darkGray"/>
                <w:vertAlign w:val="superscript"/>
              </w:rPr>
            </w:pPr>
            <w:r w:rsidRPr="00A32C5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A32C54" w:rsidRPr="00A32C54">
              <w:rPr>
                <w:rFonts w:ascii="Arial Narrow" w:hAnsi="Arial Narrow" w:cs="Calibri"/>
                <w:color w:val="000000"/>
                <w:sz w:val="20"/>
                <w:szCs w:val="20"/>
                <w:vertAlign w:val="superscript"/>
              </w:rPr>
              <w:t>7</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790DC71" w14:textId="5523E7B7" w:rsidR="00F244EF" w:rsidRPr="00366261" w:rsidRDefault="00F244EF" w:rsidP="00EE0F34">
            <w:pPr>
              <w:keepNext/>
              <w:keepLines/>
              <w:jc w:val="right"/>
              <w:rPr>
                <w:rFonts w:ascii="Arial Narrow" w:hAnsi="Arial Narrow" w:cs="Calibri"/>
                <w:color w:val="000000"/>
                <w:sz w:val="20"/>
                <w:szCs w:val="20"/>
                <w:highlight w:val="darkGray"/>
              </w:rPr>
            </w:pPr>
            <w:r w:rsidRPr="00A32C5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A32C54" w:rsidRPr="00A32C54">
              <w:rPr>
                <w:rFonts w:ascii="Arial Narrow" w:hAnsi="Arial Narrow" w:cs="Calibri"/>
                <w:color w:val="000000"/>
                <w:sz w:val="20"/>
                <w:szCs w:val="20"/>
                <w:vertAlign w:val="superscript"/>
              </w:rPr>
              <w:t>7</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B65B82F" w14:textId="26896C15" w:rsidR="00F244EF" w:rsidRPr="00366261" w:rsidRDefault="00F244EF" w:rsidP="00EE0F34">
            <w:pPr>
              <w:keepNext/>
              <w:keepLines/>
              <w:jc w:val="right"/>
              <w:rPr>
                <w:rFonts w:ascii="Arial Narrow" w:hAnsi="Arial Narrow" w:cs="Calibri"/>
                <w:color w:val="000000"/>
                <w:sz w:val="20"/>
                <w:szCs w:val="20"/>
                <w:highlight w:val="darkGray"/>
              </w:rPr>
            </w:pPr>
            <w:r w:rsidRPr="00A32C5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A32C54" w:rsidRPr="00A32C54">
              <w:rPr>
                <w:rFonts w:ascii="Arial Narrow" w:hAnsi="Arial Narrow" w:cs="Calibri"/>
                <w:color w:val="000000"/>
                <w:sz w:val="20"/>
                <w:szCs w:val="20"/>
                <w:vertAlign w:val="superscript"/>
              </w:rPr>
              <w:t>7</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857DACF" w14:textId="1A647C87" w:rsidR="00F244EF" w:rsidRPr="00366261" w:rsidRDefault="00F244EF" w:rsidP="00EE0F34">
            <w:pPr>
              <w:keepNext/>
              <w:keepLines/>
              <w:jc w:val="right"/>
              <w:rPr>
                <w:rFonts w:ascii="Arial Narrow" w:hAnsi="Arial Narrow" w:cs="Calibri"/>
                <w:color w:val="000000"/>
                <w:sz w:val="20"/>
                <w:szCs w:val="20"/>
                <w:highlight w:val="darkGray"/>
              </w:rPr>
            </w:pPr>
            <w:r w:rsidRPr="00A32C5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1D721B3B" w14:textId="4707900A" w:rsidR="00F244EF" w:rsidRPr="00366261" w:rsidRDefault="00F244EF" w:rsidP="00EE0F34">
            <w:pPr>
              <w:keepNext/>
              <w:keepLines/>
              <w:jc w:val="right"/>
              <w:rPr>
                <w:rFonts w:ascii="Arial Narrow" w:hAnsi="Arial Narrow" w:cs="Calibri"/>
                <w:color w:val="000000"/>
                <w:sz w:val="20"/>
                <w:szCs w:val="20"/>
                <w:highlight w:val="darkGray"/>
              </w:rPr>
            </w:pPr>
            <w:r w:rsidRPr="00A32C5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3D8B6CB8" w14:textId="5BEF1B8A" w:rsidR="00F244EF" w:rsidRPr="00366261" w:rsidRDefault="00F244EF" w:rsidP="00EE0F34">
            <w:pPr>
              <w:keepNext/>
              <w:keepLines/>
              <w:jc w:val="right"/>
              <w:rPr>
                <w:rFonts w:ascii="Arial Narrow" w:hAnsi="Arial Narrow" w:cs="Calibri"/>
                <w:color w:val="000000"/>
                <w:sz w:val="20"/>
                <w:szCs w:val="20"/>
                <w:highlight w:val="darkGray"/>
              </w:rPr>
            </w:pPr>
            <w:r w:rsidRPr="00A32C54">
              <w:rPr>
                <w:rFonts w:ascii="Arial Narrow" w:hAnsi="Arial Narrow" w:cs="Calibri"/>
                <w:color w:val="000000"/>
                <w:sz w:val="20"/>
                <w:szCs w:val="20"/>
              </w:rPr>
              <w:t>-</w:t>
            </w:r>
            <w:r w:rsidR="000F4FEC"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r>
      <w:tr w:rsidR="00F244EF" w:rsidRPr="00DF1914" w14:paraId="2B01A80C" w14:textId="77777777" w:rsidTr="00575D94">
        <w:trPr>
          <w:cantSplit/>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7FFC5F" w14:textId="77777777" w:rsidR="00F244EF" w:rsidRPr="00DF1914" w:rsidRDefault="00F244EF" w:rsidP="00EE0F34">
            <w:pPr>
              <w:keepNext/>
              <w:keepLines/>
              <w:jc w:val="left"/>
              <w:rPr>
                <w:rFonts w:ascii="Arial Narrow" w:hAnsi="Arial Narrow" w:cs="Calibri"/>
                <w:b/>
                <w:bCs/>
                <w:color w:val="000000"/>
                <w:sz w:val="20"/>
                <w:szCs w:val="20"/>
              </w:rPr>
            </w:pPr>
            <w:r w:rsidRPr="00DF1914">
              <w:rPr>
                <w:rFonts w:ascii="Arial Narrow" w:hAnsi="Arial Narrow" w:cs="Calibri"/>
                <w:b/>
                <w:bCs/>
                <w:color w:val="000000"/>
                <w:sz w:val="20"/>
                <w:szCs w:val="20"/>
              </w:rPr>
              <w:t>Net financial impact</w:t>
            </w:r>
          </w:p>
        </w:tc>
      </w:tr>
      <w:tr w:rsidR="00C8682A" w:rsidRPr="00DF1914" w14:paraId="403F7D9A"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79989E89" w14:textId="25F2517A" w:rsidR="00F244EF" w:rsidRPr="00DF1914" w:rsidRDefault="00F244EF" w:rsidP="00EE0F34">
            <w:pPr>
              <w:keepNext/>
              <w:keepLines/>
              <w:rPr>
                <w:rFonts w:ascii="Arial Narrow" w:hAnsi="Arial Narrow" w:cs="Calibri"/>
                <w:color w:val="000000"/>
                <w:sz w:val="20"/>
                <w:szCs w:val="20"/>
              </w:rPr>
            </w:pPr>
            <w:r w:rsidRPr="00DF1914">
              <w:rPr>
                <w:rFonts w:ascii="Arial Narrow" w:hAnsi="Arial Narrow" w:cs="Calibri"/>
                <w:color w:val="000000"/>
                <w:sz w:val="20"/>
                <w:szCs w:val="20"/>
              </w:rPr>
              <w:t>Net PBS/RPBS</w:t>
            </w:r>
            <w:r w:rsidR="00736A97" w:rsidRPr="00736A97">
              <w:rPr>
                <w:rFonts w:ascii="Arial Narrow" w:hAnsi="Arial Narrow" w:cs="Calibri"/>
                <w:color w:val="000000"/>
                <w:sz w:val="20"/>
                <w:szCs w:val="20"/>
                <w:vertAlign w:val="superscript"/>
              </w:rPr>
              <w:t>a</w:t>
            </w:r>
            <w:r w:rsidR="00146B93">
              <w:rPr>
                <w:rFonts w:ascii="Arial Narrow" w:hAnsi="Arial Narrow" w:cs="Calibri"/>
                <w:color w:val="000000"/>
                <w:sz w:val="20"/>
                <w:szCs w:val="20"/>
                <w:vertAlign w:val="superscript"/>
              </w:rPr>
              <w:t xml:space="preserve"> </w:t>
            </w:r>
            <w:r w:rsidR="00A32C54">
              <w:rPr>
                <w:rFonts w:ascii="Arial Narrow" w:hAnsi="Arial Narrow" w:cs="Calibri"/>
                <w:color w:val="000000"/>
                <w:sz w:val="20"/>
                <w:szCs w:val="20"/>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F06E73A" w14:textId="4C18147D"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6E186D7" w14:textId="1930A8B7"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44FEE02A" w14:textId="7ABCDB1A"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00EA810E" w14:textId="20D0F1FD"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9</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3F65A8BD" w14:textId="56EBF0EF"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9</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3A072C69" w14:textId="37343E43"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9</w:t>
            </w:r>
          </w:p>
        </w:tc>
      </w:tr>
      <w:tr w:rsidR="0069764B" w:rsidRPr="00DF1914" w14:paraId="59AA2A33"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0ED74D1D" w14:textId="3CA40F60" w:rsidR="005C6AB3" w:rsidRPr="00CA36CB" w:rsidRDefault="00C53DDB"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Evaluation</w:t>
            </w:r>
            <w:r w:rsidR="00E62367">
              <w:rPr>
                <w:rFonts w:ascii="Arial Narrow" w:hAnsi="Arial Narrow" w:cs="Calibri"/>
                <w:color w:val="000000"/>
                <w:sz w:val="20"/>
                <w:szCs w:val="20"/>
              </w:rPr>
              <w:t xml:space="preserve"> </w:t>
            </w:r>
            <w:r>
              <w:rPr>
                <w:rFonts w:ascii="Arial Narrow" w:hAnsi="Arial Narrow" w:cs="Calibri"/>
                <w:color w:val="000000"/>
                <w:sz w:val="20"/>
                <w:szCs w:val="20"/>
              </w:rPr>
              <w:t>r</w:t>
            </w:r>
            <w:r w:rsidR="005C6AB3" w:rsidRPr="00CA36CB">
              <w:rPr>
                <w:rFonts w:ascii="Arial Narrow" w:hAnsi="Arial Narrow" w:cs="Calibri"/>
                <w:color w:val="000000"/>
                <w:sz w:val="20"/>
                <w:szCs w:val="20"/>
              </w:rPr>
              <w:t>evised net PBS/RPBS</w:t>
            </w:r>
            <w:r w:rsidR="0016700E" w:rsidRPr="0016700E">
              <w:rPr>
                <w:rFonts w:ascii="Arial Narrow" w:hAnsi="Arial Narrow" w:cs="Calibri"/>
                <w:color w:val="000000"/>
                <w:sz w:val="20"/>
                <w:szCs w:val="20"/>
                <w:vertAlign w:val="superscript"/>
              </w:rPr>
              <w:t>a,</w:t>
            </w:r>
            <w:r w:rsidR="00F10E54">
              <w:rPr>
                <w:rFonts w:ascii="Arial Narrow" w:hAnsi="Arial Narrow" w:cs="Calibri"/>
                <w:color w:val="000000"/>
                <w:sz w:val="20"/>
                <w:szCs w:val="20"/>
                <w:vertAlign w:val="superscript"/>
              </w:rPr>
              <w:t>b</w:t>
            </w:r>
            <w:r w:rsidR="00A32C54">
              <w:rPr>
                <w:rFonts w:ascii="Arial Narrow" w:hAnsi="Arial Narrow" w:cs="Calibri"/>
                <w:color w:val="000000"/>
                <w:sz w:val="20"/>
                <w:szCs w:val="20"/>
                <w:vertAlign w:val="superscript"/>
              </w:rPr>
              <w:t xml:space="preserve"> </w:t>
            </w:r>
            <w:r w:rsidR="00A32C54" w:rsidRPr="00A32C54">
              <w:rPr>
                <w:rFonts w:ascii="Arial Narrow" w:hAnsi="Arial Narrow" w:cs="Calibri"/>
                <w:color w:val="000000"/>
                <w:sz w:val="20"/>
                <w:szCs w:val="20"/>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4B60CE0" w14:textId="0499D1CB" w:rsidR="005C6AB3"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0718E830" w14:textId="789A38D6" w:rsidR="005C6AB3"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19021D2" w14:textId="7F3C5DF7" w:rsidR="005C6AB3"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16E71D1" w14:textId="43125C30" w:rsidR="005C6AB3"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35115AC9" w14:textId="4820BBE7" w:rsidR="005C6AB3"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9</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75D48E3C" w14:textId="574CD83A" w:rsidR="005C6AB3"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A32C54">
              <w:rPr>
                <w:rFonts w:ascii="Arial Narrow" w:hAnsi="Arial Narrow" w:cs="Calibri"/>
                <w:color w:val="000000"/>
                <w:sz w:val="20"/>
                <w:szCs w:val="20"/>
                <w:vertAlign w:val="superscript"/>
              </w:rPr>
              <w:t>9</w:t>
            </w:r>
          </w:p>
        </w:tc>
      </w:tr>
      <w:tr w:rsidR="007C429B" w:rsidRPr="00DF1914" w14:paraId="084F5F21"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tcPr>
          <w:p w14:paraId="17F1309B" w14:textId="258363B9" w:rsidR="007C429B" w:rsidRPr="00CA36CB" w:rsidRDefault="00AB5198" w:rsidP="00EE0F34">
            <w:pPr>
              <w:keepNext/>
              <w:keepLines/>
              <w:jc w:val="left"/>
              <w:rPr>
                <w:rFonts w:ascii="Arial Narrow" w:hAnsi="Arial Narrow" w:cs="Calibri"/>
                <w:color w:val="000000"/>
                <w:sz w:val="20"/>
                <w:szCs w:val="20"/>
              </w:rPr>
            </w:pPr>
            <w:r>
              <w:rPr>
                <w:rFonts w:ascii="Arial Narrow" w:hAnsi="Arial Narrow" w:cs="Calibri"/>
                <w:color w:val="000000"/>
                <w:sz w:val="20"/>
                <w:szCs w:val="20"/>
              </w:rPr>
              <w:t>Pre-PBAC respon</w:t>
            </w:r>
            <w:r w:rsidR="005F4055">
              <w:rPr>
                <w:rFonts w:ascii="Arial Narrow" w:hAnsi="Arial Narrow" w:cs="Calibri"/>
                <w:color w:val="000000"/>
                <w:sz w:val="20"/>
                <w:szCs w:val="20"/>
              </w:rPr>
              <w:t>s</w:t>
            </w:r>
            <w:r>
              <w:rPr>
                <w:rFonts w:ascii="Arial Narrow" w:hAnsi="Arial Narrow" w:cs="Calibri"/>
                <w:color w:val="000000"/>
                <w:sz w:val="20"/>
                <w:szCs w:val="20"/>
              </w:rPr>
              <w:t xml:space="preserve">e revised </w:t>
            </w:r>
            <w:r w:rsidRPr="00CA36CB">
              <w:rPr>
                <w:rFonts w:ascii="Arial Narrow" w:hAnsi="Arial Narrow" w:cs="Calibri"/>
                <w:color w:val="000000"/>
                <w:sz w:val="20"/>
                <w:szCs w:val="20"/>
              </w:rPr>
              <w:t>net PBS/RPBS</w:t>
            </w:r>
            <w:r w:rsidR="0016700E" w:rsidRPr="0016700E">
              <w:rPr>
                <w:rFonts w:ascii="Arial Narrow" w:hAnsi="Arial Narrow" w:cs="Calibri"/>
                <w:color w:val="000000"/>
                <w:sz w:val="20"/>
                <w:szCs w:val="20"/>
                <w:vertAlign w:val="superscript"/>
              </w:rPr>
              <w:t>a,</w:t>
            </w:r>
            <w:r w:rsidR="0031395A">
              <w:rPr>
                <w:rFonts w:ascii="Arial Narrow" w:hAnsi="Arial Narrow" w:cs="Calibri"/>
                <w:color w:val="000000"/>
                <w:sz w:val="20"/>
                <w:szCs w:val="20"/>
                <w:vertAlign w:val="superscript"/>
              </w:rPr>
              <w:t>c</w:t>
            </w:r>
            <w:r w:rsidR="00A32C54">
              <w:rPr>
                <w:rFonts w:ascii="Arial Narrow" w:hAnsi="Arial Narrow" w:cs="Calibri"/>
                <w:color w:val="000000"/>
                <w:sz w:val="20"/>
                <w:szCs w:val="20"/>
                <w:vertAlign w:val="superscript"/>
              </w:rPr>
              <w:t xml:space="preserve"> </w:t>
            </w:r>
            <w:r w:rsidR="00A32C54" w:rsidRPr="00A32C54">
              <w:rPr>
                <w:rFonts w:ascii="Arial Narrow" w:hAnsi="Arial Narrow" w:cs="Calibri"/>
                <w:color w:val="000000"/>
                <w:sz w:val="20"/>
                <w:szCs w:val="20"/>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1AE27730" w14:textId="138313DD" w:rsidR="007C429B"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D032DD9" w14:textId="0B784602" w:rsidR="007C429B"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7E02CD9F" w14:textId="6346B9EF" w:rsidR="007C429B"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4C974D43" w14:textId="65D0270E" w:rsidR="007C429B"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sz w:val="20"/>
                <w:szCs w:val="20"/>
                <w:highlight w:val="black"/>
              </w:rPr>
              <w:t>@@@@</w:t>
            </w:r>
            <w:r w:rsidR="00A32C54">
              <w:rPr>
                <w:rFonts w:ascii="Arial Narrow" w:hAnsi="Arial Narrow" w:cs="Calibri"/>
                <w:color w:val="000000"/>
                <w:sz w:val="20"/>
                <w:szCs w:val="20"/>
                <w:vertAlign w:val="superscript"/>
              </w:rPr>
              <w:t>8</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tcPr>
          <w:p w14:paraId="637BF0F5" w14:textId="62BD457A" w:rsidR="007C429B"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sz w:val="20"/>
                <w:szCs w:val="20"/>
                <w:highlight w:val="black"/>
              </w:rPr>
              <w:t>@@@@</w:t>
            </w:r>
            <w:r w:rsidR="00A32C54">
              <w:rPr>
                <w:rFonts w:ascii="Arial Narrow" w:hAnsi="Arial Narrow" w:cs="Calibri"/>
                <w:color w:val="000000"/>
                <w:sz w:val="20"/>
                <w:szCs w:val="20"/>
                <w:vertAlign w:val="superscript"/>
              </w:rPr>
              <w:t>9</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tcPr>
          <w:p w14:paraId="24D7DD3E" w14:textId="544AA2ED" w:rsidR="007C429B"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sz w:val="20"/>
                <w:szCs w:val="20"/>
                <w:highlight w:val="black"/>
              </w:rPr>
              <w:t>@@@@</w:t>
            </w:r>
            <w:r w:rsidR="00A32C54">
              <w:rPr>
                <w:rFonts w:ascii="Arial Narrow" w:hAnsi="Arial Narrow" w:cs="Calibri"/>
                <w:color w:val="000000"/>
                <w:sz w:val="20"/>
                <w:szCs w:val="20"/>
                <w:vertAlign w:val="superscript"/>
              </w:rPr>
              <w:t>9</w:t>
            </w:r>
          </w:p>
        </w:tc>
      </w:tr>
      <w:tr w:rsidR="00C8682A" w:rsidRPr="00DF1914" w14:paraId="37A6DED5" w14:textId="77777777" w:rsidTr="00575D94">
        <w:trPr>
          <w:cantSplit/>
        </w:trPr>
        <w:tc>
          <w:tcPr>
            <w:tcW w:w="1545" w:type="pct"/>
            <w:tcBorders>
              <w:top w:val="nil"/>
              <w:left w:val="single" w:sz="4" w:space="0" w:color="auto"/>
              <w:bottom w:val="single" w:sz="4" w:space="0" w:color="auto"/>
              <w:right w:val="single" w:sz="4" w:space="0" w:color="auto"/>
            </w:tcBorders>
            <w:tcMar>
              <w:top w:w="15" w:type="dxa"/>
              <w:left w:w="15" w:type="dxa"/>
              <w:bottom w:w="0" w:type="dxa"/>
              <w:right w:w="15" w:type="dxa"/>
            </w:tcMar>
            <w:hideMark/>
          </w:tcPr>
          <w:p w14:paraId="5EC26565" w14:textId="02AF2039" w:rsidR="00F244EF" w:rsidRPr="00DF1914" w:rsidRDefault="00F244EF" w:rsidP="00EE0F34">
            <w:pPr>
              <w:keepNext/>
              <w:keepLines/>
              <w:jc w:val="left"/>
              <w:rPr>
                <w:rFonts w:ascii="Arial Narrow" w:hAnsi="Arial Narrow" w:cs="Calibri"/>
                <w:color w:val="000000"/>
                <w:sz w:val="20"/>
                <w:szCs w:val="20"/>
              </w:rPr>
            </w:pPr>
            <w:r w:rsidRPr="00DF1914">
              <w:rPr>
                <w:rFonts w:ascii="Arial Narrow" w:hAnsi="Arial Narrow" w:cs="Calibri"/>
                <w:color w:val="000000"/>
                <w:sz w:val="20"/>
                <w:szCs w:val="20"/>
              </w:rPr>
              <w:t>MBS impact</w:t>
            </w:r>
            <w:r w:rsidR="00A32C54">
              <w:rPr>
                <w:rFonts w:ascii="Arial Narrow" w:hAnsi="Arial Narrow" w:cs="Calibri"/>
                <w:color w:val="000000"/>
                <w:sz w:val="20"/>
                <w:szCs w:val="20"/>
              </w:rPr>
              <w:t xml:space="preserve"> </w:t>
            </w:r>
            <w:r w:rsidR="00A32C54" w:rsidRPr="00A32C54">
              <w:rPr>
                <w:rFonts w:ascii="Arial Narrow" w:hAnsi="Arial Narrow" w:cs="Calibri"/>
                <w:color w:val="000000"/>
                <w:sz w:val="20"/>
                <w:szCs w:val="20"/>
              </w:rPr>
              <w:t>($)</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2B8B579" w14:textId="4EF4CD2C" w:rsidR="00F244EF" w:rsidRPr="009D5D6B" w:rsidRDefault="000F4FEC" w:rsidP="00EE0F34">
            <w:pPr>
              <w:keepNext/>
              <w:keepLines/>
              <w:jc w:val="right"/>
              <w:rPr>
                <w:rFonts w:ascii="Arial Narrow" w:hAnsi="Arial Narrow" w:cs="Calibri"/>
                <w:color w:val="000000"/>
                <w:sz w:val="20"/>
                <w:szCs w:val="20"/>
                <w:highlight w:val="darkGray"/>
                <w:vertAlign w:val="superscript"/>
              </w:rPr>
            </w:pPr>
            <w:r w:rsidRPr="000F4FEC">
              <w:rPr>
                <w:rFonts w:ascii="Arial Narrow" w:hAnsi="Arial Narrow" w:cs="Calibri"/>
                <w:color w:val="000000"/>
                <w:sz w:val="20"/>
                <w:szCs w:val="20"/>
                <w:highlight w:val="black"/>
              </w:rPr>
              <w:t>@@@@</w:t>
            </w:r>
            <w:r w:rsidR="009D5D6B" w:rsidRPr="009D5D6B">
              <w:rPr>
                <w:rFonts w:ascii="Arial Narrow" w:hAnsi="Arial Narrow" w:cs="Calibri"/>
                <w:color w:val="000000"/>
                <w:sz w:val="20"/>
                <w:szCs w:val="20"/>
                <w:vertAlign w:val="superscript"/>
              </w:rPr>
              <w:t>10</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6316BE5E" w14:textId="7EF844AF"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9D5D6B" w:rsidRPr="009D5D6B">
              <w:rPr>
                <w:rFonts w:ascii="Arial Narrow" w:hAnsi="Arial Narrow" w:cs="Calibri"/>
                <w:color w:val="000000"/>
                <w:sz w:val="20"/>
                <w:szCs w:val="20"/>
                <w:vertAlign w:val="superscript"/>
              </w:rPr>
              <w:t>10</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A920D10" w14:textId="03662D02"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9D5D6B" w:rsidRPr="009D5D6B">
              <w:rPr>
                <w:rFonts w:ascii="Arial Narrow" w:hAnsi="Arial Narrow" w:cs="Calibri"/>
                <w:color w:val="000000"/>
                <w:sz w:val="20"/>
                <w:szCs w:val="20"/>
                <w:vertAlign w:val="superscript"/>
              </w:rPr>
              <w:t>10</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500C14C0" w14:textId="09629B86"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9D5D6B" w:rsidRPr="009D5D6B">
              <w:rPr>
                <w:rFonts w:ascii="Arial Narrow" w:hAnsi="Arial Narrow" w:cs="Calibri"/>
                <w:color w:val="000000"/>
                <w:sz w:val="20"/>
                <w:szCs w:val="20"/>
                <w:vertAlign w:val="superscript"/>
              </w:rPr>
              <w:t>10</w:t>
            </w:r>
          </w:p>
        </w:tc>
        <w:tc>
          <w:tcPr>
            <w:tcW w:w="578" w:type="pct"/>
            <w:tcBorders>
              <w:top w:val="nil"/>
              <w:left w:val="nil"/>
              <w:bottom w:val="single" w:sz="4" w:space="0" w:color="auto"/>
              <w:right w:val="single" w:sz="4" w:space="0" w:color="auto"/>
            </w:tcBorders>
            <w:noWrap/>
            <w:tcMar>
              <w:top w:w="15" w:type="dxa"/>
              <w:left w:w="15" w:type="dxa"/>
              <w:bottom w:w="0" w:type="dxa"/>
              <w:right w:w="15" w:type="dxa"/>
            </w:tcMar>
            <w:hideMark/>
          </w:tcPr>
          <w:p w14:paraId="7A84DFFD" w14:textId="25049100"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9D5D6B" w:rsidRPr="009D5D6B">
              <w:rPr>
                <w:rFonts w:ascii="Arial Narrow" w:hAnsi="Arial Narrow" w:cs="Calibri"/>
                <w:color w:val="000000"/>
                <w:sz w:val="20"/>
                <w:szCs w:val="20"/>
                <w:vertAlign w:val="superscript"/>
              </w:rPr>
              <w:t>10</w:t>
            </w:r>
          </w:p>
        </w:tc>
        <w:tc>
          <w:tcPr>
            <w:tcW w:w="563" w:type="pct"/>
            <w:tcBorders>
              <w:top w:val="nil"/>
              <w:left w:val="nil"/>
              <w:bottom w:val="single" w:sz="4" w:space="0" w:color="auto"/>
              <w:right w:val="single" w:sz="4" w:space="0" w:color="auto"/>
            </w:tcBorders>
            <w:noWrap/>
            <w:tcMar>
              <w:top w:w="15" w:type="dxa"/>
              <w:left w:w="15" w:type="dxa"/>
              <w:bottom w:w="0" w:type="dxa"/>
              <w:right w:w="15" w:type="dxa"/>
            </w:tcMar>
            <w:hideMark/>
          </w:tcPr>
          <w:p w14:paraId="5691EFBC" w14:textId="70542587" w:rsidR="00F244EF" w:rsidRPr="00A32C54" w:rsidRDefault="000F4FEC" w:rsidP="00EE0F34">
            <w:pPr>
              <w:keepNext/>
              <w:keepLines/>
              <w:jc w:val="right"/>
              <w:rPr>
                <w:rFonts w:ascii="Arial Narrow" w:hAnsi="Arial Narrow" w:cs="Calibri"/>
                <w:color w:val="000000"/>
                <w:sz w:val="20"/>
                <w:szCs w:val="20"/>
                <w:highlight w:val="darkGray"/>
              </w:rPr>
            </w:pPr>
            <w:r w:rsidRPr="000F4FEC">
              <w:rPr>
                <w:rFonts w:ascii="Arial Narrow" w:hAnsi="Arial Narrow" w:cs="Calibri"/>
                <w:color w:val="000000"/>
                <w:sz w:val="20"/>
                <w:szCs w:val="20"/>
                <w:highlight w:val="black"/>
              </w:rPr>
              <w:t>@@@@</w:t>
            </w:r>
            <w:r w:rsidR="009D5D6B" w:rsidRPr="009D5D6B">
              <w:rPr>
                <w:rFonts w:ascii="Arial Narrow" w:hAnsi="Arial Narrow" w:cs="Calibri"/>
                <w:color w:val="000000"/>
                <w:sz w:val="20"/>
                <w:szCs w:val="20"/>
                <w:vertAlign w:val="superscript"/>
              </w:rPr>
              <w:t>10</w:t>
            </w:r>
          </w:p>
        </w:tc>
      </w:tr>
      <w:tr w:rsidR="00C8682A" w:rsidRPr="00DF1914" w14:paraId="2AEE1413" w14:textId="77777777" w:rsidTr="00575D94">
        <w:trPr>
          <w:cantSplit/>
        </w:trPr>
        <w:tc>
          <w:tcPr>
            <w:tcW w:w="15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7BF5B90" w14:textId="41E329ED" w:rsidR="00F244EF" w:rsidRPr="00DF1914" w:rsidRDefault="00F244EF" w:rsidP="00EE0F34">
            <w:pPr>
              <w:keepNext/>
              <w:keepLines/>
              <w:jc w:val="left"/>
              <w:rPr>
                <w:rFonts w:ascii="Arial Narrow" w:hAnsi="Arial Narrow" w:cs="Calibri"/>
                <w:b/>
                <w:bCs/>
                <w:color w:val="000000"/>
                <w:sz w:val="20"/>
                <w:szCs w:val="20"/>
              </w:rPr>
            </w:pPr>
            <w:r w:rsidRPr="00DF1914">
              <w:rPr>
                <w:rFonts w:ascii="Arial Narrow" w:hAnsi="Arial Narrow" w:cs="Calibri"/>
                <w:b/>
                <w:bCs/>
                <w:color w:val="000000"/>
                <w:sz w:val="20"/>
                <w:szCs w:val="20"/>
              </w:rPr>
              <w:t>Net impact</w:t>
            </w:r>
            <w:r w:rsidR="00CC50B3">
              <w:rPr>
                <w:rFonts w:ascii="Arial Narrow" w:hAnsi="Arial Narrow" w:cs="Calibri"/>
                <w:b/>
                <w:bCs/>
                <w:color w:val="000000"/>
                <w:sz w:val="20"/>
                <w:szCs w:val="20"/>
              </w:rPr>
              <w:t xml:space="preserve"> (submission)</w:t>
            </w:r>
            <w:r w:rsidR="00725676" w:rsidRPr="00725676">
              <w:rPr>
                <w:rFonts w:ascii="Arial Narrow" w:hAnsi="Arial Narrow" w:cs="Calibri"/>
                <w:b/>
                <w:bCs/>
                <w:color w:val="000000"/>
                <w:sz w:val="20"/>
                <w:szCs w:val="20"/>
                <w:vertAlign w:val="superscript"/>
              </w:rPr>
              <w:t>a</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2328500C" w14:textId="500DACEA" w:rsidR="00F244EF"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8</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5C93A0B1" w14:textId="5E880A52" w:rsidR="00F244EF"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8</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26889951" w14:textId="5164ACB7" w:rsidR="00F244EF"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8</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616E8B4B" w14:textId="00C9C51D" w:rsidR="00F244EF"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9</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68E2B866" w14:textId="07CF2EAC" w:rsidR="00F244EF"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9</w:t>
            </w:r>
          </w:p>
        </w:tc>
        <w:tc>
          <w:tcPr>
            <w:tcW w:w="563" w:type="pct"/>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5CC9206E" w14:textId="16FC3F75" w:rsidR="00F244EF"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9</w:t>
            </w:r>
          </w:p>
        </w:tc>
      </w:tr>
      <w:tr w:rsidR="0069764B" w:rsidRPr="00DF1914" w14:paraId="67AA19B8" w14:textId="77777777" w:rsidTr="00575D94">
        <w:trPr>
          <w:cantSplit/>
        </w:trPr>
        <w:tc>
          <w:tcPr>
            <w:tcW w:w="15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0331FC" w14:textId="314088C4" w:rsidR="00886668" w:rsidRPr="00DF1914" w:rsidRDefault="00886668" w:rsidP="00EE0F34">
            <w:pPr>
              <w:keepNext/>
              <w:keepLines/>
              <w:jc w:val="left"/>
              <w:rPr>
                <w:rFonts w:ascii="Arial Narrow" w:hAnsi="Arial Narrow" w:cs="Calibri"/>
                <w:b/>
                <w:bCs/>
                <w:color w:val="000000"/>
                <w:sz w:val="20"/>
                <w:szCs w:val="20"/>
              </w:rPr>
            </w:pPr>
            <w:r>
              <w:rPr>
                <w:rFonts w:ascii="Arial Narrow" w:hAnsi="Arial Narrow" w:cs="Calibri"/>
                <w:b/>
                <w:bCs/>
                <w:color w:val="000000"/>
                <w:sz w:val="20"/>
                <w:szCs w:val="20"/>
              </w:rPr>
              <w:t>Revised net impact</w:t>
            </w:r>
            <w:r w:rsidR="00032268" w:rsidRPr="00032268">
              <w:rPr>
                <w:rFonts w:ascii="Arial Narrow" w:hAnsi="Arial Narrow" w:cs="Calibri"/>
                <w:b/>
                <w:bCs/>
                <w:color w:val="000000"/>
                <w:sz w:val="20"/>
                <w:szCs w:val="20"/>
                <w:vertAlign w:val="superscript"/>
              </w:rPr>
              <w:t>a</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CA17314" w14:textId="38949F76" w:rsidR="00886668"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8</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C89AA3" w14:textId="43583DE0" w:rsidR="00886668"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8</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2E126EB" w14:textId="6810890C" w:rsidR="00886668"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8</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9EFF0D" w14:textId="3E33C94D" w:rsidR="00886668"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9</w:t>
            </w:r>
          </w:p>
        </w:tc>
        <w:tc>
          <w:tcPr>
            <w:tcW w:w="578"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AB9553" w14:textId="1B62FE41" w:rsidR="00886668"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9</w:t>
            </w:r>
          </w:p>
        </w:tc>
        <w:tc>
          <w:tcPr>
            <w:tcW w:w="563" w:type="pct"/>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8C77E1" w14:textId="6050B29C" w:rsidR="00886668" w:rsidRPr="00A32C54" w:rsidRDefault="000F4FEC" w:rsidP="00EE0F34">
            <w:pPr>
              <w:keepNext/>
              <w:keepLines/>
              <w:jc w:val="right"/>
              <w:rPr>
                <w:rFonts w:ascii="Arial Narrow" w:hAnsi="Arial Narrow" w:cs="Calibri"/>
                <w:b/>
                <w:bCs/>
                <w:color w:val="000000"/>
                <w:sz w:val="20"/>
                <w:szCs w:val="20"/>
                <w:highlight w:val="darkGray"/>
              </w:rPr>
            </w:pPr>
            <w:r w:rsidRPr="000F4FEC">
              <w:rPr>
                <w:rFonts w:ascii="Arial Narrow" w:hAnsi="Arial Narrow" w:cs="Calibri"/>
                <w:b/>
                <w:bCs/>
                <w:color w:val="000000"/>
                <w:sz w:val="20"/>
                <w:szCs w:val="20"/>
                <w:highlight w:val="black"/>
              </w:rPr>
              <w:t>@@@@</w:t>
            </w:r>
            <w:r w:rsidR="009D5D6B">
              <w:rPr>
                <w:rFonts w:ascii="Arial Narrow" w:hAnsi="Arial Narrow" w:cs="Calibri"/>
                <w:color w:val="000000"/>
                <w:sz w:val="20"/>
                <w:szCs w:val="20"/>
                <w:vertAlign w:val="superscript"/>
              </w:rPr>
              <w:t>9</w:t>
            </w:r>
          </w:p>
        </w:tc>
      </w:tr>
    </w:tbl>
    <w:p w14:paraId="0A84D6E7" w14:textId="77777777" w:rsidR="00F244EF" w:rsidRDefault="00F244EF" w:rsidP="00EE0F34">
      <w:pPr>
        <w:pStyle w:val="TableFigureFooter"/>
        <w:keepNext/>
      </w:pPr>
      <w:r w:rsidRPr="00DF1914">
        <w:t>Source: The financial estimates from the submission: 3a. Scripts - proposed, 3b. Impact - proposed (pub), 3c. Impact - proposed (eff), 4a. Scripts - affected, 4b. Impact - affected (pub), 4c. Impact - affected (eff), 5. Impact - net, 7. Net changes - MBS.</w:t>
      </w:r>
    </w:p>
    <w:p w14:paraId="39807813" w14:textId="6976FE09" w:rsidR="00640731" w:rsidRDefault="00640731" w:rsidP="00EE0F34">
      <w:pPr>
        <w:pStyle w:val="TableFigureFooter"/>
        <w:keepNext/>
      </w:pPr>
      <w:r>
        <w:t>MBS = Medicare Benefits Schedule; PBS = Pharmaceutical Benefits scheme; RPBS = Repatriation Pharmaceutical Benefits Scheme</w:t>
      </w:r>
      <w:r w:rsidR="00F10E54">
        <w:t>.</w:t>
      </w:r>
    </w:p>
    <w:p w14:paraId="0F709E80" w14:textId="5C8DDA83" w:rsidR="00F10E54" w:rsidRDefault="00F10E54" w:rsidP="00EE0F34">
      <w:pPr>
        <w:pStyle w:val="TableFigureFooter"/>
        <w:keepNext/>
      </w:pPr>
      <w:r>
        <w:rPr>
          <w:color w:val="000000"/>
          <w:szCs w:val="20"/>
          <w:vertAlign w:val="superscript"/>
        </w:rPr>
        <w:t xml:space="preserve">a </w:t>
      </w:r>
      <w:r>
        <w:t xml:space="preserve">Uses the published prices of nivolumab and avelumab with a hypothetical </w:t>
      </w:r>
      <w:r w:rsidR="000F4FEC" w:rsidRPr="000F4FEC">
        <w:rPr>
          <w:highlight w:val="black"/>
        </w:rPr>
        <w:t>@@@@</w:t>
      </w:r>
      <w:r>
        <w:t xml:space="preserve">% </w:t>
      </w:r>
      <w:r w:rsidR="00891BA9">
        <w:t>discount.</w:t>
      </w:r>
    </w:p>
    <w:p w14:paraId="05C974E9" w14:textId="4F5081A2" w:rsidR="005C6AB3" w:rsidRDefault="00F10E54" w:rsidP="00EE0F34">
      <w:pPr>
        <w:pStyle w:val="TableFigureFooter"/>
        <w:keepNext/>
      </w:pPr>
      <w:r>
        <w:rPr>
          <w:vertAlign w:val="superscript"/>
        </w:rPr>
        <w:t>b</w:t>
      </w:r>
      <w:r w:rsidR="002A6507">
        <w:t xml:space="preserve"> </w:t>
      </w:r>
      <w:r w:rsidR="002B46B3">
        <w:t>Evaluation-</w:t>
      </w:r>
      <w:r w:rsidR="00B47039">
        <w:t>r</w:t>
      </w:r>
      <w:r w:rsidR="005C6AB3">
        <w:t xml:space="preserve">evised </w:t>
      </w:r>
      <w:r w:rsidR="00886668">
        <w:t xml:space="preserve">net </w:t>
      </w:r>
      <w:r w:rsidR="005C6AB3">
        <w:t>PBS/RPBS</w:t>
      </w:r>
      <w:r w:rsidR="00842FDE">
        <w:t xml:space="preserve"> impact</w:t>
      </w:r>
      <w:r w:rsidR="005C6AB3">
        <w:t xml:space="preserve"> </w:t>
      </w:r>
      <w:r w:rsidR="00886668">
        <w:t xml:space="preserve">shows the impact of the rate adjustments described in </w:t>
      </w:r>
      <w:r w:rsidR="00886668">
        <w:fldChar w:fldCharType="begin"/>
      </w:r>
      <w:r w:rsidR="00886668">
        <w:instrText xml:space="preserve"> REF _Ref207392269 \h </w:instrText>
      </w:r>
      <w:r w:rsidR="00886668">
        <w:fldChar w:fldCharType="separate"/>
      </w:r>
      <w:r w:rsidR="005731FF">
        <w:t xml:space="preserve">Table </w:t>
      </w:r>
      <w:r w:rsidR="005731FF">
        <w:rPr>
          <w:noProof/>
        </w:rPr>
        <w:t>20</w:t>
      </w:r>
      <w:r w:rsidR="00886668">
        <w:fldChar w:fldCharType="end"/>
      </w:r>
      <w:r w:rsidR="00886668">
        <w:t>.</w:t>
      </w:r>
    </w:p>
    <w:p w14:paraId="63FC01D6" w14:textId="137A5593" w:rsidR="00516BED" w:rsidRDefault="00F10E54" w:rsidP="00EE0F34">
      <w:pPr>
        <w:pStyle w:val="TableFigureFooter"/>
        <w:keepNext/>
      </w:pPr>
      <w:r>
        <w:rPr>
          <w:vertAlign w:val="superscript"/>
        </w:rPr>
        <w:t>c</w:t>
      </w:r>
      <w:r w:rsidR="00CC50B3">
        <w:t xml:space="preserve"> </w:t>
      </w:r>
      <w:r w:rsidR="005F4055" w:rsidRPr="005F4055">
        <w:t>Pre-PBAC response revised net PBS/RPBS</w:t>
      </w:r>
      <w:r w:rsidR="00842FDE">
        <w:t xml:space="preserve"> impact</w:t>
      </w:r>
      <w:r w:rsidR="005F4055">
        <w:t xml:space="preserve"> shows </w:t>
      </w:r>
      <w:r w:rsidR="00842FDE">
        <w:t xml:space="preserve">(i) </w:t>
      </w:r>
      <w:r w:rsidR="009D7E36">
        <w:t>changes to the epidemiology rates to reflect bladder cancer incidence only</w:t>
      </w:r>
      <w:r w:rsidR="00842FDE">
        <w:t>;</w:t>
      </w:r>
      <w:r w:rsidR="009B37D1">
        <w:t xml:space="preserve"> and</w:t>
      </w:r>
      <w:r w:rsidR="00842FDE">
        <w:t xml:space="preserve"> (ii) </w:t>
      </w:r>
      <w:r w:rsidR="009D7E36">
        <w:t xml:space="preserve">duration of treatment for grandfathered patients adjusted to </w:t>
      </w:r>
      <w:r w:rsidR="009D7E36" w:rsidRPr="00A41191">
        <w:t>account for treatment already received prior to PBS-</w:t>
      </w:r>
      <w:r w:rsidR="009D7E36">
        <w:t>transition</w:t>
      </w:r>
      <w:r w:rsidR="00297549">
        <w:t xml:space="preserve"> (s</w:t>
      </w:r>
      <w:r w:rsidR="009D7E36">
        <w:t>ince the patient access program is expected to start in early 2026, only the neoadjuvant period has been adjusted as patients are unlikely to have initiated adjuvant treatment at listing</w:t>
      </w:r>
      <w:r w:rsidR="00297549">
        <w:t>)</w:t>
      </w:r>
      <w:r w:rsidR="009D7E36">
        <w:t>.</w:t>
      </w:r>
    </w:p>
    <w:p w14:paraId="18089188" w14:textId="367D2E2C" w:rsidR="00DF0867" w:rsidRDefault="00DF0867" w:rsidP="00EE0F34">
      <w:pPr>
        <w:pStyle w:val="TableFigureFooter"/>
        <w:keepNext/>
        <w:rPr>
          <w:i/>
          <w:iCs/>
        </w:rPr>
      </w:pPr>
      <w:r>
        <w:rPr>
          <w:i/>
          <w:iCs/>
        </w:rPr>
        <w:t>The redacted values correspond to the following ranges:</w:t>
      </w:r>
    </w:p>
    <w:p w14:paraId="0577143A" w14:textId="0F1AFDD5" w:rsidR="00DF0867" w:rsidRPr="00142336" w:rsidRDefault="00DF0867" w:rsidP="00EE0F34">
      <w:pPr>
        <w:pStyle w:val="TableFigureFooter"/>
        <w:keepNext/>
        <w:rPr>
          <w:rFonts w:cs="Calibri"/>
          <w:i/>
          <w:iCs/>
          <w:color w:val="000000"/>
          <w:szCs w:val="18"/>
        </w:rPr>
      </w:pPr>
      <w:r w:rsidRPr="00142336">
        <w:rPr>
          <w:rFonts w:cs="Calibri"/>
          <w:i/>
          <w:iCs/>
          <w:color w:val="000000"/>
          <w:szCs w:val="18"/>
          <w:vertAlign w:val="superscript"/>
        </w:rPr>
        <w:t>1</w:t>
      </w:r>
      <w:r w:rsidRPr="00142336">
        <w:rPr>
          <w:rFonts w:cs="Calibri"/>
          <w:i/>
          <w:iCs/>
          <w:color w:val="000000"/>
          <w:szCs w:val="18"/>
        </w:rPr>
        <w:t xml:space="preserve"> </w:t>
      </w:r>
      <w:r w:rsidR="007555DD" w:rsidRPr="00142336">
        <w:rPr>
          <w:rFonts w:cs="Calibri"/>
          <w:i/>
          <w:iCs/>
          <w:color w:val="000000"/>
          <w:szCs w:val="18"/>
        </w:rPr>
        <w:t>500 to &lt; 5000</w:t>
      </w:r>
    </w:p>
    <w:p w14:paraId="595A6623" w14:textId="64E78D75" w:rsidR="007555DD" w:rsidRPr="00142336" w:rsidRDefault="007555DD" w:rsidP="00EE0F34">
      <w:pPr>
        <w:pStyle w:val="TableFigureFooter"/>
        <w:keepNext/>
        <w:rPr>
          <w:rStyle w:val="CommentReference"/>
          <w:b w:val="0"/>
          <w:i/>
          <w:iCs/>
          <w:sz w:val="18"/>
          <w:szCs w:val="18"/>
        </w:rPr>
      </w:pPr>
      <w:r w:rsidRPr="00142336">
        <w:rPr>
          <w:rFonts w:cs="Calibri"/>
          <w:i/>
          <w:iCs/>
          <w:color w:val="000000"/>
          <w:szCs w:val="18"/>
          <w:vertAlign w:val="superscript"/>
        </w:rPr>
        <w:t xml:space="preserve">2 </w:t>
      </w:r>
      <w:r w:rsidRPr="00142336">
        <w:rPr>
          <w:rStyle w:val="CommentReference"/>
          <w:b w:val="0"/>
          <w:i/>
          <w:iCs/>
          <w:sz w:val="18"/>
          <w:szCs w:val="18"/>
        </w:rPr>
        <w:t>&lt; 500</w:t>
      </w:r>
    </w:p>
    <w:p w14:paraId="7D03E1D1" w14:textId="39E7F80D" w:rsidR="007555DD" w:rsidRPr="00142336" w:rsidRDefault="007555DD" w:rsidP="00EE0F34">
      <w:pPr>
        <w:pStyle w:val="TableFigureFooter"/>
        <w:keepNext/>
        <w:rPr>
          <w:rStyle w:val="CommentReference"/>
          <w:b w:val="0"/>
          <w:i/>
          <w:iCs/>
          <w:sz w:val="18"/>
          <w:szCs w:val="18"/>
        </w:rPr>
      </w:pPr>
      <w:r w:rsidRPr="00142336">
        <w:rPr>
          <w:rStyle w:val="CommentReference"/>
          <w:b w:val="0"/>
          <w:i/>
          <w:iCs/>
          <w:sz w:val="18"/>
          <w:szCs w:val="18"/>
          <w:vertAlign w:val="superscript"/>
        </w:rPr>
        <w:t>3</w:t>
      </w:r>
      <w:r w:rsidRPr="00142336">
        <w:rPr>
          <w:rStyle w:val="CommentReference"/>
          <w:b w:val="0"/>
          <w:i/>
          <w:iCs/>
          <w:sz w:val="18"/>
          <w:szCs w:val="18"/>
        </w:rPr>
        <w:t xml:space="preserve"> 5,000 to &lt; </w:t>
      </w:r>
      <w:r w:rsidR="00334529" w:rsidRPr="00142336">
        <w:rPr>
          <w:rStyle w:val="CommentReference"/>
          <w:b w:val="0"/>
          <w:i/>
          <w:iCs/>
          <w:sz w:val="18"/>
          <w:szCs w:val="18"/>
        </w:rPr>
        <w:t>10,000</w:t>
      </w:r>
    </w:p>
    <w:p w14:paraId="3FFB2A40" w14:textId="18330A5A" w:rsidR="007555DD" w:rsidRPr="00142336" w:rsidRDefault="007555DD" w:rsidP="00EE0F34">
      <w:pPr>
        <w:pStyle w:val="TableFigureFooter"/>
        <w:keepNext/>
        <w:rPr>
          <w:rStyle w:val="CommentReference"/>
          <w:b w:val="0"/>
          <w:i/>
          <w:iCs/>
          <w:sz w:val="18"/>
          <w:szCs w:val="18"/>
        </w:rPr>
      </w:pPr>
      <w:r w:rsidRPr="00142336">
        <w:rPr>
          <w:rStyle w:val="CommentReference"/>
          <w:b w:val="0"/>
          <w:i/>
          <w:iCs/>
          <w:sz w:val="18"/>
          <w:szCs w:val="18"/>
          <w:vertAlign w:val="superscript"/>
        </w:rPr>
        <w:t>4</w:t>
      </w:r>
      <w:r w:rsidR="00334529" w:rsidRPr="00142336">
        <w:rPr>
          <w:rStyle w:val="CommentReference"/>
          <w:b w:val="0"/>
          <w:i/>
          <w:iCs/>
          <w:sz w:val="18"/>
          <w:szCs w:val="18"/>
        </w:rPr>
        <w:t xml:space="preserve"> 10,000 to &lt; 20,000</w:t>
      </w:r>
    </w:p>
    <w:p w14:paraId="16CD138F" w14:textId="2A918BC4" w:rsidR="0020332D" w:rsidRPr="00142336" w:rsidRDefault="0020332D" w:rsidP="00EE0F34">
      <w:pPr>
        <w:pStyle w:val="TableFigureFooter"/>
        <w:keepNext/>
        <w:rPr>
          <w:rFonts w:cs="Calibri"/>
          <w:i/>
          <w:iCs/>
          <w:color w:val="000000"/>
          <w:szCs w:val="18"/>
        </w:rPr>
      </w:pPr>
      <w:r w:rsidRPr="00142336">
        <w:rPr>
          <w:rFonts w:cs="Calibri"/>
          <w:i/>
          <w:iCs/>
          <w:color w:val="000000"/>
          <w:szCs w:val="18"/>
          <w:vertAlign w:val="superscript"/>
        </w:rPr>
        <w:t xml:space="preserve">5 </w:t>
      </w:r>
      <w:r w:rsidRPr="00142336">
        <w:rPr>
          <w:rFonts w:cs="Calibri"/>
          <w:i/>
          <w:iCs/>
          <w:color w:val="000000"/>
          <w:szCs w:val="18"/>
        </w:rPr>
        <w:t>$40</w:t>
      </w:r>
      <w:r w:rsidR="009D5D6B" w:rsidRPr="00142336">
        <w:rPr>
          <w:rFonts w:cs="Calibri"/>
          <w:i/>
          <w:iCs/>
          <w:color w:val="000000"/>
          <w:szCs w:val="18"/>
        </w:rPr>
        <w:t xml:space="preserve"> million</w:t>
      </w:r>
      <w:r w:rsidRPr="00142336">
        <w:rPr>
          <w:rFonts w:cs="Calibri"/>
          <w:i/>
          <w:iCs/>
          <w:color w:val="000000"/>
          <w:szCs w:val="18"/>
        </w:rPr>
        <w:t xml:space="preserve"> &lt; $50</w:t>
      </w:r>
      <w:r w:rsidR="009D5D6B" w:rsidRPr="00142336">
        <w:rPr>
          <w:rFonts w:cs="Calibri"/>
          <w:i/>
          <w:iCs/>
          <w:color w:val="000000"/>
          <w:szCs w:val="18"/>
        </w:rPr>
        <w:t xml:space="preserve"> million</w:t>
      </w:r>
    </w:p>
    <w:p w14:paraId="5D043284" w14:textId="292F09B0" w:rsidR="00A76235" w:rsidRPr="00142336" w:rsidRDefault="00A76235" w:rsidP="00EE0F34">
      <w:pPr>
        <w:pStyle w:val="TableFigureFooter"/>
        <w:keepNext/>
        <w:rPr>
          <w:rFonts w:cs="Calibri"/>
          <w:i/>
          <w:iCs/>
          <w:color w:val="000000"/>
          <w:szCs w:val="18"/>
        </w:rPr>
      </w:pPr>
      <w:r w:rsidRPr="00142336">
        <w:rPr>
          <w:rFonts w:cs="Calibri"/>
          <w:i/>
          <w:iCs/>
          <w:color w:val="000000"/>
          <w:szCs w:val="18"/>
          <w:vertAlign w:val="superscript"/>
        </w:rPr>
        <w:t xml:space="preserve">6 </w:t>
      </w:r>
      <w:r w:rsidRPr="00142336">
        <w:rPr>
          <w:rFonts w:cs="Calibri"/>
          <w:i/>
          <w:iCs/>
          <w:color w:val="000000"/>
          <w:szCs w:val="18"/>
        </w:rPr>
        <w:t>$50</w:t>
      </w:r>
      <w:r w:rsidR="009D5D6B" w:rsidRPr="00142336">
        <w:rPr>
          <w:rFonts w:cs="Calibri"/>
          <w:i/>
          <w:iCs/>
          <w:color w:val="000000"/>
          <w:szCs w:val="18"/>
        </w:rPr>
        <w:t xml:space="preserve">million </w:t>
      </w:r>
      <w:r w:rsidRPr="00142336">
        <w:rPr>
          <w:rFonts w:cs="Calibri"/>
          <w:i/>
          <w:iCs/>
          <w:color w:val="000000"/>
          <w:szCs w:val="18"/>
        </w:rPr>
        <w:t>to &lt; $60</w:t>
      </w:r>
      <w:r w:rsidR="009D5D6B" w:rsidRPr="00142336">
        <w:rPr>
          <w:rFonts w:cs="Calibri"/>
          <w:i/>
          <w:iCs/>
          <w:color w:val="000000"/>
          <w:szCs w:val="18"/>
        </w:rPr>
        <w:t xml:space="preserve"> million</w:t>
      </w:r>
    </w:p>
    <w:p w14:paraId="412CD746" w14:textId="153799FB" w:rsidR="00A32C54" w:rsidRPr="00142336" w:rsidRDefault="00A32C54" w:rsidP="00EE0F34">
      <w:pPr>
        <w:pStyle w:val="TableFigureFooter"/>
        <w:keepNext/>
        <w:rPr>
          <w:rStyle w:val="CommentReference"/>
          <w:b w:val="0"/>
          <w:i/>
          <w:iCs/>
          <w:sz w:val="18"/>
          <w:szCs w:val="18"/>
        </w:rPr>
      </w:pPr>
      <w:r w:rsidRPr="00142336">
        <w:rPr>
          <w:rFonts w:cs="Calibri"/>
          <w:color w:val="000000"/>
          <w:szCs w:val="18"/>
          <w:vertAlign w:val="superscript"/>
        </w:rPr>
        <w:t xml:space="preserve">7 </w:t>
      </w:r>
      <w:r w:rsidRPr="00142336">
        <w:rPr>
          <w:rFonts w:cs="Calibri"/>
          <w:i/>
          <w:iCs/>
          <w:color w:val="000000"/>
          <w:szCs w:val="18"/>
        </w:rPr>
        <w:t>$10</w:t>
      </w:r>
      <w:r w:rsidR="009D5D6B" w:rsidRPr="00142336">
        <w:rPr>
          <w:rFonts w:cs="Calibri"/>
          <w:i/>
          <w:iCs/>
          <w:color w:val="000000"/>
          <w:szCs w:val="18"/>
        </w:rPr>
        <w:t xml:space="preserve"> million </w:t>
      </w:r>
      <w:r w:rsidRPr="00142336">
        <w:rPr>
          <w:rStyle w:val="CommentReference"/>
          <w:b w:val="0"/>
          <w:i/>
          <w:iCs/>
          <w:sz w:val="18"/>
          <w:szCs w:val="18"/>
        </w:rPr>
        <w:t>to &lt; $20</w:t>
      </w:r>
      <w:r w:rsidR="009D5D6B" w:rsidRPr="00142336">
        <w:rPr>
          <w:rStyle w:val="CommentReference"/>
          <w:b w:val="0"/>
          <w:i/>
          <w:iCs/>
          <w:sz w:val="18"/>
          <w:szCs w:val="18"/>
        </w:rPr>
        <w:t xml:space="preserve"> million</w:t>
      </w:r>
    </w:p>
    <w:p w14:paraId="5B939FB2" w14:textId="27BB0D50" w:rsidR="00A32C54" w:rsidRPr="00142336" w:rsidRDefault="00A32C54" w:rsidP="00A32C54">
      <w:pPr>
        <w:pStyle w:val="TableFigureFooter"/>
        <w:keepNext/>
        <w:rPr>
          <w:rStyle w:val="CommentReference"/>
          <w:b w:val="0"/>
          <w:i/>
          <w:iCs/>
          <w:sz w:val="18"/>
          <w:szCs w:val="18"/>
        </w:rPr>
      </w:pPr>
      <w:r w:rsidRPr="00142336">
        <w:rPr>
          <w:rFonts w:cs="Calibri"/>
          <w:i/>
          <w:iCs/>
          <w:color w:val="000000"/>
          <w:szCs w:val="18"/>
          <w:vertAlign w:val="superscript"/>
        </w:rPr>
        <w:t xml:space="preserve">8 </w:t>
      </w:r>
      <w:r w:rsidRPr="00142336">
        <w:rPr>
          <w:rFonts w:cs="Calibri"/>
          <w:i/>
          <w:iCs/>
          <w:color w:val="000000"/>
          <w:szCs w:val="18"/>
        </w:rPr>
        <w:t>$20</w:t>
      </w:r>
      <w:r w:rsidR="009D5D6B" w:rsidRPr="00142336">
        <w:rPr>
          <w:rFonts w:cs="Calibri"/>
          <w:i/>
          <w:iCs/>
          <w:color w:val="000000"/>
          <w:szCs w:val="18"/>
        </w:rPr>
        <w:t xml:space="preserve"> million </w:t>
      </w:r>
      <w:r w:rsidRPr="00142336">
        <w:rPr>
          <w:rFonts w:cs="Calibri"/>
          <w:i/>
          <w:iCs/>
          <w:color w:val="000000"/>
          <w:szCs w:val="18"/>
        </w:rPr>
        <w:t>to &lt; $30</w:t>
      </w:r>
      <w:r w:rsidR="009D5D6B" w:rsidRPr="00142336">
        <w:rPr>
          <w:rFonts w:cs="Calibri"/>
          <w:i/>
          <w:iCs/>
          <w:color w:val="000000"/>
          <w:szCs w:val="18"/>
        </w:rPr>
        <w:t xml:space="preserve"> million</w:t>
      </w:r>
    </w:p>
    <w:p w14:paraId="5EBF2723" w14:textId="44A9923E" w:rsidR="00A32C54" w:rsidRPr="00142336" w:rsidRDefault="00A32C54" w:rsidP="00EE0F34">
      <w:pPr>
        <w:pStyle w:val="TableFigureFooter"/>
        <w:keepNext/>
        <w:rPr>
          <w:rFonts w:cs="Calibri"/>
          <w:i/>
          <w:iCs/>
          <w:color w:val="000000"/>
          <w:szCs w:val="18"/>
        </w:rPr>
      </w:pPr>
      <w:r w:rsidRPr="00142336">
        <w:rPr>
          <w:rFonts w:cs="Calibri"/>
          <w:i/>
          <w:iCs/>
          <w:color w:val="000000"/>
          <w:szCs w:val="18"/>
          <w:vertAlign w:val="superscript"/>
        </w:rPr>
        <w:t xml:space="preserve">9 </w:t>
      </w:r>
      <w:r w:rsidRPr="00142336">
        <w:rPr>
          <w:rFonts w:cs="Calibri"/>
          <w:i/>
          <w:iCs/>
          <w:color w:val="000000"/>
          <w:szCs w:val="18"/>
        </w:rPr>
        <w:t>$30</w:t>
      </w:r>
      <w:r w:rsidR="009D5D6B" w:rsidRPr="00142336">
        <w:rPr>
          <w:rFonts w:cs="Calibri"/>
          <w:i/>
          <w:iCs/>
          <w:color w:val="000000"/>
          <w:szCs w:val="18"/>
        </w:rPr>
        <w:t xml:space="preserve"> million</w:t>
      </w:r>
      <w:r w:rsidRPr="00142336">
        <w:rPr>
          <w:rFonts w:cs="Calibri"/>
          <w:i/>
          <w:iCs/>
          <w:color w:val="000000"/>
          <w:szCs w:val="18"/>
        </w:rPr>
        <w:t xml:space="preserve"> to &lt; $40</w:t>
      </w:r>
      <w:r w:rsidR="009D5D6B" w:rsidRPr="00142336">
        <w:rPr>
          <w:rFonts w:cs="Calibri"/>
          <w:i/>
          <w:iCs/>
          <w:color w:val="000000"/>
          <w:szCs w:val="18"/>
        </w:rPr>
        <w:t xml:space="preserve"> million</w:t>
      </w:r>
    </w:p>
    <w:p w14:paraId="0C0637B0" w14:textId="3468CA79" w:rsidR="009D5D6B" w:rsidRPr="00142336" w:rsidRDefault="009D5D6B" w:rsidP="00EE0F34">
      <w:pPr>
        <w:pStyle w:val="TableFigureFooter"/>
        <w:keepNext/>
        <w:rPr>
          <w:rStyle w:val="CommentReference"/>
          <w:b w:val="0"/>
          <w:i/>
          <w:iCs/>
          <w:sz w:val="18"/>
          <w:szCs w:val="18"/>
        </w:rPr>
      </w:pPr>
      <w:r w:rsidRPr="00142336">
        <w:rPr>
          <w:rFonts w:cs="Calibri"/>
          <w:i/>
          <w:iCs/>
          <w:color w:val="000000"/>
          <w:szCs w:val="18"/>
          <w:vertAlign w:val="superscript"/>
        </w:rPr>
        <w:t>10</w:t>
      </w:r>
      <w:r w:rsidR="00146B93">
        <w:rPr>
          <w:rFonts w:cs="Calibri"/>
          <w:i/>
          <w:iCs/>
          <w:color w:val="000000"/>
          <w:szCs w:val="18"/>
          <w:vertAlign w:val="superscript"/>
        </w:rPr>
        <w:t xml:space="preserve"> </w:t>
      </w:r>
      <w:r w:rsidRPr="00142336">
        <w:rPr>
          <w:rFonts w:cs="Calibri"/>
          <w:i/>
          <w:iCs/>
          <w:color w:val="000000"/>
          <w:szCs w:val="18"/>
        </w:rPr>
        <w:t>$0 to &lt; $10 million</w:t>
      </w:r>
    </w:p>
    <w:p w14:paraId="2534FFA9" w14:textId="192B30BB" w:rsidR="00F244EF" w:rsidRPr="00CA36CB" w:rsidRDefault="00F244EF" w:rsidP="00F244EF">
      <w:pPr>
        <w:pStyle w:val="3-BodyText"/>
        <w:rPr>
          <w:iCs/>
        </w:rPr>
      </w:pPr>
      <w:r w:rsidRPr="00DF1914">
        <w:lastRenderedPageBreak/>
        <w:t xml:space="preserve">The total PBS/RPBS impact of listing durvalumab was estimated to be </w:t>
      </w:r>
      <w:r w:rsidR="002B0422">
        <w:t>$</w:t>
      </w:r>
      <w:r w:rsidR="008457A0">
        <w:t>3</w:t>
      </w:r>
      <w:r w:rsidR="009D5D6B">
        <w:t>0 million to &lt; $</w:t>
      </w:r>
      <w:r w:rsidR="008457A0">
        <w:t>4</w:t>
      </w:r>
      <w:r w:rsidR="009D5D6B">
        <w:t>0 million</w:t>
      </w:r>
      <w:r w:rsidRPr="00DF1914">
        <w:t xml:space="preserve"> in Year 6, and a total of </w:t>
      </w:r>
      <w:r w:rsidR="009D5D6B">
        <w:t>$</w:t>
      </w:r>
      <w:r w:rsidR="00F31D66">
        <w:t xml:space="preserve">100 million to &lt; $200 million </w:t>
      </w:r>
      <w:r w:rsidRPr="00DF1914">
        <w:t xml:space="preserve">in the first 6 years </w:t>
      </w:r>
      <w:r w:rsidRPr="000A7A05">
        <w:t xml:space="preserve">of listing. </w:t>
      </w:r>
      <w:r w:rsidR="00027527">
        <w:t>A</w:t>
      </w:r>
      <w:r w:rsidR="00027527" w:rsidRPr="000A7A05">
        <w:t xml:space="preserve"> </w:t>
      </w:r>
      <w:r w:rsidR="00886668" w:rsidRPr="000A7A05">
        <w:t xml:space="preserve">revised total PBS/RPBS impact of listing durvalumab was estimated to be </w:t>
      </w:r>
      <w:r w:rsidR="00F31D66">
        <w:t xml:space="preserve">$30 million to &lt; $40 million </w:t>
      </w:r>
      <w:r w:rsidR="00886668" w:rsidRPr="00DF1914">
        <w:t xml:space="preserve">in Year 6, and a total of </w:t>
      </w:r>
      <w:r w:rsidR="00F31D66">
        <w:t xml:space="preserve">$100 million to &lt; $200 million </w:t>
      </w:r>
      <w:r w:rsidR="00886668" w:rsidRPr="00DF1914">
        <w:t>in the first 6 years of listing</w:t>
      </w:r>
      <w:r w:rsidR="00030FB3">
        <w:t>,</w:t>
      </w:r>
      <w:r w:rsidR="00886668">
        <w:t xml:space="preserve"> when the revisions proposed</w:t>
      </w:r>
      <w:r w:rsidR="00030FB3">
        <w:t xml:space="preserve"> </w:t>
      </w:r>
      <w:r w:rsidR="00030FB3" w:rsidRPr="00367355">
        <w:rPr>
          <w:iCs/>
        </w:rPr>
        <w:t>by the evaluation</w:t>
      </w:r>
      <w:r w:rsidR="00886668">
        <w:t xml:space="preserve"> in </w:t>
      </w:r>
      <w:r w:rsidR="00886668">
        <w:fldChar w:fldCharType="begin"/>
      </w:r>
      <w:r w:rsidR="00886668">
        <w:instrText xml:space="preserve"> REF _Ref207392269 \h </w:instrText>
      </w:r>
      <w:r w:rsidR="00886668">
        <w:fldChar w:fldCharType="separate"/>
      </w:r>
      <w:r w:rsidR="005731FF">
        <w:t xml:space="preserve">Table </w:t>
      </w:r>
      <w:r w:rsidR="005731FF">
        <w:rPr>
          <w:noProof/>
        </w:rPr>
        <w:t>20</w:t>
      </w:r>
      <w:r w:rsidR="00886668">
        <w:fldChar w:fldCharType="end"/>
      </w:r>
      <w:r w:rsidR="00886668">
        <w:t xml:space="preserve"> are </w:t>
      </w:r>
      <w:r w:rsidR="00886668" w:rsidRPr="002D54C7">
        <w:t>applied.</w:t>
      </w:r>
      <w:r w:rsidR="00E9310C" w:rsidRPr="002D54C7">
        <w:t xml:space="preserve"> </w:t>
      </w:r>
      <w:r w:rsidR="00F1103E" w:rsidRPr="00367355">
        <w:t xml:space="preserve">The PSCR acknowledged the financial </w:t>
      </w:r>
      <w:r w:rsidR="00264371" w:rsidRPr="00367355">
        <w:t>revisions</w:t>
      </w:r>
      <w:r w:rsidR="00F1103E" w:rsidRPr="00367355">
        <w:t xml:space="preserve"> and described them as minor</w:t>
      </w:r>
      <w:r w:rsidR="00051FC8" w:rsidRPr="002D54C7">
        <w:t>.</w:t>
      </w:r>
      <w:r w:rsidR="009E35B8">
        <w:t xml:space="preserve"> The Pre-PBAC response </w:t>
      </w:r>
      <w:r w:rsidR="004B3A38">
        <w:t>applied revisions</w:t>
      </w:r>
      <w:r w:rsidR="00C23C0D">
        <w:t xml:space="preserve"> as proposed by the evaluation</w:t>
      </w:r>
      <w:r w:rsidR="004B3A38">
        <w:t xml:space="preserve"> to </w:t>
      </w:r>
      <w:r w:rsidR="002B489F">
        <w:t xml:space="preserve">bladder cancer incidence and </w:t>
      </w:r>
      <w:r w:rsidR="009A705F">
        <w:t xml:space="preserve">further amended the </w:t>
      </w:r>
      <w:r w:rsidR="002B489F">
        <w:t xml:space="preserve">duration of treatment for grandfathered patients, which are also shown in </w:t>
      </w:r>
      <w:r w:rsidR="00642837">
        <w:fldChar w:fldCharType="begin"/>
      </w:r>
      <w:r w:rsidR="00642837">
        <w:instrText xml:space="preserve"> REF _Ref207392269 \h </w:instrText>
      </w:r>
      <w:r w:rsidR="00642837">
        <w:fldChar w:fldCharType="separate"/>
      </w:r>
      <w:r w:rsidR="005731FF">
        <w:t xml:space="preserve">Table </w:t>
      </w:r>
      <w:r w:rsidR="005731FF">
        <w:rPr>
          <w:noProof/>
        </w:rPr>
        <w:t>20</w:t>
      </w:r>
      <w:r w:rsidR="00642837">
        <w:fldChar w:fldCharType="end"/>
      </w:r>
      <w:r w:rsidR="00642837">
        <w:t>.</w:t>
      </w:r>
      <w:r w:rsidR="00051FC8" w:rsidRPr="002D54C7">
        <w:t xml:space="preserve"> </w:t>
      </w:r>
    </w:p>
    <w:p w14:paraId="66087D81" w14:textId="29513E1D" w:rsidR="007E29E5" w:rsidRPr="00C0465B" w:rsidRDefault="007E29E5" w:rsidP="00C0465B">
      <w:pPr>
        <w:pStyle w:val="3-BodyText"/>
        <w:rPr>
          <w:color w:val="0066FF"/>
        </w:rPr>
      </w:pPr>
      <w:r w:rsidRPr="00DF1914">
        <w:t>The incident patients presented in the financial model were drawn from two sources, patients diagnosed with MIBC and patients who progress from</w:t>
      </w:r>
      <w:r w:rsidR="00402971">
        <w:t xml:space="preserve"> </w:t>
      </w:r>
      <w:r w:rsidR="00402971" w:rsidRPr="00367355">
        <w:rPr>
          <w:iCs/>
        </w:rPr>
        <w:t>non-muscle-invasive bladder cancer</w:t>
      </w:r>
      <w:r w:rsidRPr="00DF1914">
        <w:t xml:space="preserve"> </w:t>
      </w:r>
      <w:r w:rsidR="00402971">
        <w:t>(</w:t>
      </w:r>
      <w:r w:rsidRPr="00DF1914">
        <w:t>NMIBC</w:t>
      </w:r>
      <w:r w:rsidR="00402971">
        <w:t>)</w:t>
      </w:r>
      <w:r w:rsidRPr="00DF1914">
        <w:t xml:space="preserve"> to MIBC. </w:t>
      </w:r>
      <w:r w:rsidR="00F244EF" w:rsidRPr="00DF1914">
        <w:t>The base bladder cancer incidence was taken from the</w:t>
      </w:r>
      <w:r w:rsidR="00962B6C">
        <w:t xml:space="preserve"> </w:t>
      </w:r>
      <w:r w:rsidR="00962B6C" w:rsidRPr="00367355">
        <w:rPr>
          <w:iCs/>
        </w:rPr>
        <w:t>Australian Institute of Health and Welfare</w:t>
      </w:r>
      <w:r w:rsidR="00F244EF" w:rsidRPr="00DF1914">
        <w:t xml:space="preserve"> </w:t>
      </w:r>
      <w:r w:rsidR="00962B6C">
        <w:t>(</w:t>
      </w:r>
      <w:r w:rsidR="00F244EF" w:rsidRPr="00DF1914">
        <w:t>AIHW</w:t>
      </w:r>
      <w:r w:rsidR="00464F31">
        <w:t>)</w:t>
      </w:r>
      <w:r w:rsidR="00F244EF" w:rsidRPr="00DF1914">
        <w:t xml:space="preserve"> projections in Book 1e, providing projections from 2026 to 2031. The submission indicated that the AIHW data only includes patients that are stage T1-T4.</w:t>
      </w:r>
    </w:p>
    <w:p w14:paraId="7D40C285" w14:textId="533282BC" w:rsidR="00F244EF" w:rsidRPr="00CA36CB" w:rsidRDefault="00F244EF" w:rsidP="00F244EF">
      <w:pPr>
        <w:pStyle w:val="3-BodyText"/>
        <w:rPr>
          <w:color w:val="0066FF"/>
        </w:rPr>
      </w:pPr>
      <w:r w:rsidRPr="00DF1914">
        <w:t xml:space="preserve">To determine the proportion of MIBC cases, the submission applied proportions from Reynolds et al (2021). </w:t>
      </w:r>
      <w:r w:rsidR="001B4710">
        <w:t xml:space="preserve">Reynolds et al (2021) reported </w:t>
      </w:r>
      <w:r w:rsidR="001B4710" w:rsidRPr="001B4710">
        <w:t>tumour staging data from 306 newly diagnosed patients with bladder urothelial carcinoma.</w:t>
      </w:r>
      <w:r w:rsidR="001B4710">
        <w:t xml:space="preserve"> </w:t>
      </w:r>
      <w:r w:rsidR="001B4710" w:rsidRPr="00CA36CB">
        <w:t>The submission applied the</w:t>
      </w:r>
      <w:r w:rsidR="007E29E5" w:rsidRPr="00CA36CB">
        <w:t xml:space="preserve">se </w:t>
      </w:r>
      <w:r w:rsidR="001B4710" w:rsidRPr="00CA36CB">
        <w:t xml:space="preserve">proportions to the AIHW data </w:t>
      </w:r>
      <w:r w:rsidR="00D22120" w:rsidRPr="00CA36CB">
        <w:t xml:space="preserve">to </w:t>
      </w:r>
      <w:r w:rsidR="001B4710" w:rsidRPr="00CA36CB">
        <w:t>calculate the number of T2-T4 (MIBC) patients.</w:t>
      </w:r>
      <w:r w:rsidR="001B4710" w:rsidRPr="00CA36CB" w:rsidDel="00923F81">
        <w:t xml:space="preserve"> </w:t>
      </w:r>
      <w:r w:rsidRPr="00CA36CB">
        <w:t xml:space="preserve">However, the percentages </w:t>
      </w:r>
      <w:r w:rsidR="001B4710" w:rsidRPr="00CA36CB">
        <w:t xml:space="preserve">presented in Reynolds et al (2021) </w:t>
      </w:r>
      <w:r w:rsidR="007E29E5" w:rsidRPr="00CA36CB">
        <w:t>could not be reproduced</w:t>
      </w:r>
      <w:r w:rsidR="00923F81">
        <w:t xml:space="preserve"> </w:t>
      </w:r>
      <w:r w:rsidR="00923F81" w:rsidRPr="00367355">
        <w:rPr>
          <w:iCs/>
        </w:rPr>
        <w:t>by the evaluation</w:t>
      </w:r>
      <w:r w:rsidR="007E29E5" w:rsidRPr="00CA36CB">
        <w:t xml:space="preserve"> and were recalculated.</w:t>
      </w:r>
    </w:p>
    <w:p w14:paraId="18DB45E7" w14:textId="2694F264" w:rsidR="007E29E5" w:rsidRPr="00CA36CB" w:rsidRDefault="00824CC8" w:rsidP="007E29E5">
      <w:pPr>
        <w:pStyle w:val="3-BodyText"/>
        <w:rPr>
          <w:color w:val="0066FF"/>
        </w:rPr>
      </w:pPr>
      <w:r w:rsidRPr="00367355">
        <w:rPr>
          <w:iCs/>
        </w:rPr>
        <w:t xml:space="preserve">To determine the </w:t>
      </w:r>
      <w:r w:rsidR="00340625" w:rsidRPr="00367355">
        <w:rPr>
          <w:iCs/>
        </w:rPr>
        <w:t xml:space="preserve">cases of </w:t>
      </w:r>
      <w:r w:rsidR="007E29E5">
        <w:t xml:space="preserve">NMIBC </w:t>
      </w:r>
      <w:r w:rsidR="00C12CEA" w:rsidRPr="00367355">
        <w:rPr>
          <w:iCs/>
        </w:rPr>
        <w:t>who could progress to MIBC</w:t>
      </w:r>
      <w:r w:rsidR="005E5EEC">
        <w:t>,</w:t>
      </w:r>
      <w:r w:rsidR="00223657">
        <w:t xml:space="preserve"> </w:t>
      </w:r>
      <w:r w:rsidR="005E5EEC">
        <w:t>t</w:t>
      </w:r>
      <w:r w:rsidR="007E29E5" w:rsidRPr="00CA36CB">
        <w:t xml:space="preserve">he submission used the proportions in Reynolds et al (2021) for Ta/Tis patients and the number of T1 patients. </w:t>
      </w:r>
      <w:r w:rsidR="00A354B9" w:rsidRPr="00CA36CB">
        <w:t>However, t</w:t>
      </w:r>
      <w:r w:rsidR="007E29E5" w:rsidRPr="00CA36CB">
        <w:t>he Reynolds et al (2021) proportions include both bladder and upper tract urothelial carcinoma. Th</w:t>
      </w:r>
      <w:r w:rsidR="009766E4">
        <w:t xml:space="preserve">e </w:t>
      </w:r>
      <w:r w:rsidR="009766E4" w:rsidRPr="00367355">
        <w:rPr>
          <w:iCs/>
        </w:rPr>
        <w:t>evaluation considered that</w:t>
      </w:r>
      <w:r w:rsidR="009766E4">
        <w:t xml:space="preserve"> th</w:t>
      </w:r>
      <w:r w:rsidR="007E29E5" w:rsidRPr="00CA36CB">
        <w:t>is was inappropriate as the upper tract urothelial carcinomas are outside the proposed restriction.</w:t>
      </w:r>
      <w:r w:rsidR="00F416CA">
        <w:t xml:space="preserve"> The Pre-PBAC response agreed that the </w:t>
      </w:r>
      <w:r w:rsidR="00476F34" w:rsidRPr="00476F34">
        <w:t>proportion should represent bladder cancer only</w:t>
      </w:r>
      <w:r w:rsidR="00476F34">
        <w:t xml:space="preserve"> and adjusted the estimate</w:t>
      </w:r>
      <w:r w:rsidR="007068E5">
        <w:t xml:space="preserve"> (</w:t>
      </w:r>
      <w:r w:rsidR="007068E5">
        <w:fldChar w:fldCharType="begin"/>
      </w:r>
      <w:r w:rsidR="007068E5">
        <w:instrText xml:space="preserve"> REF _Ref207392312 \h </w:instrText>
      </w:r>
      <w:r w:rsidR="007068E5">
        <w:fldChar w:fldCharType="separate"/>
      </w:r>
      <w:r w:rsidR="005731FF">
        <w:t xml:space="preserve">Table </w:t>
      </w:r>
      <w:r w:rsidR="005731FF">
        <w:rPr>
          <w:noProof/>
        </w:rPr>
        <w:t>21</w:t>
      </w:r>
      <w:r w:rsidR="007068E5">
        <w:fldChar w:fldCharType="end"/>
      </w:r>
      <w:r w:rsidR="007068E5">
        <w:t>)</w:t>
      </w:r>
      <w:r w:rsidR="00476F34" w:rsidRPr="00476F34">
        <w:t>.</w:t>
      </w:r>
    </w:p>
    <w:p w14:paraId="38735723" w14:textId="1C082837" w:rsidR="00F244EF" w:rsidRPr="00E4469B" w:rsidRDefault="00F244EF" w:rsidP="00E4469B">
      <w:pPr>
        <w:pStyle w:val="3-BodyText"/>
        <w:rPr>
          <w:iCs/>
          <w:color w:val="0066FF"/>
        </w:rPr>
      </w:pPr>
      <w:r w:rsidRPr="00DF1914">
        <w:t xml:space="preserve">The submission proposed </w:t>
      </w:r>
      <w:r w:rsidR="00A6467F">
        <w:t xml:space="preserve">there would be </w:t>
      </w:r>
      <w:r w:rsidR="00E54C87" w:rsidRPr="00E54C87">
        <w:t>&lt; 500</w:t>
      </w:r>
      <w:r w:rsidRPr="00DF1914">
        <w:t xml:space="preserve"> grandfathered patients who will be included in the sponsor’s patient access program. </w:t>
      </w:r>
      <w:r w:rsidR="0061669E" w:rsidRPr="00367355">
        <w:rPr>
          <w:iCs/>
        </w:rPr>
        <w:t>The ESC noted the treatment duration for GF patients d</w:t>
      </w:r>
      <w:r w:rsidR="00C44F14">
        <w:rPr>
          <w:iCs/>
        </w:rPr>
        <w:t>id</w:t>
      </w:r>
      <w:r w:rsidR="0061669E" w:rsidRPr="00367355">
        <w:rPr>
          <w:iCs/>
        </w:rPr>
        <w:t xml:space="preserve"> not account for treatment already received prior to transition to PBS-subsidised treatment.</w:t>
      </w:r>
      <w:r w:rsidR="0061669E">
        <w:t xml:space="preserve"> </w:t>
      </w:r>
      <w:r w:rsidR="00821FF9" w:rsidRPr="00821FF9">
        <w:t xml:space="preserve">The Pre-PBAC response agreed that the duration of treatment in the neoadjuvant period should </w:t>
      </w:r>
      <w:r w:rsidR="000C4F2F">
        <w:t xml:space="preserve">not include </w:t>
      </w:r>
      <w:r w:rsidR="00821FF9" w:rsidRPr="00821FF9">
        <w:t>treatment already received prior to PBS-transition</w:t>
      </w:r>
      <w:r w:rsidR="00821FF9">
        <w:t xml:space="preserve"> and adjusted the estimate (</w:t>
      </w:r>
      <w:r w:rsidR="00821FF9">
        <w:fldChar w:fldCharType="begin"/>
      </w:r>
      <w:r w:rsidR="00821FF9">
        <w:instrText xml:space="preserve"> REF _Ref207392312 \h </w:instrText>
      </w:r>
      <w:r w:rsidR="00821FF9">
        <w:fldChar w:fldCharType="separate"/>
      </w:r>
      <w:r w:rsidR="005731FF">
        <w:t xml:space="preserve">Table </w:t>
      </w:r>
      <w:r w:rsidR="005731FF">
        <w:rPr>
          <w:noProof/>
        </w:rPr>
        <w:t>21</w:t>
      </w:r>
      <w:r w:rsidR="00821FF9">
        <w:fldChar w:fldCharType="end"/>
      </w:r>
      <w:r w:rsidR="00821FF9">
        <w:t>)</w:t>
      </w:r>
      <w:r w:rsidR="00821FF9" w:rsidRPr="00821FF9">
        <w:t>.</w:t>
      </w:r>
      <w:r w:rsidR="00E44604">
        <w:t xml:space="preserve"> The response </w:t>
      </w:r>
      <w:r w:rsidR="00A648B7">
        <w:t>stated</w:t>
      </w:r>
      <w:r w:rsidR="00E44604">
        <w:t xml:space="preserve"> that the patient access program is expected to start in</w:t>
      </w:r>
      <w:r w:rsidR="00A648B7">
        <w:t xml:space="preserve"> early 2026 and so </w:t>
      </w:r>
      <w:r w:rsidR="00285222" w:rsidRPr="00285222">
        <w:t xml:space="preserve">patients </w:t>
      </w:r>
      <w:r w:rsidR="00680E67">
        <w:t>would be</w:t>
      </w:r>
      <w:r w:rsidR="00285222" w:rsidRPr="00285222">
        <w:t xml:space="preserve"> unlikely to have initiated adjuvant treatment at listing</w:t>
      </w:r>
      <w:r w:rsidR="00A648B7">
        <w:t>.</w:t>
      </w:r>
    </w:p>
    <w:p w14:paraId="23FC7FB0" w14:textId="36846AE2" w:rsidR="00F244EF" w:rsidRPr="00DF1914" w:rsidRDefault="00F244EF" w:rsidP="00F244EF">
      <w:pPr>
        <w:pStyle w:val="4-SubsectionHeading"/>
      </w:pPr>
      <w:bookmarkStart w:id="113" w:name="_Toc22897648"/>
      <w:bookmarkStart w:id="114" w:name="_Toc207213500"/>
      <w:bookmarkStart w:id="115" w:name="_Toc209021290"/>
      <w:bookmarkStart w:id="116" w:name="_Toc209023186"/>
      <w:r w:rsidRPr="00DF1914">
        <w:t>Quality Use of Medicines</w:t>
      </w:r>
      <w:bookmarkEnd w:id="113"/>
      <w:bookmarkEnd w:id="114"/>
      <w:bookmarkEnd w:id="115"/>
      <w:bookmarkEnd w:id="116"/>
    </w:p>
    <w:p w14:paraId="28BB5669" w14:textId="2CFC65AA" w:rsidR="00F244EF" w:rsidRPr="00CA36CB" w:rsidRDefault="00F244EF" w:rsidP="00F244EF">
      <w:pPr>
        <w:pStyle w:val="3-BodyText"/>
      </w:pPr>
      <w:r w:rsidRPr="00DF1914">
        <w:t xml:space="preserve">The submission did not provide details of any specific quality use of medicines </w:t>
      </w:r>
      <w:r w:rsidRPr="00640731">
        <w:t xml:space="preserve">activities to be undertaken. The submission </w:t>
      </w:r>
      <w:r w:rsidR="006E1D2D">
        <w:t>stated</w:t>
      </w:r>
      <w:r w:rsidRPr="00640731">
        <w:t xml:space="preserve"> that the sponsor will work collaboratively with healthcare professionals to ensure that durvalumab is used appropriately and in line with the available clinical evidence and the TGA </w:t>
      </w:r>
      <w:r w:rsidRPr="006D0D06">
        <w:t>indication</w:t>
      </w:r>
      <w:r w:rsidRPr="00640731">
        <w:t xml:space="preserve">. </w:t>
      </w:r>
    </w:p>
    <w:p w14:paraId="35EEBAF5" w14:textId="5A2D5FE0" w:rsidR="00F244EF" w:rsidRPr="00367355" w:rsidRDefault="00F244EF" w:rsidP="00F244EF">
      <w:pPr>
        <w:pStyle w:val="3-BodyText"/>
        <w:rPr>
          <w:iCs/>
        </w:rPr>
      </w:pPr>
      <w:r w:rsidRPr="00DF1914">
        <w:lastRenderedPageBreak/>
        <w:t xml:space="preserve">The submission indicated that several post-marketing surveillance studies for perioperative durvalumab in combination with neoadjuvant chemotherapy are planned internationally. </w:t>
      </w:r>
    </w:p>
    <w:p w14:paraId="2287276A" w14:textId="7524D3C0" w:rsidR="00F244EF" w:rsidRPr="00DF1914" w:rsidRDefault="00F244EF" w:rsidP="00F244EF">
      <w:pPr>
        <w:pStyle w:val="4-SubsectionHeading"/>
      </w:pPr>
      <w:bookmarkStart w:id="117" w:name="_Toc207213501"/>
      <w:bookmarkStart w:id="118" w:name="_Toc209021291"/>
      <w:bookmarkStart w:id="119" w:name="_Toc209023187"/>
      <w:r w:rsidRPr="00DF1914">
        <w:t>Financial Management – Risk Sharing Arrangements</w:t>
      </w:r>
      <w:bookmarkEnd w:id="117"/>
      <w:bookmarkEnd w:id="118"/>
      <w:bookmarkEnd w:id="119"/>
    </w:p>
    <w:p w14:paraId="0B37A266" w14:textId="371B8AA7" w:rsidR="00F244EF" w:rsidRDefault="00F244EF" w:rsidP="00CB7C0E">
      <w:pPr>
        <w:pStyle w:val="3-BodyText"/>
      </w:pPr>
      <w:r w:rsidRPr="00DF1914">
        <w:t xml:space="preserve">The submission did not seek a risk share arrangement for the listing of durvalumab for MIBC. </w:t>
      </w:r>
      <w:r w:rsidR="00A1506E" w:rsidRPr="00367355">
        <w:t xml:space="preserve">The ESC noted </w:t>
      </w:r>
      <w:r w:rsidR="001F544D" w:rsidRPr="00367355">
        <w:t xml:space="preserve">there is </w:t>
      </w:r>
      <w:r w:rsidR="00A1506E" w:rsidRPr="00367355">
        <w:t xml:space="preserve">an RSA in place for </w:t>
      </w:r>
      <w:r w:rsidR="00F44668" w:rsidRPr="00367355">
        <w:t xml:space="preserve">nivolumab, avelumab and pembrolizumab </w:t>
      </w:r>
      <w:r w:rsidR="001F544D" w:rsidRPr="00367355">
        <w:t xml:space="preserve">(paragraph </w:t>
      </w:r>
      <w:r w:rsidR="00E84125" w:rsidRPr="00367355">
        <w:rPr>
          <w:iCs/>
        </w:rPr>
        <w:t>9.10, nivolumab PSD, March 2024)</w:t>
      </w:r>
      <w:r w:rsidR="00D3124B" w:rsidRPr="00367355">
        <w:rPr>
          <w:iCs/>
        </w:rPr>
        <w:t>.</w:t>
      </w:r>
    </w:p>
    <w:p w14:paraId="281C808D" w14:textId="3A4F40B8" w:rsidR="00EA2CAB" w:rsidRPr="00EA2CAB" w:rsidRDefault="00EA2CAB" w:rsidP="00F008EC">
      <w:pPr>
        <w:spacing w:before="60" w:after="120"/>
        <w:ind w:firstLine="720"/>
        <w:rPr>
          <w:rFonts w:asciiTheme="minorHAnsi" w:eastAsiaTheme="minorHAnsi" w:hAnsiTheme="minorHAnsi" w:cstheme="minorBidi"/>
          <w:i/>
          <w:iCs/>
          <w:szCs w:val="22"/>
        </w:rPr>
      </w:pPr>
      <w:r w:rsidRPr="00EA2CAB">
        <w:rPr>
          <w:rFonts w:asciiTheme="minorHAnsi" w:eastAsiaTheme="minorHAnsi" w:hAnsiTheme="minorHAnsi" w:cstheme="minorBidi"/>
          <w:i/>
          <w:iCs/>
          <w:szCs w:val="22"/>
        </w:rPr>
        <w:t>For more detail on PBAC’s view, see section 7 PBAC outcome.</w:t>
      </w:r>
    </w:p>
    <w:p w14:paraId="09A438EB" w14:textId="5DD3D4B7" w:rsidR="00CB7C0E" w:rsidRPr="003852EE" w:rsidRDefault="00CB7C0E" w:rsidP="003852EE">
      <w:pPr>
        <w:pStyle w:val="2-SectionHeading"/>
        <w:numPr>
          <w:ilvl w:val="0"/>
          <w:numId w:val="1"/>
        </w:numPr>
      </w:pPr>
      <w:bookmarkStart w:id="120" w:name="_Hlk76381249"/>
      <w:bookmarkStart w:id="121" w:name="_Hlk76377955"/>
      <w:bookmarkStart w:id="122" w:name="_Hlk212458545"/>
      <w:r w:rsidRPr="0090150D">
        <w:t>PBAC Outcome</w:t>
      </w:r>
    </w:p>
    <w:p w14:paraId="3500E902" w14:textId="74E002E4" w:rsidR="00CB7C0E" w:rsidRPr="00DF4604" w:rsidRDefault="00483654" w:rsidP="00DF4604">
      <w:pPr>
        <w:widowControl w:val="0"/>
        <w:numPr>
          <w:ilvl w:val="1"/>
          <w:numId w:val="1"/>
        </w:numPr>
        <w:spacing w:after="120"/>
        <w:rPr>
          <w:rFonts w:asciiTheme="minorHAnsi" w:hAnsiTheme="minorHAnsi"/>
          <w:snapToGrid w:val="0"/>
          <w:lang w:val="en-GB"/>
        </w:rPr>
      </w:pPr>
      <w:r w:rsidRPr="00775A39">
        <w:t xml:space="preserve">The PBAC recommended </w:t>
      </w:r>
      <w:r w:rsidR="00AF4868" w:rsidRPr="00775A39">
        <w:t>a</w:t>
      </w:r>
      <w:r w:rsidRPr="00775A39">
        <w:t xml:space="preserve"> </w:t>
      </w:r>
      <w:r w:rsidR="00AF4868" w:rsidRPr="00775A39">
        <w:t xml:space="preserve">Section 100 (Efficient Funding of Chemotherapy Program) </w:t>
      </w:r>
      <w:r w:rsidRPr="00775A39">
        <w:t>(</w:t>
      </w:r>
      <w:r w:rsidR="005F67CC" w:rsidRPr="00775A39">
        <w:t>STREAMLINED</w:t>
      </w:r>
      <w:r w:rsidRPr="00775A39">
        <w:t xml:space="preserve">) listing of </w:t>
      </w:r>
      <w:r w:rsidR="001B6B00" w:rsidRPr="00775A39">
        <w:t>durvalumab</w:t>
      </w:r>
      <w:r w:rsidRPr="00775A39">
        <w:t xml:space="preserve"> </w:t>
      </w:r>
      <w:r w:rsidR="00B63D36" w:rsidRPr="00542D90">
        <w:t xml:space="preserve">for the perioperative treatment (i.e. </w:t>
      </w:r>
      <w:r w:rsidR="00B63D36">
        <w:t xml:space="preserve">both </w:t>
      </w:r>
      <w:r w:rsidR="00B63D36" w:rsidRPr="00542D90">
        <w:t>before and after surgery) of patients with muscle-invasive bladder cancer (MIBC) who are eligible for cisplatin-based neoadjuvant chemotherapy (</w:t>
      </w:r>
      <w:r w:rsidR="00B63D36" w:rsidRPr="00E20480">
        <w:t>NAC)</w:t>
      </w:r>
      <w:r w:rsidR="002514F1">
        <w:t xml:space="preserve"> and </w:t>
      </w:r>
      <w:r w:rsidR="002514F1" w:rsidRPr="00542D90">
        <w:t>planning to undergo radical cystectomy (RC</w:t>
      </w:r>
      <w:r w:rsidR="002514F1">
        <w:t>)</w:t>
      </w:r>
      <w:r w:rsidRPr="00E20480">
        <w:t xml:space="preserve">. </w:t>
      </w:r>
      <w:r w:rsidR="00F96D9F" w:rsidRPr="00E20480">
        <w:t>The PBAC</w:t>
      </w:r>
      <w:r w:rsidR="00F96D9F" w:rsidRPr="00F96D9F">
        <w:t xml:space="preserve"> </w:t>
      </w:r>
      <w:r w:rsidR="00574F97">
        <w:t>considered</w:t>
      </w:r>
      <w:r w:rsidR="00F96D9F" w:rsidRPr="00F96D9F">
        <w:t xml:space="preserve"> that, on balance, perioperative durvalumab </w:t>
      </w:r>
      <w:r w:rsidR="0013383A">
        <w:t xml:space="preserve">improves </w:t>
      </w:r>
      <w:r w:rsidR="00F42854">
        <w:t xml:space="preserve">event free survival (EFS) and overall survival (OS) </w:t>
      </w:r>
      <w:r w:rsidR="00F96D9F" w:rsidRPr="00F96D9F">
        <w:t>in the MIBC patient population</w:t>
      </w:r>
      <w:r w:rsidR="00F42854">
        <w:t xml:space="preserve"> compared with </w:t>
      </w:r>
      <w:r w:rsidR="0001222D">
        <w:t>standard of care (SoC)</w:t>
      </w:r>
      <w:r w:rsidR="00970C0E">
        <w:t xml:space="preserve">. However, </w:t>
      </w:r>
      <w:r w:rsidR="00F96D9F" w:rsidRPr="00F96D9F">
        <w:t xml:space="preserve">the </w:t>
      </w:r>
      <w:r w:rsidR="006F633C">
        <w:t xml:space="preserve">magnitude of benefit is uncertain </w:t>
      </w:r>
      <w:r w:rsidR="008854FD">
        <w:t xml:space="preserve">due to </w:t>
      </w:r>
      <w:r w:rsidR="000E0988">
        <w:t xml:space="preserve">differences across the trials included in the indirect treatment comparison </w:t>
      </w:r>
      <w:r w:rsidR="00736071">
        <w:t xml:space="preserve">(ITC) </w:t>
      </w:r>
      <w:r w:rsidR="000E0988">
        <w:t xml:space="preserve">and </w:t>
      </w:r>
      <w:r w:rsidR="00736071">
        <w:t>from clinical practice in Australia</w:t>
      </w:r>
      <w:r w:rsidR="00F96D9F" w:rsidRPr="00F96D9F">
        <w:t xml:space="preserve">. The PBAC </w:t>
      </w:r>
      <w:r w:rsidR="005C3338">
        <w:t>considered</w:t>
      </w:r>
      <w:r w:rsidR="00F96D9F" w:rsidRPr="00331094">
        <w:t xml:space="preserve"> </w:t>
      </w:r>
      <w:r w:rsidR="002E55F3">
        <w:t xml:space="preserve">that durvalumab would be considered </w:t>
      </w:r>
      <w:r w:rsidR="00645D7E">
        <w:t>acceptably cost-effective</w:t>
      </w:r>
      <w:r w:rsidR="00052588">
        <w:t xml:space="preserve"> with </w:t>
      </w:r>
      <w:r w:rsidR="00F96D9F" w:rsidRPr="00331094">
        <w:t>some revision to</w:t>
      </w:r>
      <w:r w:rsidR="006B4394">
        <w:t xml:space="preserve"> model</w:t>
      </w:r>
      <w:r w:rsidR="00052588">
        <w:t xml:space="preserve"> </w:t>
      </w:r>
      <w:r w:rsidR="00F96D9F" w:rsidRPr="00331094">
        <w:t xml:space="preserve">inputs and a price reduction </w:t>
      </w:r>
      <w:r w:rsidR="00D70659">
        <w:t>that resulted in an</w:t>
      </w:r>
      <w:r w:rsidR="00F96D9F" w:rsidRPr="00331094">
        <w:t xml:space="preserve"> acceptable</w:t>
      </w:r>
      <w:r w:rsidR="00D70659">
        <w:t xml:space="preserve"> incremental cost-effectiveness ratio</w:t>
      </w:r>
      <w:r w:rsidR="00F96D9F" w:rsidRPr="00331094">
        <w:t xml:space="preserve"> </w:t>
      </w:r>
      <w:r w:rsidR="00D70659">
        <w:t>(</w:t>
      </w:r>
      <w:r w:rsidR="00F96D9F" w:rsidRPr="00331094">
        <w:t>ICER</w:t>
      </w:r>
      <w:r w:rsidR="00D70659">
        <w:t>)</w:t>
      </w:r>
      <w:r w:rsidR="00F96D9F" w:rsidRPr="00331094">
        <w:t>.</w:t>
      </w:r>
      <w:r w:rsidR="00E20480" w:rsidRPr="00331094">
        <w:t xml:space="preserve"> The PBAC considered that the financial estimates were </w:t>
      </w:r>
      <w:r w:rsidR="00900F20" w:rsidRPr="00331094">
        <w:t xml:space="preserve">reasonable </w:t>
      </w:r>
      <w:r w:rsidR="00BD096D">
        <w:t>once</w:t>
      </w:r>
      <w:r w:rsidR="00A80A28" w:rsidRPr="00331094">
        <w:t xml:space="preserve"> minor adjustments</w:t>
      </w:r>
      <w:r w:rsidR="00BD096D">
        <w:t xml:space="preserve"> were made</w:t>
      </w:r>
      <w:r w:rsidR="00A80A28" w:rsidRPr="00331094">
        <w:t xml:space="preserve"> to account for the overestimated patient population</w:t>
      </w:r>
      <w:r w:rsidR="00E20480" w:rsidRPr="00331094">
        <w:t>. The PBAC recommended the listing should join the existing risk sharing arrangement (RSA)</w:t>
      </w:r>
      <w:r w:rsidR="00C71BD2" w:rsidRPr="00331094">
        <w:t xml:space="preserve"> in place for adjuvant nivolumab</w:t>
      </w:r>
      <w:r w:rsidR="00E441A8" w:rsidRPr="00331094">
        <w:t xml:space="preserve"> in patients at high risk of recurrence,</w:t>
      </w:r>
      <w:r w:rsidR="00C71BD2" w:rsidRPr="00331094">
        <w:t xml:space="preserve"> with an </w:t>
      </w:r>
      <w:r w:rsidR="00BD096D">
        <w:t>increase in</w:t>
      </w:r>
      <w:r w:rsidR="00C71BD2" w:rsidRPr="00331094">
        <w:t xml:space="preserve"> </w:t>
      </w:r>
      <w:r w:rsidR="00DC00D8">
        <w:t>expenditure caps</w:t>
      </w:r>
      <w:r w:rsidR="00C71BD2" w:rsidRPr="00331094">
        <w:t xml:space="preserve"> t</w:t>
      </w:r>
      <w:r w:rsidR="006612B9" w:rsidRPr="00331094">
        <w:t>o</w:t>
      </w:r>
      <w:r w:rsidR="003B02A0">
        <w:t xml:space="preserve"> account for the net cost of listing. </w:t>
      </w:r>
    </w:p>
    <w:p w14:paraId="622A6032" w14:textId="5659FAC9" w:rsidR="00CB7C0E" w:rsidRPr="00735413" w:rsidRDefault="0055452B" w:rsidP="00735413">
      <w:pPr>
        <w:widowControl w:val="0"/>
        <w:numPr>
          <w:ilvl w:val="1"/>
          <w:numId w:val="1"/>
        </w:numPr>
        <w:spacing w:after="120"/>
        <w:rPr>
          <w:lang w:val="en-GB"/>
        </w:rPr>
      </w:pPr>
      <w:r w:rsidRPr="00AD5C8B">
        <w:t xml:space="preserve">The PBAC noted the clinical need in </w:t>
      </w:r>
      <w:r w:rsidR="0078403E" w:rsidRPr="00AD5C8B">
        <w:t>MIBC</w:t>
      </w:r>
      <w:r w:rsidR="003E46B9">
        <w:t xml:space="preserve"> as</w:t>
      </w:r>
      <w:r w:rsidR="00FA3D34">
        <w:t xml:space="preserve"> it is</w:t>
      </w:r>
      <w:r w:rsidR="0078403E" w:rsidRPr="00AD5C8B">
        <w:t xml:space="preserve"> a </w:t>
      </w:r>
      <w:r w:rsidR="00D24117">
        <w:t>challenging</w:t>
      </w:r>
      <w:r w:rsidR="00D24117" w:rsidRPr="00AD5C8B">
        <w:t xml:space="preserve"> </w:t>
      </w:r>
      <w:r w:rsidR="0078403E" w:rsidRPr="00AD5C8B">
        <w:t>condition to treat with significant impacts on quality of life despite</w:t>
      </w:r>
      <w:r w:rsidR="00E30AB3" w:rsidRPr="00AD5C8B">
        <w:t xml:space="preserve"> the</w:t>
      </w:r>
      <w:r w:rsidR="0078403E" w:rsidRPr="00AD5C8B">
        <w:t xml:space="preserve"> current</w:t>
      </w:r>
      <w:r w:rsidR="00E30AB3" w:rsidRPr="00AD5C8B">
        <w:t xml:space="preserve"> treatment options available</w:t>
      </w:r>
      <w:r w:rsidR="0078403E" w:rsidRPr="00AD5C8B">
        <w:t>.</w:t>
      </w:r>
      <w:r w:rsidR="008041AC">
        <w:t xml:space="preserve"> </w:t>
      </w:r>
      <w:r w:rsidR="00064089" w:rsidRPr="00AD5C8B">
        <w:t>The PBS listing of durvalumab would</w:t>
      </w:r>
      <w:r w:rsidR="00022272" w:rsidRPr="00AD5C8B">
        <w:t xml:space="preserve"> </w:t>
      </w:r>
      <w:r w:rsidR="0068451C">
        <w:t>move</w:t>
      </w:r>
      <w:r w:rsidR="00022272" w:rsidRPr="00AD5C8B">
        <w:t xml:space="preserve"> the clinical place of</w:t>
      </w:r>
      <w:r w:rsidR="00064089" w:rsidRPr="00AD5C8B">
        <w:t xml:space="preserve"> </w:t>
      </w:r>
      <w:r w:rsidR="00DF4F5D">
        <w:rPr>
          <w:lang w:val="en-GB"/>
        </w:rPr>
        <w:t>immunotherapy</w:t>
      </w:r>
      <w:r w:rsidR="000F06F1">
        <w:rPr>
          <w:lang w:val="en-GB"/>
        </w:rPr>
        <w:t xml:space="preserve"> </w:t>
      </w:r>
      <w:r w:rsidR="00A31A3B" w:rsidRPr="00AD5C8B">
        <w:rPr>
          <w:lang w:val="en-GB"/>
        </w:rPr>
        <w:t>into the</w:t>
      </w:r>
      <w:r w:rsidR="0050595D" w:rsidRPr="00AD5C8B">
        <w:rPr>
          <w:lang w:val="en-GB"/>
        </w:rPr>
        <w:t xml:space="preserve"> perioperative</w:t>
      </w:r>
      <w:r w:rsidR="00B306B5">
        <w:rPr>
          <w:lang w:val="en-GB"/>
        </w:rPr>
        <w:t xml:space="preserve"> treatment phase (both neoadjuvant and adjuvant)</w:t>
      </w:r>
      <w:r w:rsidR="003C1322">
        <w:rPr>
          <w:lang w:val="en-GB"/>
        </w:rPr>
        <w:t>,</w:t>
      </w:r>
      <w:r w:rsidR="009B551F">
        <w:rPr>
          <w:lang w:val="en-GB"/>
        </w:rPr>
        <w:t xml:space="preserve"> for all patients who </w:t>
      </w:r>
      <w:r w:rsidR="003C1322">
        <w:rPr>
          <w:lang w:val="en-GB"/>
        </w:rPr>
        <w:t>are eligible for NAC and are planning to undergo RC</w:t>
      </w:r>
      <w:r w:rsidR="00AD5C8B" w:rsidRPr="00AD5C8B">
        <w:rPr>
          <w:lang w:val="en-GB"/>
        </w:rPr>
        <w:t xml:space="preserve">, whereas </w:t>
      </w:r>
      <w:r w:rsidR="0000322A">
        <w:rPr>
          <w:lang w:val="en-GB"/>
        </w:rPr>
        <w:t>nivolumab</w:t>
      </w:r>
      <w:r w:rsidR="00AD5C8B" w:rsidRPr="00AD5C8B">
        <w:rPr>
          <w:lang w:val="en-GB"/>
        </w:rPr>
        <w:t xml:space="preserve"> is</w:t>
      </w:r>
      <w:r w:rsidR="0050595D" w:rsidRPr="00AD5C8B">
        <w:rPr>
          <w:lang w:val="en-GB"/>
        </w:rPr>
        <w:t xml:space="preserve"> </w:t>
      </w:r>
      <w:r w:rsidR="0000322A">
        <w:rPr>
          <w:lang w:val="en-GB"/>
        </w:rPr>
        <w:t xml:space="preserve">only </w:t>
      </w:r>
      <w:r w:rsidR="0050595D" w:rsidRPr="00AD5C8B">
        <w:rPr>
          <w:lang w:val="en-GB"/>
        </w:rPr>
        <w:t>available as adjuvant</w:t>
      </w:r>
      <w:r w:rsidR="00B5534F">
        <w:rPr>
          <w:lang w:val="en-GB"/>
        </w:rPr>
        <w:t xml:space="preserve"> therapy</w:t>
      </w:r>
      <w:r w:rsidR="0050595D" w:rsidRPr="00AD5C8B">
        <w:rPr>
          <w:lang w:val="en-GB"/>
        </w:rPr>
        <w:t xml:space="preserve"> for</w:t>
      </w:r>
      <w:r w:rsidR="00B5534F">
        <w:rPr>
          <w:lang w:val="en-GB"/>
        </w:rPr>
        <w:t xml:space="preserve"> those</w:t>
      </w:r>
      <w:r w:rsidR="00AD5C8B" w:rsidRPr="00AD5C8B">
        <w:rPr>
          <w:lang w:val="en-GB"/>
        </w:rPr>
        <w:t xml:space="preserve"> MIBC patients at</w:t>
      </w:r>
      <w:r w:rsidR="0050595D" w:rsidRPr="00AD5C8B">
        <w:rPr>
          <w:lang w:val="en-GB"/>
        </w:rPr>
        <w:t xml:space="preserve"> high risk</w:t>
      </w:r>
      <w:r w:rsidR="00AD5C8B" w:rsidRPr="00AD5C8B">
        <w:rPr>
          <w:lang w:val="en-GB"/>
        </w:rPr>
        <w:t xml:space="preserve"> of recurrence</w:t>
      </w:r>
      <w:r w:rsidR="0050595D" w:rsidRPr="00AD5C8B">
        <w:rPr>
          <w:lang w:val="en-GB"/>
        </w:rPr>
        <w:t>.</w:t>
      </w:r>
      <w:r w:rsidR="00EE5F5F">
        <w:rPr>
          <w:lang w:val="en-GB"/>
        </w:rPr>
        <w:t xml:space="preserve"> </w:t>
      </w:r>
      <w:r w:rsidR="00EE5F5F">
        <w:t xml:space="preserve">The PBAC acknowledged </w:t>
      </w:r>
      <w:r w:rsidR="00EE5F5F" w:rsidRPr="003E46B9">
        <w:t xml:space="preserve">the </w:t>
      </w:r>
      <w:r w:rsidR="00EE5F5F">
        <w:t>c</w:t>
      </w:r>
      <w:r w:rsidR="00EE5F5F" w:rsidRPr="003E46B9">
        <w:t>onsumer support for perioperative durvalumab in this therapeutic area from</w:t>
      </w:r>
      <w:r w:rsidR="00EE5F5F">
        <w:t xml:space="preserve"> two consumer groups,</w:t>
      </w:r>
      <w:r w:rsidR="00EE5F5F" w:rsidRPr="003E46B9">
        <w:t xml:space="preserve"> Rare</w:t>
      </w:r>
      <w:r w:rsidR="00EE5F5F" w:rsidRPr="005774F4">
        <w:t xml:space="preserve"> Cancers Australia</w:t>
      </w:r>
      <w:r w:rsidR="00EE5F5F">
        <w:t xml:space="preserve"> and BEAT Bladder Cancer Australia, and noted</w:t>
      </w:r>
      <w:r w:rsidR="00DE5E85">
        <w:t xml:space="preserve"> that</w:t>
      </w:r>
      <w:r w:rsidR="00EE5F5F">
        <w:t xml:space="preserve"> the </w:t>
      </w:r>
      <w:r w:rsidR="00EE5F5F" w:rsidRPr="00E0655A">
        <w:rPr>
          <w:bCs/>
          <w:snapToGrid w:val="0"/>
        </w:rPr>
        <w:t>MOGA classif</w:t>
      </w:r>
      <w:r w:rsidR="00EE5F5F">
        <w:rPr>
          <w:bCs/>
          <w:snapToGrid w:val="0"/>
        </w:rPr>
        <w:t>ication of</w:t>
      </w:r>
      <w:r w:rsidR="00EE5F5F" w:rsidRPr="00E0655A">
        <w:rPr>
          <w:bCs/>
          <w:snapToGrid w:val="0"/>
        </w:rPr>
        <w:t xml:space="preserve"> durvalumab </w:t>
      </w:r>
      <w:r w:rsidR="00EE5F5F">
        <w:rPr>
          <w:bCs/>
          <w:snapToGrid w:val="0"/>
        </w:rPr>
        <w:t>with</w:t>
      </w:r>
      <w:r w:rsidR="00EE5F5F" w:rsidRPr="00E0655A">
        <w:rPr>
          <w:bCs/>
          <w:snapToGrid w:val="0"/>
        </w:rPr>
        <w:t xml:space="preserve"> a</w:t>
      </w:r>
      <w:r w:rsidR="00FD1236">
        <w:rPr>
          <w:bCs/>
          <w:snapToGrid w:val="0"/>
        </w:rPr>
        <w:t>n</w:t>
      </w:r>
      <w:r w:rsidR="00EE5F5F" w:rsidRPr="00E0655A">
        <w:rPr>
          <w:bCs/>
          <w:snapToGrid w:val="0"/>
        </w:rPr>
        <w:t xml:space="preserve"> ESMO-MCBS </w:t>
      </w:r>
      <w:r w:rsidR="00EE5F5F" w:rsidRPr="00E0655A">
        <w:t>grade ‘A’ categoris</w:t>
      </w:r>
      <w:r w:rsidR="00DE5E85">
        <w:t>ed</w:t>
      </w:r>
      <w:r w:rsidR="00EE5F5F" w:rsidRPr="00E0655A">
        <w:t xml:space="preserve"> it as a new treatment with substantial benefit in the curative setting</w:t>
      </w:r>
      <w:r w:rsidR="00EE5F5F">
        <w:t>.</w:t>
      </w:r>
    </w:p>
    <w:p w14:paraId="499CC100" w14:textId="70673FFA" w:rsidR="00754F06" w:rsidRDefault="00754F06" w:rsidP="00EE0F34">
      <w:pPr>
        <w:pStyle w:val="3-BodyText"/>
        <w:keepNext/>
        <w:keepLines/>
        <w:rPr>
          <w:iCs/>
          <w:color w:val="000000" w:themeColor="text1"/>
          <w:lang w:val="en-GB"/>
        </w:rPr>
      </w:pPr>
      <w:r>
        <w:rPr>
          <w:iCs/>
          <w:color w:val="000000" w:themeColor="text1"/>
          <w:lang w:val="en-GB"/>
        </w:rPr>
        <w:lastRenderedPageBreak/>
        <w:t>The PBAC made the following determinations regarding the</w:t>
      </w:r>
      <w:r w:rsidR="00C775EE">
        <w:rPr>
          <w:iCs/>
          <w:color w:val="000000" w:themeColor="text1"/>
          <w:lang w:val="en-GB"/>
        </w:rPr>
        <w:t xml:space="preserve"> proposed</w:t>
      </w:r>
      <w:r w:rsidR="00DF4604">
        <w:rPr>
          <w:iCs/>
          <w:color w:val="000000" w:themeColor="text1"/>
          <w:lang w:val="en-GB"/>
        </w:rPr>
        <w:t xml:space="preserve"> PBS</w:t>
      </w:r>
      <w:r>
        <w:rPr>
          <w:iCs/>
          <w:color w:val="000000" w:themeColor="text1"/>
          <w:lang w:val="en-GB"/>
        </w:rPr>
        <w:t xml:space="preserve"> restriction</w:t>
      </w:r>
      <w:r w:rsidR="008F543D">
        <w:rPr>
          <w:iCs/>
          <w:color w:val="000000" w:themeColor="text1"/>
          <w:lang w:val="en-GB"/>
        </w:rPr>
        <w:t xml:space="preserve"> for durvalumab</w:t>
      </w:r>
      <w:r>
        <w:rPr>
          <w:iCs/>
          <w:color w:val="000000" w:themeColor="text1"/>
          <w:lang w:val="en-GB"/>
        </w:rPr>
        <w:t>:</w:t>
      </w:r>
    </w:p>
    <w:p w14:paraId="1DA4E89B" w14:textId="0A39ABAE" w:rsidR="00754F06" w:rsidRDefault="00754F06" w:rsidP="00EE0F34">
      <w:pPr>
        <w:pStyle w:val="3-BodyText"/>
        <w:keepNext/>
        <w:keepLines/>
        <w:numPr>
          <w:ilvl w:val="0"/>
          <w:numId w:val="21"/>
        </w:numPr>
        <w:ind w:left="1134" w:hanging="283"/>
        <w:rPr>
          <w:iCs/>
          <w:color w:val="000000" w:themeColor="text1"/>
          <w:lang w:val="en-GB"/>
        </w:rPr>
      </w:pPr>
      <w:r>
        <w:rPr>
          <w:rFonts w:eastAsia="Calibri" w:cs="Calibri"/>
        </w:rPr>
        <w:t xml:space="preserve">The </w:t>
      </w:r>
      <w:r w:rsidRPr="00BA791B">
        <w:rPr>
          <w:rFonts w:eastAsia="Calibri" w:cs="Calibri"/>
        </w:rPr>
        <w:t>treatment phase</w:t>
      </w:r>
      <w:r w:rsidR="00BA2DB7">
        <w:rPr>
          <w:rFonts w:eastAsia="Calibri" w:cs="Calibri"/>
        </w:rPr>
        <w:t>s</w:t>
      </w:r>
      <w:r w:rsidRPr="00BA791B">
        <w:rPr>
          <w:rFonts w:eastAsia="Calibri" w:cs="Calibri"/>
        </w:rPr>
        <w:t xml:space="preserve"> should be </w:t>
      </w:r>
      <w:r>
        <w:rPr>
          <w:rFonts w:eastAsia="Calibri" w:cs="Calibri"/>
        </w:rPr>
        <w:t>amended to specify that initial treatment pertains to the neoadjuvant setting and continuing treatment pertains to the adjuvant setting,</w:t>
      </w:r>
      <w:r w:rsidRPr="00BA791B">
        <w:rPr>
          <w:rFonts w:eastAsia="Calibri" w:cs="Calibri"/>
        </w:rPr>
        <w:t xml:space="preserve"> to provide additional clarity to prescribers</w:t>
      </w:r>
      <w:r>
        <w:rPr>
          <w:rFonts w:eastAsia="Calibri" w:cs="Calibri"/>
        </w:rPr>
        <w:t>;</w:t>
      </w:r>
    </w:p>
    <w:p w14:paraId="5A7C4059" w14:textId="77777777" w:rsidR="00754F06" w:rsidRDefault="00754F06" w:rsidP="00DA5D39">
      <w:pPr>
        <w:pStyle w:val="3-BodyText"/>
        <w:numPr>
          <w:ilvl w:val="0"/>
          <w:numId w:val="21"/>
        </w:numPr>
        <w:ind w:left="1134" w:hanging="283"/>
        <w:rPr>
          <w:iCs/>
          <w:color w:val="000000" w:themeColor="text1"/>
          <w:lang w:val="en-GB"/>
        </w:rPr>
      </w:pPr>
      <w:r>
        <w:rPr>
          <w:iCs/>
          <w:color w:val="000000" w:themeColor="text1"/>
          <w:lang w:val="en-GB"/>
        </w:rPr>
        <w:t>It is not necessary to include a Prescribing Instruction in the restriction to specify weight-based dosing in patients under 30 kg, as it is in the Product Information;</w:t>
      </w:r>
    </w:p>
    <w:p w14:paraId="6BBD7F74" w14:textId="57C16145" w:rsidR="00754F06" w:rsidRDefault="00754F06" w:rsidP="00DA5D39">
      <w:pPr>
        <w:pStyle w:val="3-BodyText"/>
        <w:numPr>
          <w:ilvl w:val="0"/>
          <w:numId w:val="21"/>
        </w:numPr>
        <w:ind w:left="1134" w:hanging="283"/>
        <w:rPr>
          <w:iCs/>
          <w:color w:val="000000" w:themeColor="text1"/>
          <w:lang w:val="en-GB"/>
        </w:rPr>
      </w:pPr>
      <w:r>
        <w:rPr>
          <w:iCs/>
          <w:color w:val="000000" w:themeColor="text1"/>
          <w:lang w:val="en-GB"/>
        </w:rPr>
        <w:t>A separate grandfathering restriction would not be required, as grandfathered patients can be accommodated by the initial</w:t>
      </w:r>
      <w:r w:rsidR="00210461">
        <w:rPr>
          <w:iCs/>
          <w:color w:val="000000" w:themeColor="text1"/>
          <w:lang w:val="en-GB"/>
        </w:rPr>
        <w:t>/continuing</w:t>
      </w:r>
      <w:r w:rsidR="00CA76FD">
        <w:rPr>
          <w:iCs/>
          <w:color w:val="000000" w:themeColor="text1"/>
          <w:lang w:val="en-GB"/>
        </w:rPr>
        <w:t xml:space="preserve"> phase</w:t>
      </w:r>
      <w:r>
        <w:rPr>
          <w:iCs/>
          <w:color w:val="000000" w:themeColor="text1"/>
          <w:lang w:val="en-GB"/>
        </w:rPr>
        <w:t xml:space="preserve"> restriction</w:t>
      </w:r>
      <w:r w:rsidR="00210461">
        <w:rPr>
          <w:iCs/>
          <w:color w:val="000000" w:themeColor="text1"/>
          <w:lang w:val="en-GB"/>
        </w:rPr>
        <w:t>s</w:t>
      </w:r>
      <w:r>
        <w:rPr>
          <w:iCs/>
          <w:color w:val="000000" w:themeColor="text1"/>
          <w:lang w:val="en-GB"/>
        </w:rPr>
        <w:t>;</w:t>
      </w:r>
    </w:p>
    <w:p w14:paraId="5FCF7F46" w14:textId="77777777" w:rsidR="00754F06" w:rsidRPr="00792CC5" w:rsidRDefault="00754F06" w:rsidP="00DA5D39">
      <w:pPr>
        <w:pStyle w:val="3-BodyText"/>
        <w:numPr>
          <w:ilvl w:val="0"/>
          <w:numId w:val="21"/>
        </w:numPr>
        <w:ind w:left="1134" w:hanging="283"/>
        <w:rPr>
          <w:iCs/>
          <w:color w:val="000000" w:themeColor="text1"/>
          <w:lang w:val="en-GB"/>
        </w:rPr>
      </w:pPr>
      <w:r w:rsidRPr="00792CC5">
        <w:rPr>
          <w:iCs/>
          <w:color w:val="000000" w:themeColor="text1"/>
          <w:lang w:val="en-GB"/>
        </w:rPr>
        <w:t xml:space="preserve">STREAMLINED initial and continuing restrictions would be appropriate, </w:t>
      </w:r>
      <w:r w:rsidRPr="00792CC5">
        <w:rPr>
          <w:rFonts w:eastAsia="Calibri" w:cs="Calibri"/>
        </w:rPr>
        <w:t>consistent with the current PBS listings for durvalumab in other indications;</w:t>
      </w:r>
    </w:p>
    <w:p w14:paraId="36527D44" w14:textId="77777777" w:rsidR="00754F06" w:rsidRPr="00A6656D" w:rsidRDefault="00754F06" w:rsidP="00754F06">
      <w:pPr>
        <w:pStyle w:val="3-BodyText"/>
        <w:numPr>
          <w:ilvl w:val="0"/>
          <w:numId w:val="0"/>
        </w:numPr>
        <w:ind w:left="851"/>
        <w:rPr>
          <w:i/>
          <w:iCs/>
          <w:color w:val="000000" w:themeColor="text1"/>
          <w:u w:val="single"/>
          <w:lang w:val="en-GB"/>
        </w:rPr>
      </w:pPr>
      <w:r w:rsidRPr="00A6656D">
        <w:rPr>
          <w:rFonts w:eastAsia="Calibri" w:cs="Calibri"/>
          <w:i/>
          <w:iCs/>
          <w:u w:val="single"/>
        </w:rPr>
        <w:t>Initiation</w:t>
      </w:r>
      <w:r>
        <w:rPr>
          <w:rFonts w:eastAsia="Calibri" w:cs="Calibri"/>
          <w:i/>
          <w:iCs/>
          <w:u w:val="single"/>
        </w:rPr>
        <w:t>:</w:t>
      </w:r>
    </w:p>
    <w:p w14:paraId="159C7591" w14:textId="761675B8" w:rsidR="00754F06" w:rsidRPr="00214775" w:rsidRDefault="00754F06" w:rsidP="00DA5D39">
      <w:pPr>
        <w:pStyle w:val="3-BodyText"/>
        <w:numPr>
          <w:ilvl w:val="0"/>
          <w:numId w:val="21"/>
        </w:numPr>
        <w:ind w:left="1134" w:hanging="283"/>
        <w:rPr>
          <w:iCs/>
          <w:color w:val="000000" w:themeColor="text1"/>
          <w:lang w:val="en-GB"/>
        </w:rPr>
      </w:pPr>
      <w:r w:rsidRPr="00914E85">
        <w:rPr>
          <w:iCs/>
          <w:color w:val="000000" w:themeColor="text1"/>
          <w:lang w:val="en-GB"/>
        </w:rPr>
        <w:t xml:space="preserve">The restriction should include a clinical criterion stating that the </w:t>
      </w:r>
      <w:r w:rsidRPr="00914E85">
        <w:rPr>
          <w:rFonts w:eastAsia="Calibri" w:cs="Calibri"/>
        </w:rPr>
        <w:t>“condition must not have previously been treated with systemic therapy for muscle-invasive bladder cancer</w:t>
      </w:r>
      <w:r w:rsidR="00914E85" w:rsidRPr="00914E85">
        <w:rPr>
          <w:rFonts w:eastAsia="Calibri" w:cs="Calibri"/>
        </w:rPr>
        <w:t xml:space="preserve"> at the time this drug was initiated for this condition</w:t>
      </w:r>
      <w:r w:rsidRPr="00914E85">
        <w:rPr>
          <w:rFonts w:eastAsia="Calibri" w:cs="Calibri"/>
        </w:rPr>
        <w:t>”;</w:t>
      </w:r>
    </w:p>
    <w:p w14:paraId="3C021B1F" w14:textId="30E9D069" w:rsidR="00214775" w:rsidRPr="00914E85" w:rsidRDefault="00214775" w:rsidP="00517028">
      <w:pPr>
        <w:pStyle w:val="3-BodyText"/>
        <w:numPr>
          <w:ilvl w:val="0"/>
          <w:numId w:val="21"/>
        </w:numPr>
        <w:ind w:left="1134" w:hanging="283"/>
        <w:rPr>
          <w:color w:val="000000" w:themeColor="text1"/>
        </w:rPr>
      </w:pPr>
      <w:r w:rsidRPr="58213C66">
        <w:rPr>
          <w:color w:val="000000" w:themeColor="text1"/>
        </w:rPr>
        <w:t>The restriction should include a clinical criterion that “The treatment must be once in a lifetime with this drug for this condition”</w:t>
      </w:r>
      <w:r w:rsidR="00B80861" w:rsidRPr="58213C66">
        <w:rPr>
          <w:color w:val="000000" w:themeColor="text1"/>
        </w:rPr>
        <w:t>;</w:t>
      </w:r>
    </w:p>
    <w:p w14:paraId="2E5709AD" w14:textId="38753281" w:rsidR="00754F06" w:rsidRPr="0052659E" w:rsidRDefault="00754F06" w:rsidP="00DA5D39">
      <w:pPr>
        <w:pStyle w:val="3-BodyText"/>
        <w:numPr>
          <w:ilvl w:val="0"/>
          <w:numId w:val="21"/>
        </w:numPr>
        <w:ind w:left="1134" w:hanging="283"/>
        <w:rPr>
          <w:iCs/>
          <w:color w:val="000000" w:themeColor="text1"/>
          <w:lang w:val="en-GB"/>
        </w:rPr>
      </w:pPr>
      <w:r w:rsidRPr="00202587">
        <w:rPr>
          <w:iCs/>
          <w:color w:val="000000" w:themeColor="text1"/>
        </w:rPr>
        <w:t>The restriction should specify nodal involvement of</w:t>
      </w:r>
      <w:r w:rsidR="00D417F9">
        <w:rPr>
          <w:iCs/>
          <w:color w:val="000000" w:themeColor="text1"/>
        </w:rPr>
        <w:t xml:space="preserve"> stage</w:t>
      </w:r>
      <w:r w:rsidRPr="00202587">
        <w:rPr>
          <w:iCs/>
          <w:color w:val="000000" w:themeColor="text1"/>
        </w:rPr>
        <w:t xml:space="preserve"> N0 or N1 to reflect the NIAGARA trial population and there is no need to specify</w:t>
      </w:r>
      <w:r w:rsidR="00D417F9">
        <w:rPr>
          <w:iCs/>
          <w:color w:val="000000" w:themeColor="text1"/>
        </w:rPr>
        <w:t xml:space="preserve"> stage</w:t>
      </w:r>
      <w:r w:rsidRPr="00202587">
        <w:rPr>
          <w:iCs/>
          <w:color w:val="000000" w:themeColor="text1"/>
        </w:rPr>
        <w:t xml:space="preserve"> M0</w:t>
      </w:r>
      <w:r w:rsidR="00A232B6">
        <w:rPr>
          <w:iCs/>
          <w:color w:val="000000" w:themeColor="text1"/>
        </w:rPr>
        <w:t xml:space="preserve">, </w:t>
      </w:r>
      <w:r w:rsidR="00B7121C">
        <w:rPr>
          <w:iCs/>
          <w:color w:val="000000" w:themeColor="text1"/>
        </w:rPr>
        <w:t xml:space="preserve">which is implicit for </w:t>
      </w:r>
      <w:r w:rsidRPr="00202587">
        <w:rPr>
          <w:iCs/>
          <w:color w:val="000000" w:themeColor="text1"/>
        </w:rPr>
        <w:t>patients</w:t>
      </w:r>
      <w:r w:rsidR="000157C3">
        <w:rPr>
          <w:iCs/>
          <w:color w:val="000000" w:themeColor="text1"/>
        </w:rPr>
        <w:t xml:space="preserve"> undergoing surgery</w:t>
      </w:r>
      <w:r w:rsidRPr="00202587">
        <w:rPr>
          <w:iCs/>
          <w:color w:val="000000" w:themeColor="text1"/>
        </w:rPr>
        <w:t>;</w:t>
      </w:r>
    </w:p>
    <w:p w14:paraId="1FD202E3" w14:textId="509A6F03" w:rsidR="0052659E" w:rsidRPr="00202587" w:rsidRDefault="0052659E" w:rsidP="00DA5D39">
      <w:pPr>
        <w:pStyle w:val="3-BodyText"/>
        <w:numPr>
          <w:ilvl w:val="0"/>
          <w:numId w:val="21"/>
        </w:numPr>
        <w:ind w:left="1134" w:hanging="283"/>
        <w:rPr>
          <w:iCs/>
          <w:color w:val="000000" w:themeColor="text1"/>
          <w:lang w:val="en-GB"/>
        </w:rPr>
      </w:pPr>
      <w:r>
        <w:rPr>
          <w:iCs/>
          <w:color w:val="000000" w:themeColor="text1"/>
        </w:rPr>
        <w:t>The restriction should specify</w:t>
      </w:r>
      <w:r w:rsidR="001106D3">
        <w:rPr>
          <w:iCs/>
          <w:color w:val="000000" w:themeColor="text1"/>
        </w:rPr>
        <w:t xml:space="preserve"> clinical</w:t>
      </w:r>
      <w:r>
        <w:rPr>
          <w:iCs/>
          <w:color w:val="000000" w:themeColor="text1"/>
        </w:rPr>
        <w:t xml:space="preserve"> tumour stage</w:t>
      </w:r>
      <w:r w:rsidR="00C36AFB">
        <w:rPr>
          <w:iCs/>
          <w:color w:val="000000" w:themeColor="text1"/>
        </w:rPr>
        <w:t xml:space="preserve"> of either T2, T3 or T4a, to be consistent with the NIAGARA trial;</w:t>
      </w:r>
    </w:p>
    <w:p w14:paraId="5C1B0F0F" w14:textId="77777777" w:rsidR="00754F06" w:rsidRPr="00510AE0" w:rsidRDefault="00754F06" w:rsidP="00754F06">
      <w:pPr>
        <w:pStyle w:val="3-BodyText"/>
        <w:numPr>
          <w:ilvl w:val="0"/>
          <w:numId w:val="0"/>
        </w:numPr>
        <w:ind w:left="851"/>
        <w:rPr>
          <w:i/>
          <w:color w:val="000000" w:themeColor="text1"/>
          <w:u w:val="single"/>
          <w:lang w:val="en-GB"/>
        </w:rPr>
      </w:pPr>
      <w:r w:rsidRPr="00510AE0">
        <w:rPr>
          <w:i/>
          <w:color w:val="000000" w:themeColor="text1"/>
          <w:u w:val="single"/>
          <w:lang w:val="en-GB"/>
        </w:rPr>
        <w:t>Continuation</w:t>
      </w:r>
      <w:r>
        <w:rPr>
          <w:i/>
          <w:color w:val="000000" w:themeColor="text1"/>
          <w:u w:val="single"/>
          <w:lang w:val="en-GB"/>
        </w:rPr>
        <w:t>:</w:t>
      </w:r>
    </w:p>
    <w:p w14:paraId="151D8ACB" w14:textId="77777777" w:rsidR="00754F06" w:rsidRPr="00D46D2C" w:rsidRDefault="00754F06" w:rsidP="00DA5D39">
      <w:pPr>
        <w:pStyle w:val="3-BodyText"/>
        <w:numPr>
          <w:ilvl w:val="0"/>
          <w:numId w:val="21"/>
        </w:numPr>
        <w:ind w:left="1134" w:hanging="283"/>
        <w:rPr>
          <w:iCs/>
          <w:color w:val="000000" w:themeColor="text1"/>
          <w:lang w:val="en-GB"/>
        </w:rPr>
      </w:pPr>
      <w:r>
        <w:rPr>
          <w:iCs/>
          <w:color w:val="000000" w:themeColor="text1"/>
        </w:rPr>
        <w:t>It is n</w:t>
      </w:r>
      <w:r w:rsidRPr="00B946F9">
        <w:rPr>
          <w:iCs/>
          <w:color w:val="000000" w:themeColor="text1"/>
        </w:rPr>
        <w:t>ot necessary to specify</w:t>
      </w:r>
      <w:r>
        <w:rPr>
          <w:iCs/>
          <w:color w:val="000000" w:themeColor="text1"/>
        </w:rPr>
        <w:t xml:space="preserve"> a</w:t>
      </w:r>
      <w:r w:rsidRPr="00B946F9">
        <w:rPr>
          <w:iCs/>
          <w:color w:val="000000" w:themeColor="text1"/>
        </w:rPr>
        <w:t xml:space="preserve"> time</w:t>
      </w:r>
      <w:r>
        <w:rPr>
          <w:iCs/>
          <w:color w:val="000000" w:themeColor="text1"/>
        </w:rPr>
        <w:t xml:space="preserve">frame that patients must have completed surgery </w:t>
      </w:r>
      <w:r w:rsidRPr="00B946F9">
        <w:rPr>
          <w:iCs/>
          <w:color w:val="000000" w:themeColor="text1"/>
        </w:rPr>
        <w:t xml:space="preserve">within 70 days of </w:t>
      </w:r>
      <w:r>
        <w:rPr>
          <w:iCs/>
          <w:color w:val="000000" w:themeColor="text1"/>
        </w:rPr>
        <w:t xml:space="preserve">their </w:t>
      </w:r>
      <w:r w:rsidRPr="00B946F9">
        <w:rPr>
          <w:iCs/>
          <w:color w:val="000000" w:themeColor="text1"/>
        </w:rPr>
        <w:t>final neoadj</w:t>
      </w:r>
      <w:r>
        <w:rPr>
          <w:iCs/>
          <w:color w:val="000000" w:themeColor="text1"/>
        </w:rPr>
        <w:t>uvant durvalumab</w:t>
      </w:r>
      <w:r w:rsidRPr="00B946F9">
        <w:rPr>
          <w:iCs/>
          <w:color w:val="000000" w:themeColor="text1"/>
        </w:rPr>
        <w:t xml:space="preserve"> dose</w:t>
      </w:r>
      <w:r>
        <w:rPr>
          <w:iCs/>
          <w:color w:val="000000" w:themeColor="text1"/>
        </w:rPr>
        <w:t xml:space="preserve">, as </w:t>
      </w:r>
      <w:r w:rsidRPr="00B946F9">
        <w:rPr>
          <w:iCs/>
          <w:color w:val="000000" w:themeColor="text1"/>
        </w:rPr>
        <w:t xml:space="preserve">flexibility </w:t>
      </w:r>
      <w:r>
        <w:rPr>
          <w:iCs/>
          <w:color w:val="000000" w:themeColor="text1"/>
        </w:rPr>
        <w:t xml:space="preserve">may be required for </w:t>
      </w:r>
      <w:r w:rsidRPr="00B946F9">
        <w:rPr>
          <w:iCs/>
          <w:color w:val="000000" w:themeColor="text1"/>
        </w:rPr>
        <w:t>patients</w:t>
      </w:r>
      <w:r>
        <w:rPr>
          <w:iCs/>
          <w:color w:val="000000" w:themeColor="text1"/>
        </w:rPr>
        <w:t xml:space="preserve"> experiencing</w:t>
      </w:r>
      <w:r w:rsidRPr="00B946F9">
        <w:rPr>
          <w:iCs/>
          <w:color w:val="000000" w:themeColor="text1"/>
        </w:rPr>
        <w:t xml:space="preserve"> dela</w:t>
      </w:r>
      <w:r>
        <w:rPr>
          <w:iCs/>
          <w:color w:val="000000" w:themeColor="text1"/>
        </w:rPr>
        <w:t>ys;</w:t>
      </w:r>
    </w:p>
    <w:p w14:paraId="29624725" w14:textId="30CEC3A8" w:rsidR="00754F06" w:rsidRDefault="00754F06" w:rsidP="00DA5D39">
      <w:pPr>
        <w:pStyle w:val="3-BodyText"/>
        <w:numPr>
          <w:ilvl w:val="0"/>
          <w:numId w:val="21"/>
        </w:numPr>
        <w:ind w:left="1134" w:hanging="283"/>
        <w:rPr>
          <w:iCs/>
          <w:color w:val="000000" w:themeColor="text1"/>
          <w:lang w:val="en-GB"/>
        </w:rPr>
      </w:pPr>
      <w:r>
        <w:rPr>
          <w:iCs/>
        </w:rPr>
        <w:t xml:space="preserve">It is not necessary to </w:t>
      </w:r>
      <w:r w:rsidRPr="00367355">
        <w:rPr>
          <w:iCs/>
        </w:rPr>
        <w:t>require patients to commence adjuvant</w:t>
      </w:r>
      <w:r>
        <w:rPr>
          <w:iCs/>
        </w:rPr>
        <w:t xml:space="preserve"> durvalumab</w:t>
      </w:r>
      <w:r w:rsidRPr="00367355">
        <w:rPr>
          <w:iCs/>
        </w:rPr>
        <w:t xml:space="preserve"> therapy within 120 days of undergoing a RC</w:t>
      </w:r>
      <w:r>
        <w:rPr>
          <w:iCs/>
        </w:rPr>
        <w:t xml:space="preserve"> and it would</w:t>
      </w:r>
      <w:r w:rsidR="003C05D5">
        <w:rPr>
          <w:iCs/>
        </w:rPr>
        <w:t xml:space="preserve"> alternatively</w:t>
      </w:r>
      <w:r>
        <w:rPr>
          <w:iCs/>
        </w:rPr>
        <w:t xml:space="preserve"> be appropriate </w:t>
      </w:r>
      <w:r w:rsidRPr="00367355">
        <w:rPr>
          <w:iCs/>
          <w:color w:val="000000" w:themeColor="text1"/>
        </w:rPr>
        <w:t>to specify “within 6 months” in the</w:t>
      </w:r>
      <w:r w:rsidR="006F046E">
        <w:rPr>
          <w:iCs/>
          <w:color w:val="000000" w:themeColor="text1"/>
        </w:rPr>
        <w:t xml:space="preserve"> restriction </w:t>
      </w:r>
      <w:r w:rsidRPr="00367355">
        <w:rPr>
          <w:iCs/>
          <w:color w:val="000000" w:themeColor="text1"/>
        </w:rPr>
        <w:t>criteria to allow for flexibility in clinical practice</w:t>
      </w:r>
      <w:r>
        <w:rPr>
          <w:iCs/>
          <w:color w:val="000000" w:themeColor="text1"/>
        </w:rPr>
        <w:t>;</w:t>
      </w:r>
    </w:p>
    <w:p w14:paraId="3A500F2A" w14:textId="67BF4D98" w:rsidR="00754F06" w:rsidRPr="008A43E0" w:rsidRDefault="00754F06" w:rsidP="00DA5D39">
      <w:pPr>
        <w:pStyle w:val="3-BodyText"/>
        <w:numPr>
          <w:ilvl w:val="0"/>
          <w:numId w:val="21"/>
        </w:numPr>
        <w:ind w:left="1134" w:hanging="283"/>
        <w:rPr>
          <w:iCs/>
          <w:color w:val="000000" w:themeColor="text1"/>
          <w:lang w:val="en-GB"/>
        </w:rPr>
      </w:pPr>
      <w:r w:rsidRPr="008A43E0">
        <w:rPr>
          <w:iCs/>
          <w:color w:val="000000" w:themeColor="text1"/>
        </w:rPr>
        <w:t>T</w:t>
      </w:r>
      <w:r w:rsidRPr="008A43E0">
        <w:rPr>
          <w:rFonts w:eastAsia="Calibri" w:cs="Calibri"/>
        </w:rPr>
        <w:t>he Prescribing Instruction in the continuing restriction should refer to “8 cycles” rather than “8 months” for consistency in terminology across the initial and continuing treatment phases</w:t>
      </w:r>
      <w:r w:rsidR="001C25B7">
        <w:rPr>
          <w:rFonts w:eastAsia="Calibri" w:cs="Calibri"/>
        </w:rPr>
        <w:t>.</w:t>
      </w:r>
    </w:p>
    <w:p w14:paraId="3B812C00" w14:textId="04651CAF" w:rsidR="00AE0EFA" w:rsidRPr="0068683C" w:rsidRDefault="00933B8D" w:rsidP="0068683C">
      <w:pPr>
        <w:pStyle w:val="3-BodyText"/>
      </w:pPr>
      <w:bookmarkStart w:id="123" w:name="_Ref214380180"/>
      <w:r>
        <w:rPr>
          <w:snapToGrid w:val="0"/>
          <w:lang w:val="en-GB"/>
        </w:rPr>
        <w:t>While the</w:t>
      </w:r>
      <w:r w:rsidR="00E202FC">
        <w:rPr>
          <w:snapToGrid w:val="0"/>
          <w:lang w:val="en-GB"/>
        </w:rPr>
        <w:t xml:space="preserve"> submission nominated </w:t>
      </w:r>
      <w:r>
        <w:rPr>
          <w:snapToGrid w:val="0"/>
          <w:lang w:val="en-GB"/>
        </w:rPr>
        <w:t>SoC</w:t>
      </w:r>
      <w:r w:rsidR="00E0039C">
        <w:rPr>
          <w:snapToGrid w:val="0"/>
          <w:lang w:val="en-GB"/>
        </w:rPr>
        <w:t xml:space="preserve"> (GC NAC</w:t>
      </w:r>
      <w:r w:rsidR="005A2BEB">
        <w:rPr>
          <w:snapToGrid w:val="0"/>
          <w:lang w:val="en-GB"/>
        </w:rPr>
        <w:t>, RC, active surveillance)</w:t>
      </w:r>
      <w:r>
        <w:rPr>
          <w:snapToGrid w:val="0"/>
          <w:lang w:val="en-GB"/>
        </w:rPr>
        <w:t xml:space="preserve"> as the main comparator, t</w:t>
      </w:r>
      <w:r w:rsidR="0015442E">
        <w:rPr>
          <w:snapToGrid w:val="0"/>
          <w:lang w:val="en-GB"/>
        </w:rPr>
        <w:t>he PBAC</w:t>
      </w:r>
      <w:r w:rsidR="00696823">
        <w:rPr>
          <w:snapToGrid w:val="0"/>
          <w:lang w:val="en-GB"/>
        </w:rPr>
        <w:t xml:space="preserve"> noted that the</w:t>
      </w:r>
      <w:r w:rsidR="00702C70">
        <w:rPr>
          <w:snapToGrid w:val="0"/>
          <w:lang w:val="en-GB"/>
        </w:rPr>
        <w:t xml:space="preserve"> sponsor’s</w:t>
      </w:r>
      <w:r w:rsidR="00696823">
        <w:rPr>
          <w:snapToGrid w:val="0"/>
          <w:lang w:val="en-GB"/>
        </w:rPr>
        <w:t xml:space="preserve"> </w:t>
      </w:r>
      <w:r w:rsidR="001251E0">
        <w:rPr>
          <w:snapToGrid w:val="0"/>
          <w:lang w:val="en-GB"/>
        </w:rPr>
        <w:t>Pre-PBAC response was aligned with a mixed comparator approach</w:t>
      </w:r>
      <w:r w:rsidR="00660EE2">
        <w:rPr>
          <w:snapToGrid w:val="0"/>
          <w:lang w:val="en-GB"/>
        </w:rPr>
        <w:t>,</w:t>
      </w:r>
      <w:r w:rsidR="00702C70">
        <w:rPr>
          <w:snapToGrid w:val="0"/>
          <w:lang w:val="en-GB"/>
        </w:rPr>
        <w:t xml:space="preserve"> </w:t>
      </w:r>
      <w:r w:rsidR="00DE0263">
        <w:rPr>
          <w:snapToGrid w:val="0"/>
          <w:lang w:val="en-GB"/>
        </w:rPr>
        <w:t>supported</w:t>
      </w:r>
      <w:r w:rsidR="001251E0">
        <w:rPr>
          <w:snapToGrid w:val="0"/>
          <w:lang w:val="en-GB"/>
        </w:rPr>
        <w:t xml:space="preserve"> by the</w:t>
      </w:r>
      <w:r w:rsidR="00DE0263">
        <w:rPr>
          <w:snapToGrid w:val="0"/>
          <w:lang w:val="en-GB"/>
        </w:rPr>
        <w:t xml:space="preserve"> evaluation and the</w:t>
      </w:r>
      <w:r w:rsidR="001251E0">
        <w:rPr>
          <w:snapToGrid w:val="0"/>
          <w:lang w:val="en-GB"/>
        </w:rPr>
        <w:t xml:space="preserve"> ESC</w:t>
      </w:r>
      <w:r w:rsidR="00660EE2">
        <w:rPr>
          <w:snapToGrid w:val="0"/>
          <w:lang w:val="en-GB"/>
        </w:rPr>
        <w:t>,</w:t>
      </w:r>
      <w:r w:rsidR="006E4E6B">
        <w:rPr>
          <w:snapToGrid w:val="0"/>
          <w:lang w:val="en-GB"/>
        </w:rPr>
        <w:t xml:space="preserve"> as</w:t>
      </w:r>
      <w:r w:rsidR="007078CB">
        <w:rPr>
          <w:snapToGrid w:val="0"/>
          <w:lang w:val="en-GB"/>
        </w:rPr>
        <w:t xml:space="preserve"> describing the comparator </w:t>
      </w:r>
      <w:r w:rsidR="00724285">
        <w:rPr>
          <w:snapToGrid w:val="0"/>
          <w:lang w:val="en-GB"/>
        </w:rPr>
        <w:t>to be</w:t>
      </w:r>
      <w:r w:rsidR="00B26D29">
        <w:rPr>
          <w:snapToGrid w:val="0"/>
          <w:lang w:val="en-GB"/>
        </w:rPr>
        <w:t xml:space="preserve"> </w:t>
      </w:r>
      <w:r w:rsidR="0069598A" w:rsidRPr="0081452F">
        <w:rPr>
          <w:color w:val="000000" w:themeColor="text1"/>
        </w:rPr>
        <w:t xml:space="preserve">gemcitabine plus cisplatin </w:t>
      </w:r>
      <w:r w:rsidR="0069598A">
        <w:rPr>
          <w:color w:val="000000" w:themeColor="text1"/>
        </w:rPr>
        <w:t>(</w:t>
      </w:r>
      <w:r w:rsidR="00F72EA4" w:rsidRPr="004E055B">
        <w:t>GC</w:t>
      </w:r>
      <w:r w:rsidR="0069598A">
        <w:t>)</w:t>
      </w:r>
      <w:r w:rsidR="00F72EA4" w:rsidRPr="004E055B">
        <w:t xml:space="preserve"> NAC and RC, followed by </w:t>
      </w:r>
      <w:r w:rsidR="00F72EA4">
        <w:t xml:space="preserve">either </w:t>
      </w:r>
      <w:r w:rsidR="00F72EA4">
        <w:lastRenderedPageBreak/>
        <w:t>(i)</w:t>
      </w:r>
      <w:r w:rsidR="007078CB">
        <w:t> </w:t>
      </w:r>
      <w:r w:rsidR="00F72EA4" w:rsidRPr="004E055B">
        <w:t>adjuvant nivolumab for patients with high risk of recurrence</w:t>
      </w:r>
      <w:r w:rsidR="00F72EA4">
        <w:t xml:space="preserve"> </w:t>
      </w:r>
      <w:r w:rsidR="00F72EA4" w:rsidRPr="004E055B">
        <w:t>OR</w:t>
      </w:r>
      <w:r w:rsidR="00F72EA4">
        <w:t xml:space="preserve"> (ii) </w:t>
      </w:r>
      <w:r w:rsidR="00F72EA4" w:rsidRPr="004E055B">
        <w:t>post-surgery active surveillance for all other patients.</w:t>
      </w:r>
      <w:r w:rsidR="00FD5ED0">
        <w:t xml:space="preserve"> The PBAC</w:t>
      </w:r>
      <w:r w:rsidR="00432CA8">
        <w:t xml:space="preserve"> </w:t>
      </w:r>
      <w:r w:rsidR="00323234">
        <w:t xml:space="preserve">accepted that </w:t>
      </w:r>
      <w:r w:rsidR="001A78BC">
        <w:t>the</w:t>
      </w:r>
      <w:r w:rsidR="00941967">
        <w:t xml:space="preserve"> submission’s estimate for the</w:t>
      </w:r>
      <w:r w:rsidR="001A78BC">
        <w:t xml:space="preserve"> proportion of patients at high risk of recurrence</w:t>
      </w:r>
      <w:r w:rsidR="00590380">
        <w:t xml:space="preserve"> (</w:t>
      </w:r>
      <w:r w:rsidR="00590380" w:rsidRPr="000F4FEC">
        <w:t>27.6</w:t>
      </w:r>
      <w:r w:rsidR="00590380">
        <w:t>%</w:t>
      </w:r>
      <w:r w:rsidR="00E9251A">
        <w:t>)</w:t>
      </w:r>
      <w:r w:rsidR="00B562F2">
        <w:t>, derived from</w:t>
      </w:r>
      <w:r w:rsidR="00CA128A">
        <w:t xml:space="preserve"> the disease profile of patients in the</w:t>
      </w:r>
      <w:r w:rsidR="00673B46">
        <w:t xml:space="preserve"> control arm of</w:t>
      </w:r>
      <w:r w:rsidR="00CA128A">
        <w:t xml:space="preserve"> NIAGARA trial</w:t>
      </w:r>
      <w:r w:rsidR="00B562F2">
        <w:t>,</w:t>
      </w:r>
      <w:r w:rsidR="001A78BC">
        <w:t xml:space="preserve"> likely</w:t>
      </w:r>
      <w:r w:rsidR="0010158B">
        <w:t xml:space="preserve"> reflect</w:t>
      </w:r>
      <w:r w:rsidR="00710F71">
        <w:t>s</w:t>
      </w:r>
      <w:r w:rsidR="0010158B">
        <w:t xml:space="preserve"> th</w:t>
      </w:r>
      <w:r w:rsidR="005A1AED">
        <w:t>e</w:t>
      </w:r>
      <w:r w:rsidR="00D96681">
        <w:t xml:space="preserve"> </w:t>
      </w:r>
      <w:r w:rsidR="00FA2C56">
        <w:t>proportion of</w:t>
      </w:r>
      <w:r w:rsidR="0010158B">
        <w:t xml:space="preserve"> Australian patient</w:t>
      </w:r>
      <w:r w:rsidR="00FA2C56">
        <w:t>s</w:t>
      </w:r>
      <w:r w:rsidR="0010158B">
        <w:t xml:space="preserve"> </w:t>
      </w:r>
      <w:r w:rsidR="00B706FC">
        <w:t>who would have been eligible to receive adjuvant nivolumab</w:t>
      </w:r>
      <w:r w:rsidR="0010158B">
        <w:t>.</w:t>
      </w:r>
      <w:bookmarkEnd w:id="123"/>
    </w:p>
    <w:p w14:paraId="615C85D8" w14:textId="4698DDFB" w:rsidR="00A37E81" w:rsidRPr="009E060B" w:rsidRDefault="00042E33" w:rsidP="009E060B">
      <w:pPr>
        <w:pStyle w:val="3-BodyText"/>
        <w:rPr>
          <w:rFonts w:ascii="Calibri" w:eastAsia="Times New Roman" w:hAnsi="Calibri" w:cs="Arial"/>
          <w:szCs w:val="24"/>
        </w:rPr>
      </w:pPr>
      <w:r w:rsidRPr="005E3452">
        <w:rPr>
          <w:snapToGrid w:val="0"/>
          <w:lang w:val="en-GB"/>
        </w:rPr>
        <w:t xml:space="preserve">The PBAC noted that the clinical evidence presented in the submission was based </w:t>
      </w:r>
      <w:r w:rsidR="00EB4AEC">
        <w:rPr>
          <w:snapToGrid w:val="0"/>
          <w:lang w:val="en-GB"/>
        </w:rPr>
        <w:t xml:space="preserve">on </w:t>
      </w:r>
      <w:r w:rsidRPr="005E3452">
        <w:rPr>
          <w:snapToGrid w:val="0"/>
          <w:lang w:val="en-GB"/>
        </w:rPr>
        <w:t>on</w:t>
      </w:r>
      <w:r w:rsidR="00F637B4">
        <w:rPr>
          <w:snapToGrid w:val="0"/>
          <w:lang w:val="en-GB"/>
        </w:rPr>
        <w:t>e direct, randomised controlled trial</w:t>
      </w:r>
      <w:r w:rsidR="00146B93">
        <w:rPr>
          <w:snapToGrid w:val="0"/>
          <w:lang w:val="en-GB"/>
        </w:rPr>
        <w:t xml:space="preserve"> </w:t>
      </w:r>
      <w:r w:rsidR="00F637B4">
        <w:rPr>
          <w:snapToGrid w:val="0"/>
          <w:lang w:val="en-GB"/>
        </w:rPr>
        <w:t>(</w:t>
      </w:r>
      <w:r w:rsidR="0010288B" w:rsidRPr="005E3452">
        <w:rPr>
          <w:snapToGrid w:val="0"/>
          <w:lang w:val="en-GB"/>
        </w:rPr>
        <w:t>NIAGARA</w:t>
      </w:r>
      <w:r w:rsidR="00F637B4">
        <w:rPr>
          <w:snapToGrid w:val="0"/>
          <w:lang w:val="en-GB"/>
        </w:rPr>
        <w:t xml:space="preserve">, </w:t>
      </w:r>
      <w:r w:rsidR="00EC5858">
        <w:rPr>
          <w:snapToGrid w:val="0"/>
          <w:lang w:val="en-GB"/>
        </w:rPr>
        <w:t>N</w:t>
      </w:r>
      <w:r w:rsidR="00F637B4">
        <w:rPr>
          <w:snapToGrid w:val="0"/>
          <w:lang w:val="en-GB"/>
        </w:rPr>
        <w:t xml:space="preserve"> </w:t>
      </w:r>
      <w:r w:rsidR="00EC5858">
        <w:rPr>
          <w:snapToGrid w:val="0"/>
          <w:lang w:val="en-GB"/>
        </w:rPr>
        <w:t>= 1,063)</w:t>
      </w:r>
      <w:r w:rsidRPr="005E3452">
        <w:rPr>
          <w:snapToGrid w:val="0"/>
          <w:lang w:val="en-GB"/>
        </w:rPr>
        <w:t xml:space="preserve">, </w:t>
      </w:r>
      <w:r w:rsidRPr="005E3452">
        <w:t xml:space="preserve">comparing the effectiveness and safety of </w:t>
      </w:r>
      <w:r w:rsidR="00C029D6" w:rsidRPr="00C029D6">
        <w:rPr>
          <w:rFonts w:ascii="Calibri" w:eastAsia="Times New Roman" w:hAnsi="Calibri" w:cs="Arial"/>
          <w:szCs w:val="24"/>
        </w:rPr>
        <w:t>neoadjuvant durvalumab in combination with GC followed by RC and adjuvant durvalumab as a monotherapy (durvalumab + GC arm)</w:t>
      </w:r>
      <w:r w:rsidR="005A2958">
        <w:rPr>
          <w:rFonts w:ascii="Calibri" w:eastAsia="Times New Roman" w:hAnsi="Calibri" w:cs="Arial"/>
          <w:szCs w:val="24"/>
        </w:rPr>
        <w:t xml:space="preserve"> </w:t>
      </w:r>
      <w:r w:rsidR="005A2958" w:rsidRPr="005A2958">
        <w:rPr>
          <w:rFonts w:ascii="Calibri" w:eastAsia="Times New Roman" w:hAnsi="Calibri" w:cs="Arial"/>
          <w:szCs w:val="24"/>
        </w:rPr>
        <w:t>versus</w:t>
      </w:r>
      <w:r w:rsidR="005A2958">
        <w:rPr>
          <w:rFonts w:ascii="Calibri" w:eastAsia="Times New Roman" w:hAnsi="Calibri" w:cs="Arial"/>
          <w:szCs w:val="24"/>
        </w:rPr>
        <w:t xml:space="preserve"> </w:t>
      </w:r>
      <w:r w:rsidR="00C029D6" w:rsidRPr="005A2958">
        <w:rPr>
          <w:rFonts w:ascii="Calibri" w:eastAsia="Times New Roman" w:hAnsi="Calibri" w:cs="Arial"/>
          <w:szCs w:val="24"/>
        </w:rPr>
        <w:t>cisplatin-based NAC followed by RC and post-surgery active surveillance (GC arm).</w:t>
      </w:r>
      <w:r w:rsidR="0068683C" w:rsidRPr="005A2958">
        <w:rPr>
          <w:snapToGrid w:val="0"/>
          <w:lang w:val="en-GB"/>
        </w:rPr>
        <w:t xml:space="preserve"> </w:t>
      </w:r>
      <w:r w:rsidR="00A16007">
        <w:rPr>
          <w:snapToGrid w:val="0"/>
          <w:lang w:val="en-GB"/>
        </w:rPr>
        <w:t xml:space="preserve">The PBAC noted that </w:t>
      </w:r>
      <w:r w:rsidR="00A16007" w:rsidRPr="004E055B">
        <w:rPr>
          <w:lang w:val="en-US"/>
        </w:rPr>
        <w:t>there was a</w:t>
      </w:r>
      <w:r w:rsidR="00A16007">
        <w:rPr>
          <w:lang w:val="en-US"/>
        </w:rPr>
        <w:t xml:space="preserve"> statistically significant reduction </w:t>
      </w:r>
      <w:r w:rsidR="00A16007" w:rsidRPr="004E055B">
        <w:rPr>
          <w:lang w:val="en-US"/>
        </w:rPr>
        <w:t xml:space="preserve">in the risk of an EFS event for patients in the durvalumab + GC </w:t>
      </w:r>
      <w:r w:rsidR="00F7609A">
        <w:rPr>
          <w:lang w:val="en-US"/>
        </w:rPr>
        <w:t xml:space="preserve">arm </w:t>
      </w:r>
      <w:r w:rsidR="00A16007" w:rsidRPr="004E055B">
        <w:rPr>
          <w:lang w:val="en-US"/>
        </w:rPr>
        <w:t>compared with</w:t>
      </w:r>
      <w:r w:rsidR="00F7609A">
        <w:rPr>
          <w:lang w:val="en-US"/>
        </w:rPr>
        <w:t xml:space="preserve"> the</w:t>
      </w:r>
      <w:r w:rsidR="00A16007" w:rsidRPr="004E055B">
        <w:rPr>
          <w:lang w:val="en-US"/>
        </w:rPr>
        <w:t xml:space="preserve"> GC</w:t>
      </w:r>
      <w:r w:rsidR="00F7609A">
        <w:rPr>
          <w:lang w:val="en-US"/>
        </w:rPr>
        <w:t xml:space="preserve"> arm</w:t>
      </w:r>
      <w:r w:rsidR="00A16007" w:rsidRPr="004E055B">
        <w:rPr>
          <w:lang w:val="en-US"/>
        </w:rPr>
        <w:t xml:space="preserve"> (</w:t>
      </w:r>
      <w:r w:rsidR="003102CF">
        <w:rPr>
          <w:lang w:val="en-US"/>
        </w:rPr>
        <w:t>hazard ratio [</w:t>
      </w:r>
      <w:r w:rsidR="00A16007" w:rsidRPr="004E055B">
        <w:rPr>
          <w:lang w:val="en-US"/>
        </w:rPr>
        <w:t>HR</w:t>
      </w:r>
      <w:r w:rsidR="003102CF">
        <w:rPr>
          <w:lang w:val="en-US"/>
        </w:rPr>
        <w:t>]</w:t>
      </w:r>
      <w:r w:rsidR="00A16007" w:rsidRPr="004E055B">
        <w:rPr>
          <w:lang w:val="en-US"/>
        </w:rPr>
        <w:t> 0.68</w:t>
      </w:r>
      <w:r w:rsidR="00057880">
        <w:rPr>
          <w:lang w:val="en-US"/>
        </w:rPr>
        <w:t>;</w:t>
      </w:r>
      <w:r w:rsidR="002C5849">
        <w:rPr>
          <w:lang w:val="en-US"/>
        </w:rPr>
        <w:t xml:space="preserve"> </w:t>
      </w:r>
      <w:r w:rsidR="00A16007" w:rsidRPr="004E055B">
        <w:rPr>
          <w:lang w:val="en-US"/>
        </w:rPr>
        <w:t xml:space="preserve">95% </w:t>
      </w:r>
      <w:r w:rsidR="002C5849">
        <w:rPr>
          <w:lang w:val="en-US"/>
        </w:rPr>
        <w:t>confidence interval [</w:t>
      </w:r>
      <w:r w:rsidR="00A16007" w:rsidRPr="004E055B">
        <w:rPr>
          <w:lang w:val="en-US"/>
        </w:rPr>
        <w:t>CI</w:t>
      </w:r>
      <w:r w:rsidR="002C5849">
        <w:rPr>
          <w:lang w:val="en-US"/>
        </w:rPr>
        <w:t>]</w:t>
      </w:r>
      <w:r w:rsidR="00A16007" w:rsidRPr="004E055B">
        <w:rPr>
          <w:lang w:val="en-US"/>
        </w:rPr>
        <w:t>: 0.5</w:t>
      </w:r>
      <w:r w:rsidR="002A50B2">
        <w:rPr>
          <w:lang w:val="en-US"/>
        </w:rPr>
        <w:t>6</w:t>
      </w:r>
      <w:r w:rsidR="00A16007" w:rsidRPr="004E055B">
        <w:rPr>
          <w:lang w:val="en-US"/>
        </w:rPr>
        <w:t>, 0.8</w:t>
      </w:r>
      <w:r w:rsidR="002A50B2">
        <w:rPr>
          <w:lang w:val="en-US"/>
        </w:rPr>
        <w:t>2</w:t>
      </w:r>
      <w:r w:rsidR="00A16007" w:rsidRPr="004E055B">
        <w:rPr>
          <w:lang w:val="en-US"/>
        </w:rPr>
        <w:t>, p &lt;0.0001).</w:t>
      </w:r>
      <w:r w:rsidR="00A207F5">
        <w:rPr>
          <w:lang w:val="en-US"/>
        </w:rPr>
        <w:t xml:space="preserve"> </w:t>
      </w:r>
      <w:r w:rsidR="00161F50" w:rsidRPr="001D7484">
        <w:rPr>
          <w:snapToGrid w:val="0"/>
          <w:lang w:val="en-GB" w:eastAsia="en-US"/>
        </w:rPr>
        <w:t>With respect to OS</w:t>
      </w:r>
      <w:r w:rsidR="00B36880">
        <w:rPr>
          <w:snapToGrid w:val="0"/>
          <w:lang w:val="en-GB" w:eastAsia="en-US"/>
        </w:rPr>
        <w:t>,</w:t>
      </w:r>
      <w:r w:rsidR="00161F50" w:rsidRPr="001D7484">
        <w:rPr>
          <w:snapToGrid w:val="0"/>
          <w:lang w:val="en-GB" w:eastAsia="en-US"/>
        </w:rPr>
        <w:t xml:space="preserve"> the PBAC noted that </w:t>
      </w:r>
      <w:r w:rsidR="00161F50" w:rsidRPr="0001210A">
        <w:t xml:space="preserve">the hazard of death </w:t>
      </w:r>
      <w:r w:rsidR="00161F50">
        <w:t xml:space="preserve">was reduced by </w:t>
      </w:r>
      <w:r w:rsidR="003D2EFE">
        <w:t>25</w:t>
      </w:r>
      <w:r w:rsidR="00161F50">
        <w:t>%</w:t>
      </w:r>
      <w:r w:rsidR="00161F50" w:rsidRPr="0001210A">
        <w:t xml:space="preserve"> (HR: 0.</w:t>
      </w:r>
      <w:r w:rsidR="002A50B2">
        <w:t>75</w:t>
      </w:r>
      <w:r w:rsidR="00161F50" w:rsidRPr="0001210A">
        <w:t>; 95% CI: 0.5</w:t>
      </w:r>
      <w:r w:rsidR="002A50B2">
        <w:t>9</w:t>
      </w:r>
      <w:r w:rsidR="00161F50" w:rsidRPr="0001210A">
        <w:t>, 0.9</w:t>
      </w:r>
      <w:r w:rsidR="002A50B2">
        <w:t>3</w:t>
      </w:r>
      <w:r w:rsidR="00161F50" w:rsidRPr="0001210A">
        <w:t>)</w:t>
      </w:r>
      <w:r w:rsidR="00161F50">
        <w:t>.</w:t>
      </w:r>
    </w:p>
    <w:p w14:paraId="3286A5B3" w14:textId="1071BF89" w:rsidR="00042E33" w:rsidRPr="005A2958" w:rsidRDefault="0016328C" w:rsidP="005A2958">
      <w:pPr>
        <w:pStyle w:val="3-BodyText"/>
        <w:rPr>
          <w:rFonts w:ascii="Calibri" w:eastAsia="Times New Roman" w:hAnsi="Calibri" w:cs="Arial"/>
          <w:szCs w:val="24"/>
        </w:rPr>
      </w:pPr>
      <w:r>
        <w:t>Overall, the</w:t>
      </w:r>
      <w:r w:rsidR="0068683C" w:rsidRPr="00F66A59">
        <w:t xml:space="preserve"> PBAC considered that the clinical claim of superior effectiv</w:t>
      </w:r>
      <w:r w:rsidR="0068683C">
        <w:t>e</w:t>
      </w:r>
      <w:r w:rsidR="0068683C" w:rsidRPr="00F66A59">
        <w:t xml:space="preserve">ness of perioperative durvalumab with NAC and RC versus NAC and RC with post-surgery active surveillance could be supported for the majority of patients </w:t>
      </w:r>
      <w:r w:rsidR="0068683C" w:rsidRPr="005A2958">
        <w:rPr>
          <w:rFonts w:eastAsia="Calibri"/>
          <w:iCs/>
        </w:rPr>
        <w:t xml:space="preserve">(i.e., those not at high risk of recurrence, which applies to over </w:t>
      </w:r>
      <w:r w:rsidR="0068683C" w:rsidRPr="000F4FEC">
        <w:rPr>
          <w:rFonts w:eastAsia="Calibri"/>
          <w:iCs/>
        </w:rPr>
        <w:t>70</w:t>
      </w:r>
      <w:r w:rsidR="0068683C" w:rsidRPr="005A2958">
        <w:rPr>
          <w:rFonts w:eastAsia="Calibri"/>
          <w:iCs/>
        </w:rPr>
        <w:t>% of patients) based on results from the NIAGARA trial</w:t>
      </w:r>
      <w:r w:rsidR="0068683C" w:rsidRPr="00F66A59">
        <w:t>.</w:t>
      </w:r>
      <w:r w:rsidR="00F72EDA">
        <w:t xml:space="preserve"> This was based on a statistically significant benefit </w:t>
      </w:r>
      <w:r w:rsidR="003F387E">
        <w:t xml:space="preserve">for patients </w:t>
      </w:r>
      <w:r w:rsidR="00BC6619">
        <w:t>receiving</w:t>
      </w:r>
      <w:r w:rsidR="003F387E">
        <w:t xml:space="preserve"> perioperative durvalumab with respect to EFS and OS.</w:t>
      </w:r>
    </w:p>
    <w:p w14:paraId="52775FF4" w14:textId="18363229" w:rsidR="00F66A59" w:rsidRPr="0068683C" w:rsidRDefault="00481BED" w:rsidP="0068683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w:t>
      </w:r>
      <w:r w:rsidR="00DB1684">
        <w:rPr>
          <w:rFonts w:asciiTheme="minorHAnsi" w:hAnsiTheme="minorHAnsi"/>
          <w:snapToGrid w:val="0"/>
          <w:lang w:val="en-GB"/>
        </w:rPr>
        <w:t>applicability</w:t>
      </w:r>
      <w:r>
        <w:rPr>
          <w:rFonts w:asciiTheme="minorHAnsi" w:hAnsiTheme="minorHAnsi"/>
          <w:snapToGrid w:val="0"/>
          <w:lang w:val="en-GB"/>
        </w:rPr>
        <w:t xml:space="preserve"> of the </w:t>
      </w:r>
      <w:r w:rsidR="00AE6AC0">
        <w:rPr>
          <w:rFonts w:asciiTheme="minorHAnsi" w:hAnsiTheme="minorHAnsi"/>
          <w:snapToGrid w:val="0"/>
          <w:lang w:val="en-GB"/>
        </w:rPr>
        <w:t>NIAGARA</w:t>
      </w:r>
      <w:r w:rsidR="0000014A">
        <w:rPr>
          <w:rFonts w:asciiTheme="minorHAnsi" w:hAnsiTheme="minorHAnsi"/>
          <w:snapToGrid w:val="0"/>
          <w:lang w:val="en-GB"/>
        </w:rPr>
        <w:t xml:space="preserve"> trial data to the</w:t>
      </w:r>
      <w:r w:rsidR="00B62687">
        <w:rPr>
          <w:rFonts w:asciiTheme="minorHAnsi" w:hAnsiTheme="minorHAnsi"/>
          <w:snapToGrid w:val="0"/>
          <w:lang w:val="en-GB"/>
        </w:rPr>
        <w:t xml:space="preserve"> Australian</w:t>
      </w:r>
      <w:r w:rsidR="0000014A">
        <w:rPr>
          <w:rFonts w:asciiTheme="minorHAnsi" w:hAnsiTheme="minorHAnsi"/>
          <w:snapToGrid w:val="0"/>
          <w:lang w:val="en-GB"/>
        </w:rPr>
        <w:t xml:space="preserve"> patient </w:t>
      </w:r>
      <w:r>
        <w:rPr>
          <w:rFonts w:asciiTheme="minorHAnsi" w:hAnsiTheme="minorHAnsi"/>
          <w:snapToGrid w:val="0"/>
          <w:lang w:val="en-GB"/>
        </w:rPr>
        <w:t>population</w:t>
      </w:r>
      <w:r w:rsidR="0000014A">
        <w:rPr>
          <w:rFonts w:asciiTheme="minorHAnsi" w:hAnsiTheme="minorHAnsi"/>
          <w:snapToGrid w:val="0"/>
          <w:lang w:val="en-GB"/>
        </w:rPr>
        <w:t xml:space="preserve">, the PBAC </w:t>
      </w:r>
      <w:r w:rsidR="002E59F6">
        <w:rPr>
          <w:rFonts w:asciiTheme="minorHAnsi" w:hAnsiTheme="minorHAnsi"/>
          <w:snapToGrid w:val="0"/>
          <w:lang w:val="en-GB"/>
        </w:rPr>
        <w:t>observed</w:t>
      </w:r>
      <w:r w:rsidR="0000014A">
        <w:rPr>
          <w:rFonts w:asciiTheme="minorHAnsi" w:hAnsiTheme="minorHAnsi"/>
          <w:snapToGrid w:val="0"/>
          <w:lang w:val="en-GB"/>
        </w:rPr>
        <w:t xml:space="preserve"> that </w:t>
      </w:r>
      <w:r w:rsidR="006350C3">
        <w:rPr>
          <w:rFonts w:asciiTheme="minorHAnsi" w:hAnsiTheme="minorHAnsi"/>
          <w:snapToGrid w:val="0"/>
          <w:lang w:val="en-GB"/>
        </w:rPr>
        <w:t>while the durvalumab</w:t>
      </w:r>
      <w:r w:rsidR="005220A9">
        <w:rPr>
          <w:rFonts w:asciiTheme="minorHAnsi" w:hAnsiTheme="minorHAnsi"/>
          <w:snapToGrid w:val="0"/>
          <w:lang w:val="en-GB"/>
        </w:rPr>
        <w:t xml:space="preserve"> intervention</w:t>
      </w:r>
      <w:r w:rsidR="006350C3">
        <w:rPr>
          <w:rFonts w:asciiTheme="minorHAnsi" w:hAnsiTheme="minorHAnsi"/>
          <w:snapToGrid w:val="0"/>
          <w:lang w:val="en-GB"/>
        </w:rPr>
        <w:t xml:space="preserve"> </w:t>
      </w:r>
      <w:r w:rsidR="00882157">
        <w:rPr>
          <w:rFonts w:asciiTheme="minorHAnsi" w:hAnsiTheme="minorHAnsi"/>
          <w:snapToGrid w:val="0"/>
          <w:lang w:val="en-GB"/>
        </w:rPr>
        <w:t>arm represents the</w:t>
      </w:r>
      <w:r w:rsidR="007136FD">
        <w:rPr>
          <w:rFonts w:asciiTheme="minorHAnsi" w:hAnsiTheme="minorHAnsi"/>
          <w:snapToGrid w:val="0"/>
          <w:lang w:val="en-GB"/>
        </w:rPr>
        <w:t xml:space="preserve"> MIBC</w:t>
      </w:r>
      <w:r w:rsidR="00882157">
        <w:rPr>
          <w:rFonts w:asciiTheme="minorHAnsi" w:hAnsiTheme="minorHAnsi"/>
          <w:snapToGrid w:val="0"/>
          <w:lang w:val="en-GB"/>
        </w:rPr>
        <w:t xml:space="preserve"> patient population </w:t>
      </w:r>
      <w:r w:rsidR="007136FD">
        <w:rPr>
          <w:rFonts w:asciiTheme="minorHAnsi" w:hAnsiTheme="minorHAnsi"/>
          <w:snapToGrid w:val="0"/>
          <w:lang w:val="en-GB"/>
        </w:rPr>
        <w:t>described by the</w:t>
      </w:r>
      <w:r w:rsidR="00882157">
        <w:rPr>
          <w:rFonts w:asciiTheme="minorHAnsi" w:hAnsiTheme="minorHAnsi"/>
          <w:snapToGrid w:val="0"/>
          <w:lang w:val="en-GB"/>
        </w:rPr>
        <w:t xml:space="preserve"> requested restriction, </w:t>
      </w:r>
      <w:r w:rsidR="00882157" w:rsidRPr="00EB5D93">
        <w:rPr>
          <w:rFonts w:asciiTheme="minorHAnsi" w:hAnsiTheme="minorHAnsi"/>
          <w:snapToGrid w:val="0"/>
          <w:lang w:val="en-GB"/>
        </w:rPr>
        <w:t xml:space="preserve">the </w:t>
      </w:r>
      <w:r w:rsidR="004941AE">
        <w:rPr>
          <w:rFonts w:eastAsia="Calibri"/>
        </w:rPr>
        <w:t>pat</w:t>
      </w:r>
      <w:r w:rsidR="005C5019">
        <w:rPr>
          <w:rFonts w:eastAsia="Calibri"/>
        </w:rPr>
        <w:t>ients at</w:t>
      </w:r>
      <w:r w:rsidR="00496A32" w:rsidRPr="00EB5D93">
        <w:rPr>
          <w:rFonts w:eastAsia="Calibri"/>
        </w:rPr>
        <w:t xml:space="preserve"> high risk</w:t>
      </w:r>
      <w:r w:rsidR="005C5019">
        <w:rPr>
          <w:rFonts w:eastAsia="Calibri"/>
        </w:rPr>
        <w:t xml:space="preserve"> of recurrence</w:t>
      </w:r>
      <w:r w:rsidR="007E2F07">
        <w:rPr>
          <w:rFonts w:eastAsia="Calibri"/>
        </w:rPr>
        <w:t xml:space="preserve"> in the SoC control arm</w:t>
      </w:r>
      <w:r w:rsidR="00496A32" w:rsidRPr="00EB5D93">
        <w:rPr>
          <w:rFonts w:eastAsia="Calibri"/>
        </w:rPr>
        <w:t xml:space="preserve"> did not receive</w:t>
      </w:r>
      <w:r w:rsidR="007E2F07">
        <w:rPr>
          <w:rFonts w:eastAsia="Calibri"/>
        </w:rPr>
        <w:t xml:space="preserve"> adjuvant</w:t>
      </w:r>
      <w:r w:rsidR="00496A32" w:rsidRPr="00EB5D93">
        <w:rPr>
          <w:rFonts w:eastAsia="Calibri"/>
        </w:rPr>
        <w:t xml:space="preserve"> nivolumab</w:t>
      </w:r>
      <w:r w:rsidR="0071075E">
        <w:rPr>
          <w:rFonts w:eastAsia="Calibri"/>
        </w:rPr>
        <w:t xml:space="preserve"> as would occur in Australia</w:t>
      </w:r>
      <w:r w:rsidR="001138F0" w:rsidRPr="00EB5D93">
        <w:rPr>
          <w:rFonts w:eastAsia="Calibri"/>
        </w:rPr>
        <w:t>. Thus</w:t>
      </w:r>
      <w:r w:rsidR="00317D67">
        <w:rPr>
          <w:rFonts w:eastAsia="Calibri"/>
        </w:rPr>
        <w:t>,</w:t>
      </w:r>
      <w:r w:rsidR="00EB5D93" w:rsidRPr="00EB5D93">
        <w:rPr>
          <w:rFonts w:eastAsia="Calibri"/>
        </w:rPr>
        <w:t xml:space="preserve"> the comparator arm likely underperformed current clinical practice</w:t>
      </w:r>
      <w:r w:rsidR="00496A32" w:rsidRPr="00EB5D93">
        <w:rPr>
          <w:rFonts w:eastAsia="Calibri"/>
        </w:rPr>
        <w:t xml:space="preserve"> and the benefit of perioperative durvalumab may be overestimated.</w:t>
      </w:r>
      <w:r w:rsidR="00500348">
        <w:rPr>
          <w:rFonts w:asciiTheme="minorHAnsi" w:hAnsiTheme="minorHAnsi"/>
          <w:snapToGrid w:val="0"/>
          <w:lang w:val="en-GB"/>
        </w:rPr>
        <w:t xml:space="preserve"> </w:t>
      </w:r>
      <w:r w:rsidR="003C12C3">
        <w:rPr>
          <w:rFonts w:asciiTheme="minorHAnsi" w:hAnsiTheme="minorHAnsi"/>
          <w:snapToGrid w:val="0"/>
          <w:lang w:val="en-GB"/>
        </w:rPr>
        <w:t>T</w:t>
      </w:r>
      <w:r w:rsidR="00116EF7">
        <w:rPr>
          <w:rFonts w:asciiTheme="minorHAnsi" w:hAnsiTheme="minorHAnsi"/>
          <w:snapToGrid w:val="0"/>
          <w:lang w:val="en-GB"/>
        </w:rPr>
        <w:t xml:space="preserve">he PBAC </w:t>
      </w:r>
      <w:r w:rsidR="008D62A1">
        <w:rPr>
          <w:rFonts w:asciiTheme="minorHAnsi" w:hAnsiTheme="minorHAnsi"/>
          <w:snapToGrid w:val="0"/>
          <w:lang w:val="en-GB"/>
        </w:rPr>
        <w:t>considered</w:t>
      </w:r>
      <w:r w:rsidR="00116EF7">
        <w:rPr>
          <w:rFonts w:asciiTheme="minorHAnsi" w:hAnsiTheme="minorHAnsi"/>
          <w:snapToGrid w:val="0"/>
          <w:lang w:val="en-GB"/>
        </w:rPr>
        <w:t xml:space="preserve"> that </w:t>
      </w:r>
      <w:r w:rsidR="00F7675B">
        <w:rPr>
          <w:rFonts w:asciiTheme="minorHAnsi" w:hAnsiTheme="minorHAnsi"/>
          <w:snapToGrid w:val="0"/>
          <w:lang w:val="en-GB"/>
        </w:rPr>
        <w:t>performing an ITC</w:t>
      </w:r>
      <w:r w:rsidR="000B1637">
        <w:rPr>
          <w:rFonts w:asciiTheme="minorHAnsi" w:hAnsiTheme="minorHAnsi"/>
          <w:snapToGrid w:val="0"/>
          <w:lang w:val="en-GB"/>
        </w:rPr>
        <w:t xml:space="preserve"> to account for the</w:t>
      </w:r>
      <w:r w:rsidR="00C813B9">
        <w:rPr>
          <w:rFonts w:asciiTheme="minorHAnsi" w:hAnsiTheme="minorHAnsi"/>
          <w:snapToGrid w:val="0"/>
          <w:lang w:val="en-GB"/>
        </w:rPr>
        <w:t xml:space="preserve"> estimated</w:t>
      </w:r>
      <w:r w:rsidR="000B1637">
        <w:rPr>
          <w:rFonts w:asciiTheme="minorHAnsi" w:hAnsiTheme="minorHAnsi"/>
          <w:snapToGrid w:val="0"/>
          <w:lang w:val="en-GB"/>
        </w:rPr>
        <w:t xml:space="preserve"> 27.6% of patients </w:t>
      </w:r>
      <w:r w:rsidR="002B74C1">
        <w:rPr>
          <w:rFonts w:asciiTheme="minorHAnsi" w:hAnsiTheme="minorHAnsi"/>
          <w:snapToGrid w:val="0"/>
          <w:lang w:val="en-GB"/>
        </w:rPr>
        <w:t>who would be at</w:t>
      </w:r>
      <w:r w:rsidR="000B1637">
        <w:rPr>
          <w:rFonts w:asciiTheme="minorHAnsi" w:hAnsiTheme="minorHAnsi"/>
          <w:snapToGrid w:val="0"/>
          <w:lang w:val="en-GB"/>
        </w:rPr>
        <w:t xml:space="preserve"> high risk of recurrence</w:t>
      </w:r>
      <w:r w:rsidR="00317D67">
        <w:rPr>
          <w:rFonts w:asciiTheme="minorHAnsi" w:hAnsiTheme="minorHAnsi"/>
          <w:snapToGrid w:val="0"/>
          <w:lang w:val="en-GB"/>
        </w:rPr>
        <w:t xml:space="preserve"> was </w:t>
      </w:r>
      <w:r w:rsidR="00263C41">
        <w:rPr>
          <w:rFonts w:asciiTheme="minorHAnsi" w:hAnsiTheme="minorHAnsi"/>
          <w:snapToGrid w:val="0"/>
          <w:lang w:val="en-GB"/>
        </w:rPr>
        <w:t xml:space="preserve">an </w:t>
      </w:r>
      <w:r w:rsidR="00317D67">
        <w:rPr>
          <w:rFonts w:asciiTheme="minorHAnsi" w:hAnsiTheme="minorHAnsi"/>
          <w:snapToGrid w:val="0"/>
          <w:lang w:val="en-GB"/>
        </w:rPr>
        <w:t>acceptable</w:t>
      </w:r>
      <w:r w:rsidR="00263C41">
        <w:rPr>
          <w:rFonts w:asciiTheme="minorHAnsi" w:hAnsiTheme="minorHAnsi"/>
          <w:snapToGrid w:val="0"/>
          <w:lang w:val="en-GB"/>
        </w:rPr>
        <w:t xml:space="preserve"> approach albeit </w:t>
      </w:r>
      <w:r w:rsidR="00657FA9">
        <w:rPr>
          <w:rFonts w:asciiTheme="minorHAnsi" w:hAnsiTheme="minorHAnsi"/>
          <w:snapToGrid w:val="0"/>
          <w:lang w:val="en-GB"/>
        </w:rPr>
        <w:t>with</w:t>
      </w:r>
      <w:r w:rsidR="00331330">
        <w:rPr>
          <w:rFonts w:asciiTheme="minorHAnsi" w:hAnsiTheme="minorHAnsi"/>
          <w:snapToGrid w:val="0"/>
          <w:lang w:val="en-GB"/>
        </w:rPr>
        <w:t xml:space="preserve"> challenges that compromised the</w:t>
      </w:r>
      <w:r w:rsidR="00C65EB3">
        <w:rPr>
          <w:rFonts w:asciiTheme="minorHAnsi" w:hAnsiTheme="minorHAnsi"/>
          <w:snapToGrid w:val="0"/>
          <w:lang w:val="en-GB"/>
        </w:rPr>
        <w:t xml:space="preserve"> reliability of the</w:t>
      </w:r>
      <w:r w:rsidR="00331330">
        <w:rPr>
          <w:rFonts w:asciiTheme="minorHAnsi" w:hAnsiTheme="minorHAnsi"/>
          <w:snapToGrid w:val="0"/>
          <w:lang w:val="en-GB"/>
        </w:rPr>
        <w:t xml:space="preserve"> </w:t>
      </w:r>
      <w:r w:rsidR="00C65EB3">
        <w:rPr>
          <w:rFonts w:asciiTheme="minorHAnsi" w:hAnsiTheme="minorHAnsi"/>
          <w:snapToGrid w:val="0"/>
          <w:lang w:val="en-GB"/>
        </w:rPr>
        <w:t>outcomes</w:t>
      </w:r>
      <w:r w:rsidR="00E04B3B">
        <w:rPr>
          <w:rFonts w:asciiTheme="minorHAnsi" w:hAnsiTheme="minorHAnsi"/>
          <w:snapToGrid w:val="0"/>
          <w:lang w:val="en-GB"/>
        </w:rPr>
        <w:t>.</w:t>
      </w:r>
    </w:p>
    <w:p w14:paraId="02D4171E" w14:textId="27D0C59E" w:rsidR="00416D85" w:rsidRPr="00416D85" w:rsidRDefault="00DC39D8" w:rsidP="00F25A43">
      <w:pPr>
        <w:pStyle w:val="3-BodyText"/>
      </w:pPr>
      <w:r>
        <w:t xml:space="preserve">The PBAC noted the complexity of performing the ITC </w:t>
      </w:r>
      <w:r w:rsidR="00E06B16">
        <w:t xml:space="preserve">using subgroups from the NIAGARA and CM274 trials </w:t>
      </w:r>
      <w:r w:rsidR="00985321">
        <w:t xml:space="preserve">to construct a </w:t>
      </w:r>
      <w:r w:rsidR="00985321" w:rsidRPr="005251D5">
        <w:rPr>
          <w:rFonts w:eastAsia="Calibri"/>
        </w:rPr>
        <w:t>‘counterfactual</w:t>
      </w:r>
      <w:r w:rsidR="00985321">
        <w:rPr>
          <w:rFonts w:eastAsia="Calibri"/>
        </w:rPr>
        <w:t>’</w:t>
      </w:r>
      <w:r w:rsidR="00985321" w:rsidRPr="005251D5">
        <w:rPr>
          <w:rFonts w:eastAsia="Calibri"/>
        </w:rPr>
        <w:t xml:space="preserve"> survival time for the control arm of the NIAGARA trial</w:t>
      </w:r>
      <w:r w:rsidR="00EB7D0E">
        <w:rPr>
          <w:rFonts w:eastAsia="Calibri"/>
        </w:rPr>
        <w:t xml:space="preserve">, in order to accommodate the </w:t>
      </w:r>
      <w:r w:rsidR="00EB7D0E" w:rsidRPr="000F4FEC">
        <w:rPr>
          <w:rFonts w:eastAsia="Calibri"/>
        </w:rPr>
        <w:t>27.6</w:t>
      </w:r>
      <w:r w:rsidR="00EB7D0E">
        <w:rPr>
          <w:rFonts w:eastAsia="Calibri"/>
        </w:rPr>
        <w:t>% of patients at high risk of recurrence into the SoC arm</w:t>
      </w:r>
      <w:r w:rsidR="00985321">
        <w:rPr>
          <w:rFonts w:eastAsia="Calibri"/>
        </w:rPr>
        <w:t xml:space="preserve">. </w:t>
      </w:r>
      <w:r w:rsidR="0035534F">
        <w:rPr>
          <w:rFonts w:eastAsia="Calibri"/>
        </w:rPr>
        <w:t>The PBAC a</w:t>
      </w:r>
      <w:r w:rsidR="000A4781">
        <w:rPr>
          <w:rFonts w:eastAsia="Calibri"/>
        </w:rPr>
        <w:t xml:space="preserve">cknowledged that the </w:t>
      </w:r>
      <w:r w:rsidR="000A4781">
        <w:rPr>
          <w:rFonts w:eastAsia="Calibri"/>
          <w:iCs/>
        </w:rPr>
        <w:t>data matching performed by the submission ameliorated the differences across the trials with respect to</w:t>
      </w:r>
      <w:r w:rsidR="004945A6">
        <w:rPr>
          <w:rFonts w:eastAsia="Calibri"/>
          <w:iCs/>
        </w:rPr>
        <w:t>:</w:t>
      </w:r>
      <w:r w:rsidR="000A4781">
        <w:rPr>
          <w:rFonts w:eastAsia="Calibri"/>
          <w:iCs/>
        </w:rPr>
        <w:t xml:space="preserve"> </w:t>
      </w:r>
      <w:r w:rsidR="004945A6">
        <w:rPr>
          <w:rFonts w:eastAsia="Calibri"/>
          <w:iCs/>
        </w:rPr>
        <w:t xml:space="preserve">(i) </w:t>
      </w:r>
      <w:r w:rsidR="000023BD" w:rsidRPr="004B2F3E">
        <w:rPr>
          <w:rFonts w:eastAsia="Calibri"/>
          <w:iCs/>
        </w:rPr>
        <w:t>pathological high</w:t>
      </w:r>
      <w:r w:rsidR="000023BD" w:rsidRPr="004B2F3E">
        <w:rPr>
          <w:rFonts w:eastAsia="Calibri"/>
          <w:iCs/>
        </w:rPr>
        <w:noBreakHyphen/>
        <w:t xml:space="preserve">risk status at the adjuvant baseline, </w:t>
      </w:r>
      <w:r w:rsidR="004945A6">
        <w:rPr>
          <w:rFonts w:eastAsia="Calibri"/>
          <w:iCs/>
        </w:rPr>
        <w:t xml:space="preserve">(ii) </w:t>
      </w:r>
      <w:r w:rsidR="000023BD" w:rsidRPr="004B2F3E">
        <w:rPr>
          <w:rFonts w:eastAsia="Calibri"/>
          <w:iCs/>
        </w:rPr>
        <w:t>restricting efficacy inputs to CM274’s prior</w:t>
      </w:r>
      <w:r w:rsidR="000023BD" w:rsidRPr="004B2F3E">
        <w:rPr>
          <w:rFonts w:eastAsia="Calibri"/>
          <w:iCs/>
        </w:rPr>
        <w:noBreakHyphen/>
        <w:t xml:space="preserve">NAC subgroup, </w:t>
      </w:r>
      <w:r w:rsidR="004945A6">
        <w:rPr>
          <w:rFonts w:eastAsia="Calibri"/>
          <w:iCs/>
        </w:rPr>
        <w:t xml:space="preserve">(iii) </w:t>
      </w:r>
      <w:r w:rsidR="000023BD" w:rsidRPr="004B2F3E">
        <w:rPr>
          <w:rFonts w:eastAsia="Calibri"/>
          <w:iCs/>
        </w:rPr>
        <w:t>applying the nivolumab benefit only to patients that meet the eligibility criteria</w:t>
      </w:r>
      <w:r w:rsidR="000023BD">
        <w:rPr>
          <w:rFonts w:eastAsia="Calibri"/>
          <w:iCs/>
        </w:rPr>
        <w:t xml:space="preserve"> for high risk of recurrence</w:t>
      </w:r>
      <w:r w:rsidR="000023BD" w:rsidRPr="004B2F3E">
        <w:rPr>
          <w:rFonts w:eastAsia="Calibri"/>
          <w:iCs/>
        </w:rPr>
        <w:t xml:space="preserve">, and </w:t>
      </w:r>
      <w:r w:rsidR="004945A6">
        <w:rPr>
          <w:rFonts w:eastAsia="Calibri"/>
          <w:iCs/>
        </w:rPr>
        <w:t>(iv) </w:t>
      </w:r>
      <w:r w:rsidR="000023BD" w:rsidRPr="004B2F3E">
        <w:rPr>
          <w:rFonts w:eastAsia="Calibri"/>
          <w:iCs/>
        </w:rPr>
        <w:t>reflecting the interchangeability of the EFS/DFS definitions post-surgery</w:t>
      </w:r>
      <w:r w:rsidR="00B456CA">
        <w:rPr>
          <w:rFonts w:eastAsia="Calibri"/>
          <w:iCs/>
        </w:rPr>
        <w:t>. It also acknowledged that</w:t>
      </w:r>
      <w:r w:rsidR="00CA6957">
        <w:rPr>
          <w:rFonts w:eastAsia="Calibri"/>
          <w:iCs/>
        </w:rPr>
        <w:t xml:space="preserve"> </w:t>
      </w:r>
      <w:r w:rsidR="00CA6957" w:rsidRPr="00FD732D">
        <w:rPr>
          <w:rFonts w:eastAsia="Calibri"/>
          <w:iCs/>
        </w:rPr>
        <w:t xml:space="preserve">perioperative durvalumab is the first immunotherapy to achieve a </w:t>
      </w:r>
      <w:r w:rsidR="00CA6957" w:rsidRPr="00FD732D">
        <w:rPr>
          <w:rFonts w:eastAsia="Calibri"/>
          <w:iCs/>
        </w:rPr>
        <w:lastRenderedPageBreak/>
        <w:t>statistically significant and clinically meaningful OS benefit in the curative treatment setting for cisplatin-eligible MIBC, noting that the PBAC recommendation for adjuvant nivolumab was based on a subgroup analysis</w:t>
      </w:r>
      <w:r w:rsidR="004945A6">
        <w:rPr>
          <w:rFonts w:eastAsia="Calibri"/>
          <w:iCs/>
        </w:rPr>
        <w:t>.</w:t>
      </w:r>
      <w:r w:rsidR="00146B93">
        <w:rPr>
          <w:rFonts w:eastAsia="Calibri"/>
          <w:iCs/>
        </w:rPr>
        <w:t xml:space="preserve"> </w:t>
      </w:r>
      <w:r w:rsidR="00C96950">
        <w:rPr>
          <w:rFonts w:eastAsia="Calibri"/>
          <w:iCs/>
        </w:rPr>
        <w:t>However, the PBAC</w:t>
      </w:r>
      <w:r w:rsidR="00A05FF9">
        <w:rPr>
          <w:rFonts w:eastAsia="Calibri"/>
          <w:iCs/>
        </w:rPr>
        <w:t xml:space="preserve"> considered that the ITC method could not </w:t>
      </w:r>
      <w:r w:rsidR="001876EF">
        <w:rPr>
          <w:rFonts w:eastAsia="Calibri"/>
          <w:iCs/>
        </w:rPr>
        <w:t>r</w:t>
      </w:r>
      <w:r w:rsidR="00A05FF9">
        <w:rPr>
          <w:rFonts w:eastAsia="Calibri"/>
          <w:iCs/>
        </w:rPr>
        <w:t xml:space="preserve">obustly demonstrate the comparative benefit of perioperative durvalumab </w:t>
      </w:r>
      <w:r w:rsidR="003929B3">
        <w:rPr>
          <w:rFonts w:eastAsia="Calibri"/>
          <w:iCs/>
        </w:rPr>
        <w:t>to support superiority in patients who might otherwise receive adjuvant nivolumab.</w:t>
      </w:r>
    </w:p>
    <w:p w14:paraId="4DBE4D89" w14:textId="6CCB768B" w:rsidR="00A64CDA" w:rsidRPr="0051793F" w:rsidRDefault="001F3B84" w:rsidP="0051793F">
      <w:pPr>
        <w:pStyle w:val="3-BodyText"/>
      </w:pPr>
      <w:r>
        <w:rPr>
          <w:rFonts w:eastAsia="Calibri"/>
          <w:iCs/>
        </w:rPr>
        <w:t>Despite its reservations about the ITC</w:t>
      </w:r>
      <w:r w:rsidR="008B75B5">
        <w:rPr>
          <w:rFonts w:eastAsia="Calibri"/>
          <w:iCs/>
        </w:rPr>
        <w:t>,</w:t>
      </w:r>
      <w:r w:rsidR="00E96507">
        <w:rPr>
          <w:rFonts w:eastAsia="Calibri"/>
          <w:iCs/>
        </w:rPr>
        <w:t xml:space="preserve"> </w:t>
      </w:r>
      <w:r w:rsidR="0020684B">
        <w:rPr>
          <w:rFonts w:eastAsia="Calibri"/>
          <w:iCs/>
        </w:rPr>
        <w:t>the PBAC considered that</w:t>
      </w:r>
      <w:r w:rsidR="0083658D">
        <w:rPr>
          <w:rFonts w:eastAsia="Calibri"/>
          <w:iCs/>
        </w:rPr>
        <w:t>, on balance,</w:t>
      </w:r>
      <w:r w:rsidR="0020684B">
        <w:rPr>
          <w:rFonts w:eastAsia="Calibri"/>
          <w:iCs/>
        </w:rPr>
        <w:t xml:space="preserve"> t</w:t>
      </w:r>
      <w:r w:rsidR="0020684B" w:rsidRPr="0020684B">
        <w:rPr>
          <w:rFonts w:eastAsia="Calibri"/>
          <w:iCs/>
        </w:rPr>
        <w:t xml:space="preserve">he evidence base for </w:t>
      </w:r>
      <w:r w:rsidR="0020684B">
        <w:rPr>
          <w:rFonts w:eastAsia="Calibri"/>
          <w:iCs/>
        </w:rPr>
        <w:t>perioperative durvalu</w:t>
      </w:r>
      <w:r w:rsidR="00B33689">
        <w:rPr>
          <w:rFonts w:eastAsia="Calibri"/>
          <w:iCs/>
        </w:rPr>
        <w:t>mab</w:t>
      </w:r>
      <w:r w:rsidR="0020684B" w:rsidRPr="0020684B">
        <w:rPr>
          <w:rFonts w:eastAsia="Calibri"/>
          <w:iCs/>
        </w:rPr>
        <w:t xml:space="preserve"> </w:t>
      </w:r>
      <w:r w:rsidR="000B6926">
        <w:rPr>
          <w:rFonts w:eastAsia="Calibri"/>
          <w:iCs/>
        </w:rPr>
        <w:t>supports that it</w:t>
      </w:r>
      <w:r w:rsidR="000A648D">
        <w:rPr>
          <w:rFonts w:eastAsia="Calibri"/>
          <w:iCs/>
        </w:rPr>
        <w:t xml:space="preserve"> </w:t>
      </w:r>
      <w:r w:rsidR="007C20F3">
        <w:rPr>
          <w:rFonts w:eastAsia="Calibri"/>
          <w:iCs/>
        </w:rPr>
        <w:t>is likely</w:t>
      </w:r>
      <w:r w:rsidR="0020684B" w:rsidRPr="0020684B">
        <w:rPr>
          <w:rFonts w:eastAsia="Calibri"/>
          <w:iCs/>
        </w:rPr>
        <w:t xml:space="preserve"> superior to SoC</w:t>
      </w:r>
      <w:r w:rsidR="0091158D">
        <w:rPr>
          <w:rFonts w:eastAsia="Calibri"/>
          <w:iCs/>
        </w:rPr>
        <w:t xml:space="preserve"> </w:t>
      </w:r>
      <w:r w:rsidR="008C2FB5">
        <w:rPr>
          <w:rFonts w:eastAsia="Calibri"/>
          <w:iCs/>
        </w:rPr>
        <w:t>(</w:t>
      </w:r>
      <w:r w:rsidR="0091158D">
        <w:rPr>
          <w:rFonts w:eastAsia="Calibri"/>
          <w:iCs/>
        </w:rPr>
        <w:t xml:space="preserve">as defined by the </w:t>
      </w:r>
      <w:r w:rsidR="005177D8">
        <w:rPr>
          <w:rFonts w:eastAsia="Calibri"/>
          <w:iCs/>
        </w:rPr>
        <w:t>mixed</w:t>
      </w:r>
      <w:r w:rsidR="0091158D">
        <w:rPr>
          <w:rFonts w:eastAsia="Calibri"/>
          <w:iCs/>
        </w:rPr>
        <w:t xml:space="preserve"> comparator</w:t>
      </w:r>
      <w:r w:rsidR="000811E4">
        <w:rPr>
          <w:rFonts w:eastAsia="Calibri"/>
          <w:iCs/>
        </w:rPr>
        <w:t xml:space="preserve"> </w:t>
      </w:r>
      <w:r w:rsidR="000811E4" w:rsidRPr="00354762">
        <w:rPr>
          <w:rFonts w:eastAsia="Calibri"/>
          <w:iCs/>
        </w:rPr>
        <w:t>described</w:t>
      </w:r>
      <w:r w:rsidR="0091158D" w:rsidRPr="00354762">
        <w:rPr>
          <w:rFonts w:eastAsia="Calibri"/>
          <w:iCs/>
        </w:rPr>
        <w:t xml:space="preserve"> in </w:t>
      </w:r>
      <w:r w:rsidR="008C2FB5" w:rsidRPr="00354762">
        <w:rPr>
          <w:rFonts w:eastAsia="Calibri"/>
          <w:iCs/>
        </w:rPr>
        <w:t xml:space="preserve">paragraph </w:t>
      </w:r>
      <w:r w:rsidR="008C2FB5" w:rsidRPr="00354762">
        <w:rPr>
          <w:rFonts w:eastAsia="Calibri"/>
          <w:iCs/>
        </w:rPr>
        <w:fldChar w:fldCharType="begin"/>
      </w:r>
      <w:r w:rsidR="008C2FB5" w:rsidRPr="00354762">
        <w:rPr>
          <w:rFonts w:eastAsia="Calibri"/>
          <w:iCs/>
        </w:rPr>
        <w:instrText xml:space="preserve"> REF _Ref214380180 \r \h  \* MERGEFORMAT </w:instrText>
      </w:r>
      <w:r w:rsidR="008C2FB5" w:rsidRPr="00354762">
        <w:rPr>
          <w:rFonts w:eastAsia="Calibri"/>
          <w:iCs/>
        </w:rPr>
      </w:r>
      <w:r w:rsidR="008C2FB5" w:rsidRPr="00354762">
        <w:rPr>
          <w:rFonts w:eastAsia="Calibri"/>
          <w:iCs/>
        </w:rPr>
        <w:fldChar w:fldCharType="separate"/>
      </w:r>
      <w:r w:rsidR="005731FF">
        <w:rPr>
          <w:rFonts w:eastAsia="Calibri"/>
          <w:iCs/>
        </w:rPr>
        <w:t>7.4</w:t>
      </w:r>
      <w:r w:rsidR="008C2FB5" w:rsidRPr="00354762">
        <w:rPr>
          <w:rFonts w:eastAsia="Calibri"/>
          <w:iCs/>
        </w:rPr>
        <w:fldChar w:fldCharType="end"/>
      </w:r>
      <w:r w:rsidR="008C2FB5" w:rsidRPr="00354762">
        <w:rPr>
          <w:rFonts w:eastAsia="Calibri"/>
          <w:iCs/>
        </w:rPr>
        <w:t>)</w:t>
      </w:r>
      <w:r w:rsidR="00837DC8" w:rsidRPr="00354762">
        <w:rPr>
          <w:rFonts w:eastAsia="Calibri"/>
          <w:iCs/>
        </w:rPr>
        <w:t>,</w:t>
      </w:r>
      <w:r w:rsidR="00837DC8">
        <w:rPr>
          <w:rFonts w:eastAsia="Calibri"/>
          <w:iCs/>
        </w:rPr>
        <w:t xml:space="preserve"> although the magnitude</w:t>
      </w:r>
      <w:r w:rsidR="0094067C">
        <w:rPr>
          <w:rFonts w:eastAsia="Calibri"/>
          <w:iCs/>
        </w:rPr>
        <w:t xml:space="preserve"> of effect</w:t>
      </w:r>
      <w:r w:rsidR="00837DC8">
        <w:rPr>
          <w:rFonts w:eastAsia="Calibri"/>
          <w:iCs/>
        </w:rPr>
        <w:t xml:space="preserve"> is uncertain</w:t>
      </w:r>
      <w:r w:rsidR="00B33689">
        <w:rPr>
          <w:rFonts w:eastAsia="Calibri"/>
          <w:iCs/>
        </w:rPr>
        <w:t>.</w:t>
      </w:r>
      <w:r w:rsidR="005912C7">
        <w:rPr>
          <w:rFonts w:eastAsia="Calibri"/>
          <w:iCs/>
        </w:rPr>
        <w:t xml:space="preserve"> Overall, the PBAC considered that perioperative durvalumab in MIBC could translate into a clinically meaningful </w:t>
      </w:r>
      <w:r w:rsidR="005912C7" w:rsidRPr="008E1BDF">
        <w:rPr>
          <w:rFonts w:eastAsia="Calibri"/>
          <w:iCs/>
        </w:rPr>
        <w:t>improvement in survival</w:t>
      </w:r>
      <w:r w:rsidR="005912C7">
        <w:rPr>
          <w:rFonts w:eastAsia="Calibri"/>
          <w:iCs/>
        </w:rPr>
        <w:t xml:space="preserve"> for patients in a therapeutic area where there is a clinical need for new therapies.</w:t>
      </w:r>
    </w:p>
    <w:p w14:paraId="253A1937" w14:textId="53AD4C92" w:rsidR="0051793F" w:rsidRPr="0051793F" w:rsidRDefault="005177D8" w:rsidP="0051793F">
      <w:pPr>
        <w:pStyle w:val="3-BodyText"/>
      </w:pPr>
      <w:r>
        <w:t xml:space="preserve">The PBAC agreed with the submission that </w:t>
      </w:r>
      <w:r w:rsidR="007A4B33">
        <w:t>the claim of inferior safety for perioperative durvalumab</w:t>
      </w:r>
      <w:r w:rsidR="00617B42">
        <w:t xml:space="preserve"> compared to </w:t>
      </w:r>
      <w:r w:rsidR="00B226FA">
        <w:t>the control arm of the</w:t>
      </w:r>
      <w:r w:rsidR="00617B42">
        <w:t xml:space="preserve"> NIAGARA trial was appropriate, given that </w:t>
      </w:r>
      <w:r w:rsidR="003D788E">
        <w:t>durvalumab is addit</w:t>
      </w:r>
      <w:r w:rsidR="001776E1">
        <w:t>ive to SoC.</w:t>
      </w:r>
      <w:r w:rsidR="00B226FA">
        <w:t xml:space="preserve"> </w:t>
      </w:r>
      <w:r w:rsidR="006F4121">
        <w:t>With respect to the ITC, t</w:t>
      </w:r>
      <w:r w:rsidR="008F521E" w:rsidRPr="00186D53">
        <w:rPr>
          <w:rFonts w:eastAsia="Calibri"/>
        </w:rPr>
        <w:t>he</w:t>
      </w:r>
      <w:r w:rsidR="008F521E">
        <w:rPr>
          <w:rFonts w:eastAsia="Calibri"/>
        </w:rPr>
        <w:t xml:space="preserve"> PBAC considered that </w:t>
      </w:r>
      <w:r w:rsidR="0091709E">
        <w:rPr>
          <w:rFonts w:eastAsia="Calibri"/>
        </w:rPr>
        <w:t>it is possible that</w:t>
      </w:r>
      <w:r w:rsidR="008F521E" w:rsidRPr="00186D53">
        <w:rPr>
          <w:rFonts w:eastAsia="Calibri"/>
        </w:rPr>
        <w:t xml:space="preserve"> perioperative </w:t>
      </w:r>
      <w:r w:rsidR="008F521E">
        <w:rPr>
          <w:rFonts w:eastAsia="Calibri"/>
        </w:rPr>
        <w:t>durvalumab</w:t>
      </w:r>
      <w:r w:rsidR="008F521E" w:rsidRPr="00186D53">
        <w:rPr>
          <w:rFonts w:eastAsia="Calibri"/>
        </w:rPr>
        <w:t xml:space="preserve"> </w:t>
      </w:r>
      <w:r w:rsidR="005C125A">
        <w:rPr>
          <w:rFonts w:eastAsia="Calibri"/>
        </w:rPr>
        <w:t>is</w:t>
      </w:r>
      <w:r w:rsidR="008F521E" w:rsidRPr="00186D53">
        <w:rPr>
          <w:rFonts w:eastAsia="Calibri"/>
        </w:rPr>
        <w:t xml:space="preserve"> non-inferior in terms of safety compared adjuvant </w:t>
      </w:r>
      <w:r w:rsidR="008F521E">
        <w:rPr>
          <w:rFonts w:eastAsia="Calibri"/>
        </w:rPr>
        <w:t>nivolumab</w:t>
      </w:r>
      <w:r w:rsidR="008F521E" w:rsidRPr="00186D53">
        <w:rPr>
          <w:rFonts w:eastAsia="Calibri"/>
        </w:rPr>
        <w:t xml:space="preserve"> in the subgroup of MIBC patients with high risk of disease recurrence</w:t>
      </w:r>
      <w:r w:rsidR="00924CCE">
        <w:rPr>
          <w:rFonts w:eastAsia="Calibri"/>
        </w:rPr>
        <w:t>, but it is difficult to assess from the data presented</w:t>
      </w:r>
      <w:r w:rsidR="008F521E" w:rsidRPr="00186D53">
        <w:rPr>
          <w:rFonts w:eastAsia="Calibri"/>
        </w:rPr>
        <w:t>.</w:t>
      </w:r>
      <w:r w:rsidR="0083440F">
        <w:rPr>
          <w:rFonts w:eastAsia="Calibri"/>
        </w:rPr>
        <w:t xml:space="preserve"> </w:t>
      </w:r>
      <w:r w:rsidR="00B226FA">
        <w:t>The PBAC not</w:t>
      </w:r>
      <w:r w:rsidR="001A674D">
        <w:t>ed</w:t>
      </w:r>
      <w:r w:rsidR="00B226FA">
        <w:t xml:space="preserve"> that the safety profile of durvalumab is as expected for this class of drug</w:t>
      </w:r>
      <w:r w:rsidR="00146B93">
        <w:t>.</w:t>
      </w:r>
    </w:p>
    <w:p w14:paraId="5525B218" w14:textId="6C1C0775" w:rsidR="004D075B" w:rsidRDefault="00923A22" w:rsidP="00923A2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w:t>
      </w:r>
      <w:r w:rsidR="00035968">
        <w:rPr>
          <w:rFonts w:asciiTheme="minorHAnsi" w:hAnsiTheme="minorHAnsi"/>
          <w:snapToGrid w:val="0"/>
          <w:lang w:val="en-GB"/>
        </w:rPr>
        <w:t xml:space="preserve"> submission’s</w:t>
      </w:r>
      <w:r>
        <w:rPr>
          <w:rFonts w:asciiTheme="minorHAnsi" w:hAnsiTheme="minorHAnsi"/>
          <w:snapToGrid w:val="0"/>
          <w:lang w:val="en-GB"/>
        </w:rPr>
        <w:t xml:space="preserve"> economic model was reasonable for decision-making</w:t>
      </w:r>
      <w:r w:rsidR="008A4B12">
        <w:rPr>
          <w:rFonts w:asciiTheme="minorHAnsi" w:hAnsiTheme="minorHAnsi"/>
          <w:snapToGrid w:val="0"/>
          <w:lang w:val="en-GB"/>
        </w:rPr>
        <w:t xml:space="preserve"> and</w:t>
      </w:r>
      <w:r w:rsidR="00EF6E85">
        <w:rPr>
          <w:rFonts w:asciiTheme="minorHAnsi" w:hAnsiTheme="minorHAnsi"/>
          <w:snapToGrid w:val="0"/>
          <w:lang w:val="en-GB"/>
        </w:rPr>
        <w:t xml:space="preserve"> that</w:t>
      </w:r>
      <w:r w:rsidR="00646826">
        <w:rPr>
          <w:rFonts w:asciiTheme="minorHAnsi" w:hAnsiTheme="minorHAnsi"/>
          <w:snapToGrid w:val="0"/>
          <w:lang w:val="en-GB"/>
        </w:rPr>
        <w:t xml:space="preserve"> the following</w:t>
      </w:r>
      <w:r w:rsidR="00A32E75">
        <w:rPr>
          <w:rFonts w:asciiTheme="minorHAnsi" w:hAnsiTheme="minorHAnsi"/>
          <w:snapToGrid w:val="0"/>
          <w:lang w:val="en-GB"/>
        </w:rPr>
        <w:t xml:space="preserve"> parameters</w:t>
      </w:r>
      <w:r w:rsidR="00646826">
        <w:rPr>
          <w:rFonts w:asciiTheme="minorHAnsi" w:hAnsiTheme="minorHAnsi"/>
          <w:snapToGrid w:val="0"/>
          <w:lang w:val="en-GB"/>
        </w:rPr>
        <w:t xml:space="preserve"> would be suitable</w:t>
      </w:r>
      <w:r w:rsidR="00035968">
        <w:rPr>
          <w:rFonts w:asciiTheme="minorHAnsi" w:hAnsiTheme="minorHAnsi"/>
          <w:snapToGrid w:val="0"/>
          <w:lang w:val="en-GB"/>
        </w:rPr>
        <w:t xml:space="preserve"> to apply</w:t>
      </w:r>
      <w:r w:rsidR="00CF59A5">
        <w:rPr>
          <w:rFonts w:asciiTheme="minorHAnsi" w:hAnsiTheme="minorHAnsi"/>
          <w:snapToGrid w:val="0"/>
          <w:lang w:val="en-GB"/>
        </w:rPr>
        <w:t xml:space="preserve">: </w:t>
      </w:r>
    </w:p>
    <w:p w14:paraId="5DFE14B3" w14:textId="7E23C730" w:rsidR="00FA5219" w:rsidRPr="00C40A6B" w:rsidRDefault="00035968" w:rsidP="00DA5D39">
      <w:pPr>
        <w:pStyle w:val="ListParagraph"/>
        <w:widowControl w:val="0"/>
        <w:numPr>
          <w:ilvl w:val="0"/>
          <w:numId w:val="28"/>
        </w:numPr>
        <w:jc w:val="both"/>
        <w:rPr>
          <w:lang w:val="en-GB"/>
        </w:rPr>
      </w:pPr>
      <w:r>
        <w:rPr>
          <w:lang w:val="en-GB"/>
        </w:rPr>
        <w:t xml:space="preserve">A </w:t>
      </w:r>
      <w:r w:rsidR="00CF59A5" w:rsidRPr="00C40A6B">
        <w:rPr>
          <w:lang w:val="en-GB"/>
        </w:rPr>
        <w:t>15 year time horizon</w:t>
      </w:r>
      <w:r w:rsidR="00515554">
        <w:rPr>
          <w:lang w:val="en-GB"/>
        </w:rPr>
        <w:t xml:space="preserve">; the PBAC noted that this would be consistent with the </w:t>
      </w:r>
      <w:r w:rsidR="00D14387">
        <w:rPr>
          <w:lang w:val="en-GB"/>
        </w:rPr>
        <w:t>time horizon accepted for adjuvant nivolumab in MIBC.</w:t>
      </w:r>
    </w:p>
    <w:p w14:paraId="6FF5813E" w14:textId="7600B07A" w:rsidR="004D075B" w:rsidRDefault="004D075B" w:rsidP="001F74F8">
      <w:pPr>
        <w:pStyle w:val="ListParagraph"/>
        <w:widowControl w:val="0"/>
        <w:numPr>
          <w:ilvl w:val="0"/>
          <w:numId w:val="28"/>
        </w:numPr>
        <w:jc w:val="both"/>
      </w:pPr>
      <w:r w:rsidRPr="00133367">
        <w:t xml:space="preserve">Independent parametric models </w:t>
      </w:r>
      <w:r w:rsidR="00E858D9">
        <w:t>for</w:t>
      </w:r>
      <w:r w:rsidRPr="00133367">
        <w:t xml:space="preserve"> disaggregated observed EFS data</w:t>
      </w:r>
      <w:r w:rsidR="00A20C42">
        <w:t>, as</w:t>
      </w:r>
      <w:r w:rsidR="007645DD">
        <w:t xml:space="preserve"> used in the submission</w:t>
      </w:r>
      <w:r w:rsidRPr="00133367">
        <w:t>. The lognormal models were selected for the base case for both high and low risk subgroups</w:t>
      </w:r>
      <w:r w:rsidR="007645DD">
        <w:t>,</w:t>
      </w:r>
      <w:r w:rsidRPr="00133367">
        <w:t xml:space="preserve"> and the Gompertz model was selected for the remaining of the EFS curves</w:t>
      </w:r>
      <w:r w:rsidR="00EF6E85">
        <w:t>. The PBAC noted that</w:t>
      </w:r>
      <w:r w:rsidR="00C04EC6">
        <w:t xml:space="preserve"> </w:t>
      </w:r>
      <w:r w:rsidR="00EE1ABC">
        <w:t>the submission used the best fitting parametric function</w:t>
      </w:r>
      <w:r w:rsidR="00C06B79">
        <w:t>s</w:t>
      </w:r>
      <w:r w:rsidR="00DC0529">
        <w:t>.</w:t>
      </w:r>
    </w:p>
    <w:p w14:paraId="05ACD607" w14:textId="1310DDA6" w:rsidR="001F74F8" w:rsidRDefault="006936D3" w:rsidP="001F74F8">
      <w:pPr>
        <w:pStyle w:val="ListParagraph"/>
        <w:widowControl w:val="0"/>
        <w:numPr>
          <w:ilvl w:val="0"/>
          <w:numId w:val="28"/>
        </w:numPr>
        <w:jc w:val="both"/>
      </w:pPr>
      <w:r>
        <w:t>C</w:t>
      </w:r>
      <w:r w:rsidR="002A3B46">
        <w:t>alibration factors for modelled OS curves</w:t>
      </w:r>
      <w:r w:rsidR="00622390">
        <w:t>. T</w:t>
      </w:r>
      <w:r w:rsidR="00EF6E85">
        <w:t xml:space="preserve">he PBAC </w:t>
      </w:r>
      <w:r w:rsidR="00952204">
        <w:t xml:space="preserve">noted </w:t>
      </w:r>
      <w:r w:rsidR="00511346" w:rsidRPr="00367355">
        <w:t>the limitations of this calibration raised by the evaluation</w:t>
      </w:r>
      <w:r w:rsidR="00511346">
        <w:t xml:space="preserve"> and the Pre-PBAC Response. However, </w:t>
      </w:r>
      <w:r w:rsidR="008B75E0">
        <w:t>noted</w:t>
      </w:r>
      <w:r w:rsidR="00511346">
        <w:t xml:space="preserve"> </w:t>
      </w:r>
      <w:r w:rsidR="00952204">
        <w:t>that t</w:t>
      </w:r>
      <w:r w:rsidR="00952204" w:rsidRPr="00952204">
        <w:t xml:space="preserve">he economic model appeared to underestimate </w:t>
      </w:r>
      <w:r w:rsidR="004E18B1" w:rsidRPr="004E18B1">
        <w:t>OS</w:t>
      </w:r>
      <w:r w:rsidR="00952204">
        <w:t xml:space="preserve"> and</w:t>
      </w:r>
      <w:r w:rsidR="00B24CB4">
        <w:t xml:space="preserve"> agreed with the ESC </w:t>
      </w:r>
      <w:r w:rsidR="005F5A55">
        <w:t xml:space="preserve">that </w:t>
      </w:r>
      <w:r w:rsidR="008A1684">
        <w:t xml:space="preserve">these projections required </w:t>
      </w:r>
      <w:r w:rsidR="00BC5293">
        <w:t>re</w:t>
      </w:r>
      <w:r w:rsidR="005F5A55" w:rsidRPr="00367355">
        <w:t>calibrat</w:t>
      </w:r>
      <w:r w:rsidR="008A1684">
        <w:t>ion.</w:t>
      </w:r>
      <w:r w:rsidR="008B75E0">
        <w:t xml:space="preserve"> </w:t>
      </w:r>
      <w:r w:rsidR="002069E0">
        <w:t>The PBAC considered that</w:t>
      </w:r>
      <w:r w:rsidR="004E18B1" w:rsidRPr="004E18B1">
        <w:t xml:space="preserve"> further data to</w:t>
      </w:r>
      <w:r w:rsidR="00817F45">
        <w:t xml:space="preserve"> better</w:t>
      </w:r>
      <w:r w:rsidR="00817F45" w:rsidRPr="00367355">
        <w:t xml:space="preserve"> inform downstream transitions </w:t>
      </w:r>
      <w:r w:rsidR="004E18B1" w:rsidRPr="004E18B1">
        <w:t>are unlikely to be</w:t>
      </w:r>
      <w:r w:rsidR="00622390">
        <w:t>come</w:t>
      </w:r>
      <w:r w:rsidR="004E18B1" w:rsidRPr="004E18B1">
        <w:t xml:space="preserve"> available.</w:t>
      </w:r>
    </w:p>
    <w:p w14:paraId="4EECD3ED" w14:textId="6E8AFF17" w:rsidR="001F74F8" w:rsidRDefault="001F74F8" w:rsidP="00536620">
      <w:pPr>
        <w:spacing w:after="120"/>
        <w:ind w:left="720"/>
      </w:pPr>
      <w:r w:rsidRPr="004179A2">
        <w:t>The PBAC agreed with the evaluation that the cure function should be switched off in the locoregional and distant recurrence health states due to it being incorrectly applied in the submission’s base case to the second cycle of recurrence.</w:t>
      </w:r>
    </w:p>
    <w:p w14:paraId="05CC316A" w14:textId="58357051" w:rsidR="00B23EF1" w:rsidRPr="00147488" w:rsidRDefault="00FE42A6" w:rsidP="007E70B8">
      <w:pPr>
        <w:pStyle w:val="3-BodyText"/>
      </w:pPr>
      <w:r>
        <w:t xml:space="preserve">The PBAC considered that the </w:t>
      </w:r>
      <w:r w:rsidR="00D6241E">
        <w:t>multivariate analysis proposed by the ESC</w:t>
      </w:r>
      <w:r w:rsidR="00D0756D">
        <w:t xml:space="preserve">, </w:t>
      </w:r>
      <w:r w:rsidR="00093C56">
        <w:t xml:space="preserve">that </w:t>
      </w:r>
      <w:r w:rsidR="00C43190">
        <w:t xml:space="preserve">(i) </w:t>
      </w:r>
      <w:r w:rsidR="00093C56">
        <w:t>uses</w:t>
      </w:r>
      <w:r w:rsidR="00D0756D">
        <w:t xml:space="preserve"> a 15 year time horizon, </w:t>
      </w:r>
      <w:r w:rsidR="00C43190">
        <w:t xml:space="preserve">(ii) </w:t>
      </w:r>
      <w:r w:rsidR="00D0756D">
        <w:t>us</w:t>
      </w:r>
      <w:r w:rsidR="00093C56">
        <w:t>es</w:t>
      </w:r>
      <w:r w:rsidR="00D0756D">
        <w:t xml:space="preserve"> OS calibrations</w:t>
      </w:r>
      <w:r w:rsidR="00DF378D">
        <w:t xml:space="preserve">, </w:t>
      </w:r>
      <w:r w:rsidR="00C43190">
        <w:t xml:space="preserve">(iii) </w:t>
      </w:r>
      <w:r w:rsidR="00DF378D">
        <w:t>remove</w:t>
      </w:r>
      <w:r w:rsidR="00093C56">
        <w:t>s</w:t>
      </w:r>
      <w:r w:rsidR="00DF378D">
        <w:t xml:space="preserve"> the cure assumption</w:t>
      </w:r>
      <w:r w:rsidR="00DA7616" w:rsidRPr="00DA7616">
        <w:t xml:space="preserve"> </w:t>
      </w:r>
      <w:r w:rsidR="00DA7616">
        <w:t xml:space="preserve">in </w:t>
      </w:r>
      <w:r w:rsidR="00DA7616">
        <w:lastRenderedPageBreak/>
        <w:t>the locoregional and distant recurrence health states due to a model error</w:t>
      </w:r>
      <w:r w:rsidR="00DF378D">
        <w:t xml:space="preserve">, and </w:t>
      </w:r>
      <w:r w:rsidR="00C43190">
        <w:t xml:space="preserve">(iv) </w:t>
      </w:r>
      <w:r w:rsidR="00DF1169">
        <w:t>applies</w:t>
      </w:r>
      <w:r w:rsidR="007C246C">
        <w:t xml:space="preserve"> the </w:t>
      </w:r>
      <w:r w:rsidR="004126B7">
        <w:t xml:space="preserve">EFS </w:t>
      </w:r>
      <w:r w:rsidR="007C246C">
        <w:t>parametric functions</w:t>
      </w:r>
      <w:r w:rsidR="00DF1169">
        <w:t xml:space="preserve"> used in the submission’s base case</w:t>
      </w:r>
      <w:r w:rsidR="00825D32">
        <w:t xml:space="preserve">, is the most appropriate scenario to </w:t>
      </w:r>
      <w:r w:rsidR="00A03823">
        <w:t xml:space="preserve">reflect the </w:t>
      </w:r>
      <w:r w:rsidR="00771F87">
        <w:t xml:space="preserve">value of perioperative durvalumab and </w:t>
      </w:r>
      <w:r w:rsidR="00147488">
        <w:t>remain</w:t>
      </w:r>
      <w:r w:rsidR="009C2D65">
        <w:t>s</w:t>
      </w:r>
      <w:r w:rsidR="00147488">
        <w:t xml:space="preserve"> generally consistent with the adjuvant nivolumab consideration in MIBC.</w:t>
      </w:r>
      <w:r w:rsidR="008232F3">
        <w:t xml:space="preserve"> The ICER for this scenario using published prices of </w:t>
      </w:r>
      <w:r w:rsidR="00C06934">
        <w:t>nivolumab and avelumab (with a</w:t>
      </w:r>
      <w:r w:rsidR="00536F85">
        <w:t xml:space="preserve"> hypothetical</w:t>
      </w:r>
      <w:r w:rsidR="00C06934">
        <w:t xml:space="preserve"> </w:t>
      </w:r>
      <w:r w:rsidR="000F4FEC" w:rsidRPr="000F4FEC">
        <w:rPr>
          <w:highlight w:val="black"/>
        </w:rPr>
        <w:t>@@@@</w:t>
      </w:r>
      <w:r w:rsidR="00C06934">
        <w:t xml:space="preserve">% reduction) is </w:t>
      </w:r>
      <w:r w:rsidR="008801B7" w:rsidRPr="008801B7">
        <w:t>$45,000 to &lt; $55,000</w:t>
      </w:r>
      <w:r w:rsidR="00E13EE7">
        <w:t xml:space="preserve"> per </w:t>
      </w:r>
      <w:r w:rsidR="007072C3">
        <w:t>quality adjusted life year (</w:t>
      </w:r>
      <w:r w:rsidR="00E13EE7">
        <w:t>QALY</w:t>
      </w:r>
      <w:r w:rsidR="007072C3">
        <w:t>)</w:t>
      </w:r>
      <w:r w:rsidR="00E13EE7">
        <w:t xml:space="preserve"> gained</w:t>
      </w:r>
      <w:r w:rsidR="00C06934">
        <w:t>.</w:t>
      </w:r>
      <w:r w:rsidR="008803A9">
        <w:t xml:space="preserve"> The PBAC considered that </w:t>
      </w:r>
      <w:r w:rsidR="00E13EE7">
        <w:t xml:space="preserve">the ICER should not exceed $35,000 per QALY gained, </w:t>
      </w:r>
      <w:r w:rsidR="005C73E4">
        <w:t xml:space="preserve">using effective prices, noting that </w:t>
      </w:r>
      <w:r w:rsidR="00AD23CB">
        <w:t>although it exceeds the PBAC recommendation</w:t>
      </w:r>
      <w:r w:rsidR="001E3A0E">
        <w:t xml:space="preserve"> for adjuvant nivolumab of $30,000 per QALY gained</w:t>
      </w:r>
      <w:r w:rsidR="00524439">
        <w:t xml:space="preserve"> (</w:t>
      </w:r>
      <w:r w:rsidR="00BB4590" w:rsidRPr="00367355">
        <w:rPr>
          <w:rFonts w:cstheme="minorHAnsi"/>
          <w:iCs/>
        </w:rPr>
        <w:t>paragraph 6.68, nivolumab PSD, March 2024</w:t>
      </w:r>
      <w:r w:rsidR="00524439">
        <w:t xml:space="preserve">), it </w:t>
      </w:r>
      <w:r w:rsidR="00277E90">
        <w:t xml:space="preserve">is appropriate for perioperative durvalumab </w:t>
      </w:r>
      <w:r w:rsidR="00524439">
        <w:t xml:space="preserve">given the survival gain shown in the NIAGARA </w:t>
      </w:r>
      <w:r w:rsidR="00CE2F2F">
        <w:t>trial.</w:t>
      </w:r>
    </w:p>
    <w:p w14:paraId="73BCA9E5" w14:textId="0415D8AB" w:rsidR="005E19E0" w:rsidRPr="0075267F" w:rsidRDefault="0093042C" w:rsidP="0075267F">
      <w:pPr>
        <w:widowControl w:val="0"/>
        <w:numPr>
          <w:ilvl w:val="1"/>
          <w:numId w:val="1"/>
        </w:numPr>
        <w:spacing w:after="120"/>
      </w:pPr>
      <w:r>
        <w:t xml:space="preserve">The PBAC considered that the </w:t>
      </w:r>
      <w:r w:rsidR="00E00392">
        <w:t xml:space="preserve">methodology to calculate the </w:t>
      </w:r>
      <w:r>
        <w:t>utilisation estimates</w:t>
      </w:r>
      <w:r w:rsidR="00A76D9E">
        <w:t xml:space="preserve"> </w:t>
      </w:r>
      <w:r w:rsidR="00E00392">
        <w:t>was</w:t>
      </w:r>
      <w:r w:rsidR="00A76D9E">
        <w:t xml:space="preserve"> reasonable once the minor issues identified by the evaluation</w:t>
      </w:r>
      <w:r w:rsidR="0031339C">
        <w:t xml:space="preserve"> that </w:t>
      </w:r>
      <w:r w:rsidR="00C65025">
        <w:t>overestimated the patient population</w:t>
      </w:r>
      <w:r w:rsidR="00A76D9E">
        <w:t xml:space="preserve"> were addressed</w:t>
      </w:r>
      <w:r w:rsidR="00FC0F7A">
        <w:t xml:space="preserve"> in the Pre-PBAC response</w:t>
      </w:r>
      <w:r w:rsidR="00FA7A35">
        <w:t xml:space="preserve"> (</w:t>
      </w:r>
      <w:r w:rsidR="003978A0">
        <w:t xml:space="preserve">as described in </w:t>
      </w:r>
      <w:r w:rsidR="00FA7A35">
        <w:fldChar w:fldCharType="begin"/>
      </w:r>
      <w:r w:rsidR="00FA7A35">
        <w:instrText xml:space="preserve"> REF _Ref207392269 \h </w:instrText>
      </w:r>
      <w:r w:rsidR="00FA7A35">
        <w:fldChar w:fldCharType="separate"/>
      </w:r>
      <w:r w:rsidR="005731FF">
        <w:t xml:space="preserve">Table </w:t>
      </w:r>
      <w:r w:rsidR="005731FF">
        <w:rPr>
          <w:noProof/>
        </w:rPr>
        <w:t>20</w:t>
      </w:r>
      <w:r w:rsidR="00FA7A35">
        <w:fldChar w:fldCharType="end"/>
      </w:r>
      <w:r w:rsidR="00FA7A35">
        <w:t>)</w:t>
      </w:r>
      <w:r w:rsidR="00A76D9E">
        <w:t>.</w:t>
      </w:r>
      <w:r w:rsidR="00A92659">
        <w:t xml:space="preserve"> The PBAC recommended that perioperative durvalumab should join the RSA for adjuvant nivolumab</w:t>
      </w:r>
      <w:r w:rsidR="00BC5DDF">
        <w:t>,</w:t>
      </w:r>
      <w:r w:rsidR="00A92659">
        <w:t xml:space="preserve"> </w:t>
      </w:r>
      <w:r w:rsidR="00B911C8">
        <w:t xml:space="preserve">with an </w:t>
      </w:r>
      <w:r w:rsidR="005D091E">
        <w:t>increase in</w:t>
      </w:r>
      <w:r w:rsidR="00B911C8">
        <w:t xml:space="preserve"> patient numbers</w:t>
      </w:r>
      <w:r w:rsidR="00835D39">
        <w:t xml:space="preserve"> to include </w:t>
      </w:r>
      <w:r w:rsidR="00ED0A9F">
        <w:t>all eligible</w:t>
      </w:r>
      <w:r w:rsidR="00835D39">
        <w:t xml:space="preserve"> patients who </w:t>
      </w:r>
      <w:r w:rsidR="00ED0A9F">
        <w:t xml:space="preserve">will </w:t>
      </w:r>
      <w:r w:rsidR="00835D39">
        <w:t>receive perioperative therapy with durvalumab</w:t>
      </w:r>
      <w:r w:rsidR="00E53F29">
        <w:t>,</w:t>
      </w:r>
      <w:r w:rsidR="00D30E05">
        <w:t xml:space="preserve"> </w:t>
      </w:r>
      <w:r w:rsidR="00031FE6">
        <w:t>accounting for</w:t>
      </w:r>
      <w:r w:rsidR="009614D9">
        <w:t xml:space="preserve"> the reduction</w:t>
      </w:r>
      <w:r w:rsidR="00B138D1">
        <w:t xml:space="preserve"> in use</w:t>
      </w:r>
      <w:r w:rsidR="00CB1E1D">
        <w:t xml:space="preserve"> </w:t>
      </w:r>
      <w:r w:rsidR="00B138D1">
        <w:t>of</w:t>
      </w:r>
      <w:r w:rsidR="00D30E05">
        <w:t xml:space="preserve"> </w:t>
      </w:r>
      <w:r w:rsidR="00CC10E5">
        <w:t>adjuvant therapy with nivolumab</w:t>
      </w:r>
      <w:r w:rsidR="006A4472">
        <w:t xml:space="preserve"> which is listed </w:t>
      </w:r>
      <w:r w:rsidR="00CC10E5">
        <w:t>for the patient group at high risk of recurrence only</w:t>
      </w:r>
      <w:r w:rsidR="00C85F81">
        <w:t>.</w:t>
      </w:r>
      <w:r w:rsidR="00FF503A">
        <w:t xml:space="preserve"> The PBAC noted that </w:t>
      </w:r>
      <w:r w:rsidR="003544C1">
        <w:t>a</w:t>
      </w:r>
      <w:r w:rsidR="009F6965">
        <w:t xml:space="preserve"> relatively</w:t>
      </w:r>
      <w:r w:rsidR="003544C1">
        <w:t xml:space="preserve"> high proportion</w:t>
      </w:r>
      <w:r w:rsidR="008A58C9">
        <w:t xml:space="preserve"> (72%)</w:t>
      </w:r>
      <w:r w:rsidR="003544C1">
        <w:t xml:space="preserve"> of patients</w:t>
      </w:r>
      <w:r w:rsidR="009F6965">
        <w:t xml:space="preserve"> who </w:t>
      </w:r>
      <w:r w:rsidR="005D091E">
        <w:t>receive</w:t>
      </w:r>
      <w:r w:rsidR="009F6965">
        <w:t xml:space="preserve"> i</w:t>
      </w:r>
      <w:r w:rsidR="008A58C9">
        <w:t>nitial neoadjuvant durvalumab treatment</w:t>
      </w:r>
      <w:r w:rsidR="003544C1">
        <w:t xml:space="preserve"> </w:t>
      </w:r>
      <w:r w:rsidR="008A58C9">
        <w:t>are expected to</w:t>
      </w:r>
      <w:r w:rsidR="009205D9">
        <w:t xml:space="preserve"> continue through to adjuvant </w:t>
      </w:r>
      <w:r w:rsidR="00992B2B">
        <w:t>durvalumab</w:t>
      </w:r>
      <w:r w:rsidR="009205D9">
        <w:t xml:space="preserve"> treatment.</w:t>
      </w:r>
      <w:r w:rsidR="00C85F81">
        <w:t xml:space="preserve"> The PBAC noted that the RSA should manage the risk of </w:t>
      </w:r>
      <w:r w:rsidR="004A38F8">
        <w:t xml:space="preserve">patients inappropriately receiving more than one immunotherapy for MIBC per lifetime. </w:t>
      </w:r>
    </w:p>
    <w:p w14:paraId="1DB9E267" w14:textId="1EEFE74F" w:rsidR="00724316" w:rsidRPr="007311EE" w:rsidRDefault="0059752F" w:rsidP="007311EE">
      <w:pPr>
        <w:widowControl w:val="0"/>
        <w:numPr>
          <w:ilvl w:val="1"/>
          <w:numId w:val="1"/>
        </w:numPr>
        <w:spacing w:after="120"/>
        <w:rPr>
          <w:rFonts w:asciiTheme="minorHAnsi" w:hAnsiTheme="minorHAnsi"/>
          <w:bCs/>
          <w:snapToGrid w:val="0"/>
          <w:lang w:val="en-GB"/>
        </w:rPr>
      </w:pPr>
      <w:r w:rsidRPr="007311EE">
        <w:rPr>
          <w:rFonts w:asciiTheme="minorHAnsi" w:hAnsiTheme="minorHAnsi"/>
          <w:bCs/>
          <w:snapToGrid w:val="0"/>
          <w:lang w:val="en-GB"/>
        </w:rPr>
        <w:t xml:space="preserve">The PBAC noted the flow-on restriction changes </w:t>
      </w:r>
      <w:r w:rsidR="00724316" w:rsidRPr="0017547D">
        <w:rPr>
          <w:iCs/>
          <w:color w:val="000000" w:themeColor="text1"/>
          <w:lang w:val="en-GB"/>
        </w:rPr>
        <w:t>to nivolumab for urothelial carcinoma at high risk of recurrence</w:t>
      </w:r>
      <w:r w:rsidRPr="0017547D">
        <w:rPr>
          <w:iCs/>
          <w:color w:val="000000" w:themeColor="text1"/>
          <w:lang w:val="en-GB"/>
        </w:rPr>
        <w:t xml:space="preserve"> (</w:t>
      </w:r>
      <w:r w:rsidR="007311EE" w:rsidRPr="0017547D">
        <w:rPr>
          <w:iCs/>
          <w:color w:val="000000" w:themeColor="text1"/>
          <w:lang w:val="en-GB"/>
        </w:rPr>
        <w:t>item numbers 14231B and 14260M)</w:t>
      </w:r>
      <w:r w:rsidR="00724316" w:rsidRPr="004D14CF">
        <w:rPr>
          <w:iCs/>
          <w:color w:val="000000" w:themeColor="text1"/>
          <w:lang w:val="en-GB"/>
        </w:rPr>
        <w:t>:</w:t>
      </w:r>
    </w:p>
    <w:p w14:paraId="18659E7B" w14:textId="6E978915" w:rsidR="003E04FC" w:rsidRDefault="00906162" w:rsidP="00DA5D39">
      <w:pPr>
        <w:pStyle w:val="3-BodyText"/>
        <w:numPr>
          <w:ilvl w:val="0"/>
          <w:numId w:val="21"/>
        </w:numPr>
        <w:ind w:left="1134" w:hanging="283"/>
        <w:rPr>
          <w:iCs/>
          <w:color w:val="000000" w:themeColor="text1"/>
          <w:lang w:val="en-GB"/>
        </w:rPr>
      </w:pPr>
      <w:r>
        <w:rPr>
          <w:iCs/>
          <w:color w:val="000000" w:themeColor="text1"/>
          <w:lang w:val="en-GB"/>
        </w:rPr>
        <w:t>A</w:t>
      </w:r>
      <w:r w:rsidRPr="00CE2C7B">
        <w:t xml:space="preserve"> flow-</w:t>
      </w:r>
      <w:r w:rsidRPr="008422B5">
        <w:t>on change should</w:t>
      </w:r>
      <w:r>
        <w:t xml:space="preserve"> </w:t>
      </w:r>
      <w:r w:rsidR="008F4919">
        <w:t xml:space="preserve">specify that </w:t>
      </w:r>
      <w:r w:rsidR="008F4919" w:rsidRPr="00C14A7F">
        <w:rPr>
          <w:rFonts w:cs="Calibri"/>
        </w:rPr>
        <w:t>adjuvant therapy is initiated within 6 months of radical cystectomy (rather than 120 days)</w:t>
      </w:r>
      <w:r w:rsidR="008F4919">
        <w:rPr>
          <w:rFonts w:cs="Calibri"/>
        </w:rPr>
        <w:t>;</w:t>
      </w:r>
    </w:p>
    <w:p w14:paraId="7F2F41D6" w14:textId="2303E0A8" w:rsidR="00724316" w:rsidRPr="00754F06" w:rsidRDefault="00724316" w:rsidP="00DA5D39">
      <w:pPr>
        <w:pStyle w:val="3-BodyText"/>
        <w:numPr>
          <w:ilvl w:val="0"/>
          <w:numId w:val="21"/>
        </w:numPr>
        <w:ind w:left="1134" w:hanging="283"/>
        <w:rPr>
          <w:iCs/>
          <w:color w:val="000000" w:themeColor="text1"/>
          <w:lang w:val="en-GB"/>
        </w:rPr>
      </w:pPr>
      <w:r>
        <w:rPr>
          <w:iCs/>
          <w:color w:val="000000" w:themeColor="text1"/>
          <w:lang w:val="en-GB"/>
        </w:rPr>
        <w:t>A</w:t>
      </w:r>
      <w:r w:rsidRPr="00CE2C7B">
        <w:t xml:space="preserve"> flow-</w:t>
      </w:r>
      <w:r w:rsidRPr="008422B5">
        <w:t>on change should reflect the once-per-lifetime use of immunotherapy</w:t>
      </w:r>
      <w:r w:rsidR="00FE37D7" w:rsidRPr="008422B5">
        <w:t xml:space="preserve"> (as discussed in paragraph </w:t>
      </w:r>
      <w:r w:rsidR="00FE37D7" w:rsidRPr="008422B5">
        <w:fldChar w:fldCharType="begin"/>
      </w:r>
      <w:r w:rsidR="00FE37D7" w:rsidRPr="008422B5">
        <w:instrText xml:space="preserve"> REF _Ref213686639 \r \h  \* MERGEFORMAT </w:instrText>
      </w:r>
      <w:r w:rsidR="00FE37D7" w:rsidRPr="008422B5">
        <w:fldChar w:fldCharType="separate"/>
      </w:r>
      <w:r w:rsidR="005731FF">
        <w:t>3.3</w:t>
      </w:r>
      <w:r w:rsidR="00FE37D7" w:rsidRPr="008422B5">
        <w:fldChar w:fldCharType="end"/>
      </w:r>
      <w:r w:rsidR="00FE37D7" w:rsidRPr="008422B5">
        <w:t>)</w:t>
      </w:r>
      <w:r w:rsidRPr="008422B5">
        <w:t>;</w:t>
      </w:r>
    </w:p>
    <w:p w14:paraId="52FDA654" w14:textId="77777777" w:rsidR="00724316" w:rsidRPr="00754F06" w:rsidRDefault="00724316" w:rsidP="00DA5D39">
      <w:pPr>
        <w:pStyle w:val="3-BodyText"/>
        <w:numPr>
          <w:ilvl w:val="0"/>
          <w:numId w:val="21"/>
        </w:numPr>
        <w:ind w:left="1134" w:hanging="283"/>
        <w:rPr>
          <w:iCs/>
          <w:color w:val="000000" w:themeColor="text1"/>
          <w:lang w:val="en-GB"/>
        </w:rPr>
      </w:pPr>
      <w:r>
        <w:t xml:space="preserve">A flow on change should specify STREAMLINED </w:t>
      </w:r>
      <w:r w:rsidRPr="00754F06">
        <w:rPr>
          <w:iCs/>
          <w:color w:val="000000" w:themeColor="text1"/>
          <w:lang w:val="en-GB"/>
        </w:rPr>
        <w:t>initial and continuing restrictions.</w:t>
      </w:r>
    </w:p>
    <w:p w14:paraId="16F38B6B" w14:textId="0D33A77A" w:rsidR="00B84257" w:rsidRPr="00382FA8" w:rsidRDefault="00B84257" w:rsidP="00B84257">
      <w:pPr>
        <w:pStyle w:val="3-BodyText"/>
        <w:widowControl w:val="0"/>
        <w:numPr>
          <w:ilvl w:val="1"/>
          <w:numId w:val="1"/>
        </w:numPr>
        <w:rPr>
          <w:rFonts w:cstheme="minorHAnsi"/>
        </w:rPr>
      </w:pPr>
      <w:r w:rsidRPr="00553E24">
        <w:rPr>
          <w:rFonts w:cstheme="minorHAnsi"/>
          <w:lang w:val="en-GB"/>
        </w:rPr>
        <w:t xml:space="preserve">The PBAC found that the criteria prescribed by the </w:t>
      </w:r>
      <w:r w:rsidRPr="00382FA8">
        <w:rPr>
          <w:rFonts w:cstheme="minorHAnsi"/>
          <w:i/>
          <w:lang w:val="en-GB"/>
        </w:rPr>
        <w:t>National Health (Pharmaceuticals and Vaccines – Cost Recovery) Regulations 2022</w:t>
      </w:r>
      <w:r w:rsidRPr="00382FA8">
        <w:rPr>
          <w:rFonts w:cstheme="minorHAnsi"/>
          <w:lang w:val="en-GB"/>
        </w:rPr>
        <w:t xml:space="preserve"> for Pricing Pathway A were not met. Specifically</w:t>
      </w:r>
      <w:r>
        <w:rPr>
          <w:rFonts w:cstheme="minorHAnsi"/>
          <w:lang w:val="en-GB"/>
        </w:rPr>
        <w:t>,</w:t>
      </w:r>
      <w:r w:rsidRPr="00382FA8">
        <w:rPr>
          <w:rFonts w:cstheme="minorHAnsi"/>
          <w:lang w:val="en-GB"/>
        </w:rPr>
        <w:t xml:space="preserve"> the PBAC found that in the circumstances of its recommendation for </w:t>
      </w:r>
      <w:r w:rsidR="00585DC5">
        <w:rPr>
          <w:rFonts w:cstheme="minorHAnsi"/>
          <w:lang w:val="en-GB"/>
        </w:rPr>
        <w:t>durvalu</w:t>
      </w:r>
      <w:r w:rsidR="005C4D4A">
        <w:rPr>
          <w:rFonts w:cstheme="minorHAnsi"/>
          <w:lang w:val="en-GB"/>
        </w:rPr>
        <w:t>mab</w:t>
      </w:r>
      <w:r w:rsidRPr="00382FA8">
        <w:rPr>
          <w:rFonts w:cstheme="minorHAnsi"/>
          <w:lang w:val="en-GB"/>
        </w:rPr>
        <w:t>:</w:t>
      </w:r>
    </w:p>
    <w:p w14:paraId="18384863" w14:textId="5AD564DE" w:rsidR="00B84257" w:rsidRPr="00763DFB" w:rsidRDefault="00B84257" w:rsidP="00EE0F34">
      <w:pPr>
        <w:numPr>
          <w:ilvl w:val="1"/>
          <w:numId w:val="25"/>
        </w:numPr>
        <w:spacing w:after="120"/>
        <w:ind w:left="1418" w:hanging="567"/>
        <w:rPr>
          <w:rFonts w:asciiTheme="minorHAnsi" w:hAnsiTheme="minorHAnsi" w:cstheme="minorHAnsi"/>
          <w:lang w:val="en-GB"/>
        </w:rPr>
      </w:pPr>
      <w:r w:rsidRPr="00C94209">
        <w:rPr>
          <w:rFonts w:asciiTheme="minorHAnsi" w:hAnsiTheme="minorHAnsi" w:cstheme="minorHAnsi"/>
          <w:lang w:val="en-GB"/>
        </w:rPr>
        <w:t xml:space="preserve">The treatment is not expected to provide a substantial and clinically relevant improvement in efficacy over </w:t>
      </w:r>
      <w:r w:rsidRPr="00560531">
        <w:t>standard of care</w:t>
      </w:r>
      <w:r w:rsidRPr="00C94209">
        <w:rPr>
          <w:rFonts w:asciiTheme="minorHAnsi" w:hAnsiTheme="minorHAnsi" w:cstheme="minorHAnsi"/>
          <w:lang w:val="en-GB"/>
        </w:rPr>
        <w:t xml:space="preserve">, </w:t>
      </w:r>
      <w:r>
        <w:rPr>
          <w:rFonts w:asciiTheme="minorHAnsi" w:hAnsiTheme="minorHAnsi" w:cstheme="minorHAnsi"/>
          <w:lang w:val="en-GB"/>
        </w:rPr>
        <w:t xml:space="preserve">as </w:t>
      </w:r>
      <w:r w:rsidRPr="00C94209">
        <w:rPr>
          <w:rFonts w:asciiTheme="minorHAnsi" w:hAnsiTheme="minorHAnsi" w:cstheme="minorHAnsi"/>
          <w:lang w:val="en-GB"/>
        </w:rPr>
        <w:t xml:space="preserve">while clinically </w:t>
      </w:r>
      <w:r w:rsidR="00981EF0">
        <w:rPr>
          <w:rFonts w:asciiTheme="minorHAnsi" w:hAnsiTheme="minorHAnsi" w:cstheme="minorHAnsi"/>
          <w:lang w:val="en-GB"/>
        </w:rPr>
        <w:t>meaningful</w:t>
      </w:r>
      <w:r w:rsidRPr="00C94209">
        <w:rPr>
          <w:rFonts w:asciiTheme="minorHAnsi" w:hAnsiTheme="minorHAnsi" w:cstheme="minorHAnsi"/>
          <w:lang w:val="en-GB"/>
        </w:rPr>
        <w:t xml:space="preserve"> improvements in </w:t>
      </w:r>
      <w:r w:rsidR="0089638A">
        <w:rPr>
          <w:rFonts w:asciiTheme="minorHAnsi" w:hAnsiTheme="minorHAnsi" w:cstheme="minorHAnsi"/>
          <w:lang w:val="en-GB"/>
        </w:rPr>
        <w:t>OS</w:t>
      </w:r>
      <w:r w:rsidRPr="00C94209">
        <w:rPr>
          <w:rFonts w:asciiTheme="minorHAnsi" w:hAnsiTheme="minorHAnsi" w:cstheme="minorHAnsi"/>
          <w:lang w:val="en-GB"/>
        </w:rPr>
        <w:t xml:space="preserve"> were evident</w:t>
      </w:r>
      <w:r w:rsidR="003D5083">
        <w:rPr>
          <w:rFonts w:asciiTheme="minorHAnsi" w:hAnsiTheme="minorHAnsi" w:cstheme="minorHAnsi"/>
          <w:lang w:val="en-GB"/>
        </w:rPr>
        <w:t xml:space="preserve"> f</w:t>
      </w:r>
      <w:r w:rsidR="00D44868">
        <w:rPr>
          <w:rFonts w:asciiTheme="minorHAnsi" w:hAnsiTheme="minorHAnsi" w:cstheme="minorHAnsi"/>
          <w:lang w:val="en-GB"/>
        </w:rPr>
        <w:t>rom the NIAGARA trial</w:t>
      </w:r>
      <w:r w:rsidR="00D8163C">
        <w:rPr>
          <w:rFonts w:asciiTheme="minorHAnsi" w:hAnsiTheme="minorHAnsi" w:cstheme="minorHAnsi"/>
          <w:lang w:val="en-GB"/>
        </w:rPr>
        <w:t>,</w:t>
      </w:r>
      <w:r w:rsidR="00580423">
        <w:rPr>
          <w:rFonts w:asciiTheme="minorHAnsi" w:hAnsiTheme="minorHAnsi" w:cstheme="minorHAnsi"/>
          <w:lang w:val="en-GB"/>
        </w:rPr>
        <w:t xml:space="preserve"> the</w:t>
      </w:r>
      <w:r w:rsidR="00B10C26">
        <w:rPr>
          <w:rFonts w:asciiTheme="minorHAnsi" w:hAnsiTheme="minorHAnsi" w:cstheme="minorHAnsi"/>
          <w:lang w:val="en-GB"/>
        </w:rPr>
        <w:t xml:space="preserve"> </w:t>
      </w:r>
      <w:r w:rsidR="00580423">
        <w:rPr>
          <w:rFonts w:asciiTheme="minorHAnsi" w:hAnsiTheme="minorHAnsi" w:cstheme="minorHAnsi"/>
          <w:lang w:val="en-GB"/>
        </w:rPr>
        <w:t>magnitude</w:t>
      </w:r>
      <w:r w:rsidR="00EE5B36">
        <w:rPr>
          <w:rFonts w:asciiTheme="minorHAnsi" w:hAnsiTheme="minorHAnsi" w:cstheme="minorHAnsi"/>
          <w:lang w:val="en-GB"/>
        </w:rPr>
        <w:t xml:space="preserve"> of effect</w:t>
      </w:r>
      <w:r w:rsidR="002C3C9A">
        <w:rPr>
          <w:rFonts w:asciiTheme="minorHAnsi" w:hAnsiTheme="minorHAnsi" w:cstheme="minorHAnsi"/>
          <w:lang w:val="en-GB"/>
        </w:rPr>
        <w:t xml:space="preserve"> generalisable to the Australian population </w:t>
      </w:r>
      <w:r w:rsidR="00580423">
        <w:rPr>
          <w:rFonts w:asciiTheme="minorHAnsi" w:hAnsiTheme="minorHAnsi" w:cstheme="minorHAnsi"/>
          <w:lang w:val="en-GB"/>
        </w:rPr>
        <w:t>is uncertain</w:t>
      </w:r>
      <w:r w:rsidR="00102B25">
        <w:rPr>
          <w:rFonts w:asciiTheme="minorHAnsi" w:hAnsiTheme="minorHAnsi" w:cstheme="minorHAnsi"/>
          <w:lang w:val="en-GB"/>
        </w:rPr>
        <w:t xml:space="preserve"> as</w:t>
      </w:r>
      <w:r w:rsidR="00102B25" w:rsidRPr="00EB5D93">
        <w:rPr>
          <w:rFonts w:asciiTheme="minorHAnsi" w:hAnsiTheme="minorHAnsi"/>
          <w:snapToGrid w:val="0"/>
          <w:lang w:val="en-GB"/>
        </w:rPr>
        <w:t xml:space="preserve"> </w:t>
      </w:r>
      <w:r w:rsidR="00102B25">
        <w:rPr>
          <w:rFonts w:eastAsia="Calibri"/>
        </w:rPr>
        <w:t>patients at</w:t>
      </w:r>
      <w:r w:rsidR="00102B25" w:rsidRPr="00EB5D93">
        <w:rPr>
          <w:rFonts w:eastAsia="Calibri"/>
        </w:rPr>
        <w:t xml:space="preserve"> high risk</w:t>
      </w:r>
      <w:r w:rsidR="00102B25">
        <w:rPr>
          <w:rFonts w:eastAsia="Calibri"/>
        </w:rPr>
        <w:t xml:space="preserve"> of recurrence in the SoC control arm</w:t>
      </w:r>
      <w:r w:rsidR="00102B25" w:rsidRPr="00EB5D93">
        <w:rPr>
          <w:rFonts w:eastAsia="Calibri"/>
        </w:rPr>
        <w:t xml:space="preserve"> did not receive</w:t>
      </w:r>
      <w:r w:rsidR="00102B25">
        <w:rPr>
          <w:rFonts w:eastAsia="Calibri"/>
        </w:rPr>
        <w:t xml:space="preserve"> adjuvant</w:t>
      </w:r>
      <w:r w:rsidR="00102B25" w:rsidRPr="00EB5D93">
        <w:rPr>
          <w:rFonts w:eastAsia="Calibri"/>
        </w:rPr>
        <w:t xml:space="preserve"> nivolumab</w:t>
      </w:r>
      <w:r>
        <w:t>;</w:t>
      </w:r>
    </w:p>
    <w:p w14:paraId="733375E1" w14:textId="77777777" w:rsidR="00B84257" w:rsidRDefault="00B84257" w:rsidP="00DA5D39">
      <w:pPr>
        <w:widowControl w:val="0"/>
        <w:numPr>
          <w:ilvl w:val="1"/>
          <w:numId w:val="25"/>
        </w:numPr>
        <w:spacing w:after="120"/>
        <w:ind w:left="1418" w:hanging="567"/>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w:t>
      </w:r>
      <w:r w:rsidRPr="00763DFB">
        <w:rPr>
          <w:rFonts w:asciiTheme="minorHAnsi" w:hAnsiTheme="minorHAnsi" w:cstheme="minorHAnsi"/>
          <w:lang w:val="en-GB"/>
        </w:rPr>
        <w:lastRenderedPageBreak/>
        <w:t>need;</w:t>
      </w:r>
    </w:p>
    <w:p w14:paraId="4C622C2C" w14:textId="4118E5C4" w:rsidR="00842BF5" w:rsidRPr="00B84257" w:rsidRDefault="00B84257" w:rsidP="00DA5D39">
      <w:pPr>
        <w:widowControl w:val="0"/>
        <w:numPr>
          <w:ilvl w:val="1"/>
          <w:numId w:val="25"/>
        </w:numPr>
        <w:spacing w:after="120"/>
        <w:ind w:left="1418" w:hanging="567"/>
        <w:rPr>
          <w:rFonts w:asciiTheme="minorHAnsi" w:hAnsiTheme="minorHAnsi" w:cstheme="minorHAnsi"/>
          <w:lang w:val="en-GB"/>
        </w:rPr>
      </w:pPr>
      <w:r w:rsidRPr="00B84257">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37B32C0D" w14:textId="1D9E6E66" w:rsidR="00CB7C0E" w:rsidRPr="004F00B2" w:rsidRDefault="004F00B2" w:rsidP="00CB7C0E">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p>
    <w:p w14:paraId="6FADC723" w14:textId="77777777" w:rsidR="00CB7C0E" w:rsidRPr="00525B39" w:rsidRDefault="00CB7C0E" w:rsidP="00CB7C0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FECA640" w14:textId="5289551A" w:rsidR="00357B46" w:rsidRPr="00977FD6" w:rsidRDefault="00CB7C0E" w:rsidP="00977FD6">
      <w:pPr>
        <w:rPr>
          <w:rFonts w:asciiTheme="minorHAnsi" w:hAnsiTheme="minorHAnsi"/>
          <w:bCs/>
          <w:snapToGrid w:val="0"/>
          <w:lang w:val="en-GB"/>
        </w:rPr>
      </w:pPr>
      <w:r w:rsidRPr="00525B39">
        <w:rPr>
          <w:rFonts w:asciiTheme="minorHAnsi" w:hAnsiTheme="minorHAnsi"/>
          <w:bCs/>
          <w:snapToGrid w:val="0"/>
          <w:lang w:val="en-GB"/>
        </w:rPr>
        <w:t>Recommended</w:t>
      </w:r>
    </w:p>
    <w:bookmarkEnd w:id="120"/>
    <w:p w14:paraId="2545490F" w14:textId="77777777" w:rsidR="00CB7C0E" w:rsidRPr="00907671" w:rsidRDefault="00CB7C0E" w:rsidP="00977FD6">
      <w:pPr>
        <w:pStyle w:val="2-SectionHeading"/>
        <w:keepLines/>
        <w:numPr>
          <w:ilvl w:val="0"/>
          <w:numId w:val="1"/>
        </w:numPr>
      </w:pPr>
      <w:r w:rsidRPr="00907671">
        <w:t>Recommended listing</w:t>
      </w:r>
    </w:p>
    <w:p w14:paraId="0D61BC65" w14:textId="77777777" w:rsidR="00CB7C0E" w:rsidRPr="00891070" w:rsidRDefault="00CB7C0E" w:rsidP="00977FD6">
      <w:pPr>
        <w:keepNext/>
        <w:keepLines/>
        <w:widowControl w:val="0"/>
        <w:numPr>
          <w:ilvl w:val="1"/>
          <w:numId w:val="1"/>
        </w:numPr>
        <w:spacing w:after="120"/>
        <w:contextualSpacing/>
        <w:rPr>
          <w:rFonts w:asciiTheme="minorHAnsi" w:hAnsiTheme="minorHAnsi"/>
          <w:b/>
          <w:bCs/>
          <w:snapToGrid w:val="0"/>
        </w:rPr>
      </w:pPr>
      <w:r w:rsidRPr="00891070">
        <w:rPr>
          <w:rFonts w:asciiTheme="minorHAnsi" w:hAnsiTheme="minorHAnsi"/>
          <w:bCs/>
          <w:snapToGrid w:val="0"/>
        </w:rPr>
        <w:t>Add new item:</w:t>
      </w:r>
    </w:p>
    <w:p w14:paraId="533EDD71" w14:textId="77777777" w:rsidR="00136F95" w:rsidRPr="00D60B02" w:rsidRDefault="00136F95" w:rsidP="00977FD6">
      <w:pPr>
        <w:keepNext/>
        <w:keepLines/>
        <w:spacing w:after="120"/>
        <w:rPr>
          <w:rFonts w:ascii="Arial Narrow" w:hAnsi="Arial Narrow" w:cs="Calibri"/>
          <w:sz w:val="20"/>
          <w:szCs w:val="20"/>
        </w:rPr>
      </w:pPr>
      <w:r w:rsidRPr="00D60B02">
        <w:rPr>
          <w:rFonts w:ascii="Arial Narrow" w:hAnsi="Arial Narrow" w:cs="Calibri"/>
          <w:b/>
          <w:bCs/>
          <w:sz w:val="20"/>
          <w:szCs w:val="20"/>
          <w:u w:val="single"/>
        </w:rPr>
        <w:t>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initial treatment "/>
      </w:tblPr>
      <w:tblGrid>
        <w:gridCol w:w="3094"/>
        <w:gridCol w:w="1973"/>
        <w:gridCol w:w="1973"/>
        <w:gridCol w:w="1977"/>
      </w:tblGrid>
      <w:tr w:rsidR="00136F95" w:rsidRPr="00D60B02" w14:paraId="5D629B28" w14:textId="77777777">
        <w:trPr>
          <w:cantSplit/>
          <w:trHeight w:val="20"/>
        </w:trPr>
        <w:tc>
          <w:tcPr>
            <w:tcW w:w="1716" w:type="pct"/>
            <w:vAlign w:val="center"/>
          </w:tcPr>
          <w:p w14:paraId="2DC20AA0" w14:textId="77777777" w:rsidR="00136F95" w:rsidRPr="00D60B02" w:rsidRDefault="00136F95" w:rsidP="00977FD6">
            <w:pPr>
              <w:keepNext/>
              <w:keepLines/>
              <w:rPr>
                <w:rFonts w:ascii="Arial Narrow" w:hAnsi="Arial Narrow"/>
                <w:b/>
                <w:bCs/>
                <w:sz w:val="20"/>
                <w:szCs w:val="20"/>
              </w:rPr>
            </w:pPr>
            <w:r w:rsidRPr="00D60B02">
              <w:rPr>
                <w:rFonts w:ascii="Arial Narrow" w:hAnsi="Arial Narrow"/>
                <w:b/>
                <w:bCs/>
                <w:sz w:val="20"/>
                <w:szCs w:val="20"/>
              </w:rPr>
              <w:t>MEDICINAL PRODUCT</w:t>
            </w:r>
          </w:p>
          <w:p w14:paraId="081E560C" w14:textId="77777777" w:rsidR="00136F95" w:rsidRPr="00D60B02" w:rsidRDefault="00136F95" w:rsidP="00977FD6">
            <w:pPr>
              <w:keepNext/>
              <w:keepLines/>
              <w:rPr>
                <w:rFonts w:ascii="Arial Narrow" w:hAnsi="Arial Narrow"/>
                <w:b/>
                <w:sz w:val="20"/>
                <w:szCs w:val="20"/>
              </w:rPr>
            </w:pPr>
            <w:r w:rsidRPr="00D60B02">
              <w:rPr>
                <w:rFonts w:ascii="Arial Narrow" w:hAnsi="Arial Narrow"/>
                <w:b/>
                <w:sz w:val="20"/>
                <w:szCs w:val="20"/>
              </w:rPr>
              <w:t>Form</w:t>
            </w:r>
          </w:p>
        </w:tc>
        <w:tc>
          <w:tcPr>
            <w:tcW w:w="1094" w:type="pct"/>
            <w:vAlign w:val="center"/>
          </w:tcPr>
          <w:p w14:paraId="0ED7CD80" w14:textId="77777777" w:rsidR="00136F95" w:rsidRPr="00D60B02" w:rsidRDefault="00136F95" w:rsidP="00977FD6">
            <w:pPr>
              <w:keepNext/>
              <w:keepLines/>
              <w:jc w:val="center"/>
              <w:rPr>
                <w:rFonts w:ascii="Arial Narrow" w:hAnsi="Arial Narrow"/>
                <w:b/>
                <w:sz w:val="20"/>
                <w:szCs w:val="20"/>
              </w:rPr>
            </w:pPr>
            <w:r w:rsidRPr="00D60B02">
              <w:rPr>
                <w:rFonts w:ascii="Arial Narrow" w:hAnsi="Arial Narrow"/>
                <w:b/>
                <w:sz w:val="20"/>
                <w:szCs w:val="20"/>
              </w:rPr>
              <w:t>PBS item code</w:t>
            </w:r>
          </w:p>
        </w:tc>
        <w:tc>
          <w:tcPr>
            <w:tcW w:w="1094" w:type="pct"/>
            <w:vAlign w:val="center"/>
          </w:tcPr>
          <w:p w14:paraId="07F35163" w14:textId="77777777" w:rsidR="00136F95" w:rsidRPr="00D60B02" w:rsidRDefault="00136F95" w:rsidP="00977FD6">
            <w:pPr>
              <w:keepNext/>
              <w:keepLines/>
              <w:jc w:val="center"/>
              <w:rPr>
                <w:rFonts w:ascii="Arial Narrow" w:hAnsi="Arial Narrow"/>
                <w:b/>
                <w:sz w:val="20"/>
                <w:szCs w:val="20"/>
              </w:rPr>
            </w:pPr>
            <w:r w:rsidRPr="00D60B02">
              <w:rPr>
                <w:rFonts w:ascii="Arial Narrow" w:hAnsi="Arial Narrow"/>
                <w:b/>
                <w:sz w:val="20"/>
                <w:szCs w:val="20"/>
              </w:rPr>
              <w:t>Max. Amount</w:t>
            </w:r>
          </w:p>
        </w:tc>
        <w:tc>
          <w:tcPr>
            <w:tcW w:w="1096" w:type="pct"/>
            <w:vAlign w:val="center"/>
          </w:tcPr>
          <w:p w14:paraId="1C860B0C" w14:textId="77777777" w:rsidR="00136F95" w:rsidRPr="00D60B02" w:rsidRDefault="00136F95" w:rsidP="00977FD6">
            <w:pPr>
              <w:keepNext/>
              <w:keepLines/>
              <w:jc w:val="center"/>
              <w:rPr>
                <w:rFonts w:ascii="Arial Narrow" w:hAnsi="Arial Narrow"/>
                <w:b/>
                <w:sz w:val="20"/>
                <w:szCs w:val="20"/>
              </w:rPr>
            </w:pPr>
            <w:r w:rsidRPr="00D60B02">
              <w:rPr>
                <w:rFonts w:ascii="Arial Narrow" w:hAnsi="Arial Narrow"/>
                <w:b/>
                <w:sz w:val="20"/>
                <w:szCs w:val="20"/>
              </w:rPr>
              <w:t>№.of Rpts</w:t>
            </w:r>
          </w:p>
        </w:tc>
      </w:tr>
      <w:tr w:rsidR="00136F95" w:rsidRPr="00D60B02" w14:paraId="6E4DF3E4" w14:textId="77777777">
        <w:trPr>
          <w:cantSplit/>
          <w:trHeight w:val="20"/>
        </w:trPr>
        <w:tc>
          <w:tcPr>
            <w:tcW w:w="1716" w:type="pct"/>
            <w:vAlign w:val="center"/>
          </w:tcPr>
          <w:p w14:paraId="2AE73888" w14:textId="77777777" w:rsidR="00136F95" w:rsidRPr="00D60B02" w:rsidRDefault="00136F95" w:rsidP="00977FD6">
            <w:pPr>
              <w:keepNext/>
              <w:keepLines/>
              <w:rPr>
                <w:rFonts w:ascii="Arial Narrow" w:hAnsi="Arial Narrow"/>
                <w:sz w:val="20"/>
                <w:szCs w:val="20"/>
              </w:rPr>
            </w:pPr>
            <w:r w:rsidRPr="00D60B02">
              <w:rPr>
                <w:rFonts w:ascii="Arial Narrow" w:hAnsi="Arial Narrow"/>
                <w:sz w:val="20"/>
                <w:szCs w:val="20"/>
              </w:rPr>
              <w:t>DURVALUMAB</w:t>
            </w:r>
          </w:p>
          <w:p w14:paraId="03707B92" w14:textId="77777777" w:rsidR="00136F95" w:rsidRPr="00D60B02" w:rsidRDefault="00136F95" w:rsidP="00977FD6">
            <w:pPr>
              <w:keepNext/>
              <w:keepLines/>
              <w:rPr>
                <w:rFonts w:ascii="Arial Narrow" w:hAnsi="Arial Narrow"/>
                <w:sz w:val="20"/>
                <w:szCs w:val="20"/>
              </w:rPr>
            </w:pPr>
            <w:r w:rsidRPr="00D60B02">
              <w:rPr>
                <w:rFonts w:ascii="Arial Narrow" w:hAnsi="Arial Narrow"/>
                <w:sz w:val="20"/>
                <w:szCs w:val="20"/>
              </w:rPr>
              <w:t>Injection</w:t>
            </w:r>
          </w:p>
        </w:tc>
        <w:tc>
          <w:tcPr>
            <w:tcW w:w="1094" w:type="pct"/>
            <w:vAlign w:val="center"/>
          </w:tcPr>
          <w:p w14:paraId="0D41526E" w14:textId="77777777" w:rsidR="00136F95" w:rsidRPr="00D60B02" w:rsidRDefault="00136F95" w:rsidP="00977FD6">
            <w:pPr>
              <w:keepNext/>
              <w:keepLines/>
              <w:jc w:val="center"/>
              <w:rPr>
                <w:rFonts w:ascii="Arial Narrow" w:hAnsi="Arial Narrow"/>
                <w:sz w:val="20"/>
                <w:szCs w:val="20"/>
              </w:rPr>
            </w:pPr>
            <w:r w:rsidRPr="00D60B02">
              <w:rPr>
                <w:rFonts w:ascii="Arial Narrow" w:hAnsi="Arial Narrow"/>
                <w:sz w:val="20"/>
                <w:szCs w:val="20"/>
              </w:rPr>
              <w:t>NEW (private)</w:t>
            </w:r>
          </w:p>
          <w:p w14:paraId="1E03F6E4" w14:textId="77777777" w:rsidR="00136F95" w:rsidRPr="00D60B02" w:rsidRDefault="00136F95" w:rsidP="00977FD6">
            <w:pPr>
              <w:keepNext/>
              <w:keepLines/>
              <w:jc w:val="center"/>
              <w:rPr>
                <w:rFonts w:ascii="Arial Narrow" w:hAnsi="Arial Narrow"/>
                <w:sz w:val="20"/>
                <w:szCs w:val="20"/>
              </w:rPr>
            </w:pPr>
            <w:r w:rsidRPr="00D60B02">
              <w:rPr>
                <w:rFonts w:ascii="Arial Narrow" w:hAnsi="Arial Narrow"/>
                <w:sz w:val="20"/>
                <w:szCs w:val="20"/>
              </w:rPr>
              <w:t>NEW (public)</w:t>
            </w:r>
          </w:p>
        </w:tc>
        <w:tc>
          <w:tcPr>
            <w:tcW w:w="1094" w:type="pct"/>
            <w:vAlign w:val="center"/>
          </w:tcPr>
          <w:p w14:paraId="192353C2" w14:textId="77777777" w:rsidR="00136F95" w:rsidRPr="00D60B02" w:rsidRDefault="00136F95" w:rsidP="00977FD6">
            <w:pPr>
              <w:keepNext/>
              <w:keepLines/>
              <w:jc w:val="center"/>
              <w:rPr>
                <w:rFonts w:ascii="Arial Narrow" w:hAnsi="Arial Narrow"/>
                <w:sz w:val="20"/>
                <w:szCs w:val="20"/>
              </w:rPr>
            </w:pPr>
            <w:r w:rsidRPr="00D60B02">
              <w:rPr>
                <w:rFonts w:ascii="Arial Narrow" w:hAnsi="Arial Narrow"/>
                <w:sz w:val="20"/>
                <w:szCs w:val="20"/>
              </w:rPr>
              <w:t>1500mg</w:t>
            </w:r>
          </w:p>
        </w:tc>
        <w:tc>
          <w:tcPr>
            <w:tcW w:w="1096" w:type="pct"/>
            <w:vAlign w:val="center"/>
          </w:tcPr>
          <w:p w14:paraId="7B510587" w14:textId="77777777" w:rsidR="00136F95" w:rsidRPr="00D60B02" w:rsidRDefault="00136F95" w:rsidP="00977FD6">
            <w:pPr>
              <w:keepNext/>
              <w:keepLines/>
              <w:jc w:val="center"/>
              <w:rPr>
                <w:rFonts w:ascii="Arial Narrow" w:hAnsi="Arial Narrow"/>
                <w:sz w:val="20"/>
                <w:szCs w:val="20"/>
              </w:rPr>
            </w:pPr>
            <w:r w:rsidRPr="00D60B02">
              <w:rPr>
                <w:rFonts w:ascii="Arial Narrow" w:hAnsi="Arial Narrow"/>
                <w:sz w:val="20"/>
                <w:szCs w:val="20"/>
              </w:rPr>
              <w:t>3</w:t>
            </w:r>
          </w:p>
        </w:tc>
      </w:tr>
      <w:tr w:rsidR="00136F95" w:rsidRPr="00D60B02" w14:paraId="6EC8FEB0" w14:textId="77777777">
        <w:trPr>
          <w:cantSplit/>
          <w:trHeight w:val="20"/>
        </w:trPr>
        <w:tc>
          <w:tcPr>
            <w:tcW w:w="5000" w:type="pct"/>
            <w:gridSpan w:val="4"/>
            <w:vAlign w:val="center"/>
          </w:tcPr>
          <w:p w14:paraId="3F9268BD" w14:textId="77777777" w:rsidR="00136F95" w:rsidRPr="00D60B02" w:rsidRDefault="00136F95" w:rsidP="00977FD6">
            <w:pPr>
              <w:keepNext/>
              <w:keepLines/>
              <w:rPr>
                <w:rFonts w:ascii="Arial Narrow" w:hAnsi="Arial Narrow"/>
                <w:b/>
                <w:sz w:val="20"/>
                <w:szCs w:val="20"/>
              </w:rPr>
            </w:pPr>
            <w:r w:rsidRPr="00D60B02">
              <w:rPr>
                <w:rFonts w:ascii="Arial Narrow" w:hAnsi="Arial Narrow"/>
                <w:b/>
                <w:sz w:val="20"/>
                <w:szCs w:val="20"/>
              </w:rPr>
              <w:t xml:space="preserve">Available brands </w:t>
            </w:r>
          </w:p>
        </w:tc>
      </w:tr>
      <w:tr w:rsidR="00136F95" w:rsidRPr="00D60B02" w14:paraId="452E5D6B" w14:textId="77777777">
        <w:trPr>
          <w:cantSplit/>
          <w:trHeight w:val="20"/>
        </w:trPr>
        <w:tc>
          <w:tcPr>
            <w:tcW w:w="5000" w:type="pct"/>
            <w:gridSpan w:val="4"/>
          </w:tcPr>
          <w:p w14:paraId="2FDF9296" w14:textId="77777777" w:rsidR="00136F95" w:rsidRPr="00D60B02" w:rsidRDefault="00136F95" w:rsidP="00977FD6">
            <w:pPr>
              <w:keepNext/>
              <w:keepLines/>
              <w:rPr>
                <w:rFonts w:ascii="Arial Narrow" w:hAnsi="Arial Narrow"/>
                <w:sz w:val="20"/>
                <w:szCs w:val="20"/>
              </w:rPr>
            </w:pPr>
            <w:r w:rsidRPr="00D60B02">
              <w:rPr>
                <w:rFonts w:ascii="Arial Narrow" w:hAnsi="Arial Narrow"/>
                <w:sz w:val="20"/>
                <w:szCs w:val="20"/>
              </w:rPr>
              <w:t xml:space="preserve">Imfinzi </w:t>
            </w:r>
          </w:p>
          <w:p w14:paraId="2F0746A8" w14:textId="77777777" w:rsidR="00136F95" w:rsidRPr="00D60B02" w:rsidRDefault="00136F95" w:rsidP="00977FD6">
            <w:pPr>
              <w:keepNext/>
              <w:keepLines/>
              <w:rPr>
                <w:rFonts w:ascii="Arial Narrow" w:hAnsi="Arial Narrow"/>
                <w:sz w:val="20"/>
                <w:szCs w:val="20"/>
              </w:rPr>
            </w:pPr>
            <w:r w:rsidRPr="00D60B02">
              <w:rPr>
                <w:rFonts w:ascii="Arial Narrow" w:hAnsi="Arial Narrow"/>
                <w:sz w:val="20"/>
                <w:szCs w:val="20"/>
              </w:rPr>
              <w:t>durvalumab 500mg/10 mL injection, 10 mL vial</w:t>
            </w:r>
          </w:p>
        </w:tc>
      </w:tr>
      <w:tr w:rsidR="00136F95" w:rsidRPr="00D60B02" w14:paraId="3AE2AC7E" w14:textId="77777777">
        <w:trPr>
          <w:cantSplit/>
          <w:trHeight w:val="20"/>
        </w:trPr>
        <w:tc>
          <w:tcPr>
            <w:tcW w:w="5000" w:type="pct"/>
            <w:gridSpan w:val="4"/>
          </w:tcPr>
          <w:p w14:paraId="1EC2A92A" w14:textId="77777777" w:rsidR="00136F95" w:rsidRPr="00D60B02" w:rsidRDefault="00136F95" w:rsidP="00977FD6">
            <w:pPr>
              <w:keepNext/>
              <w:keepLines/>
              <w:rPr>
                <w:rFonts w:ascii="Arial Narrow" w:hAnsi="Arial Narrow"/>
                <w:sz w:val="20"/>
                <w:szCs w:val="20"/>
              </w:rPr>
            </w:pPr>
            <w:r w:rsidRPr="00D60B02">
              <w:rPr>
                <w:rFonts w:ascii="Arial Narrow" w:hAnsi="Arial Narrow"/>
                <w:sz w:val="20"/>
                <w:szCs w:val="20"/>
              </w:rPr>
              <w:t xml:space="preserve">Imfinzi </w:t>
            </w:r>
          </w:p>
          <w:p w14:paraId="2CE07B30" w14:textId="77777777" w:rsidR="00136F95" w:rsidRPr="00D60B02" w:rsidRDefault="00136F95" w:rsidP="00977FD6">
            <w:pPr>
              <w:keepNext/>
              <w:keepLines/>
              <w:rPr>
                <w:rFonts w:ascii="Arial Narrow" w:hAnsi="Arial Narrow"/>
                <w:sz w:val="20"/>
                <w:szCs w:val="20"/>
              </w:rPr>
            </w:pPr>
            <w:r w:rsidRPr="00D60B02">
              <w:rPr>
                <w:rFonts w:ascii="Arial Narrow" w:hAnsi="Arial Narrow"/>
                <w:sz w:val="20"/>
                <w:szCs w:val="20"/>
              </w:rPr>
              <w:t>durvalumab 120mg/2.4 mL injection, 10 mL vial</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7"/>
      </w:tblGrid>
      <w:tr w:rsidR="00C7007E" w:rsidRPr="00D60B02" w14:paraId="3D2627C5" w14:textId="77777777" w:rsidTr="00C7007E">
        <w:trPr>
          <w:cantSplit/>
          <w:trHeight w:val="20"/>
        </w:trPr>
        <w:tc>
          <w:tcPr>
            <w:tcW w:w="5000" w:type="pct"/>
            <w:vAlign w:val="center"/>
          </w:tcPr>
          <w:p w14:paraId="1BCDB1AE" w14:textId="3A3D2185" w:rsidR="00C7007E" w:rsidRPr="00D60B02" w:rsidRDefault="00C7007E">
            <w:pPr>
              <w:keepNext/>
              <w:rPr>
                <w:rFonts w:ascii="Arial Narrow" w:hAnsi="Arial Narrow"/>
                <w:sz w:val="20"/>
                <w:szCs w:val="20"/>
              </w:rPr>
            </w:pPr>
            <w:r w:rsidRPr="00D60B02">
              <w:rPr>
                <w:rFonts w:ascii="Arial Narrow" w:hAnsi="Arial Narrow"/>
                <w:b/>
                <w:sz w:val="20"/>
                <w:szCs w:val="20"/>
              </w:rPr>
              <w:t>Restriction Summary NEW / Treatment of Concept: NEW</w:t>
            </w:r>
          </w:p>
        </w:tc>
      </w:tr>
      <w:tr w:rsidR="00C7007E" w:rsidRPr="00D60B02" w14:paraId="35411474" w14:textId="77777777" w:rsidTr="00C7007E">
        <w:tblPrEx>
          <w:tblCellMar>
            <w:top w:w="15" w:type="dxa"/>
            <w:bottom w:w="15" w:type="dxa"/>
          </w:tblCellMar>
          <w:tblLook w:val="04A0" w:firstRow="1" w:lastRow="0" w:firstColumn="1" w:lastColumn="0" w:noHBand="0" w:noVBand="1"/>
        </w:tblPrEx>
        <w:trPr>
          <w:cantSplit/>
          <w:trHeight w:val="20"/>
        </w:trPr>
        <w:tc>
          <w:tcPr>
            <w:tcW w:w="5000" w:type="pct"/>
          </w:tcPr>
          <w:p w14:paraId="0749CCC3" w14:textId="77777777" w:rsidR="00C7007E" w:rsidRPr="00D60B02" w:rsidRDefault="00C7007E">
            <w:pPr>
              <w:keepNext/>
              <w:rPr>
                <w:rFonts w:ascii="Arial Narrow" w:hAnsi="Arial Narrow"/>
                <w:sz w:val="20"/>
                <w:szCs w:val="20"/>
              </w:rPr>
            </w:pPr>
            <w:r w:rsidRPr="00D60B02">
              <w:rPr>
                <w:rFonts w:ascii="Arial Narrow" w:hAnsi="Arial Narrow"/>
                <w:b/>
                <w:sz w:val="20"/>
                <w:szCs w:val="20"/>
              </w:rPr>
              <w:t xml:space="preserve">Category / Program: </w:t>
            </w:r>
            <w:r w:rsidRPr="00D60B02">
              <w:rPr>
                <w:rFonts w:ascii="Arial Narrow" w:hAnsi="Arial Narrow"/>
                <w:sz w:val="20"/>
                <w:szCs w:val="20"/>
              </w:rPr>
              <w:t>Section 100 – Efficient Funding of Chemotherapy Public/Private hospitals</w:t>
            </w:r>
          </w:p>
        </w:tc>
      </w:tr>
      <w:tr w:rsidR="00C7007E" w:rsidRPr="00D60B02" w14:paraId="6BFF6E07" w14:textId="77777777" w:rsidTr="00C7007E">
        <w:tblPrEx>
          <w:tblCellMar>
            <w:top w:w="15" w:type="dxa"/>
            <w:bottom w:w="15" w:type="dxa"/>
          </w:tblCellMar>
          <w:tblLook w:val="04A0" w:firstRow="1" w:lastRow="0" w:firstColumn="1" w:lastColumn="0" w:noHBand="0" w:noVBand="1"/>
        </w:tblPrEx>
        <w:trPr>
          <w:cantSplit/>
          <w:trHeight w:val="20"/>
        </w:trPr>
        <w:tc>
          <w:tcPr>
            <w:tcW w:w="5000" w:type="pct"/>
          </w:tcPr>
          <w:p w14:paraId="3B05E3C2" w14:textId="77777777" w:rsidR="00C7007E" w:rsidRPr="00D60B02" w:rsidRDefault="00C7007E">
            <w:pPr>
              <w:keepNext/>
              <w:rPr>
                <w:rFonts w:ascii="Arial Narrow" w:hAnsi="Arial Narrow"/>
                <w:b/>
                <w:sz w:val="20"/>
                <w:szCs w:val="20"/>
              </w:rPr>
            </w:pPr>
            <w:r w:rsidRPr="00D60B02">
              <w:rPr>
                <w:rFonts w:ascii="Arial Narrow" w:hAnsi="Arial Narrow"/>
                <w:b/>
                <w:sz w:val="20"/>
                <w:szCs w:val="20"/>
              </w:rPr>
              <w:t xml:space="preserve">Prescriber type: </w:t>
            </w:r>
            <w:r w:rsidRPr="00D60B02">
              <w:rPr>
                <w:rFonts w:ascii="Arial Narrow" w:hAnsi="Arial Narrow"/>
                <w:sz w:val="20"/>
                <w:szCs w:val="20"/>
              </w:rPr>
              <w:fldChar w:fldCharType="begin">
                <w:ffData>
                  <w:name w:val=""/>
                  <w:enabled/>
                  <w:calcOnExit w:val="0"/>
                  <w:checkBox>
                    <w:sizeAuto/>
                    <w:default w:val="1"/>
                  </w:checkBox>
                </w:ffData>
              </w:fldChar>
            </w:r>
            <w:r w:rsidRPr="00D60B02">
              <w:rPr>
                <w:rFonts w:ascii="Arial Narrow" w:hAnsi="Arial Narrow"/>
                <w:sz w:val="20"/>
                <w:szCs w:val="20"/>
              </w:rPr>
              <w:instrText xml:space="preserve"> FORMCHECKBOX </w:instrText>
            </w:r>
            <w:r w:rsidRPr="00D60B02">
              <w:rPr>
                <w:rFonts w:ascii="Arial Narrow" w:hAnsi="Arial Narrow"/>
                <w:sz w:val="20"/>
                <w:szCs w:val="20"/>
              </w:rPr>
            </w:r>
            <w:r w:rsidRPr="00D60B02">
              <w:rPr>
                <w:rFonts w:ascii="Arial Narrow" w:hAnsi="Arial Narrow"/>
                <w:sz w:val="20"/>
                <w:szCs w:val="20"/>
              </w:rPr>
              <w:fldChar w:fldCharType="separate"/>
            </w:r>
            <w:r w:rsidRPr="00D60B02">
              <w:rPr>
                <w:rFonts w:ascii="Arial Narrow" w:hAnsi="Arial Narrow"/>
                <w:sz w:val="20"/>
                <w:szCs w:val="20"/>
              </w:rPr>
              <w:fldChar w:fldCharType="end"/>
            </w:r>
            <w:r w:rsidRPr="00D60B02">
              <w:rPr>
                <w:rFonts w:ascii="Arial Narrow" w:hAnsi="Arial Narrow"/>
                <w:sz w:val="20"/>
                <w:szCs w:val="20"/>
              </w:rPr>
              <w:t xml:space="preserve">Medical Practitioners </w:t>
            </w:r>
          </w:p>
        </w:tc>
      </w:tr>
      <w:tr w:rsidR="00C7007E" w:rsidRPr="00D60B02" w14:paraId="7728210C" w14:textId="77777777" w:rsidTr="00C7007E">
        <w:tblPrEx>
          <w:tblCellMar>
            <w:top w:w="15" w:type="dxa"/>
            <w:bottom w:w="15" w:type="dxa"/>
          </w:tblCellMar>
          <w:tblLook w:val="04A0" w:firstRow="1" w:lastRow="0" w:firstColumn="1" w:lastColumn="0" w:noHBand="0" w:noVBand="1"/>
        </w:tblPrEx>
        <w:trPr>
          <w:cantSplit/>
          <w:trHeight w:val="20"/>
        </w:trPr>
        <w:tc>
          <w:tcPr>
            <w:tcW w:w="5000" w:type="pct"/>
          </w:tcPr>
          <w:p w14:paraId="75707AE9" w14:textId="77777777" w:rsidR="00C7007E" w:rsidRPr="00D60B02" w:rsidRDefault="00C7007E">
            <w:pPr>
              <w:rPr>
                <w:rFonts w:ascii="Arial Narrow" w:eastAsia="Calibri" w:hAnsi="Arial Narrow"/>
                <w:sz w:val="20"/>
                <w:szCs w:val="20"/>
              </w:rPr>
            </w:pPr>
            <w:r w:rsidRPr="00D60B02">
              <w:rPr>
                <w:rFonts w:ascii="Arial Narrow" w:hAnsi="Arial Narrow"/>
                <w:b/>
                <w:sz w:val="20"/>
                <w:szCs w:val="20"/>
              </w:rPr>
              <w:t xml:space="preserve">Restriction type: </w:t>
            </w:r>
            <w:r w:rsidRPr="00D60B02">
              <w:rPr>
                <w:rFonts w:ascii="Arial Narrow" w:eastAsia="Calibri" w:hAnsi="Arial Narrow"/>
                <w:sz w:val="20"/>
                <w:szCs w:val="20"/>
              </w:rPr>
              <w:fldChar w:fldCharType="begin">
                <w:ffData>
                  <w:name w:val=""/>
                  <w:enabled/>
                  <w:calcOnExit w:val="0"/>
                  <w:checkBox>
                    <w:sizeAuto/>
                    <w:default w:val="1"/>
                  </w:checkBox>
                </w:ffData>
              </w:fldChar>
            </w:r>
            <w:r w:rsidRPr="00D60B02">
              <w:rPr>
                <w:rFonts w:ascii="Arial Narrow" w:eastAsia="Calibri" w:hAnsi="Arial Narrow"/>
                <w:sz w:val="20"/>
                <w:szCs w:val="20"/>
              </w:rPr>
              <w:instrText xml:space="preserve"> FORMCHECKBOX </w:instrText>
            </w:r>
            <w:r w:rsidRPr="00D60B02">
              <w:rPr>
                <w:rFonts w:ascii="Arial Narrow" w:eastAsia="Calibri" w:hAnsi="Arial Narrow"/>
                <w:sz w:val="20"/>
                <w:szCs w:val="20"/>
              </w:rPr>
            </w:r>
            <w:r w:rsidRPr="00D60B02">
              <w:rPr>
                <w:rFonts w:ascii="Arial Narrow" w:eastAsia="Calibri" w:hAnsi="Arial Narrow"/>
                <w:sz w:val="20"/>
                <w:szCs w:val="20"/>
              </w:rPr>
              <w:fldChar w:fldCharType="separate"/>
            </w:r>
            <w:r w:rsidRPr="00D60B02">
              <w:rPr>
                <w:rFonts w:ascii="Arial Narrow" w:eastAsia="Calibri" w:hAnsi="Arial Narrow"/>
                <w:sz w:val="20"/>
                <w:szCs w:val="20"/>
              </w:rPr>
              <w:fldChar w:fldCharType="end"/>
            </w:r>
            <w:r w:rsidRPr="00D60B02">
              <w:rPr>
                <w:rFonts w:ascii="Arial Narrow" w:eastAsia="Calibri" w:hAnsi="Arial Narrow"/>
                <w:sz w:val="20"/>
                <w:szCs w:val="20"/>
              </w:rPr>
              <w:t xml:space="preserve">Authority Required (STREAMLINED) [new] </w:t>
            </w:r>
          </w:p>
        </w:tc>
      </w:tr>
      <w:tr w:rsidR="00C7007E" w:rsidRPr="00D60B02" w14:paraId="4B779700" w14:textId="77777777" w:rsidTr="00C7007E">
        <w:tblPrEx>
          <w:tblCellMar>
            <w:top w:w="15" w:type="dxa"/>
            <w:bottom w:w="15" w:type="dxa"/>
          </w:tblCellMar>
          <w:tblLook w:val="04A0" w:firstRow="1" w:lastRow="0" w:firstColumn="1" w:lastColumn="0" w:noHBand="0" w:noVBand="1"/>
        </w:tblPrEx>
        <w:trPr>
          <w:trHeight w:val="20"/>
        </w:trPr>
        <w:tc>
          <w:tcPr>
            <w:tcW w:w="5000" w:type="pct"/>
          </w:tcPr>
          <w:p w14:paraId="24C5987C" w14:textId="77777777" w:rsidR="00C7007E" w:rsidRPr="00D60B02" w:rsidRDefault="00C7007E">
            <w:pPr>
              <w:keepLines/>
              <w:rPr>
                <w:rFonts w:ascii="Arial Narrow" w:hAnsi="Arial Narrow"/>
                <w:sz w:val="20"/>
                <w:szCs w:val="20"/>
              </w:rPr>
            </w:pPr>
            <w:r w:rsidRPr="00D60B02">
              <w:rPr>
                <w:rFonts w:ascii="Arial Narrow" w:hAnsi="Arial Narrow" w:cs="Open Sans"/>
                <w:b/>
                <w:bCs/>
                <w:sz w:val="20"/>
                <w:szCs w:val="20"/>
                <w:bdr w:val="none" w:sz="0" w:space="0" w:color="auto" w:frame="1"/>
              </w:rPr>
              <w:t>Administrative Advice: No increase in the maximum quantity or number of units may be authorised</w:t>
            </w:r>
          </w:p>
        </w:tc>
      </w:tr>
      <w:tr w:rsidR="00C7007E" w:rsidRPr="00D60B02" w14:paraId="79D688CB" w14:textId="77777777" w:rsidTr="00C7007E">
        <w:tblPrEx>
          <w:tblCellMar>
            <w:top w:w="15" w:type="dxa"/>
            <w:bottom w:w="15" w:type="dxa"/>
          </w:tblCellMar>
          <w:tblLook w:val="04A0" w:firstRow="1" w:lastRow="0" w:firstColumn="1" w:lastColumn="0" w:noHBand="0" w:noVBand="1"/>
        </w:tblPrEx>
        <w:trPr>
          <w:trHeight w:val="20"/>
        </w:trPr>
        <w:tc>
          <w:tcPr>
            <w:tcW w:w="5000" w:type="pct"/>
          </w:tcPr>
          <w:p w14:paraId="3FCB6B0C" w14:textId="77777777" w:rsidR="00C7007E" w:rsidRPr="00D60B02" w:rsidRDefault="00C7007E">
            <w:pPr>
              <w:keepLines/>
              <w:rPr>
                <w:rFonts w:ascii="Arial Narrow" w:hAnsi="Arial Narrow"/>
                <w:b/>
                <w:bCs/>
                <w:sz w:val="20"/>
                <w:szCs w:val="20"/>
              </w:rPr>
            </w:pPr>
            <w:r w:rsidRPr="00D60B02">
              <w:rPr>
                <w:rFonts w:ascii="Arial Narrow" w:hAnsi="Arial Narrow" w:cs="Open Sans"/>
                <w:b/>
                <w:bCs/>
                <w:sz w:val="20"/>
                <w:szCs w:val="20"/>
                <w:bdr w:val="none" w:sz="0" w:space="0" w:color="auto" w:frame="1"/>
              </w:rPr>
              <w:t>Administrative Advice: No increase in the maximum number of repeats may be authorised</w:t>
            </w:r>
          </w:p>
        </w:tc>
      </w:tr>
      <w:tr w:rsidR="00C7007E" w:rsidRPr="00D60B02" w14:paraId="0AA3C7FB" w14:textId="77777777" w:rsidTr="00C7007E">
        <w:tblPrEx>
          <w:tblCellMar>
            <w:top w:w="15" w:type="dxa"/>
            <w:bottom w:w="15" w:type="dxa"/>
          </w:tblCellMar>
          <w:tblLook w:val="04A0" w:firstRow="1" w:lastRow="0" w:firstColumn="1" w:lastColumn="0" w:noHBand="0" w:noVBand="1"/>
        </w:tblPrEx>
        <w:trPr>
          <w:trHeight w:val="20"/>
        </w:trPr>
        <w:tc>
          <w:tcPr>
            <w:tcW w:w="5000" w:type="pct"/>
          </w:tcPr>
          <w:p w14:paraId="1ACB7713" w14:textId="77777777" w:rsidR="00C7007E" w:rsidRPr="00D60B02" w:rsidRDefault="00C7007E">
            <w:pPr>
              <w:keepLines/>
              <w:rPr>
                <w:rFonts w:ascii="Arial Narrow" w:hAnsi="Arial Narrow"/>
                <w:b/>
                <w:bCs/>
                <w:sz w:val="20"/>
                <w:szCs w:val="20"/>
              </w:rPr>
            </w:pPr>
            <w:r w:rsidRPr="00D60B02">
              <w:rPr>
                <w:rFonts w:ascii="Arial Narrow" w:hAnsi="Arial Narrow" w:cs="Open Sans"/>
                <w:b/>
                <w:bCs/>
                <w:sz w:val="20"/>
                <w:szCs w:val="20"/>
                <w:bdr w:val="none" w:sz="0" w:space="0" w:color="auto" w:frame="1"/>
              </w:rPr>
              <w:t>Administrative Advice: Special Pricing Arrangements apply</w:t>
            </w:r>
          </w:p>
        </w:tc>
      </w:tr>
      <w:tr w:rsidR="00C7007E" w:rsidRPr="00D60B02" w14:paraId="7A796A1D"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33310429" w14:textId="42AA2C12" w:rsidR="00C7007E" w:rsidRPr="001453AD" w:rsidRDefault="00C7007E">
            <w:pPr>
              <w:keepLines/>
              <w:rPr>
                <w:rFonts w:ascii="Arial Narrow" w:hAnsi="Arial Narrow"/>
                <w:b/>
                <w:bCs/>
                <w:sz w:val="20"/>
                <w:szCs w:val="20"/>
              </w:rPr>
            </w:pPr>
            <w:r w:rsidRPr="001453AD">
              <w:rPr>
                <w:rFonts w:ascii="Arial Narrow" w:hAnsi="Arial Narrow"/>
                <w:b/>
                <w:bCs/>
                <w:sz w:val="20"/>
                <w:szCs w:val="20"/>
              </w:rPr>
              <w:t xml:space="preserve">Condition: </w:t>
            </w:r>
            <w:r w:rsidRPr="001453AD">
              <w:rPr>
                <w:rFonts w:ascii="Arial Narrow" w:hAnsi="Arial Narrow"/>
                <w:bCs/>
                <w:sz w:val="20"/>
                <w:szCs w:val="20"/>
              </w:rPr>
              <w:t>Urothelial Carcinoma</w:t>
            </w:r>
          </w:p>
        </w:tc>
      </w:tr>
      <w:tr w:rsidR="00C7007E" w:rsidRPr="00D60B02" w14:paraId="442A48A3"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01DE31D4" w14:textId="6934F7FE" w:rsidR="00C7007E" w:rsidRPr="001453AD" w:rsidRDefault="00C7007E">
            <w:pPr>
              <w:keepLines/>
              <w:rPr>
                <w:rFonts w:ascii="Arial Narrow" w:hAnsi="Arial Narrow"/>
                <w:sz w:val="20"/>
                <w:szCs w:val="20"/>
              </w:rPr>
            </w:pPr>
            <w:r w:rsidRPr="001453AD">
              <w:rPr>
                <w:rFonts w:ascii="Arial Narrow" w:hAnsi="Arial Narrow"/>
                <w:b/>
                <w:bCs/>
                <w:sz w:val="20"/>
                <w:szCs w:val="20"/>
              </w:rPr>
              <w:t>Indication:</w:t>
            </w:r>
            <w:r w:rsidRPr="001453AD">
              <w:rPr>
                <w:rFonts w:ascii="Arial Narrow" w:hAnsi="Arial Narrow"/>
                <w:sz w:val="20"/>
                <w:szCs w:val="20"/>
              </w:rPr>
              <w:t xml:space="preserve"> </w:t>
            </w:r>
            <w:r w:rsidRPr="001453AD">
              <w:rPr>
                <w:rFonts w:ascii="Arial Narrow" w:hAnsi="Arial Narrow"/>
                <w:bCs/>
                <w:sz w:val="20"/>
                <w:szCs w:val="20"/>
              </w:rPr>
              <w:t>Urothelial Carcinoma</w:t>
            </w:r>
          </w:p>
        </w:tc>
      </w:tr>
      <w:tr w:rsidR="00C7007E" w:rsidRPr="00D60B02" w14:paraId="6E1CA7DF"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76E29936" w14:textId="77777777" w:rsidR="00C7007E" w:rsidRPr="00D60B02" w:rsidRDefault="00C7007E">
            <w:pPr>
              <w:rPr>
                <w:rFonts w:ascii="Arial Narrow" w:hAnsi="Arial Narrow"/>
                <w:i/>
                <w:iCs/>
                <w:sz w:val="20"/>
                <w:szCs w:val="20"/>
              </w:rPr>
            </w:pPr>
            <w:r w:rsidRPr="00D60B02">
              <w:rPr>
                <w:rFonts w:ascii="Arial Narrow" w:hAnsi="Arial Narrow"/>
                <w:b/>
                <w:bCs/>
                <w:sz w:val="20"/>
                <w:szCs w:val="20"/>
              </w:rPr>
              <w:t xml:space="preserve">Treatment Phase: </w:t>
            </w:r>
            <w:r w:rsidRPr="00CA76FD">
              <w:rPr>
                <w:rFonts w:ascii="Arial Narrow" w:hAnsi="Arial Narrow"/>
                <w:sz w:val="20"/>
                <w:szCs w:val="20"/>
              </w:rPr>
              <w:t>Initial treatment – neoadjuvant setting</w:t>
            </w:r>
          </w:p>
        </w:tc>
      </w:tr>
      <w:tr w:rsidR="00C7007E" w:rsidRPr="00D60B02" w14:paraId="41734815"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1278DAEC" w14:textId="77777777" w:rsidR="00C7007E" w:rsidRPr="00D60B02" w:rsidRDefault="00C7007E">
            <w:pPr>
              <w:rPr>
                <w:rFonts w:ascii="Arial Narrow" w:hAnsi="Arial Narrow"/>
                <w:b/>
                <w:bCs/>
                <w:sz w:val="20"/>
                <w:szCs w:val="20"/>
              </w:rPr>
            </w:pPr>
            <w:r w:rsidRPr="00D60B02">
              <w:rPr>
                <w:rFonts w:ascii="Arial Narrow" w:hAnsi="Arial Narrow"/>
                <w:b/>
                <w:bCs/>
                <w:sz w:val="20"/>
                <w:szCs w:val="20"/>
              </w:rPr>
              <w:t>Population criteria:</w:t>
            </w:r>
          </w:p>
        </w:tc>
      </w:tr>
      <w:tr w:rsidR="00C7007E" w:rsidRPr="00D60B02" w14:paraId="6DD218FB"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051E132B" w14:textId="77777777" w:rsidR="00C7007E" w:rsidRPr="00D60B02" w:rsidRDefault="00C7007E">
            <w:pPr>
              <w:rPr>
                <w:rFonts w:ascii="Arial Narrow" w:hAnsi="Arial Narrow"/>
                <w:sz w:val="20"/>
                <w:szCs w:val="20"/>
              </w:rPr>
            </w:pPr>
            <w:r w:rsidRPr="00D60B02">
              <w:rPr>
                <w:rFonts w:ascii="Arial Narrow" w:hAnsi="Arial Narrow"/>
                <w:sz w:val="20"/>
                <w:szCs w:val="20"/>
              </w:rPr>
              <w:t xml:space="preserve">Patient must be initiating treatment with this drug for this condition; or </w:t>
            </w:r>
          </w:p>
        </w:tc>
      </w:tr>
      <w:tr w:rsidR="00C7007E" w:rsidRPr="00D60B02" w14:paraId="70A1A2B4"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3DA4A6D9" w14:textId="15BC07E5" w:rsidR="00C7007E" w:rsidRPr="00D60B02" w:rsidRDefault="00C7007E">
            <w:pPr>
              <w:rPr>
                <w:rFonts w:ascii="Arial Narrow" w:hAnsi="Arial Narrow"/>
                <w:sz w:val="20"/>
                <w:szCs w:val="20"/>
              </w:rPr>
            </w:pPr>
            <w:r w:rsidRPr="00D60B02">
              <w:rPr>
                <w:rFonts w:ascii="Arial Narrow" w:hAnsi="Arial Narrow"/>
                <w:sz w:val="20"/>
                <w:szCs w:val="20"/>
              </w:rPr>
              <w:t xml:space="preserve">Patient must be transitioning from non-PBS to PBS subsidised </w:t>
            </w:r>
            <w:r w:rsidRPr="00D77369">
              <w:rPr>
                <w:rFonts w:ascii="Arial Narrow" w:hAnsi="Arial Narrow"/>
                <w:sz w:val="20"/>
                <w:szCs w:val="20"/>
              </w:rPr>
              <w:t>treatment with this drug for this condition</w:t>
            </w:r>
          </w:p>
        </w:tc>
      </w:tr>
      <w:tr w:rsidR="00C7007E" w:rsidRPr="00D60B02" w14:paraId="035D2FDE"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06FF188B" w14:textId="77777777" w:rsidR="00C7007E" w:rsidRPr="00D60B02" w:rsidRDefault="00C7007E">
            <w:pPr>
              <w:rPr>
                <w:rFonts w:ascii="Arial Narrow" w:hAnsi="Arial Narrow"/>
                <w:sz w:val="20"/>
                <w:szCs w:val="20"/>
              </w:rPr>
            </w:pPr>
            <w:r w:rsidRPr="00D60B02">
              <w:rPr>
                <w:rFonts w:ascii="Arial Narrow" w:hAnsi="Arial Narrow"/>
                <w:b/>
                <w:bCs/>
                <w:sz w:val="20"/>
                <w:szCs w:val="20"/>
              </w:rPr>
              <w:t>Clinical criteria:</w:t>
            </w:r>
          </w:p>
        </w:tc>
      </w:tr>
      <w:tr w:rsidR="00C7007E" w:rsidRPr="00D60B02" w14:paraId="621DA7DE"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4CEAADE2" w14:textId="77777777" w:rsidR="00C7007E" w:rsidRPr="00D60B02" w:rsidRDefault="00C7007E">
            <w:pPr>
              <w:rPr>
                <w:rFonts w:ascii="Arial Narrow" w:hAnsi="Arial Narrow"/>
                <w:sz w:val="20"/>
                <w:szCs w:val="20"/>
              </w:rPr>
            </w:pPr>
            <w:r w:rsidRPr="00D60B02">
              <w:rPr>
                <w:rFonts w:ascii="Arial Narrow" w:hAnsi="Arial Narrow"/>
                <w:sz w:val="20"/>
                <w:szCs w:val="20"/>
              </w:rPr>
              <w:t xml:space="preserve">The condition must not have previously been treated with systemic </w:t>
            </w:r>
            <w:r w:rsidRPr="00BC440E">
              <w:rPr>
                <w:rFonts w:ascii="Arial Narrow" w:hAnsi="Arial Narrow"/>
                <w:sz w:val="20"/>
                <w:szCs w:val="20"/>
              </w:rPr>
              <w:t>therapy for muscle-invasive bladder cancer at the time this drug was initiated for this condition</w:t>
            </w:r>
          </w:p>
        </w:tc>
      </w:tr>
      <w:tr w:rsidR="00C7007E" w:rsidRPr="00D60B02" w14:paraId="0DD8365B"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5C06D9A3" w14:textId="77777777" w:rsidR="00C7007E" w:rsidRPr="00D60B02" w:rsidRDefault="00C7007E">
            <w:pPr>
              <w:rPr>
                <w:rFonts w:ascii="Arial Narrow" w:hAnsi="Arial Narrow"/>
                <w:b/>
                <w:bCs/>
                <w:sz w:val="20"/>
                <w:szCs w:val="20"/>
              </w:rPr>
            </w:pPr>
            <w:r w:rsidRPr="00D60B02">
              <w:rPr>
                <w:rFonts w:ascii="Arial Narrow" w:hAnsi="Arial Narrow"/>
                <w:b/>
                <w:bCs/>
                <w:sz w:val="20"/>
                <w:szCs w:val="20"/>
              </w:rPr>
              <w:t>AND</w:t>
            </w:r>
          </w:p>
        </w:tc>
      </w:tr>
      <w:tr w:rsidR="00AE1B08" w:rsidRPr="00D60B02" w14:paraId="2A34ABCC"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28C860C2" w14:textId="67833B5C" w:rsidR="00AE1B08" w:rsidRPr="00D60B02" w:rsidRDefault="00AE1B08">
            <w:pPr>
              <w:rPr>
                <w:rFonts w:ascii="Arial Narrow" w:hAnsi="Arial Narrow"/>
                <w:b/>
                <w:bCs/>
                <w:sz w:val="20"/>
                <w:szCs w:val="20"/>
              </w:rPr>
            </w:pPr>
            <w:r w:rsidRPr="00D60B02">
              <w:rPr>
                <w:rFonts w:ascii="Arial Narrow" w:hAnsi="Arial Narrow"/>
                <w:b/>
                <w:bCs/>
                <w:sz w:val="20"/>
                <w:szCs w:val="20"/>
              </w:rPr>
              <w:t>Clinical criteria:</w:t>
            </w:r>
          </w:p>
        </w:tc>
      </w:tr>
      <w:tr w:rsidR="00AE1B08" w:rsidRPr="00D60B02" w14:paraId="447DBE0E"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69BE4C30" w14:textId="286911B2" w:rsidR="00AE1B08" w:rsidRPr="00AE1B08" w:rsidRDefault="00AE1B08">
            <w:pPr>
              <w:rPr>
                <w:rFonts w:ascii="Arial Narrow" w:hAnsi="Arial Narrow"/>
                <w:sz w:val="20"/>
                <w:szCs w:val="20"/>
              </w:rPr>
            </w:pPr>
            <w:r w:rsidRPr="00AE1B08">
              <w:rPr>
                <w:rFonts w:ascii="Arial Narrow" w:hAnsi="Arial Narrow"/>
                <w:sz w:val="20"/>
                <w:szCs w:val="20"/>
              </w:rPr>
              <w:t>The treatment must be once in a lifetime with this drug for this condition</w:t>
            </w:r>
          </w:p>
        </w:tc>
      </w:tr>
      <w:tr w:rsidR="00AE1B08" w:rsidRPr="00D60B02" w14:paraId="64DE9C9D"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41408FEF" w14:textId="50B33C33" w:rsidR="00AE1B08" w:rsidRPr="00D60B02" w:rsidRDefault="00AE1B08">
            <w:pPr>
              <w:rPr>
                <w:rFonts w:ascii="Arial Narrow" w:hAnsi="Arial Narrow"/>
                <w:b/>
                <w:bCs/>
                <w:sz w:val="20"/>
                <w:szCs w:val="20"/>
              </w:rPr>
            </w:pPr>
            <w:r>
              <w:rPr>
                <w:rFonts w:ascii="Arial Narrow" w:hAnsi="Arial Narrow"/>
                <w:b/>
                <w:bCs/>
                <w:sz w:val="20"/>
                <w:szCs w:val="20"/>
              </w:rPr>
              <w:t>AND</w:t>
            </w:r>
          </w:p>
        </w:tc>
      </w:tr>
      <w:tr w:rsidR="00C7007E" w:rsidRPr="00D60B02" w14:paraId="3E7CAF0C"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2836197E" w14:textId="77777777" w:rsidR="00C7007E" w:rsidRPr="00D60B02" w:rsidRDefault="00C7007E">
            <w:pPr>
              <w:rPr>
                <w:rFonts w:ascii="Arial Narrow" w:hAnsi="Arial Narrow"/>
                <w:sz w:val="20"/>
                <w:szCs w:val="20"/>
              </w:rPr>
            </w:pPr>
            <w:r w:rsidRPr="00D60B02">
              <w:rPr>
                <w:rFonts w:ascii="Arial Narrow" w:hAnsi="Arial Narrow"/>
                <w:b/>
                <w:bCs/>
                <w:sz w:val="20"/>
                <w:szCs w:val="20"/>
              </w:rPr>
              <w:t xml:space="preserve">Clinical criteria: </w:t>
            </w:r>
          </w:p>
        </w:tc>
      </w:tr>
      <w:tr w:rsidR="00C7007E" w:rsidRPr="00D60B02" w14:paraId="19729BD4"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46C1F220" w14:textId="19F67184" w:rsidR="00C7007E" w:rsidRPr="00D60B02" w:rsidRDefault="00C7007E">
            <w:pPr>
              <w:rPr>
                <w:rFonts w:ascii="Arial Narrow" w:hAnsi="Arial Narrow"/>
                <w:b/>
                <w:bCs/>
                <w:i/>
                <w:iCs/>
                <w:sz w:val="20"/>
                <w:szCs w:val="20"/>
              </w:rPr>
            </w:pPr>
            <w:r w:rsidRPr="00D60B02">
              <w:rPr>
                <w:rFonts w:ascii="Arial Narrow" w:hAnsi="Arial Narrow"/>
                <w:bCs/>
                <w:sz w:val="20"/>
                <w:szCs w:val="20"/>
              </w:rPr>
              <w:t>The condition must be of muscle</w:t>
            </w:r>
            <w:r w:rsidRPr="00C75F05">
              <w:rPr>
                <w:rFonts w:ascii="Arial Narrow" w:hAnsi="Arial Narrow"/>
                <w:bCs/>
                <w:sz w:val="20"/>
                <w:szCs w:val="20"/>
              </w:rPr>
              <w:t xml:space="preserve">-invasive type disease with </w:t>
            </w:r>
            <w:r w:rsidR="00E903DF">
              <w:rPr>
                <w:rFonts w:ascii="Arial Narrow" w:hAnsi="Arial Narrow"/>
                <w:bCs/>
                <w:sz w:val="20"/>
                <w:szCs w:val="20"/>
              </w:rPr>
              <w:t>both</w:t>
            </w:r>
            <w:r w:rsidRPr="00C75F05">
              <w:rPr>
                <w:rFonts w:ascii="Arial Narrow" w:hAnsi="Arial Narrow"/>
                <w:bCs/>
                <w:sz w:val="20"/>
                <w:szCs w:val="20"/>
              </w:rPr>
              <w:t xml:space="preserve"> (i) clinical tumour stage of either T2, T3 or T4a (ii) nodal status of up to stage N1.</w:t>
            </w:r>
          </w:p>
        </w:tc>
      </w:tr>
      <w:tr w:rsidR="00C7007E" w:rsidRPr="00D60B02" w14:paraId="48C3B261"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54DD4C44" w14:textId="77777777" w:rsidR="00C7007E" w:rsidRPr="00D60B02" w:rsidRDefault="00C7007E">
            <w:pPr>
              <w:rPr>
                <w:rFonts w:ascii="Arial Narrow" w:hAnsi="Arial Narrow"/>
                <w:sz w:val="20"/>
                <w:szCs w:val="20"/>
              </w:rPr>
            </w:pPr>
            <w:r w:rsidRPr="00D60B02">
              <w:rPr>
                <w:rFonts w:ascii="Arial Narrow" w:hAnsi="Arial Narrow"/>
                <w:b/>
                <w:bCs/>
                <w:sz w:val="20"/>
                <w:szCs w:val="20"/>
              </w:rPr>
              <w:t>AND</w:t>
            </w:r>
          </w:p>
        </w:tc>
      </w:tr>
      <w:tr w:rsidR="00C7007E" w:rsidRPr="00D60B02" w14:paraId="6DC6945A"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719149BC" w14:textId="77777777" w:rsidR="00C7007E" w:rsidRPr="00D60B02" w:rsidRDefault="00C7007E">
            <w:pPr>
              <w:rPr>
                <w:rFonts w:ascii="Arial Narrow" w:hAnsi="Arial Narrow"/>
                <w:sz w:val="20"/>
                <w:szCs w:val="20"/>
              </w:rPr>
            </w:pPr>
            <w:r w:rsidRPr="00D60B02">
              <w:rPr>
                <w:rFonts w:ascii="Arial Narrow" w:hAnsi="Arial Narrow"/>
                <w:b/>
                <w:bCs/>
                <w:sz w:val="20"/>
                <w:szCs w:val="20"/>
              </w:rPr>
              <w:lastRenderedPageBreak/>
              <w:t>Clinical criteria:</w:t>
            </w:r>
          </w:p>
        </w:tc>
      </w:tr>
      <w:tr w:rsidR="00C7007E" w:rsidRPr="00D60B02" w14:paraId="5BD487F3"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156842BA" w14:textId="4913CC92" w:rsidR="00C7007E" w:rsidRPr="00D60B02" w:rsidRDefault="00C7007E">
            <w:pPr>
              <w:rPr>
                <w:rFonts w:ascii="Arial Narrow" w:hAnsi="Arial Narrow"/>
                <w:i/>
                <w:iCs/>
                <w:sz w:val="20"/>
                <w:szCs w:val="20"/>
              </w:rPr>
            </w:pPr>
            <w:r w:rsidRPr="00D60B02">
              <w:rPr>
                <w:rFonts w:ascii="Arial Narrow" w:hAnsi="Arial Narrow"/>
                <w:sz w:val="20"/>
                <w:szCs w:val="20"/>
              </w:rPr>
              <w:t xml:space="preserve">The treatment must be for neoadjuvant use in a patient preparing for radical cystectomy </w:t>
            </w:r>
          </w:p>
        </w:tc>
      </w:tr>
      <w:tr w:rsidR="00C7007E" w:rsidRPr="00D60B02" w14:paraId="20240F0C"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091906BC" w14:textId="77777777" w:rsidR="00C7007E" w:rsidRPr="00D60B02" w:rsidRDefault="00C7007E">
            <w:pPr>
              <w:rPr>
                <w:rFonts w:ascii="Arial Narrow" w:hAnsi="Arial Narrow"/>
                <w:sz w:val="20"/>
                <w:szCs w:val="20"/>
              </w:rPr>
            </w:pPr>
            <w:r w:rsidRPr="00D60B02">
              <w:rPr>
                <w:rFonts w:ascii="Arial Narrow" w:hAnsi="Arial Narrow"/>
                <w:b/>
                <w:bCs/>
                <w:sz w:val="20"/>
                <w:szCs w:val="20"/>
              </w:rPr>
              <w:t>AND</w:t>
            </w:r>
          </w:p>
        </w:tc>
      </w:tr>
      <w:tr w:rsidR="00C7007E" w:rsidRPr="00D60B02" w14:paraId="7BE783E9"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27B5937A" w14:textId="77777777" w:rsidR="00C7007E" w:rsidRPr="00D60B02" w:rsidRDefault="00C7007E">
            <w:pPr>
              <w:rPr>
                <w:rFonts w:ascii="Arial Narrow" w:hAnsi="Arial Narrow"/>
                <w:sz w:val="20"/>
                <w:szCs w:val="20"/>
              </w:rPr>
            </w:pPr>
            <w:r w:rsidRPr="00D60B02">
              <w:rPr>
                <w:rFonts w:ascii="Arial Narrow" w:hAnsi="Arial Narrow"/>
                <w:b/>
                <w:bCs/>
                <w:sz w:val="20"/>
                <w:szCs w:val="20"/>
              </w:rPr>
              <w:t>Clinical criteria:</w:t>
            </w:r>
          </w:p>
        </w:tc>
      </w:tr>
      <w:tr w:rsidR="00C7007E" w:rsidRPr="00D60B02" w14:paraId="3232C436"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36C80348" w14:textId="77777777" w:rsidR="00C7007E" w:rsidRPr="00D60B02" w:rsidRDefault="00C7007E">
            <w:pPr>
              <w:rPr>
                <w:rFonts w:ascii="Arial Narrow" w:hAnsi="Arial Narrow"/>
                <w:sz w:val="20"/>
                <w:szCs w:val="20"/>
              </w:rPr>
            </w:pPr>
            <w:r w:rsidRPr="00D60B02">
              <w:rPr>
                <w:rFonts w:ascii="Arial Narrow" w:hAnsi="Arial Narrow"/>
                <w:sz w:val="20"/>
                <w:szCs w:val="20"/>
              </w:rPr>
              <w:t>Patient must have/have had at the time of initiating treatment with this drug, a WHO performance status no higher than 1</w:t>
            </w:r>
          </w:p>
        </w:tc>
      </w:tr>
      <w:tr w:rsidR="00C7007E" w:rsidRPr="00D60B02" w14:paraId="1D19A386"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2ECD82A4" w14:textId="77777777" w:rsidR="00C7007E" w:rsidRPr="00D60B02" w:rsidRDefault="00C7007E">
            <w:pPr>
              <w:rPr>
                <w:rFonts w:ascii="Arial Narrow" w:hAnsi="Arial Narrow"/>
                <w:sz w:val="20"/>
                <w:szCs w:val="20"/>
              </w:rPr>
            </w:pPr>
            <w:r w:rsidRPr="00D60B02">
              <w:rPr>
                <w:rFonts w:ascii="Arial Narrow" w:hAnsi="Arial Narrow"/>
                <w:b/>
                <w:bCs/>
                <w:sz w:val="20"/>
                <w:szCs w:val="20"/>
              </w:rPr>
              <w:t>AND</w:t>
            </w:r>
          </w:p>
        </w:tc>
      </w:tr>
      <w:tr w:rsidR="00C7007E" w:rsidRPr="00D60B02" w14:paraId="4829CE39"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391A7C92" w14:textId="77777777" w:rsidR="00C7007E" w:rsidRPr="00D60B02" w:rsidRDefault="00C7007E">
            <w:pPr>
              <w:rPr>
                <w:rFonts w:ascii="Arial Narrow" w:hAnsi="Arial Narrow"/>
                <w:sz w:val="20"/>
                <w:szCs w:val="20"/>
              </w:rPr>
            </w:pPr>
            <w:r w:rsidRPr="00D60B02">
              <w:rPr>
                <w:rFonts w:ascii="Arial Narrow" w:hAnsi="Arial Narrow"/>
                <w:b/>
                <w:bCs/>
                <w:sz w:val="20"/>
                <w:szCs w:val="20"/>
              </w:rPr>
              <w:t>Clinical criteria:</w:t>
            </w:r>
          </w:p>
        </w:tc>
      </w:tr>
      <w:tr w:rsidR="00C7007E" w:rsidRPr="00D60B02" w14:paraId="47A6A58D"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1D0799DE" w14:textId="77777777" w:rsidR="00C7007E" w:rsidRPr="00223E59" w:rsidRDefault="00C7007E">
            <w:pPr>
              <w:rPr>
                <w:rFonts w:ascii="Arial Narrow" w:hAnsi="Arial Narrow"/>
                <w:sz w:val="20"/>
                <w:szCs w:val="20"/>
              </w:rPr>
            </w:pPr>
            <w:r w:rsidRPr="00223E59">
              <w:rPr>
                <w:rFonts w:ascii="Arial Narrow" w:hAnsi="Arial Narrow"/>
                <w:sz w:val="20"/>
                <w:szCs w:val="20"/>
              </w:rPr>
              <w:t>The treatment must be/have been initiated with both: (i) gemcitabine, (ii) cisplatin (refer to Product Information of gemcitabine and cisplatin for dosing information).</w:t>
            </w:r>
          </w:p>
        </w:tc>
      </w:tr>
      <w:tr w:rsidR="00C7007E" w:rsidRPr="00D60B02" w14:paraId="5F3D1F53"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6654D35A" w14:textId="77777777" w:rsidR="00C7007E" w:rsidRPr="00D60B02" w:rsidRDefault="00C7007E" w:rsidP="00D53D17">
            <w:pPr>
              <w:keepNext/>
              <w:rPr>
                <w:rFonts w:ascii="Arial Narrow" w:hAnsi="Arial Narrow"/>
                <w:sz w:val="20"/>
                <w:szCs w:val="20"/>
              </w:rPr>
            </w:pPr>
            <w:r w:rsidRPr="00D60B02">
              <w:rPr>
                <w:rFonts w:ascii="Arial Narrow" w:hAnsi="Arial Narrow"/>
                <w:b/>
                <w:bCs/>
                <w:sz w:val="20"/>
                <w:szCs w:val="20"/>
              </w:rPr>
              <w:t>AND</w:t>
            </w:r>
          </w:p>
        </w:tc>
      </w:tr>
      <w:tr w:rsidR="00C7007E" w:rsidRPr="00D60B02" w14:paraId="0BCD82BA"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40294F21" w14:textId="77777777" w:rsidR="00C7007E" w:rsidRPr="00D60B02" w:rsidRDefault="00C7007E" w:rsidP="00D53D17">
            <w:pPr>
              <w:keepNext/>
              <w:rPr>
                <w:rFonts w:ascii="Arial Narrow" w:hAnsi="Arial Narrow"/>
                <w:sz w:val="20"/>
                <w:szCs w:val="20"/>
              </w:rPr>
            </w:pPr>
            <w:r w:rsidRPr="00D60B02">
              <w:rPr>
                <w:rFonts w:ascii="Arial Narrow" w:hAnsi="Arial Narrow"/>
                <w:b/>
                <w:bCs/>
                <w:sz w:val="20"/>
                <w:szCs w:val="20"/>
              </w:rPr>
              <w:t>Treatment criteria:</w:t>
            </w:r>
          </w:p>
        </w:tc>
      </w:tr>
      <w:tr w:rsidR="00C7007E" w:rsidRPr="00D60B02" w14:paraId="4082A049" w14:textId="77777777" w:rsidTr="00C7007E">
        <w:tblPrEx>
          <w:tblCellMar>
            <w:top w:w="15" w:type="dxa"/>
            <w:bottom w:w="15" w:type="dxa"/>
          </w:tblCellMar>
          <w:tblLook w:val="04A0" w:firstRow="1" w:lastRow="0" w:firstColumn="1" w:lastColumn="0" w:noHBand="0" w:noVBand="1"/>
        </w:tblPrEx>
        <w:trPr>
          <w:cantSplit/>
          <w:trHeight w:val="20"/>
        </w:trPr>
        <w:tc>
          <w:tcPr>
            <w:tcW w:w="5000" w:type="pct"/>
            <w:vAlign w:val="center"/>
          </w:tcPr>
          <w:p w14:paraId="7B4927A3" w14:textId="77777777" w:rsidR="00C7007E" w:rsidRPr="00D60B02" w:rsidRDefault="00C7007E">
            <w:pPr>
              <w:rPr>
                <w:rFonts w:ascii="Arial Narrow" w:hAnsi="Arial Narrow"/>
                <w:sz w:val="20"/>
                <w:szCs w:val="20"/>
              </w:rPr>
            </w:pPr>
            <w:r w:rsidRPr="00D60B02">
              <w:rPr>
                <w:rFonts w:ascii="Arial Narrow" w:hAnsi="Arial Narrow"/>
                <w:sz w:val="20"/>
                <w:szCs w:val="20"/>
              </w:rPr>
              <w:t>Patient must not be undergoing PBS subsidised treatment</w:t>
            </w:r>
            <w:r w:rsidRPr="00D60B02">
              <w:rPr>
                <w:rFonts w:ascii="Arial Narrow" w:hAnsi="Arial Narrow"/>
                <w:i/>
                <w:iCs/>
                <w:sz w:val="20"/>
                <w:szCs w:val="20"/>
              </w:rPr>
              <w:t xml:space="preserve"> </w:t>
            </w:r>
            <w:r w:rsidRPr="00D60B02">
              <w:rPr>
                <w:rFonts w:ascii="Arial Narrow" w:hAnsi="Arial Narrow"/>
                <w:sz w:val="20"/>
                <w:szCs w:val="20"/>
              </w:rPr>
              <w:t>where this prescription extends treatment beyond whichever comes first: (i) 4 cycles from treatment initiation, irrespective of whether initial treatment was PBS subsidised/non-PBS subsidised, (ii) disease progression recurrence despite treatment with this drug, (iii) unacceptable toxicity; annotate any remaining repeat prescriptions with the word 'cancelled' where this occurs.</w:t>
            </w:r>
          </w:p>
        </w:tc>
      </w:tr>
    </w:tbl>
    <w:p w14:paraId="242B9F0D" w14:textId="77777777" w:rsidR="00136F95" w:rsidRPr="00D60B02" w:rsidRDefault="00136F95" w:rsidP="00136F95">
      <w:pPr>
        <w:spacing w:after="120"/>
        <w:rPr>
          <w:rFonts w:cs="Calibri"/>
          <w:color w:val="4F81BD"/>
          <w:sz w:val="22"/>
          <w:szCs w:val="22"/>
        </w:rPr>
      </w:pPr>
    </w:p>
    <w:p w14:paraId="388185AC" w14:textId="77777777" w:rsidR="00136F95" w:rsidRPr="00D60B02" w:rsidRDefault="00136F95" w:rsidP="00136F95">
      <w:pPr>
        <w:spacing w:after="120"/>
        <w:rPr>
          <w:rFonts w:ascii="Arial Narrow" w:hAnsi="Arial Narrow" w:cs="Calibri"/>
          <w:b/>
          <w:bCs/>
          <w:sz w:val="20"/>
          <w:szCs w:val="20"/>
          <w:u w:val="single"/>
        </w:rPr>
      </w:pPr>
      <w:r w:rsidRPr="00D60B02">
        <w:rPr>
          <w:rFonts w:ascii="Arial Narrow" w:hAnsi="Arial Narrow" w:cs="Calibri"/>
          <w:b/>
          <w:bCs/>
          <w:sz w:val="20"/>
          <w:szCs w:val="20"/>
          <w:u w:val="single"/>
        </w:rP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continuing treatment "/>
      </w:tblPr>
      <w:tblGrid>
        <w:gridCol w:w="3094"/>
        <w:gridCol w:w="1973"/>
        <w:gridCol w:w="1973"/>
        <w:gridCol w:w="1977"/>
      </w:tblGrid>
      <w:tr w:rsidR="00136F95" w:rsidRPr="00D60B02" w14:paraId="543BF8EB" w14:textId="77777777">
        <w:trPr>
          <w:cantSplit/>
          <w:trHeight w:val="20"/>
        </w:trPr>
        <w:tc>
          <w:tcPr>
            <w:tcW w:w="1716" w:type="pct"/>
            <w:vAlign w:val="center"/>
          </w:tcPr>
          <w:p w14:paraId="5BF1EA0E" w14:textId="77777777" w:rsidR="00136F95" w:rsidRPr="00D60B02" w:rsidRDefault="00136F95">
            <w:pPr>
              <w:keepNext/>
              <w:rPr>
                <w:rFonts w:ascii="Arial Narrow" w:hAnsi="Arial Narrow"/>
                <w:b/>
                <w:bCs/>
                <w:sz w:val="20"/>
                <w:szCs w:val="20"/>
              </w:rPr>
            </w:pPr>
            <w:r w:rsidRPr="00D60B02">
              <w:rPr>
                <w:rFonts w:ascii="Arial Narrow" w:hAnsi="Arial Narrow"/>
                <w:b/>
                <w:bCs/>
                <w:sz w:val="20"/>
                <w:szCs w:val="20"/>
              </w:rPr>
              <w:t>MEDICINAL PRODUCT</w:t>
            </w:r>
          </w:p>
          <w:p w14:paraId="6AACFB5E" w14:textId="77777777" w:rsidR="00136F95" w:rsidRPr="00D60B02" w:rsidRDefault="00136F95">
            <w:pPr>
              <w:keepNext/>
              <w:rPr>
                <w:rFonts w:ascii="Arial Narrow" w:hAnsi="Arial Narrow"/>
                <w:b/>
                <w:sz w:val="20"/>
                <w:szCs w:val="20"/>
              </w:rPr>
            </w:pPr>
            <w:r w:rsidRPr="00D60B02">
              <w:rPr>
                <w:rFonts w:ascii="Arial Narrow" w:hAnsi="Arial Narrow"/>
                <w:b/>
                <w:sz w:val="20"/>
                <w:szCs w:val="20"/>
              </w:rPr>
              <w:t>Form</w:t>
            </w:r>
          </w:p>
        </w:tc>
        <w:tc>
          <w:tcPr>
            <w:tcW w:w="1094" w:type="pct"/>
            <w:vAlign w:val="center"/>
          </w:tcPr>
          <w:p w14:paraId="09342EA7" w14:textId="77777777" w:rsidR="00136F95" w:rsidRPr="00D60B02" w:rsidRDefault="00136F95">
            <w:pPr>
              <w:keepNext/>
              <w:jc w:val="center"/>
              <w:rPr>
                <w:rFonts w:ascii="Arial Narrow" w:hAnsi="Arial Narrow"/>
                <w:b/>
                <w:sz w:val="20"/>
                <w:szCs w:val="20"/>
              </w:rPr>
            </w:pPr>
            <w:r w:rsidRPr="00D60B02">
              <w:rPr>
                <w:rFonts w:ascii="Arial Narrow" w:hAnsi="Arial Narrow"/>
                <w:b/>
                <w:sz w:val="20"/>
                <w:szCs w:val="20"/>
              </w:rPr>
              <w:t>PBS item code</w:t>
            </w:r>
          </w:p>
        </w:tc>
        <w:tc>
          <w:tcPr>
            <w:tcW w:w="1094" w:type="pct"/>
            <w:vAlign w:val="center"/>
          </w:tcPr>
          <w:p w14:paraId="31EE668E" w14:textId="77777777" w:rsidR="00136F95" w:rsidRPr="00D60B02" w:rsidRDefault="00136F95">
            <w:pPr>
              <w:keepNext/>
              <w:jc w:val="center"/>
              <w:rPr>
                <w:rFonts w:ascii="Arial Narrow" w:hAnsi="Arial Narrow"/>
                <w:b/>
                <w:sz w:val="20"/>
                <w:szCs w:val="20"/>
              </w:rPr>
            </w:pPr>
            <w:r w:rsidRPr="00D60B02">
              <w:rPr>
                <w:rFonts w:ascii="Arial Narrow" w:hAnsi="Arial Narrow"/>
                <w:b/>
                <w:sz w:val="20"/>
                <w:szCs w:val="20"/>
              </w:rPr>
              <w:t>Max. Amount</w:t>
            </w:r>
          </w:p>
        </w:tc>
        <w:tc>
          <w:tcPr>
            <w:tcW w:w="1096" w:type="pct"/>
            <w:vAlign w:val="center"/>
          </w:tcPr>
          <w:p w14:paraId="21E11DAB" w14:textId="77777777" w:rsidR="00136F95" w:rsidRPr="00D60B02" w:rsidRDefault="00136F95">
            <w:pPr>
              <w:keepNext/>
              <w:jc w:val="center"/>
              <w:rPr>
                <w:rFonts w:ascii="Arial Narrow" w:hAnsi="Arial Narrow"/>
                <w:b/>
                <w:sz w:val="20"/>
                <w:szCs w:val="20"/>
              </w:rPr>
            </w:pPr>
            <w:r w:rsidRPr="00D60B02">
              <w:rPr>
                <w:rFonts w:ascii="Arial Narrow" w:hAnsi="Arial Narrow"/>
                <w:b/>
                <w:sz w:val="20"/>
                <w:szCs w:val="20"/>
              </w:rPr>
              <w:t>№.of Rpts</w:t>
            </w:r>
          </w:p>
        </w:tc>
      </w:tr>
      <w:tr w:rsidR="00136F95" w:rsidRPr="00D60B02" w14:paraId="5E91D1F7" w14:textId="77777777">
        <w:trPr>
          <w:cantSplit/>
          <w:trHeight w:val="20"/>
        </w:trPr>
        <w:tc>
          <w:tcPr>
            <w:tcW w:w="1716" w:type="pct"/>
            <w:vAlign w:val="center"/>
          </w:tcPr>
          <w:p w14:paraId="1BC93A5F" w14:textId="77777777" w:rsidR="00136F95" w:rsidRPr="00D60B02" w:rsidRDefault="00136F95">
            <w:pPr>
              <w:keepNext/>
              <w:rPr>
                <w:rFonts w:ascii="Arial Narrow" w:hAnsi="Arial Narrow"/>
                <w:sz w:val="20"/>
                <w:szCs w:val="20"/>
              </w:rPr>
            </w:pPr>
            <w:r w:rsidRPr="00D60B02">
              <w:rPr>
                <w:rFonts w:ascii="Arial Narrow" w:hAnsi="Arial Narrow"/>
                <w:sz w:val="20"/>
                <w:szCs w:val="20"/>
              </w:rPr>
              <w:t>DURVALUMAB</w:t>
            </w:r>
          </w:p>
          <w:p w14:paraId="11D110AD" w14:textId="77777777" w:rsidR="00136F95" w:rsidRPr="00D60B02" w:rsidRDefault="00136F95">
            <w:pPr>
              <w:keepNext/>
              <w:rPr>
                <w:rFonts w:ascii="Arial Narrow" w:hAnsi="Arial Narrow"/>
                <w:sz w:val="20"/>
                <w:szCs w:val="20"/>
              </w:rPr>
            </w:pPr>
            <w:r w:rsidRPr="00D60B02">
              <w:rPr>
                <w:rFonts w:ascii="Arial Narrow" w:hAnsi="Arial Narrow"/>
                <w:sz w:val="20"/>
                <w:szCs w:val="20"/>
              </w:rPr>
              <w:t>Injection</w:t>
            </w:r>
          </w:p>
        </w:tc>
        <w:tc>
          <w:tcPr>
            <w:tcW w:w="1094" w:type="pct"/>
            <w:vAlign w:val="center"/>
          </w:tcPr>
          <w:p w14:paraId="1C797F3D" w14:textId="77777777" w:rsidR="00136F95" w:rsidRPr="00D60B02" w:rsidRDefault="00136F95">
            <w:pPr>
              <w:keepNext/>
              <w:jc w:val="center"/>
              <w:rPr>
                <w:rFonts w:ascii="Arial Narrow" w:hAnsi="Arial Narrow"/>
                <w:sz w:val="20"/>
                <w:szCs w:val="20"/>
              </w:rPr>
            </w:pPr>
            <w:r w:rsidRPr="00D60B02">
              <w:rPr>
                <w:rFonts w:ascii="Arial Narrow" w:hAnsi="Arial Narrow"/>
                <w:sz w:val="20"/>
                <w:szCs w:val="20"/>
              </w:rPr>
              <w:t>NEW (private)</w:t>
            </w:r>
          </w:p>
          <w:p w14:paraId="7C12F816" w14:textId="77777777" w:rsidR="00136F95" w:rsidRPr="00D60B02" w:rsidRDefault="00136F95">
            <w:pPr>
              <w:keepNext/>
              <w:jc w:val="center"/>
              <w:rPr>
                <w:rFonts w:ascii="Arial Narrow" w:hAnsi="Arial Narrow"/>
                <w:sz w:val="20"/>
                <w:szCs w:val="20"/>
              </w:rPr>
            </w:pPr>
            <w:r w:rsidRPr="00D60B02">
              <w:rPr>
                <w:rFonts w:ascii="Arial Narrow" w:hAnsi="Arial Narrow"/>
                <w:sz w:val="20"/>
                <w:szCs w:val="20"/>
              </w:rPr>
              <w:t xml:space="preserve">NEW (public) </w:t>
            </w:r>
          </w:p>
        </w:tc>
        <w:tc>
          <w:tcPr>
            <w:tcW w:w="1094" w:type="pct"/>
            <w:vAlign w:val="center"/>
          </w:tcPr>
          <w:p w14:paraId="7EC45548" w14:textId="77777777" w:rsidR="00136F95" w:rsidRPr="00D60B02" w:rsidRDefault="00136F95">
            <w:pPr>
              <w:keepNext/>
              <w:jc w:val="center"/>
              <w:rPr>
                <w:rFonts w:ascii="Arial Narrow" w:hAnsi="Arial Narrow"/>
                <w:sz w:val="20"/>
                <w:szCs w:val="20"/>
              </w:rPr>
            </w:pPr>
            <w:r w:rsidRPr="00D60B02">
              <w:rPr>
                <w:rFonts w:ascii="Arial Narrow" w:hAnsi="Arial Narrow"/>
                <w:sz w:val="20"/>
                <w:szCs w:val="20"/>
              </w:rPr>
              <w:t>1500mg</w:t>
            </w:r>
          </w:p>
        </w:tc>
        <w:tc>
          <w:tcPr>
            <w:tcW w:w="1096" w:type="pct"/>
            <w:vAlign w:val="center"/>
          </w:tcPr>
          <w:p w14:paraId="4D089D92" w14:textId="77777777" w:rsidR="00136F95" w:rsidRPr="00D60B02" w:rsidRDefault="00136F95">
            <w:pPr>
              <w:keepNext/>
              <w:jc w:val="center"/>
              <w:rPr>
                <w:rFonts w:ascii="Arial Narrow" w:hAnsi="Arial Narrow"/>
                <w:sz w:val="20"/>
                <w:szCs w:val="20"/>
              </w:rPr>
            </w:pPr>
            <w:r w:rsidRPr="00D60B02">
              <w:rPr>
                <w:rFonts w:ascii="Arial Narrow" w:hAnsi="Arial Narrow"/>
                <w:sz w:val="20"/>
                <w:szCs w:val="20"/>
              </w:rPr>
              <w:t>3</w:t>
            </w:r>
          </w:p>
        </w:tc>
      </w:tr>
      <w:tr w:rsidR="00136F95" w:rsidRPr="00D60B02" w14:paraId="397938FB" w14:textId="77777777">
        <w:trPr>
          <w:cantSplit/>
          <w:trHeight w:val="20"/>
        </w:trPr>
        <w:tc>
          <w:tcPr>
            <w:tcW w:w="5000" w:type="pct"/>
            <w:gridSpan w:val="4"/>
            <w:vAlign w:val="center"/>
          </w:tcPr>
          <w:p w14:paraId="1B30C819" w14:textId="77777777" w:rsidR="00136F95" w:rsidRPr="00D60B02" w:rsidRDefault="00136F95">
            <w:pPr>
              <w:keepNext/>
              <w:rPr>
                <w:rFonts w:ascii="Arial Narrow" w:hAnsi="Arial Narrow"/>
                <w:b/>
                <w:sz w:val="20"/>
                <w:szCs w:val="20"/>
              </w:rPr>
            </w:pPr>
            <w:r w:rsidRPr="00D60B02">
              <w:rPr>
                <w:rFonts w:ascii="Arial Narrow" w:hAnsi="Arial Narrow"/>
                <w:b/>
                <w:sz w:val="20"/>
                <w:szCs w:val="20"/>
              </w:rPr>
              <w:t xml:space="preserve">Available brands </w:t>
            </w:r>
          </w:p>
        </w:tc>
      </w:tr>
      <w:tr w:rsidR="00136F95" w:rsidRPr="00D60B02" w14:paraId="652EAACA" w14:textId="77777777">
        <w:trPr>
          <w:cantSplit/>
          <w:trHeight w:val="20"/>
        </w:trPr>
        <w:tc>
          <w:tcPr>
            <w:tcW w:w="5000" w:type="pct"/>
            <w:gridSpan w:val="4"/>
          </w:tcPr>
          <w:p w14:paraId="7A8BBD1D" w14:textId="77777777" w:rsidR="00136F95" w:rsidRPr="00D60B02" w:rsidRDefault="00136F95">
            <w:pPr>
              <w:keepNext/>
              <w:rPr>
                <w:rFonts w:ascii="Arial Narrow" w:hAnsi="Arial Narrow"/>
                <w:sz w:val="20"/>
                <w:szCs w:val="20"/>
              </w:rPr>
            </w:pPr>
            <w:r w:rsidRPr="00D60B02">
              <w:rPr>
                <w:rFonts w:ascii="Arial Narrow" w:hAnsi="Arial Narrow"/>
                <w:sz w:val="20"/>
                <w:szCs w:val="20"/>
              </w:rPr>
              <w:t xml:space="preserve">Imfinzi </w:t>
            </w:r>
          </w:p>
          <w:p w14:paraId="5DE2E9C2" w14:textId="77777777" w:rsidR="00136F95" w:rsidRPr="00D60B02" w:rsidRDefault="00136F95">
            <w:pPr>
              <w:keepNext/>
              <w:rPr>
                <w:rFonts w:ascii="Arial Narrow" w:hAnsi="Arial Narrow"/>
                <w:sz w:val="20"/>
                <w:szCs w:val="20"/>
              </w:rPr>
            </w:pPr>
            <w:r w:rsidRPr="00D60B02">
              <w:rPr>
                <w:rFonts w:ascii="Arial Narrow" w:hAnsi="Arial Narrow"/>
                <w:sz w:val="20"/>
                <w:szCs w:val="20"/>
              </w:rPr>
              <w:t>durvalumab 500mg/10 mL injection, 10 mL vial</w:t>
            </w:r>
          </w:p>
        </w:tc>
      </w:tr>
      <w:tr w:rsidR="00136F95" w:rsidRPr="00D60B02" w14:paraId="24BADF20" w14:textId="77777777">
        <w:trPr>
          <w:cantSplit/>
          <w:trHeight w:val="20"/>
        </w:trPr>
        <w:tc>
          <w:tcPr>
            <w:tcW w:w="5000" w:type="pct"/>
            <w:gridSpan w:val="4"/>
          </w:tcPr>
          <w:p w14:paraId="4A5AF620" w14:textId="77777777" w:rsidR="00136F95" w:rsidRPr="00D60B02" w:rsidRDefault="00136F95">
            <w:pPr>
              <w:keepNext/>
              <w:rPr>
                <w:rFonts w:ascii="Arial Narrow" w:hAnsi="Arial Narrow"/>
                <w:sz w:val="20"/>
                <w:szCs w:val="20"/>
              </w:rPr>
            </w:pPr>
            <w:r w:rsidRPr="00D60B02">
              <w:rPr>
                <w:rFonts w:ascii="Arial Narrow" w:hAnsi="Arial Narrow"/>
                <w:sz w:val="20"/>
                <w:szCs w:val="20"/>
              </w:rPr>
              <w:t xml:space="preserve">Imfinzi </w:t>
            </w:r>
          </w:p>
          <w:p w14:paraId="1EA1154D" w14:textId="77777777" w:rsidR="00136F95" w:rsidRPr="00D60B02" w:rsidRDefault="00136F95">
            <w:pPr>
              <w:keepNext/>
              <w:rPr>
                <w:rFonts w:ascii="Arial Narrow" w:hAnsi="Arial Narrow"/>
                <w:sz w:val="20"/>
                <w:szCs w:val="20"/>
              </w:rPr>
            </w:pPr>
            <w:r w:rsidRPr="00D60B02">
              <w:rPr>
                <w:rFonts w:ascii="Arial Narrow" w:hAnsi="Arial Narrow"/>
                <w:sz w:val="20"/>
                <w:szCs w:val="20"/>
              </w:rPr>
              <w:t>durvalumab 120mg/2.4 mL injection, 10 mL vial</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7"/>
      </w:tblGrid>
      <w:tr w:rsidR="005D343F" w:rsidRPr="00D60B02" w14:paraId="57EBC1E8" w14:textId="77777777" w:rsidTr="005D343F">
        <w:trPr>
          <w:cantSplit/>
          <w:trHeight w:val="20"/>
        </w:trPr>
        <w:tc>
          <w:tcPr>
            <w:tcW w:w="5000" w:type="pct"/>
            <w:vAlign w:val="center"/>
          </w:tcPr>
          <w:p w14:paraId="66153DAB" w14:textId="31997F50" w:rsidR="005D343F" w:rsidRPr="00D60B02" w:rsidRDefault="005D343F">
            <w:pPr>
              <w:keepNext/>
              <w:rPr>
                <w:rFonts w:ascii="Arial Narrow" w:hAnsi="Arial Narrow"/>
                <w:sz w:val="20"/>
                <w:szCs w:val="20"/>
              </w:rPr>
            </w:pPr>
            <w:r w:rsidRPr="00D60B02">
              <w:rPr>
                <w:rFonts w:ascii="Arial Narrow" w:hAnsi="Arial Narrow"/>
                <w:b/>
                <w:sz w:val="20"/>
                <w:szCs w:val="20"/>
              </w:rPr>
              <w:t>Restriction Summary NEW / Treatment of Concept: NEW</w:t>
            </w:r>
          </w:p>
        </w:tc>
      </w:tr>
      <w:tr w:rsidR="005D343F" w:rsidRPr="00D60B02" w14:paraId="4FF6FE26" w14:textId="77777777" w:rsidTr="005D343F">
        <w:tblPrEx>
          <w:tblCellMar>
            <w:top w:w="15" w:type="dxa"/>
            <w:bottom w:w="15" w:type="dxa"/>
          </w:tblCellMar>
          <w:tblLook w:val="04A0" w:firstRow="1" w:lastRow="0" w:firstColumn="1" w:lastColumn="0" w:noHBand="0" w:noVBand="1"/>
        </w:tblPrEx>
        <w:trPr>
          <w:cantSplit/>
          <w:trHeight w:val="20"/>
        </w:trPr>
        <w:tc>
          <w:tcPr>
            <w:tcW w:w="5000" w:type="pct"/>
          </w:tcPr>
          <w:p w14:paraId="2049F2DE" w14:textId="77777777" w:rsidR="005D343F" w:rsidRPr="00D60B02" w:rsidRDefault="005D343F">
            <w:pPr>
              <w:keepNext/>
              <w:rPr>
                <w:rFonts w:ascii="Arial Narrow" w:hAnsi="Arial Narrow"/>
                <w:sz w:val="20"/>
                <w:szCs w:val="20"/>
              </w:rPr>
            </w:pPr>
            <w:r w:rsidRPr="00D60B02">
              <w:rPr>
                <w:rFonts w:ascii="Arial Narrow" w:hAnsi="Arial Narrow"/>
                <w:b/>
                <w:sz w:val="20"/>
                <w:szCs w:val="20"/>
              </w:rPr>
              <w:t xml:space="preserve">Category / Program: </w:t>
            </w:r>
            <w:r w:rsidRPr="00D60B02">
              <w:rPr>
                <w:rFonts w:ascii="Arial Narrow" w:hAnsi="Arial Narrow"/>
                <w:sz w:val="20"/>
                <w:szCs w:val="20"/>
              </w:rPr>
              <w:t>Section 100 – Efficient Funding of Chemotherapy Public/Private hospitals</w:t>
            </w:r>
          </w:p>
        </w:tc>
      </w:tr>
      <w:tr w:rsidR="005D343F" w:rsidRPr="00D60B02" w14:paraId="7885D20F" w14:textId="77777777" w:rsidTr="005D343F">
        <w:tblPrEx>
          <w:tblCellMar>
            <w:top w:w="15" w:type="dxa"/>
            <w:bottom w:w="15" w:type="dxa"/>
          </w:tblCellMar>
          <w:tblLook w:val="04A0" w:firstRow="1" w:lastRow="0" w:firstColumn="1" w:lastColumn="0" w:noHBand="0" w:noVBand="1"/>
        </w:tblPrEx>
        <w:trPr>
          <w:cantSplit/>
          <w:trHeight w:val="20"/>
        </w:trPr>
        <w:tc>
          <w:tcPr>
            <w:tcW w:w="5000" w:type="pct"/>
          </w:tcPr>
          <w:p w14:paraId="545C6B1B" w14:textId="77777777" w:rsidR="005D343F" w:rsidRPr="00D60B02" w:rsidRDefault="005D343F">
            <w:pPr>
              <w:keepNext/>
              <w:rPr>
                <w:rFonts w:ascii="Arial Narrow" w:hAnsi="Arial Narrow"/>
                <w:b/>
                <w:sz w:val="20"/>
                <w:szCs w:val="20"/>
              </w:rPr>
            </w:pPr>
            <w:r w:rsidRPr="00D60B02">
              <w:rPr>
                <w:rFonts w:ascii="Arial Narrow" w:hAnsi="Arial Narrow"/>
                <w:b/>
                <w:sz w:val="20"/>
                <w:szCs w:val="20"/>
              </w:rPr>
              <w:t xml:space="preserve">Prescriber type: </w:t>
            </w:r>
            <w:r w:rsidRPr="00D60B02">
              <w:rPr>
                <w:rFonts w:ascii="Arial Narrow" w:hAnsi="Arial Narrow"/>
                <w:sz w:val="20"/>
                <w:szCs w:val="20"/>
              </w:rPr>
              <w:fldChar w:fldCharType="begin">
                <w:ffData>
                  <w:name w:val=""/>
                  <w:enabled/>
                  <w:calcOnExit w:val="0"/>
                  <w:checkBox>
                    <w:sizeAuto/>
                    <w:default w:val="1"/>
                  </w:checkBox>
                </w:ffData>
              </w:fldChar>
            </w:r>
            <w:r w:rsidRPr="00D60B02">
              <w:rPr>
                <w:rFonts w:ascii="Arial Narrow" w:hAnsi="Arial Narrow"/>
                <w:sz w:val="20"/>
                <w:szCs w:val="20"/>
              </w:rPr>
              <w:instrText xml:space="preserve"> FORMCHECKBOX </w:instrText>
            </w:r>
            <w:r w:rsidRPr="00D60B02">
              <w:rPr>
                <w:rFonts w:ascii="Arial Narrow" w:hAnsi="Arial Narrow"/>
                <w:sz w:val="20"/>
                <w:szCs w:val="20"/>
              </w:rPr>
            </w:r>
            <w:r w:rsidRPr="00D60B02">
              <w:rPr>
                <w:rFonts w:ascii="Arial Narrow" w:hAnsi="Arial Narrow"/>
                <w:sz w:val="20"/>
                <w:szCs w:val="20"/>
              </w:rPr>
              <w:fldChar w:fldCharType="separate"/>
            </w:r>
            <w:r w:rsidRPr="00D60B02">
              <w:rPr>
                <w:rFonts w:ascii="Arial Narrow" w:hAnsi="Arial Narrow"/>
                <w:sz w:val="20"/>
                <w:szCs w:val="20"/>
              </w:rPr>
              <w:fldChar w:fldCharType="end"/>
            </w:r>
            <w:r w:rsidRPr="00D60B02">
              <w:rPr>
                <w:rFonts w:ascii="Arial Narrow" w:hAnsi="Arial Narrow"/>
                <w:sz w:val="20"/>
                <w:szCs w:val="20"/>
              </w:rPr>
              <w:t xml:space="preserve">Medical Practitioners </w:t>
            </w:r>
          </w:p>
        </w:tc>
      </w:tr>
      <w:tr w:rsidR="005D343F" w:rsidRPr="00D60B02" w14:paraId="5D9CB702" w14:textId="77777777" w:rsidTr="005D343F">
        <w:tblPrEx>
          <w:tblCellMar>
            <w:top w:w="15" w:type="dxa"/>
            <w:bottom w:w="15" w:type="dxa"/>
          </w:tblCellMar>
          <w:tblLook w:val="04A0" w:firstRow="1" w:lastRow="0" w:firstColumn="1" w:lastColumn="0" w:noHBand="0" w:noVBand="1"/>
        </w:tblPrEx>
        <w:trPr>
          <w:cantSplit/>
          <w:trHeight w:val="20"/>
        </w:trPr>
        <w:tc>
          <w:tcPr>
            <w:tcW w:w="5000" w:type="pct"/>
          </w:tcPr>
          <w:p w14:paraId="4A208BB7" w14:textId="77777777" w:rsidR="005D343F" w:rsidRPr="00D60B02" w:rsidRDefault="005D343F">
            <w:pPr>
              <w:rPr>
                <w:rFonts w:ascii="Arial Narrow" w:eastAsia="Calibri" w:hAnsi="Arial Narrow"/>
                <w:sz w:val="20"/>
                <w:szCs w:val="20"/>
              </w:rPr>
            </w:pPr>
            <w:r w:rsidRPr="00D60B02">
              <w:rPr>
                <w:rFonts w:ascii="Arial Narrow" w:hAnsi="Arial Narrow"/>
                <w:b/>
                <w:sz w:val="20"/>
                <w:szCs w:val="20"/>
              </w:rPr>
              <w:t xml:space="preserve">Restriction type: </w:t>
            </w:r>
            <w:r w:rsidRPr="00D60B02">
              <w:rPr>
                <w:rFonts w:ascii="Arial Narrow" w:eastAsia="Calibri" w:hAnsi="Arial Narrow"/>
                <w:sz w:val="20"/>
                <w:szCs w:val="20"/>
              </w:rPr>
              <w:fldChar w:fldCharType="begin">
                <w:ffData>
                  <w:name w:val=""/>
                  <w:enabled/>
                  <w:calcOnExit w:val="0"/>
                  <w:checkBox>
                    <w:sizeAuto/>
                    <w:default w:val="1"/>
                  </w:checkBox>
                </w:ffData>
              </w:fldChar>
            </w:r>
            <w:r w:rsidRPr="00D60B02">
              <w:rPr>
                <w:rFonts w:ascii="Arial Narrow" w:eastAsia="Calibri" w:hAnsi="Arial Narrow"/>
                <w:sz w:val="20"/>
                <w:szCs w:val="20"/>
              </w:rPr>
              <w:instrText xml:space="preserve"> FORMCHECKBOX </w:instrText>
            </w:r>
            <w:r w:rsidRPr="00D60B02">
              <w:rPr>
                <w:rFonts w:ascii="Arial Narrow" w:eastAsia="Calibri" w:hAnsi="Arial Narrow"/>
                <w:sz w:val="20"/>
                <w:szCs w:val="20"/>
              </w:rPr>
            </w:r>
            <w:r w:rsidRPr="00D60B02">
              <w:rPr>
                <w:rFonts w:ascii="Arial Narrow" w:eastAsia="Calibri" w:hAnsi="Arial Narrow"/>
                <w:sz w:val="20"/>
                <w:szCs w:val="20"/>
              </w:rPr>
              <w:fldChar w:fldCharType="separate"/>
            </w:r>
            <w:r w:rsidRPr="00D60B02">
              <w:rPr>
                <w:rFonts w:ascii="Arial Narrow" w:eastAsia="Calibri" w:hAnsi="Arial Narrow"/>
                <w:sz w:val="20"/>
                <w:szCs w:val="20"/>
              </w:rPr>
              <w:fldChar w:fldCharType="end"/>
            </w:r>
            <w:r w:rsidRPr="00D60B02">
              <w:rPr>
                <w:rFonts w:ascii="Arial Narrow" w:eastAsia="Calibri" w:hAnsi="Arial Narrow"/>
                <w:sz w:val="20"/>
                <w:szCs w:val="20"/>
              </w:rPr>
              <w:t xml:space="preserve">Authority Required (STREAMLINED) [new] </w:t>
            </w:r>
          </w:p>
        </w:tc>
      </w:tr>
      <w:tr w:rsidR="005D343F" w:rsidRPr="00D60B02" w14:paraId="31F4B52B" w14:textId="77777777" w:rsidTr="005D343F">
        <w:tblPrEx>
          <w:tblCellMar>
            <w:top w:w="15" w:type="dxa"/>
            <w:bottom w:w="15" w:type="dxa"/>
          </w:tblCellMar>
          <w:tblLook w:val="04A0" w:firstRow="1" w:lastRow="0" w:firstColumn="1" w:lastColumn="0" w:noHBand="0" w:noVBand="1"/>
        </w:tblPrEx>
        <w:trPr>
          <w:trHeight w:val="20"/>
        </w:trPr>
        <w:tc>
          <w:tcPr>
            <w:tcW w:w="5000" w:type="pct"/>
          </w:tcPr>
          <w:p w14:paraId="290B4F7A" w14:textId="77777777" w:rsidR="005D343F" w:rsidRPr="00D60B02" w:rsidRDefault="005D343F">
            <w:pPr>
              <w:keepLines/>
              <w:rPr>
                <w:rFonts w:ascii="Arial Narrow" w:hAnsi="Arial Narrow"/>
                <w:sz w:val="20"/>
                <w:szCs w:val="20"/>
              </w:rPr>
            </w:pPr>
            <w:r w:rsidRPr="00D60B02">
              <w:rPr>
                <w:rFonts w:ascii="Arial Narrow" w:hAnsi="Arial Narrow" w:cs="Open Sans"/>
                <w:b/>
                <w:bCs/>
                <w:sz w:val="20"/>
                <w:szCs w:val="20"/>
                <w:bdr w:val="none" w:sz="0" w:space="0" w:color="auto" w:frame="1"/>
              </w:rPr>
              <w:t>Administrative Advice: No increase in the maximum quantity or number of units may be authorised</w:t>
            </w:r>
          </w:p>
        </w:tc>
      </w:tr>
      <w:tr w:rsidR="005D343F" w:rsidRPr="00D60B02" w14:paraId="6E52999B" w14:textId="77777777" w:rsidTr="005D343F">
        <w:tblPrEx>
          <w:tblCellMar>
            <w:top w:w="15" w:type="dxa"/>
            <w:bottom w:w="15" w:type="dxa"/>
          </w:tblCellMar>
          <w:tblLook w:val="04A0" w:firstRow="1" w:lastRow="0" w:firstColumn="1" w:lastColumn="0" w:noHBand="0" w:noVBand="1"/>
        </w:tblPrEx>
        <w:trPr>
          <w:trHeight w:val="20"/>
        </w:trPr>
        <w:tc>
          <w:tcPr>
            <w:tcW w:w="5000" w:type="pct"/>
          </w:tcPr>
          <w:p w14:paraId="32FEA6D2" w14:textId="77777777" w:rsidR="005D343F" w:rsidRPr="00D60B02" w:rsidRDefault="005D343F">
            <w:pPr>
              <w:keepLines/>
              <w:rPr>
                <w:rFonts w:ascii="Arial Narrow" w:hAnsi="Arial Narrow"/>
                <w:b/>
                <w:bCs/>
                <w:sz w:val="20"/>
                <w:szCs w:val="20"/>
              </w:rPr>
            </w:pPr>
            <w:r w:rsidRPr="00D60B02">
              <w:rPr>
                <w:rFonts w:ascii="Arial Narrow" w:hAnsi="Arial Narrow" w:cs="Open Sans"/>
                <w:b/>
                <w:bCs/>
                <w:sz w:val="20"/>
                <w:szCs w:val="20"/>
                <w:bdr w:val="none" w:sz="0" w:space="0" w:color="auto" w:frame="1"/>
              </w:rPr>
              <w:t>Administrative Advice: No increase in the maximum number of repeats may be authorised</w:t>
            </w:r>
          </w:p>
        </w:tc>
      </w:tr>
      <w:tr w:rsidR="005D343F" w:rsidRPr="00D60B02" w14:paraId="4A76694C" w14:textId="77777777" w:rsidTr="005D343F">
        <w:tblPrEx>
          <w:tblCellMar>
            <w:top w:w="15" w:type="dxa"/>
            <w:bottom w:w="15" w:type="dxa"/>
          </w:tblCellMar>
          <w:tblLook w:val="04A0" w:firstRow="1" w:lastRow="0" w:firstColumn="1" w:lastColumn="0" w:noHBand="0" w:noVBand="1"/>
        </w:tblPrEx>
        <w:trPr>
          <w:trHeight w:val="20"/>
        </w:trPr>
        <w:tc>
          <w:tcPr>
            <w:tcW w:w="5000" w:type="pct"/>
          </w:tcPr>
          <w:p w14:paraId="732AC28C" w14:textId="77777777" w:rsidR="005D343F" w:rsidRPr="00D60B02" w:rsidRDefault="005D343F">
            <w:pPr>
              <w:keepLines/>
              <w:rPr>
                <w:rFonts w:ascii="Arial Narrow" w:hAnsi="Arial Narrow"/>
                <w:b/>
                <w:bCs/>
                <w:sz w:val="20"/>
                <w:szCs w:val="20"/>
              </w:rPr>
            </w:pPr>
            <w:r w:rsidRPr="00D60B02">
              <w:rPr>
                <w:rFonts w:ascii="Arial Narrow" w:hAnsi="Arial Narrow" w:cs="Open Sans"/>
                <w:b/>
                <w:bCs/>
                <w:sz w:val="20"/>
                <w:szCs w:val="20"/>
                <w:bdr w:val="none" w:sz="0" w:space="0" w:color="auto" w:frame="1"/>
              </w:rPr>
              <w:t>Administrative Advice: Special Pricing Arrangements apply</w:t>
            </w:r>
          </w:p>
        </w:tc>
      </w:tr>
      <w:tr w:rsidR="005D343F" w:rsidRPr="00D60B02" w14:paraId="68E1A8DC"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470A1558" w14:textId="006C5E6F" w:rsidR="005D343F" w:rsidRPr="001453AD" w:rsidRDefault="005D343F">
            <w:pPr>
              <w:keepLines/>
              <w:rPr>
                <w:rFonts w:ascii="Arial Narrow" w:hAnsi="Arial Narrow"/>
                <w:b/>
                <w:bCs/>
                <w:sz w:val="20"/>
                <w:szCs w:val="20"/>
              </w:rPr>
            </w:pPr>
            <w:r w:rsidRPr="001453AD">
              <w:rPr>
                <w:rFonts w:ascii="Arial Narrow" w:hAnsi="Arial Narrow"/>
                <w:b/>
                <w:bCs/>
                <w:sz w:val="20"/>
                <w:szCs w:val="20"/>
              </w:rPr>
              <w:t xml:space="preserve">Condition: </w:t>
            </w:r>
            <w:r w:rsidRPr="001453AD">
              <w:rPr>
                <w:rFonts w:ascii="Arial Narrow" w:hAnsi="Arial Narrow"/>
                <w:bCs/>
                <w:sz w:val="20"/>
                <w:szCs w:val="20"/>
              </w:rPr>
              <w:t>Urothelial Carcinoma</w:t>
            </w:r>
          </w:p>
        </w:tc>
      </w:tr>
      <w:tr w:rsidR="005D343F" w:rsidRPr="00D60B02" w14:paraId="09542B1B"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56E4245F" w14:textId="71D4D579" w:rsidR="005D343F" w:rsidRPr="001453AD" w:rsidRDefault="005D343F">
            <w:pPr>
              <w:keepLines/>
              <w:rPr>
                <w:rFonts w:ascii="Arial Narrow" w:hAnsi="Arial Narrow"/>
                <w:sz w:val="20"/>
                <w:szCs w:val="20"/>
              </w:rPr>
            </w:pPr>
            <w:r w:rsidRPr="001453AD">
              <w:rPr>
                <w:rFonts w:ascii="Arial Narrow" w:hAnsi="Arial Narrow"/>
                <w:b/>
                <w:bCs/>
                <w:sz w:val="20"/>
                <w:szCs w:val="20"/>
              </w:rPr>
              <w:t>Indication:</w:t>
            </w:r>
            <w:r w:rsidRPr="001453AD">
              <w:rPr>
                <w:rFonts w:ascii="Arial Narrow" w:hAnsi="Arial Narrow"/>
                <w:sz w:val="20"/>
                <w:szCs w:val="20"/>
              </w:rPr>
              <w:t xml:space="preserve"> </w:t>
            </w:r>
            <w:r w:rsidRPr="001453AD">
              <w:rPr>
                <w:rFonts w:ascii="Arial Narrow" w:hAnsi="Arial Narrow"/>
                <w:bCs/>
                <w:sz w:val="20"/>
                <w:szCs w:val="20"/>
              </w:rPr>
              <w:t>Urothelial Carcinoma</w:t>
            </w:r>
          </w:p>
        </w:tc>
      </w:tr>
      <w:tr w:rsidR="005D343F" w:rsidRPr="00D60B02" w14:paraId="07118177"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76146271" w14:textId="77777777" w:rsidR="005D343F" w:rsidRPr="00D60B02" w:rsidRDefault="005D343F">
            <w:pPr>
              <w:rPr>
                <w:rFonts w:ascii="Arial Narrow" w:hAnsi="Arial Narrow"/>
                <w:i/>
                <w:iCs/>
                <w:sz w:val="20"/>
                <w:szCs w:val="20"/>
              </w:rPr>
            </w:pPr>
            <w:r w:rsidRPr="00D60B02">
              <w:rPr>
                <w:rFonts w:ascii="Arial Narrow" w:hAnsi="Arial Narrow"/>
                <w:b/>
                <w:bCs/>
                <w:sz w:val="20"/>
                <w:szCs w:val="20"/>
              </w:rPr>
              <w:t>Treatment Phase:</w:t>
            </w:r>
            <w:r w:rsidRPr="00D60B02">
              <w:rPr>
                <w:rFonts w:ascii="Arial Narrow" w:hAnsi="Arial Narrow"/>
                <w:sz w:val="20"/>
                <w:szCs w:val="20"/>
              </w:rPr>
              <w:t xml:space="preserve"> Continuing treatment – adjuvant setting</w:t>
            </w:r>
          </w:p>
        </w:tc>
      </w:tr>
      <w:tr w:rsidR="005D343F" w:rsidRPr="00D60B02" w14:paraId="709886AC"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34D52927" w14:textId="77777777" w:rsidR="005D343F" w:rsidRPr="00D60B02" w:rsidRDefault="005D343F" w:rsidP="001072A9">
            <w:pPr>
              <w:keepNext/>
              <w:keepLines/>
              <w:rPr>
                <w:rFonts w:ascii="Arial Narrow" w:hAnsi="Arial Narrow"/>
                <w:b/>
                <w:bCs/>
                <w:sz w:val="20"/>
                <w:szCs w:val="20"/>
              </w:rPr>
            </w:pPr>
            <w:r w:rsidRPr="00D60B02">
              <w:rPr>
                <w:rFonts w:ascii="Arial Narrow" w:hAnsi="Arial Narrow"/>
                <w:b/>
                <w:bCs/>
                <w:sz w:val="20"/>
                <w:szCs w:val="20"/>
              </w:rPr>
              <w:t>Population criteria:</w:t>
            </w:r>
          </w:p>
        </w:tc>
      </w:tr>
      <w:tr w:rsidR="005D343F" w:rsidRPr="00D60B02" w14:paraId="7ECB726F"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31A76B48" w14:textId="3998CE65" w:rsidR="005D343F" w:rsidRPr="00D60B02" w:rsidRDefault="005D343F" w:rsidP="001072A9">
            <w:pPr>
              <w:keepNext/>
              <w:keepLines/>
              <w:rPr>
                <w:rFonts w:ascii="Arial Narrow" w:hAnsi="Arial Narrow"/>
                <w:b/>
                <w:bCs/>
                <w:sz w:val="20"/>
                <w:szCs w:val="20"/>
              </w:rPr>
            </w:pPr>
            <w:r w:rsidRPr="00D60B02">
              <w:rPr>
                <w:rFonts w:ascii="Arial Narrow" w:hAnsi="Arial Narrow"/>
                <w:sz w:val="20"/>
                <w:szCs w:val="20"/>
              </w:rPr>
              <w:t>Patient must have previously received PBS subsidised neoadjuvant treatment with this drug</w:t>
            </w:r>
            <w:r w:rsidR="00EB04DD">
              <w:rPr>
                <w:rFonts w:ascii="Arial Narrow" w:hAnsi="Arial Narrow"/>
                <w:sz w:val="20"/>
                <w:szCs w:val="20"/>
              </w:rPr>
              <w:t xml:space="preserve"> in combination with gemcitabine plus cisplatin</w:t>
            </w:r>
            <w:r w:rsidRPr="00D60B02">
              <w:rPr>
                <w:rFonts w:ascii="Arial Narrow" w:hAnsi="Arial Narrow"/>
                <w:sz w:val="20"/>
                <w:szCs w:val="20"/>
              </w:rPr>
              <w:t xml:space="preserve"> for this condition; or</w:t>
            </w:r>
          </w:p>
        </w:tc>
      </w:tr>
      <w:tr w:rsidR="005D343F" w:rsidRPr="00D60B02" w14:paraId="61CCA5A3"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27CC4054" w14:textId="4DD6EEEE" w:rsidR="005D343F" w:rsidRPr="00D60B02" w:rsidRDefault="005D343F" w:rsidP="001072A9">
            <w:pPr>
              <w:keepNext/>
              <w:keepLines/>
              <w:rPr>
                <w:rFonts w:ascii="Arial Narrow" w:hAnsi="Arial Narrow"/>
                <w:b/>
                <w:bCs/>
                <w:sz w:val="20"/>
                <w:szCs w:val="20"/>
              </w:rPr>
            </w:pPr>
            <w:r w:rsidRPr="00D60B02">
              <w:rPr>
                <w:rFonts w:ascii="Arial Narrow" w:hAnsi="Arial Narrow"/>
                <w:sz w:val="20"/>
                <w:szCs w:val="20"/>
              </w:rPr>
              <w:t xml:space="preserve">Patient must be both: (i) transitioning from existing non-PBS to PBS subsidised </w:t>
            </w:r>
            <w:r w:rsidRPr="00473AC1">
              <w:rPr>
                <w:rFonts w:ascii="Arial Narrow" w:hAnsi="Arial Narrow"/>
                <w:sz w:val="20"/>
                <w:szCs w:val="20"/>
              </w:rPr>
              <w:t>treatment with</w:t>
            </w:r>
            <w:r w:rsidRPr="00D60B02">
              <w:rPr>
                <w:rFonts w:ascii="Arial Narrow" w:hAnsi="Arial Narrow"/>
                <w:sz w:val="20"/>
                <w:szCs w:val="20"/>
              </w:rPr>
              <w:t xml:space="preserve"> this drug </w:t>
            </w:r>
            <w:r w:rsidRPr="00473AC1">
              <w:rPr>
                <w:rFonts w:ascii="Arial Narrow" w:hAnsi="Arial Narrow"/>
                <w:sz w:val="20"/>
                <w:szCs w:val="20"/>
              </w:rPr>
              <w:t>for this condition</w:t>
            </w:r>
            <w:r w:rsidRPr="00D60B02">
              <w:rPr>
                <w:rFonts w:ascii="Arial Narrow" w:hAnsi="Arial Narrow"/>
                <w:sz w:val="20"/>
                <w:szCs w:val="20"/>
              </w:rPr>
              <w:t xml:space="preserve">, (ii) </w:t>
            </w:r>
            <w:r w:rsidR="00814AE8">
              <w:rPr>
                <w:rFonts w:ascii="Arial Narrow" w:hAnsi="Arial Narrow"/>
                <w:sz w:val="20"/>
                <w:szCs w:val="20"/>
              </w:rPr>
              <w:t xml:space="preserve">previously </w:t>
            </w:r>
            <w:r w:rsidRPr="00D60B02">
              <w:rPr>
                <w:rFonts w:ascii="Arial Narrow" w:hAnsi="Arial Narrow"/>
                <w:sz w:val="20"/>
                <w:szCs w:val="20"/>
              </w:rPr>
              <w:t xml:space="preserve">treated </w:t>
            </w:r>
            <w:r w:rsidRPr="00330369">
              <w:rPr>
                <w:rFonts w:ascii="Arial Narrow" w:hAnsi="Arial Narrow"/>
                <w:sz w:val="20"/>
                <w:szCs w:val="20"/>
              </w:rPr>
              <w:t>in combination</w:t>
            </w:r>
            <w:r w:rsidRPr="00D60B02">
              <w:rPr>
                <w:rFonts w:ascii="Arial Narrow" w:hAnsi="Arial Narrow"/>
                <w:sz w:val="20"/>
                <w:szCs w:val="20"/>
              </w:rPr>
              <w:t xml:space="preserve"> with cisplatin and gemcitabine as neoadjuvant treatment for this condition.</w:t>
            </w:r>
          </w:p>
        </w:tc>
      </w:tr>
      <w:tr w:rsidR="005D343F" w:rsidRPr="00D60B02" w14:paraId="7053F862"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7F4E0CF4" w14:textId="77777777" w:rsidR="005D343F" w:rsidRPr="0017547D" w:rsidRDefault="005D343F">
            <w:pPr>
              <w:rPr>
                <w:rFonts w:ascii="Arial Narrow" w:hAnsi="Arial Narrow"/>
                <w:b/>
                <w:bCs/>
                <w:sz w:val="20"/>
                <w:szCs w:val="20"/>
              </w:rPr>
            </w:pPr>
            <w:r w:rsidRPr="0017547D">
              <w:rPr>
                <w:rFonts w:ascii="Arial Narrow" w:hAnsi="Arial Narrow"/>
                <w:b/>
                <w:bCs/>
                <w:sz w:val="20"/>
                <w:szCs w:val="20"/>
              </w:rPr>
              <w:t>Clinical criteria:</w:t>
            </w:r>
          </w:p>
        </w:tc>
      </w:tr>
      <w:tr w:rsidR="005D343F" w:rsidRPr="00D60B02" w14:paraId="293DB75A"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448B2600" w14:textId="3A39473B" w:rsidR="005D343F" w:rsidRPr="0017547D" w:rsidRDefault="005D343F">
            <w:pPr>
              <w:rPr>
                <w:rFonts w:ascii="Arial Narrow" w:hAnsi="Arial Narrow"/>
                <w:b/>
                <w:bCs/>
                <w:strike/>
                <w:sz w:val="20"/>
                <w:szCs w:val="20"/>
              </w:rPr>
            </w:pPr>
            <w:r w:rsidRPr="0017547D">
              <w:rPr>
                <w:rFonts w:ascii="Arial Narrow" w:hAnsi="Arial Narrow"/>
                <w:sz w:val="20"/>
                <w:szCs w:val="20"/>
              </w:rPr>
              <w:t>Patient must have undergone radical cystectomy</w:t>
            </w:r>
          </w:p>
        </w:tc>
      </w:tr>
      <w:tr w:rsidR="005D343F" w:rsidRPr="00D60B02" w14:paraId="646B54C5"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537FAF0D" w14:textId="77777777" w:rsidR="005D343F" w:rsidRPr="0017547D" w:rsidRDefault="005D343F">
            <w:pPr>
              <w:rPr>
                <w:rFonts w:ascii="Arial Narrow" w:hAnsi="Arial Narrow"/>
                <w:b/>
                <w:bCs/>
                <w:sz w:val="20"/>
                <w:szCs w:val="20"/>
              </w:rPr>
            </w:pPr>
            <w:r w:rsidRPr="0017547D">
              <w:rPr>
                <w:rFonts w:ascii="Arial Narrow" w:hAnsi="Arial Narrow"/>
                <w:b/>
                <w:bCs/>
                <w:sz w:val="20"/>
                <w:szCs w:val="20"/>
              </w:rPr>
              <w:t>AND</w:t>
            </w:r>
          </w:p>
        </w:tc>
      </w:tr>
      <w:tr w:rsidR="005D343F" w:rsidRPr="00D60B02" w14:paraId="57B17C37"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088454AF" w14:textId="77777777" w:rsidR="005D343F" w:rsidRPr="0017547D" w:rsidRDefault="005D343F">
            <w:pPr>
              <w:rPr>
                <w:rFonts w:ascii="Arial Narrow" w:hAnsi="Arial Narrow"/>
                <w:b/>
                <w:bCs/>
                <w:sz w:val="20"/>
                <w:szCs w:val="20"/>
              </w:rPr>
            </w:pPr>
            <w:r w:rsidRPr="0017547D">
              <w:rPr>
                <w:rFonts w:ascii="Arial Narrow" w:hAnsi="Arial Narrow"/>
                <w:b/>
                <w:bCs/>
                <w:sz w:val="20"/>
                <w:szCs w:val="20"/>
              </w:rPr>
              <w:t>Clinical criteria:</w:t>
            </w:r>
          </w:p>
        </w:tc>
      </w:tr>
      <w:tr w:rsidR="005D343F" w:rsidRPr="00D60B02" w14:paraId="62184711"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794B8AC9" w14:textId="246B76CB" w:rsidR="005D343F" w:rsidRPr="0017547D" w:rsidRDefault="005D343F">
            <w:pPr>
              <w:rPr>
                <w:rFonts w:ascii="Arial Narrow" w:hAnsi="Arial Narrow"/>
                <w:b/>
                <w:bCs/>
                <w:sz w:val="20"/>
                <w:szCs w:val="20"/>
              </w:rPr>
            </w:pPr>
            <w:r w:rsidRPr="0017547D">
              <w:rPr>
                <w:rFonts w:ascii="Arial Narrow" w:hAnsi="Arial Narrow"/>
                <w:sz w:val="20"/>
                <w:szCs w:val="20"/>
              </w:rPr>
              <w:t>The treatment must be for adjuvant therapy that is/was initiated within 6 months of radical cystectomy for this condition</w:t>
            </w:r>
          </w:p>
        </w:tc>
      </w:tr>
      <w:tr w:rsidR="005D343F" w:rsidRPr="00D60B02" w14:paraId="111CE36C"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2304FAF9" w14:textId="77777777" w:rsidR="005D343F" w:rsidRPr="00D60B02" w:rsidRDefault="005D343F">
            <w:pPr>
              <w:rPr>
                <w:rFonts w:ascii="Arial Narrow" w:hAnsi="Arial Narrow"/>
                <w:sz w:val="20"/>
                <w:szCs w:val="20"/>
              </w:rPr>
            </w:pPr>
            <w:r w:rsidRPr="00D60B02">
              <w:rPr>
                <w:rFonts w:ascii="Arial Narrow" w:hAnsi="Arial Narrow"/>
                <w:b/>
                <w:bCs/>
                <w:sz w:val="20"/>
                <w:szCs w:val="20"/>
              </w:rPr>
              <w:t>Clinical criteria:</w:t>
            </w:r>
          </w:p>
        </w:tc>
      </w:tr>
      <w:tr w:rsidR="005D343F" w:rsidRPr="00D60B02" w14:paraId="6182926D"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79698E3C" w14:textId="306F0BF1" w:rsidR="005D343F" w:rsidRPr="00187D4D" w:rsidRDefault="005D343F">
            <w:pPr>
              <w:rPr>
                <w:rFonts w:ascii="Arial Narrow" w:hAnsi="Arial Narrow"/>
                <w:strike/>
                <w:sz w:val="20"/>
                <w:szCs w:val="20"/>
              </w:rPr>
            </w:pPr>
            <w:r w:rsidRPr="00187D4D">
              <w:rPr>
                <w:rFonts w:ascii="Arial Narrow" w:hAnsi="Arial Narrow"/>
                <w:sz w:val="20"/>
                <w:szCs w:val="20"/>
              </w:rPr>
              <w:t>The treatment must be the sole PBS-subsidised systemic anti-cancer therapy for this PBS indication</w:t>
            </w:r>
          </w:p>
        </w:tc>
      </w:tr>
      <w:tr w:rsidR="005D343F" w:rsidRPr="00D60B02" w14:paraId="010DEA7F"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3752DDA6" w14:textId="77777777" w:rsidR="005D343F" w:rsidRPr="00493105" w:rsidRDefault="005D343F">
            <w:pPr>
              <w:rPr>
                <w:rFonts w:ascii="Arial Narrow" w:hAnsi="Arial Narrow"/>
                <w:sz w:val="20"/>
                <w:szCs w:val="20"/>
              </w:rPr>
            </w:pPr>
            <w:r w:rsidRPr="00493105">
              <w:rPr>
                <w:rFonts w:ascii="Arial Narrow" w:hAnsi="Arial Narrow"/>
                <w:b/>
                <w:bCs/>
                <w:sz w:val="20"/>
                <w:szCs w:val="20"/>
              </w:rPr>
              <w:lastRenderedPageBreak/>
              <w:t>AND</w:t>
            </w:r>
          </w:p>
        </w:tc>
      </w:tr>
      <w:tr w:rsidR="005D343F" w:rsidRPr="00D60B02" w14:paraId="64542C1D"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5B443FE5" w14:textId="77777777" w:rsidR="005D343F" w:rsidRPr="00D60B02" w:rsidRDefault="005D343F">
            <w:pPr>
              <w:rPr>
                <w:rFonts w:ascii="Arial Narrow" w:hAnsi="Arial Narrow"/>
                <w:b/>
                <w:bCs/>
                <w:sz w:val="20"/>
                <w:szCs w:val="20"/>
              </w:rPr>
            </w:pPr>
            <w:r w:rsidRPr="00D60B02">
              <w:rPr>
                <w:rFonts w:ascii="Arial Narrow" w:hAnsi="Arial Narrow"/>
                <w:b/>
                <w:bCs/>
                <w:sz w:val="20"/>
                <w:szCs w:val="20"/>
              </w:rPr>
              <w:t>Treatment criteria:</w:t>
            </w:r>
          </w:p>
        </w:tc>
      </w:tr>
      <w:tr w:rsidR="005D343F" w:rsidRPr="00D60B02" w14:paraId="0AB2C01E" w14:textId="77777777" w:rsidTr="005D343F">
        <w:tblPrEx>
          <w:tblCellMar>
            <w:top w:w="15" w:type="dxa"/>
            <w:bottom w:w="15" w:type="dxa"/>
          </w:tblCellMar>
          <w:tblLook w:val="04A0" w:firstRow="1" w:lastRow="0" w:firstColumn="1" w:lastColumn="0" w:noHBand="0" w:noVBand="1"/>
        </w:tblPrEx>
        <w:trPr>
          <w:cantSplit/>
          <w:trHeight w:val="20"/>
        </w:trPr>
        <w:tc>
          <w:tcPr>
            <w:tcW w:w="5000" w:type="pct"/>
            <w:vAlign w:val="center"/>
          </w:tcPr>
          <w:p w14:paraId="3D97FC31" w14:textId="472BE0F9" w:rsidR="005D343F" w:rsidRPr="00D60B02" w:rsidRDefault="005D343F">
            <w:pPr>
              <w:rPr>
                <w:rFonts w:ascii="Arial Narrow" w:hAnsi="Arial Narrow"/>
                <w:sz w:val="20"/>
                <w:szCs w:val="20"/>
              </w:rPr>
            </w:pPr>
            <w:r w:rsidRPr="00D60B02">
              <w:rPr>
                <w:rFonts w:ascii="Arial Narrow" w:hAnsi="Arial Narrow"/>
                <w:sz w:val="20"/>
                <w:szCs w:val="20"/>
              </w:rPr>
              <w:t xml:space="preserve">Patient must be undergoing treatment that does not occur beyond the following, whichever comes first: (i) the first instance of disease progression/recurrence, (ii) maximum of 8 </w:t>
            </w:r>
            <w:r w:rsidRPr="00000364">
              <w:rPr>
                <w:rFonts w:ascii="Arial Narrow" w:hAnsi="Arial Narrow"/>
                <w:sz w:val="20"/>
                <w:szCs w:val="20"/>
              </w:rPr>
              <w:t>cycles</w:t>
            </w:r>
            <w:r w:rsidRPr="00D60B02">
              <w:rPr>
                <w:rFonts w:ascii="Arial Narrow" w:hAnsi="Arial Narrow"/>
                <w:sz w:val="20"/>
                <w:szCs w:val="20"/>
              </w:rPr>
              <w:t xml:space="preserve"> for this condition from the first administered dose following radical cystectomy, (iii) unacceptable toxicity; annotate any remaining repeat prescriptions with the word 'cancelled' where this occurs</w:t>
            </w:r>
          </w:p>
        </w:tc>
      </w:tr>
      <w:tr w:rsidR="005D343F" w:rsidRPr="00D60B02" w14:paraId="0C5FA972" w14:textId="77777777" w:rsidTr="005D343F">
        <w:tblPrEx>
          <w:tblCellMar>
            <w:top w:w="15" w:type="dxa"/>
            <w:bottom w:w="15" w:type="dxa"/>
          </w:tblCellMar>
          <w:tblLook w:val="04A0" w:firstRow="1" w:lastRow="0" w:firstColumn="1" w:lastColumn="0" w:noHBand="0" w:noVBand="1"/>
        </w:tblPrEx>
        <w:trPr>
          <w:cantSplit/>
          <w:trHeight w:val="20"/>
        </w:trPr>
        <w:tc>
          <w:tcPr>
            <w:tcW w:w="5000" w:type="pct"/>
          </w:tcPr>
          <w:p w14:paraId="667407E4" w14:textId="77777777" w:rsidR="005D343F" w:rsidRPr="00C736F5" w:rsidRDefault="005D343F">
            <w:pPr>
              <w:rPr>
                <w:rFonts w:ascii="Arial Narrow" w:eastAsia="Calibri" w:hAnsi="Arial Narrow" w:cs="Calibri"/>
                <w:b/>
                <w:bCs/>
                <w:sz w:val="20"/>
                <w:szCs w:val="20"/>
              </w:rPr>
            </w:pPr>
            <w:r w:rsidRPr="00C736F5">
              <w:rPr>
                <w:rFonts w:ascii="Arial Narrow" w:eastAsia="Calibri" w:hAnsi="Arial Narrow" w:cs="Calibri"/>
                <w:b/>
                <w:bCs/>
                <w:sz w:val="20"/>
                <w:szCs w:val="20"/>
              </w:rPr>
              <w:t xml:space="preserve">Prescribing Instruction: </w:t>
            </w:r>
            <w:r w:rsidRPr="00C736F5">
              <w:rPr>
                <w:rFonts w:ascii="Arial Narrow" w:hAnsi="Arial Narrow"/>
                <w:sz w:val="20"/>
                <w:szCs w:val="20"/>
              </w:rPr>
              <w:t>Treatment with this drug for this condition must not exceed 12 treatment cycles (neoadjuvant and adjuvant) in a lifetime</w:t>
            </w:r>
          </w:p>
        </w:tc>
      </w:tr>
    </w:tbl>
    <w:p w14:paraId="4CF4384E" w14:textId="77777777" w:rsidR="00136F95" w:rsidRPr="00D60B02" w:rsidRDefault="00136F95" w:rsidP="00136F95">
      <w:pPr>
        <w:spacing w:after="120"/>
        <w:rPr>
          <w:rFonts w:cs="Calibri"/>
          <w:color w:val="4F81BD"/>
        </w:rPr>
      </w:pPr>
    </w:p>
    <w:p w14:paraId="5020E386" w14:textId="77777777" w:rsidR="00136F95" w:rsidRPr="00D60B02" w:rsidRDefault="00136F95" w:rsidP="00136F95">
      <w:pPr>
        <w:rPr>
          <w:rFonts w:cs="Calibri"/>
          <w:b/>
          <w:bCs/>
          <w:i/>
          <w:iCs/>
          <w:sz w:val="22"/>
          <w:szCs w:val="22"/>
          <w:u w:val="single"/>
        </w:rPr>
      </w:pPr>
      <w:r w:rsidRPr="00D60B02">
        <w:rPr>
          <w:rFonts w:cs="Calibri"/>
          <w:b/>
          <w:bCs/>
          <w:i/>
          <w:iCs/>
          <w:sz w:val="22"/>
          <w:szCs w:val="22"/>
          <w:u w:val="single"/>
        </w:rPr>
        <w:t>Flow on changes to nivolumab (PBS items 14231B and 14260M)</w:t>
      </w:r>
    </w:p>
    <w:p w14:paraId="0AECE2CA" w14:textId="77777777" w:rsidR="00EF0B20" w:rsidRDefault="00EF0B20" w:rsidP="00136F95">
      <w:pPr>
        <w:keepNext/>
        <w:keepLines/>
        <w:rPr>
          <w:rFonts w:cs="Calibri"/>
          <w:bCs/>
          <w:i/>
        </w:rPr>
      </w:pPr>
    </w:p>
    <w:p w14:paraId="1F4998F1" w14:textId="62AFD347" w:rsidR="00EF0B20" w:rsidRPr="00C14A7F" w:rsidRDefault="00EF0B20" w:rsidP="00EF0B20">
      <w:pPr>
        <w:keepNext/>
        <w:keepLines/>
        <w:rPr>
          <w:rFonts w:cs="Calibri"/>
        </w:rPr>
      </w:pPr>
      <w:r w:rsidRPr="00C14A7F">
        <w:rPr>
          <w:rFonts w:cs="Calibri"/>
        </w:rPr>
        <w:t xml:space="preserve">Amend clinical criteria (concept 32188) to ensure adjuvant therapy is initiated within 6 months of radical cystectomy (rather than 120 days). </w:t>
      </w:r>
    </w:p>
    <w:p w14:paraId="293FB34E" w14:textId="77777777" w:rsidR="00EF0B20" w:rsidRPr="00C14A7F" w:rsidRDefault="00EF0B20" w:rsidP="00EF0B20">
      <w:pPr>
        <w:keepNext/>
        <w:keepLines/>
        <w:rPr>
          <w:rFonts w:cs="Calibri"/>
          <w:bCs/>
          <w:i/>
        </w:rPr>
      </w:pPr>
    </w:p>
    <w:tbl>
      <w:tblPr>
        <w:tblStyle w:val="AZTable1"/>
        <w:tblW w:w="4950" w:type="pct"/>
        <w:tblLook w:val="04A0" w:firstRow="1" w:lastRow="0" w:firstColumn="1" w:lastColumn="0" w:noHBand="0" w:noVBand="1"/>
        <w:tblCaption w:val="Flow on changes to nivolumab - Amend clinical criteria (concept 32188) to ensure adjuvant therapy is initiated within 6 months of radical cystectomy (rather than 120 days) "/>
      </w:tblPr>
      <w:tblGrid>
        <w:gridCol w:w="8927"/>
      </w:tblGrid>
      <w:tr w:rsidR="00517562" w:rsidRPr="00C14A7F" w14:paraId="082EE4B4" w14:textId="77777777" w:rsidTr="00517562">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FFFFFF"/>
          </w:tcPr>
          <w:p w14:paraId="5FB39A2F" w14:textId="647451E7" w:rsidR="00517562" w:rsidRPr="00C14A7F" w:rsidRDefault="00517562" w:rsidP="00DD7BB7">
            <w:pPr>
              <w:rPr>
                <w:rFonts w:ascii="Arial Narrow" w:eastAsia="Times New Roman" w:hAnsi="Arial Narrow"/>
                <w:bCs/>
                <w:iCs/>
                <w:color w:val="333333"/>
                <w:sz w:val="20"/>
                <w:szCs w:val="20"/>
                <w:lang w:eastAsia="en-AU"/>
              </w:rPr>
            </w:pPr>
            <w:r w:rsidRPr="00C14A7F">
              <w:rPr>
                <w:rFonts w:ascii="Arial Narrow" w:eastAsia="Times New Roman" w:hAnsi="Arial Narrow"/>
                <w:bCs/>
                <w:iCs/>
                <w:color w:val="333333"/>
                <w:sz w:val="20"/>
                <w:szCs w:val="20"/>
                <w:lang w:eastAsia="en-AU"/>
              </w:rPr>
              <w:t>Clinical criteria:</w:t>
            </w:r>
          </w:p>
        </w:tc>
      </w:tr>
      <w:tr w:rsidR="00517562" w:rsidRPr="00D60B02" w14:paraId="0478287D" w14:textId="77777777" w:rsidTr="00517562">
        <w:tc>
          <w:tcPr>
            <w:tcW w:w="5000" w:type="pct"/>
          </w:tcPr>
          <w:p w14:paraId="0A0888E3" w14:textId="099A3F82" w:rsidR="00517562" w:rsidRPr="00EF0B20" w:rsidRDefault="00517562" w:rsidP="00EF0B20">
            <w:pPr>
              <w:keepNext/>
              <w:keepLines/>
              <w:rPr>
                <w:rFonts w:ascii="Arial Narrow" w:hAnsi="Arial Narrow" w:cs="Calibri"/>
                <w:iCs/>
                <w:sz w:val="20"/>
                <w:szCs w:val="20"/>
              </w:rPr>
            </w:pPr>
            <w:r w:rsidRPr="00C14A7F">
              <w:rPr>
                <w:rFonts w:ascii="Arial Narrow" w:hAnsi="Arial Narrow" w:cs="Calibri"/>
                <w:iCs/>
                <w:sz w:val="20"/>
                <w:szCs w:val="20"/>
              </w:rPr>
              <w:t xml:space="preserve">The treatment must be for each of: (i) adjuvant therapy that is/was initiated within </w:t>
            </w:r>
            <w:r w:rsidRPr="00C14A7F">
              <w:rPr>
                <w:rFonts w:ascii="Arial Narrow" w:hAnsi="Arial Narrow" w:cs="Calibri"/>
                <w:i/>
                <w:sz w:val="20"/>
                <w:szCs w:val="20"/>
              </w:rPr>
              <w:t>6 months</w:t>
            </w:r>
            <w:r w:rsidRPr="00C14A7F">
              <w:rPr>
                <w:rFonts w:ascii="Arial Narrow" w:hAnsi="Arial Narrow" w:cs="Calibri"/>
                <w:iCs/>
                <w:sz w:val="20"/>
                <w:szCs w:val="20"/>
              </w:rPr>
              <w:t xml:space="preserve"> </w:t>
            </w:r>
            <w:r w:rsidRPr="00C14A7F">
              <w:rPr>
                <w:rFonts w:ascii="Arial Narrow" w:hAnsi="Arial Narrow" w:cs="Calibri"/>
                <w:iCs/>
                <w:strike/>
                <w:sz w:val="20"/>
                <w:szCs w:val="20"/>
              </w:rPr>
              <w:t>120 days</w:t>
            </w:r>
            <w:r w:rsidRPr="00C14A7F">
              <w:rPr>
                <w:rFonts w:ascii="Arial Narrow" w:hAnsi="Arial Narrow" w:cs="Calibri"/>
                <w:iCs/>
                <w:sz w:val="20"/>
                <w:szCs w:val="20"/>
              </w:rPr>
              <w:t xml:space="preserve"> of radical surgical resection, (ii) muscle invasive type disease, (iii) disease considered to be at high risk of recurrence based on pathologic staging of radical surgery tissue (ypT2-ypT4a or ypN+), but yet to recur, (iv) use as the sole PBS-subsidised anti-cancer treatment for this condition</w:t>
            </w:r>
          </w:p>
        </w:tc>
      </w:tr>
    </w:tbl>
    <w:p w14:paraId="3CBE34F9" w14:textId="77777777" w:rsidR="00EF0B20" w:rsidRDefault="00EF0B20" w:rsidP="00136F95">
      <w:pPr>
        <w:keepNext/>
        <w:keepLines/>
        <w:rPr>
          <w:rFonts w:cs="Calibri"/>
          <w:bCs/>
          <w:i/>
        </w:rPr>
      </w:pPr>
    </w:p>
    <w:p w14:paraId="18C567B2" w14:textId="77777777" w:rsidR="00136F95" w:rsidRPr="004D7656" w:rsidRDefault="00136F95" w:rsidP="00136F95">
      <w:pPr>
        <w:keepNext/>
        <w:keepLines/>
        <w:rPr>
          <w:rFonts w:cs="Calibri"/>
        </w:rPr>
      </w:pPr>
      <w:r w:rsidRPr="004D7656">
        <w:rPr>
          <w:rFonts w:cs="Calibri"/>
        </w:rPr>
        <w:t xml:space="preserve">Addition of clinical criteria to reflect once-per-lifetime immunotherapy use in urothelial carcinoma. </w:t>
      </w:r>
    </w:p>
    <w:tbl>
      <w:tblPr>
        <w:tblStyle w:val="AZTable1"/>
        <w:tblW w:w="5000" w:type="pct"/>
        <w:tblLook w:val="04A0" w:firstRow="1" w:lastRow="0" w:firstColumn="1" w:lastColumn="0" w:noHBand="0" w:noVBand="1"/>
        <w:tblCaption w:val="Flow on changes to nivolumab - Addition of clinical criteria to reflect once-per-lifetime immunotherapy use in urothelial carcinoma"/>
      </w:tblPr>
      <w:tblGrid>
        <w:gridCol w:w="9017"/>
      </w:tblGrid>
      <w:tr w:rsidR="005A37A4" w:rsidRPr="00D60B02" w14:paraId="519C3514" w14:textId="77777777" w:rsidTr="005A37A4">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FFFFFF"/>
          </w:tcPr>
          <w:p w14:paraId="59F97221" w14:textId="52EC3A6F" w:rsidR="005A37A4" w:rsidRPr="00D60B02" w:rsidRDefault="005A37A4">
            <w:pPr>
              <w:rPr>
                <w:rFonts w:ascii="Arial Narrow" w:eastAsia="Times New Roman" w:hAnsi="Arial Narrow"/>
                <w:bCs/>
                <w:i/>
                <w:iCs/>
                <w:color w:val="333333"/>
                <w:sz w:val="20"/>
                <w:szCs w:val="20"/>
                <w:lang w:eastAsia="en-AU"/>
              </w:rPr>
            </w:pPr>
            <w:r w:rsidRPr="00D60B02">
              <w:rPr>
                <w:rFonts w:ascii="Arial Narrow" w:eastAsia="Times New Roman" w:hAnsi="Arial Narrow"/>
                <w:bCs/>
                <w:i/>
                <w:iCs/>
                <w:color w:val="333333"/>
                <w:sz w:val="20"/>
                <w:szCs w:val="20"/>
                <w:lang w:eastAsia="en-AU"/>
              </w:rPr>
              <w:t>Clinical criteria:</w:t>
            </w:r>
          </w:p>
        </w:tc>
      </w:tr>
      <w:tr w:rsidR="005A37A4" w:rsidRPr="00D60B02" w14:paraId="2508C6CA" w14:textId="77777777" w:rsidTr="005A37A4">
        <w:tc>
          <w:tcPr>
            <w:tcW w:w="5000" w:type="pct"/>
          </w:tcPr>
          <w:p w14:paraId="3BA4316C" w14:textId="77777777" w:rsidR="005A37A4" w:rsidRPr="005A37A4" w:rsidRDefault="005A37A4">
            <w:pPr>
              <w:rPr>
                <w:rFonts w:ascii="Arial Narrow" w:eastAsia="Times New Roman" w:hAnsi="Arial Narrow"/>
                <w:i/>
                <w:iCs/>
                <w:color w:val="333333"/>
                <w:sz w:val="20"/>
                <w:szCs w:val="20"/>
                <w:lang w:eastAsia="en-AU"/>
              </w:rPr>
            </w:pPr>
            <w:r w:rsidRPr="005A37A4">
              <w:rPr>
                <w:rFonts w:ascii="Arial Narrow" w:eastAsia="Times New Roman" w:hAnsi="Arial Narrow"/>
                <w:i/>
                <w:iCs/>
                <w:color w:val="333333"/>
                <w:sz w:val="20"/>
                <w:szCs w:val="20"/>
                <w:lang w:eastAsia="en-AU"/>
              </w:rPr>
              <w:t>Patient must not have received prior treatment with a programmed cell death-1 (PD-1) inhibitor or a programmed cell death ligand-1 (PD-L1) inhibitor for this condition.</w:t>
            </w:r>
          </w:p>
        </w:tc>
      </w:tr>
    </w:tbl>
    <w:p w14:paraId="5CBF02F5" w14:textId="77777777" w:rsidR="00136F95" w:rsidRPr="00D60B02" w:rsidRDefault="00136F95" w:rsidP="00136F95">
      <w:pPr>
        <w:rPr>
          <w:color w:val="3366FF"/>
        </w:rPr>
      </w:pPr>
    </w:p>
    <w:p w14:paraId="26E14719" w14:textId="0CF7C581" w:rsidR="00136F95" w:rsidRPr="004D7656" w:rsidRDefault="00136F95" w:rsidP="00136F95">
      <w:r w:rsidRPr="004D7656">
        <w:t xml:space="preserve">Remove Telephone/Online Administrative Note to accommodate a </w:t>
      </w:r>
      <w:r w:rsidR="004748FA" w:rsidRPr="004D7656">
        <w:t>STREAMLINED</w:t>
      </w:r>
      <w:r w:rsidRPr="004D7656">
        <w:t xml:space="preserve"> listing </w:t>
      </w:r>
    </w:p>
    <w:tbl>
      <w:tblPr>
        <w:tblStyle w:val="AZTable1"/>
        <w:tblW w:w="5000" w:type="pct"/>
        <w:tblLook w:val="04A0" w:firstRow="1" w:lastRow="0" w:firstColumn="1" w:lastColumn="0" w:noHBand="0" w:noVBand="1"/>
        <w:tblCaption w:val="Flow on changes to nivolumab - Remove Telephone/Online Administrative Note to accommodate a STREAMLINED listing"/>
      </w:tblPr>
      <w:tblGrid>
        <w:gridCol w:w="9017"/>
      </w:tblGrid>
      <w:tr w:rsidR="005A37A4" w:rsidRPr="00D60B02" w14:paraId="3EF54098" w14:textId="77777777" w:rsidTr="005A37A4">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FFFFFF"/>
          </w:tcPr>
          <w:p w14:paraId="366119EF" w14:textId="77777777" w:rsidR="005A37A4" w:rsidRPr="004D7656" w:rsidRDefault="005A37A4">
            <w:pPr>
              <w:rPr>
                <w:rFonts w:ascii="Arial Narrow" w:eastAsia="Times New Roman" w:hAnsi="Arial Narrow"/>
                <w:strike/>
                <w:color w:val="333333"/>
                <w:sz w:val="20"/>
                <w:szCs w:val="20"/>
                <w:lang w:eastAsia="en-AU"/>
              </w:rPr>
            </w:pPr>
            <w:r w:rsidRPr="004D7656">
              <w:rPr>
                <w:rFonts w:ascii="Arial Narrow" w:eastAsia="Times New Roman" w:hAnsi="Arial Narrow"/>
                <w:strike/>
                <w:color w:val="333333"/>
                <w:sz w:val="20"/>
                <w:szCs w:val="20"/>
                <w:lang w:eastAsia="en-AU"/>
              </w:rPr>
              <w:t>Administrative Advice:</w:t>
            </w:r>
          </w:p>
          <w:p w14:paraId="462CC7AE" w14:textId="77777777" w:rsidR="005A37A4" w:rsidRPr="00E225E0" w:rsidRDefault="005A37A4">
            <w:pPr>
              <w:rPr>
                <w:rFonts w:ascii="Arial Narrow" w:eastAsia="Times New Roman" w:hAnsi="Arial Narrow"/>
                <w:b w:val="0"/>
                <w:i/>
                <w:iCs/>
                <w:strike/>
                <w:color w:val="333333"/>
                <w:sz w:val="20"/>
                <w:szCs w:val="20"/>
                <w:lang w:eastAsia="en-AU"/>
              </w:rPr>
            </w:pPr>
            <w:r w:rsidRPr="004D7656">
              <w:rPr>
                <w:rFonts w:ascii="Arial Narrow" w:eastAsia="Times New Roman" w:hAnsi="Arial Narrow"/>
                <w:b w:val="0"/>
                <w:strike/>
                <w:color w:val="333333"/>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bl>
    <w:p w14:paraId="3C5C95E4" w14:textId="1E1C9D54" w:rsidR="00CB7C0E" w:rsidRPr="00803F75" w:rsidRDefault="00CB7C0E" w:rsidP="00803F75">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121"/>
    </w:p>
    <w:p w14:paraId="5F8D8267" w14:textId="77777777" w:rsidR="00CB7C0E" w:rsidRDefault="00CB7C0E" w:rsidP="00CB7C0E">
      <w:pPr>
        <w:tabs>
          <w:tab w:val="left" w:pos="1080"/>
        </w:tabs>
        <w:autoSpaceDE w:val="0"/>
        <w:autoSpaceDN w:val="0"/>
        <w:adjustRightInd w:val="0"/>
        <w:rPr>
          <w:rFonts w:asciiTheme="minorHAnsi" w:hAnsiTheme="minorHAnsi" w:cstheme="minorHAnsi"/>
        </w:rPr>
      </w:pPr>
    </w:p>
    <w:bookmarkEnd w:id="122"/>
    <w:p w14:paraId="5B7FADEF" w14:textId="77777777" w:rsidR="009524E7" w:rsidRPr="009524E7" w:rsidRDefault="009524E7" w:rsidP="009524E7">
      <w:pPr>
        <w:pStyle w:val="2-SectionHeading"/>
      </w:pPr>
      <w:r w:rsidRPr="009524E7">
        <w:t>Context for Decision</w:t>
      </w:r>
    </w:p>
    <w:p w14:paraId="4C40A142" w14:textId="77777777" w:rsidR="009524E7" w:rsidRDefault="009524E7" w:rsidP="009524E7">
      <w:pPr>
        <w:ind w:left="709"/>
      </w:pPr>
      <w:r w:rsidRPr="009524E7">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33E8D79" w14:textId="77777777" w:rsidR="009524E7" w:rsidRPr="009524E7" w:rsidRDefault="009524E7" w:rsidP="009524E7"/>
    <w:p w14:paraId="2AFD4522" w14:textId="6E8E2147" w:rsidR="009524E7" w:rsidRDefault="009524E7" w:rsidP="00575D94">
      <w:pPr>
        <w:pStyle w:val="2-SectionHeading"/>
      </w:pPr>
      <w:r w:rsidRPr="009524E7">
        <w:lastRenderedPageBreak/>
        <w:t>Sponsor’s Comment</w:t>
      </w:r>
    </w:p>
    <w:p w14:paraId="4E2A5E03" w14:textId="4026C917" w:rsidR="009524E7" w:rsidRPr="009524E7" w:rsidRDefault="009524E7" w:rsidP="009524E7">
      <w:pPr>
        <w:ind w:left="709"/>
      </w:pPr>
      <w:r w:rsidRPr="009524E7">
        <w:t>The sponsor had no comment.</w:t>
      </w:r>
    </w:p>
    <w:p w14:paraId="777DD078" w14:textId="6A43E5EF" w:rsidR="00612BD7" w:rsidRDefault="00612BD7" w:rsidP="00803F75"/>
    <w:sectPr w:rsidR="00612BD7" w:rsidSect="009450C3">
      <w:headerReference w:type="even" r:id="rId21"/>
      <w:headerReference w:type="default" r:id="rId22"/>
      <w:footerReference w:type="even" r:id="rId23"/>
      <w:footerReference w:type="default" r:id="rId24"/>
      <w:headerReference w:type="first" r:id="rId25"/>
      <w:footerReference w:type="first" r:id="rId2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5377" w14:textId="77777777" w:rsidR="001B464D" w:rsidRDefault="001B464D" w:rsidP="00124A51">
      <w:r>
        <w:separator/>
      </w:r>
    </w:p>
    <w:p w14:paraId="3B77C4E9" w14:textId="77777777" w:rsidR="001B464D" w:rsidRDefault="001B464D"/>
  </w:endnote>
  <w:endnote w:type="continuationSeparator" w:id="0">
    <w:p w14:paraId="6C68320B" w14:textId="77777777" w:rsidR="001B464D" w:rsidRDefault="001B464D" w:rsidP="00124A51">
      <w:r>
        <w:continuationSeparator/>
      </w:r>
    </w:p>
    <w:p w14:paraId="7454BB84" w14:textId="77777777" w:rsidR="001B464D" w:rsidRDefault="001B4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71FC3" w14:textId="115A8383" w:rsidR="00827639" w:rsidRDefault="00D77F63">
    <w:pPr>
      <w:pStyle w:val="Footer"/>
    </w:pPr>
    <w:r>
      <w:rPr>
        <w:noProof/>
      </w:rPr>
      <mc:AlternateContent>
        <mc:Choice Requires="wps">
          <w:drawing>
            <wp:anchor distT="0" distB="0" distL="0" distR="0" simplePos="0" relativeHeight="251663365" behindDoc="0" locked="0" layoutInCell="1" allowOverlap="1" wp14:anchorId="587401DE" wp14:editId="70371F78">
              <wp:simplePos x="635" y="635"/>
              <wp:positionH relativeFrom="page">
                <wp:align>center</wp:align>
              </wp:positionH>
              <wp:positionV relativeFrom="page">
                <wp:align>bottom</wp:align>
              </wp:positionV>
              <wp:extent cx="622300" cy="376555"/>
              <wp:effectExtent l="0" t="0" r="6350" b="0"/>
              <wp:wrapNone/>
              <wp:docPr id="143456085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DAD168" w14:textId="3EA04AF0"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7401DE"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DDAD168" w14:textId="3EA04AF0"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A3B2810" w:rsidR="00D843F2" w:rsidRDefault="00D77F63" w:rsidP="00753B29">
    <w:pPr>
      <w:pStyle w:val="Footer"/>
      <w:jc w:val="center"/>
    </w:pPr>
    <w:r>
      <w:rPr>
        <w:noProof/>
      </w:rPr>
      <mc:AlternateContent>
        <mc:Choice Requires="wps">
          <w:drawing>
            <wp:anchor distT="0" distB="0" distL="0" distR="0" simplePos="0" relativeHeight="251664389" behindDoc="0" locked="0" layoutInCell="1" allowOverlap="1" wp14:anchorId="4A7CD643" wp14:editId="252D6564">
              <wp:simplePos x="635" y="635"/>
              <wp:positionH relativeFrom="page">
                <wp:align>center</wp:align>
              </wp:positionH>
              <wp:positionV relativeFrom="page">
                <wp:align>bottom</wp:align>
              </wp:positionV>
              <wp:extent cx="622300" cy="376555"/>
              <wp:effectExtent l="0" t="0" r="6350" b="0"/>
              <wp:wrapNone/>
              <wp:docPr id="107408070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75026B" w14:textId="08EA8530"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7CD64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975026B" w14:textId="08EA8530"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v:textbox>
              <w10:wrap anchorx="page" anchory="page"/>
            </v:shape>
          </w:pict>
        </mc:Fallback>
      </mc:AlternateContent>
    </w:r>
  </w:p>
  <w:p w14:paraId="37484CD3" w14:textId="6A3987BD" w:rsidR="00D843F2" w:rsidRPr="007C1CD9" w:rsidRDefault="00000000" w:rsidP="00AA6A8D">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1B16" w14:textId="613198A0" w:rsidR="00827639" w:rsidRDefault="00D77F63">
    <w:pPr>
      <w:pStyle w:val="Footer"/>
    </w:pPr>
    <w:r>
      <w:rPr>
        <w:noProof/>
      </w:rPr>
      <mc:AlternateContent>
        <mc:Choice Requires="wps">
          <w:drawing>
            <wp:anchor distT="0" distB="0" distL="0" distR="0" simplePos="0" relativeHeight="251662341" behindDoc="0" locked="0" layoutInCell="1" allowOverlap="1" wp14:anchorId="46B92F7B" wp14:editId="76696D9F">
              <wp:simplePos x="635" y="635"/>
              <wp:positionH relativeFrom="page">
                <wp:align>center</wp:align>
              </wp:positionH>
              <wp:positionV relativeFrom="page">
                <wp:align>bottom</wp:align>
              </wp:positionV>
              <wp:extent cx="622300" cy="376555"/>
              <wp:effectExtent l="0" t="0" r="6350" b="0"/>
              <wp:wrapNone/>
              <wp:docPr id="18687548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9D5CFB" w14:textId="5504EF89"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B92F7B"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99D5CFB" w14:textId="5504EF89"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35DD5" w14:textId="77777777" w:rsidR="001B464D" w:rsidRDefault="001B464D">
      <w:r>
        <w:separator/>
      </w:r>
    </w:p>
  </w:footnote>
  <w:footnote w:type="continuationSeparator" w:id="0">
    <w:p w14:paraId="5C7E7E40" w14:textId="77777777" w:rsidR="001B464D" w:rsidRDefault="001B464D" w:rsidP="00124A51">
      <w:r>
        <w:continuationSeparator/>
      </w:r>
    </w:p>
    <w:p w14:paraId="7BBE3C41" w14:textId="77777777" w:rsidR="001B464D" w:rsidRDefault="001B464D"/>
  </w:footnote>
  <w:footnote w:id="1">
    <w:p w14:paraId="43D38085" w14:textId="771A7550" w:rsidR="00E073E8" w:rsidRDefault="00E073E8" w:rsidP="00E073E8">
      <w:pPr>
        <w:pStyle w:val="FootnoteText"/>
      </w:pPr>
      <w:r>
        <w:rPr>
          <w:rStyle w:val="FootnoteReference"/>
        </w:rPr>
        <w:footnoteRef/>
      </w:r>
      <w:r>
        <w:t xml:space="preserve"> Clinical criteria for cisplatin eligibility: </w:t>
      </w:r>
      <w:r w:rsidRPr="00FC334A">
        <w:t xml:space="preserve">(1) ECOG performance status &lt;2; (2) creatinine clearance ≥60 mL/min; (3) no significant hearing loss (measured at audiometry of 25 dB at 2 contiguous frequencies); (4) less than Grade 2 peripheral neuropathy, and (5) no clinical evidence of </w:t>
      </w:r>
      <w:r>
        <w:t>New York Heart Association</w:t>
      </w:r>
      <w:r w:rsidRPr="00FC334A">
        <w:t xml:space="preserve"> class III or greater heart failure</w:t>
      </w:r>
      <w:r>
        <w:t xml:space="preserve"> </w:t>
      </w:r>
      <w:r w:rsidRPr="00A62705">
        <w:t>(Galsky MD et al. 2011</w:t>
      </w:r>
      <w:r>
        <w:t>).</w:t>
      </w:r>
    </w:p>
  </w:footnote>
  <w:footnote w:id="2">
    <w:p w14:paraId="449F5C8B" w14:textId="77777777" w:rsidR="00E073E8" w:rsidRDefault="00E073E8" w:rsidP="00E073E8">
      <w:pPr>
        <w:pStyle w:val="FootnoteText"/>
      </w:pPr>
      <w:r>
        <w:rPr>
          <w:rStyle w:val="FootnoteReference"/>
        </w:rPr>
        <w:footnoteRef/>
      </w:r>
      <w:r>
        <w:t xml:space="preserve"> Australian Bureau of Statistics. Yearbook Australia 2009-10. Canberra, ABS, 2010.</w:t>
      </w:r>
    </w:p>
  </w:footnote>
  <w:footnote w:id="3">
    <w:p w14:paraId="30AE0D13" w14:textId="2B1DB919" w:rsidR="00E073E8" w:rsidRDefault="00E073E8" w:rsidP="00E073E8">
      <w:pPr>
        <w:pStyle w:val="FootnoteText"/>
        <w:jc w:val="left"/>
      </w:pPr>
      <w:r>
        <w:rPr>
          <w:rStyle w:val="FootnoteReference"/>
        </w:rPr>
        <w:footnoteRef/>
      </w:r>
      <w:r>
        <w:t xml:space="preserve"> BLADDA (Bladder cancer). URL: </w:t>
      </w:r>
      <w:r w:rsidRPr="00346874">
        <w:t>https://figshare.unimelb.edu.au/articles/dataset/BLADDA_Bladder_Cancer_/</w:t>
      </w:r>
      <w:r>
        <w:t xml:space="preserve"> </w:t>
      </w:r>
      <w:r w:rsidRPr="00346874">
        <w:t>12495617</w:t>
      </w:r>
    </w:p>
  </w:footnote>
  <w:footnote w:id="4">
    <w:p w14:paraId="20385DCF" w14:textId="77777777" w:rsidR="00E073E8" w:rsidRPr="003E38B3" w:rsidRDefault="00E073E8" w:rsidP="00E073E8">
      <w:pPr>
        <w:pStyle w:val="FootnoteText"/>
        <w:rPr>
          <w:i/>
          <w:iCs/>
        </w:rPr>
      </w:pPr>
      <w:r>
        <w:rPr>
          <w:rStyle w:val="FootnoteReference"/>
        </w:rPr>
        <w:footnoteRef/>
      </w:r>
      <w:r>
        <w:t xml:space="preserve"> Jubber I et al. </w:t>
      </w:r>
      <w:r w:rsidRPr="003E38B3">
        <w:t xml:space="preserve">Epidemiology of </w:t>
      </w:r>
      <w:r>
        <w:t>b</w:t>
      </w:r>
      <w:r w:rsidRPr="003E38B3">
        <w:t xml:space="preserve">ladder </w:t>
      </w:r>
      <w:r>
        <w:t>c</w:t>
      </w:r>
      <w:r w:rsidRPr="003E38B3">
        <w:t xml:space="preserve">ancer in 2023: A </w:t>
      </w:r>
      <w:r>
        <w:t>s</w:t>
      </w:r>
      <w:r w:rsidRPr="003E38B3">
        <w:t xml:space="preserve">ystematic </w:t>
      </w:r>
      <w:r>
        <w:t>r</w:t>
      </w:r>
      <w:r w:rsidRPr="003E38B3">
        <w:t xml:space="preserve">eview of </w:t>
      </w:r>
      <w:r>
        <w:t>r</w:t>
      </w:r>
      <w:r w:rsidRPr="003E38B3">
        <w:t xml:space="preserve">isk </w:t>
      </w:r>
      <w:r>
        <w:t>f</w:t>
      </w:r>
      <w:r w:rsidRPr="003E38B3">
        <w:t>actors</w:t>
      </w:r>
      <w:r>
        <w:t xml:space="preserve">. </w:t>
      </w:r>
      <w:r>
        <w:rPr>
          <w:i/>
          <w:iCs/>
        </w:rPr>
        <w:t xml:space="preserve">European Urology </w:t>
      </w:r>
      <w:r w:rsidRPr="003E38B3">
        <w:t>2023; 84(2): 176-190.</w:t>
      </w:r>
    </w:p>
  </w:footnote>
  <w:footnote w:id="5">
    <w:p w14:paraId="2D7381C0" w14:textId="77777777" w:rsidR="00E073E8" w:rsidRPr="00CC3D32" w:rsidRDefault="00E073E8" w:rsidP="00112D10">
      <w:pPr>
        <w:pStyle w:val="FootnoteText"/>
        <w:jc w:val="left"/>
      </w:pPr>
      <w:r>
        <w:rPr>
          <w:rStyle w:val="FootnoteReference"/>
        </w:rPr>
        <w:footnoteRef/>
      </w:r>
      <w:r>
        <w:t xml:space="preserve"> Magi-Galluzzi C, Zhou M. Pathology of bladder neoplasms. </w:t>
      </w:r>
      <w:r>
        <w:rPr>
          <w:i/>
          <w:iCs/>
        </w:rPr>
        <w:t>UptoDate</w:t>
      </w:r>
      <w:r>
        <w:t xml:space="preserve"> 2024. URL: </w:t>
      </w:r>
      <w:r w:rsidRPr="00CC3D32">
        <w:t>https://www.uptodate.com/contents/pathology-of-bladder-neoplasms?sectionName=CLASSIFICATION&amp;search=bladder%20cancer&amp;topicRef=2989&amp;anchor=H2&amp;source=see_link#H4</w:t>
      </w:r>
    </w:p>
  </w:footnote>
  <w:footnote w:id="6">
    <w:p w14:paraId="2A1BAFB3" w14:textId="6B121F12" w:rsidR="00B26439" w:rsidRDefault="00B26439">
      <w:pPr>
        <w:pStyle w:val="FootnoteText"/>
      </w:pPr>
      <w:r>
        <w:rPr>
          <w:rStyle w:val="FootnoteReference"/>
        </w:rPr>
        <w:footnoteRef/>
      </w:r>
      <w:r>
        <w:t xml:space="preserve"> </w:t>
      </w:r>
      <w:r w:rsidRPr="0081452F">
        <w:rPr>
          <w:color w:val="000000" w:themeColor="text1"/>
        </w:rPr>
        <w:t>ypT</w:t>
      </w:r>
      <w:r w:rsidR="007A534B">
        <w:rPr>
          <w:color w:val="000000" w:themeColor="text1"/>
        </w:rPr>
        <w:t xml:space="preserve"> refers to: y=</w:t>
      </w:r>
      <w:r w:rsidR="002C6CA5" w:rsidRPr="002C6CA5">
        <w:rPr>
          <w:color w:val="000000" w:themeColor="text1"/>
        </w:rPr>
        <w:t>post</w:t>
      </w:r>
      <w:r w:rsidR="00514078">
        <w:rPr>
          <w:color w:val="000000" w:themeColor="text1"/>
        </w:rPr>
        <w:t xml:space="preserve"> </w:t>
      </w:r>
      <w:r w:rsidR="002C6CA5" w:rsidRPr="002C6CA5">
        <w:rPr>
          <w:color w:val="000000" w:themeColor="text1"/>
        </w:rPr>
        <w:t>neoadjuvant therapy</w:t>
      </w:r>
      <w:r w:rsidR="002C6CA5">
        <w:rPr>
          <w:color w:val="000000" w:themeColor="text1"/>
        </w:rPr>
        <w:t>; p=</w:t>
      </w:r>
      <w:r w:rsidR="008B2D4C" w:rsidRPr="008B2D4C">
        <w:rPr>
          <w:color w:val="000000" w:themeColor="text1"/>
        </w:rPr>
        <w:t>pathologic staging</w:t>
      </w:r>
      <w:r w:rsidR="004906E3">
        <w:rPr>
          <w:color w:val="000000" w:themeColor="text1"/>
        </w:rPr>
        <w:t>; T</w:t>
      </w:r>
      <w:r w:rsidR="00514078">
        <w:rPr>
          <w:color w:val="000000" w:themeColor="text1"/>
        </w:rPr>
        <w:t>=</w:t>
      </w:r>
      <w:r w:rsidR="008C35BA">
        <w:rPr>
          <w:color w:val="000000" w:themeColor="text1"/>
        </w:rPr>
        <w:t>size and extend of the primary tumour.</w:t>
      </w:r>
    </w:p>
  </w:footnote>
  <w:footnote w:id="7">
    <w:p w14:paraId="43457B64" w14:textId="767248F6" w:rsidR="00E073E8" w:rsidRDefault="00E073E8" w:rsidP="00E073E8">
      <w:pPr>
        <w:pStyle w:val="FootnoteText"/>
      </w:pPr>
      <w:r>
        <w:rPr>
          <w:rStyle w:val="FootnoteReference"/>
        </w:rPr>
        <w:footnoteRef/>
      </w:r>
      <w:r>
        <w:t xml:space="preserve"> </w:t>
      </w:r>
      <w:r w:rsidRPr="009938AB">
        <w:t>The “yp” prefix indicates that this pathologic staging is made after a neoadjuvant therapy</w:t>
      </w:r>
      <w:r w:rsidR="00BD395F">
        <w:t>.</w:t>
      </w:r>
    </w:p>
  </w:footnote>
  <w:footnote w:id="8">
    <w:p w14:paraId="6ACE20C6" w14:textId="14C967A8" w:rsidR="00C0523E" w:rsidRPr="00D33963" w:rsidRDefault="00C0523E">
      <w:pPr>
        <w:pStyle w:val="FootnoteText"/>
      </w:pPr>
      <w:r>
        <w:rPr>
          <w:rStyle w:val="FootnoteReference"/>
        </w:rPr>
        <w:footnoteRef/>
      </w:r>
      <w:r>
        <w:t xml:space="preserve"> The derivation of the proportion of patients</w:t>
      </w:r>
      <w:r w:rsidR="00C45C8E">
        <w:t xml:space="preserve"> (</w:t>
      </w:r>
      <w:r w:rsidR="00C45C8E" w:rsidRPr="001F4742">
        <w:t>27.6%)</w:t>
      </w:r>
      <w:r>
        <w:t xml:space="preserve"> </w:t>
      </w:r>
      <w:r w:rsidR="00537C5B">
        <w:t xml:space="preserve">(i) </w:t>
      </w:r>
      <w:r>
        <w:t>at high risk of recurrence</w:t>
      </w:r>
      <w:r w:rsidR="00791029">
        <w:t xml:space="preserve"> and</w:t>
      </w:r>
      <w:r w:rsidR="00537C5B">
        <w:t xml:space="preserve"> (ii)</w:t>
      </w:r>
      <w:r w:rsidR="00791029">
        <w:t xml:space="preserve"> would have satisfied the </w:t>
      </w:r>
      <w:r w:rsidR="00310456">
        <w:t>PBS eligibility criteria to receive adjuvant nivolumab</w:t>
      </w:r>
      <w:r w:rsidR="00C45C8E">
        <w:t>,</w:t>
      </w:r>
      <w:r>
        <w:t xml:space="preserve"> was </w:t>
      </w:r>
      <w:r w:rsidR="00A56035">
        <w:t>described</w:t>
      </w:r>
      <w:r>
        <w:t xml:space="preserve"> in the submission in </w:t>
      </w:r>
      <w:r w:rsidRPr="00D46A4A">
        <w:t xml:space="preserve">Table </w:t>
      </w:r>
      <w:r w:rsidR="005834A4" w:rsidRPr="00D46A4A">
        <w:t>2-3</w:t>
      </w:r>
      <w:r w:rsidR="005834A4">
        <w:t>1</w:t>
      </w:r>
      <w:r w:rsidR="00A56035">
        <w:t xml:space="preserve"> and text on p85</w:t>
      </w:r>
      <w:r>
        <w:t>. The Pre-PBAC response clarified</w:t>
      </w:r>
      <w:r w:rsidR="00237AA8">
        <w:t xml:space="preserve"> (p3)</w:t>
      </w:r>
      <w:r>
        <w:t xml:space="preserve"> that the analysis/derivation was not pre-specified and therefore did not appear in the NIAGARA </w:t>
      </w:r>
      <w:r w:rsidR="00DB3507">
        <w:t>C</w:t>
      </w:r>
      <w:r>
        <w:t xml:space="preserve">linical </w:t>
      </w:r>
      <w:r w:rsidR="00DB3507">
        <w:t>S</w:t>
      </w:r>
      <w:r>
        <w:t xml:space="preserve">tudy </w:t>
      </w:r>
      <w:r w:rsidR="00DB3507">
        <w:t>R</w:t>
      </w:r>
      <w:r>
        <w:t>eport</w:t>
      </w:r>
      <w:r w:rsidR="00F32420">
        <w:t xml:space="preserve"> </w:t>
      </w:r>
      <w:r w:rsidR="00F32420">
        <w:rPr>
          <w:iCs/>
        </w:rPr>
        <w:t>[noting that treatment with adjuvant nivolumab for patients at high risk of recurrence was not part of the SoC arm of the NIAGARA trial</w:t>
      </w:r>
      <w:r w:rsidR="00E41D66">
        <w:rPr>
          <w:iCs/>
        </w:rPr>
        <w:t xml:space="preserve"> (</w:t>
      </w:r>
      <w:r w:rsidR="00E41D66" w:rsidRPr="00D33963">
        <w:rPr>
          <w:iCs/>
        </w:rPr>
        <w:t xml:space="preserve">see paragraph </w:t>
      </w:r>
      <w:r w:rsidR="00E41D66" w:rsidRPr="00D33963">
        <w:rPr>
          <w:iCs/>
        </w:rPr>
        <w:fldChar w:fldCharType="begin"/>
      </w:r>
      <w:r w:rsidR="00E41D66" w:rsidRPr="00D33963">
        <w:rPr>
          <w:iCs/>
        </w:rPr>
        <w:instrText xml:space="preserve"> REF _Ref213929545 \r \h </w:instrText>
      </w:r>
      <w:r w:rsidR="009A5B86" w:rsidRPr="00D33963">
        <w:rPr>
          <w:iCs/>
        </w:rPr>
        <w:instrText xml:space="preserve"> \* MERGEFORMAT </w:instrText>
      </w:r>
      <w:r w:rsidR="00E41D66" w:rsidRPr="00D33963">
        <w:rPr>
          <w:iCs/>
        </w:rPr>
      </w:r>
      <w:r w:rsidR="00E41D66" w:rsidRPr="00D33963">
        <w:rPr>
          <w:iCs/>
        </w:rPr>
        <w:fldChar w:fldCharType="separate"/>
      </w:r>
      <w:r w:rsidR="005731FF">
        <w:rPr>
          <w:iCs/>
        </w:rPr>
        <w:t>6.5</w:t>
      </w:r>
      <w:r w:rsidR="00E41D66" w:rsidRPr="00D33963">
        <w:rPr>
          <w:iCs/>
        </w:rPr>
        <w:fldChar w:fldCharType="end"/>
      </w:r>
      <w:r w:rsidR="009A5B86" w:rsidRPr="00D33963">
        <w:rPr>
          <w:iCs/>
        </w:rPr>
        <w:t xml:space="preserve"> below</w:t>
      </w:r>
      <w:r w:rsidR="003341AC" w:rsidRPr="00D33963">
        <w:rPr>
          <w:iCs/>
        </w:rPr>
        <w:t>)</w:t>
      </w:r>
      <w:r w:rsidR="00F32420" w:rsidRPr="00D33963">
        <w:rPr>
          <w:iCs/>
        </w:rPr>
        <w:t>]</w:t>
      </w:r>
      <w:r w:rsidRPr="00D33963">
        <w:t>.</w:t>
      </w:r>
    </w:p>
  </w:footnote>
  <w:footnote w:id="9">
    <w:p w14:paraId="5B9B8098" w14:textId="3A69C1B9" w:rsidR="00E073E8" w:rsidRDefault="00E073E8" w:rsidP="00E073E8">
      <w:pPr>
        <w:pStyle w:val="FootnoteText"/>
      </w:pPr>
      <w:r w:rsidRPr="00D33963">
        <w:rPr>
          <w:rStyle w:val="FootnoteReference"/>
        </w:rPr>
        <w:footnoteRef/>
      </w:r>
      <w:r w:rsidRPr="00D33963">
        <w:t xml:space="preserve"> BLADDA (Bladder cancer). URL: https://figshare.unimelb.edu.au/articles/dataset/BLADDA_Bladder</w:t>
      </w:r>
      <w:r w:rsidRPr="002548FF">
        <w:t>_Cancer_/ 12495617</w:t>
      </w:r>
    </w:p>
  </w:footnote>
  <w:footnote w:id="10">
    <w:p w14:paraId="77A13C2E" w14:textId="77777777" w:rsidR="00E073E8" w:rsidRPr="00BF6DAC" w:rsidRDefault="00E073E8" w:rsidP="00E073E8">
      <w:pPr>
        <w:pStyle w:val="FootnoteText"/>
      </w:pPr>
      <w:r>
        <w:rPr>
          <w:rStyle w:val="FootnoteReference"/>
        </w:rPr>
        <w:footnoteRef/>
      </w:r>
      <w:r>
        <w:t xml:space="preserve"> Pfister C et al. Dose-dense methotrexate, vinblastine, doxorubicin, and cisplatin or gemcitabine and cisplatin as perioperative chemotherapy for patients with nonmetastatic muscle-invasive bladder cancer: results of the GETUG-AFU V05 VESPER trial. </w:t>
      </w:r>
      <w:r>
        <w:rPr>
          <w:i/>
          <w:iCs/>
        </w:rPr>
        <w:t>Journal of Clinical Oncology</w:t>
      </w:r>
      <w:r>
        <w:t xml:space="preserve"> 2022; 40 (18): 2013-2022.</w:t>
      </w:r>
    </w:p>
  </w:footnote>
  <w:footnote w:id="11">
    <w:p w14:paraId="7F8E9F4D" w14:textId="77777777" w:rsidR="00E073E8" w:rsidRDefault="00E073E8" w:rsidP="00E073E8">
      <w:pPr>
        <w:pStyle w:val="FootnoteText"/>
      </w:pPr>
      <w:r>
        <w:rPr>
          <w:rStyle w:val="FootnoteReference"/>
        </w:rPr>
        <w:footnoteRef/>
      </w:r>
      <w:r>
        <w:t xml:space="preserve"> Pfister C et al. </w:t>
      </w:r>
      <w:r w:rsidRPr="00BF6DAC">
        <w:t>Perioperative dose-dense methotrexate, vinblastine, doxorubicin, and cisplatin in muscle-invasive bladder cancer (VESPER): survival endpoints at 5 years in an open-label, randomised, phase 3 study</w:t>
      </w:r>
      <w:r>
        <w:t xml:space="preserve">. </w:t>
      </w:r>
      <w:r>
        <w:rPr>
          <w:i/>
          <w:iCs/>
        </w:rPr>
        <w:t xml:space="preserve">Lancet Oncology </w:t>
      </w:r>
      <w:r>
        <w:t>2023; 25: 255-264.</w:t>
      </w:r>
    </w:p>
  </w:footnote>
  <w:footnote w:id="12">
    <w:p w14:paraId="217340E2" w14:textId="77777777" w:rsidR="00A9148A" w:rsidRDefault="00A9148A" w:rsidP="00A9148A">
      <w:pPr>
        <w:pStyle w:val="FootnoteText"/>
      </w:pPr>
      <w:r>
        <w:rPr>
          <w:rStyle w:val="FootnoteReference"/>
        </w:rPr>
        <w:footnoteRef/>
      </w:r>
      <w:r>
        <w:t xml:space="preserve"> </w:t>
      </w:r>
      <w:r w:rsidRPr="002E5709">
        <w:t>Cherny NI, Dafni U, Bogaerts J, et al: ESMO-Magnitude of Clinical Benefit Scale version 1.1. Annals of Oncology 28:2340-2366, 2017</w:t>
      </w:r>
    </w:p>
  </w:footnote>
  <w:footnote w:id="13">
    <w:p w14:paraId="5D0DFA1E" w14:textId="2056E993" w:rsidR="003544DD" w:rsidRPr="0021621D" w:rsidRDefault="003544DD">
      <w:pPr>
        <w:pStyle w:val="FootnoteText"/>
      </w:pPr>
      <w:r w:rsidRPr="0021621D">
        <w:rPr>
          <w:rStyle w:val="FootnoteReference"/>
        </w:rPr>
        <w:footnoteRef/>
      </w:r>
      <w:r w:rsidRPr="0021621D">
        <w:t xml:space="preserve"> </w:t>
      </w:r>
      <w:r w:rsidR="001E5706" w:rsidRPr="0021621D">
        <w:t>Th</w:t>
      </w:r>
      <w:r w:rsidR="00735717" w:rsidRPr="0021621D">
        <w:t>e evaluation noted that this</w:t>
      </w:r>
      <w:r w:rsidR="001E5706" w:rsidRPr="0021621D">
        <w:t xml:space="preserve"> proportion</w:t>
      </w:r>
      <w:r w:rsidR="0016654B" w:rsidRPr="0021621D">
        <w:t xml:space="preserve"> reduced to</w:t>
      </w:r>
      <w:r w:rsidR="00F3230F" w:rsidRPr="0021621D">
        <w:t xml:space="preserve"> 62/161 (38.5%)</w:t>
      </w:r>
      <w:r w:rsidR="004D5314" w:rsidRPr="0021621D">
        <w:t xml:space="preserve"> when the number of patients alive with disease progression or recurrence after cystectomy was used as the denominator for the calculation.</w:t>
      </w:r>
    </w:p>
  </w:footnote>
  <w:footnote w:id="14">
    <w:p w14:paraId="6C037B5F" w14:textId="7EFE6080" w:rsidR="00C57768" w:rsidRDefault="00C57768">
      <w:pPr>
        <w:pStyle w:val="FootnoteText"/>
      </w:pPr>
      <w:r>
        <w:rPr>
          <w:rStyle w:val="FootnoteReference"/>
        </w:rPr>
        <w:footnoteRef/>
      </w:r>
      <w:r>
        <w:t xml:space="preserve"> </w:t>
      </w:r>
      <w:r w:rsidRPr="00C57768">
        <w:t xml:space="preserve">Latimer, N.R., Et Al., Treatment Switching: Statistical </w:t>
      </w:r>
      <w:r>
        <w:t>a</w:t>
      </w:r>
      <w:r w:rsidRPr="00C57768">
        <w:t xml:space="preserve">nd Decision-Making Challenges </w:t>
      </w:r>
      <w:r>
        <w:t>a</w:t>
      </w:r>
      <w:r w:rsidRPr="00C57768">
        <w:t>nd Approaches. Int J Technol Assess Health Care, 2016. 32(3): P. 160-6.</w:t>
      </w:r>
    </w:p>
  </w:footnote>
  <w:footnote w:id="15">
    <w:p w14:paraId="1D825113" w14:textId="77777777" w:rsidR="00E073E8" w:rsidRDefault="00E073E8" w:rsidP="00E073E8">
      <w:pPr>
        <w:pStyle w:val="FootnoteText"/>
      </w:pPr>
      <w:r>
        <w:rPr>
          <w:rStyle w:val="FootnoteReference"/>
        </w:rPr>
        <w:footnoteRef/>
      </w:r>
      <w:r>
        <w:t xml:space="preserve"> </w:t>
      </w:r>
      <w:r w:rsidRPr="007078AA">
        <w:t xml:space="preserve">High PD-L1 expression </w:t>
      </w:r>
      <w:r>
        <w:t xml:space="preserve">in NIAGARA </w:t>
      </w:r>
      <w:r w:rsidRPr="007078AA">
        <w:t>was defined as ≥ 25% tumour cells or immune cells stained positive for PD-L1 in an IHC assay.</w:t>
      </w:r>
    </w:p>
  </w:footnote>
  <w:footnote w:id="16">
    <w:p w14:paraId="2B6D025F" w14:textId="77777777" w:rsidR="00E073E8" w:rsidRDefault="00E073E8" w:rsidP="00E073E8">
      <w:pPr>
        <w:pStyle w:val="FootnoteText"/>
      </w:pPr>
      <w:r>
        <w:rPr>
          <w:rStyle w:val="FootnoteReference"/>
        </w:rPr>
        <w:footnoteRef/>
      </w:r>
      <w:r>
        <w:t xml:space="preserve"> </w:t>
      </w:r>
      <w:r w:rsidRPr="00CF6AFD">
        <w:t>Full analysis set (FAS) in the NIAGARA trial included all randomi</w:t>
      </w:r>
      <w:r>
        <w:t>s</w:t>
      </w:r>
      <w:r w:rsidRPr="00CF6AFD">
        <w:t>ed patients. Patients who were randomi</w:t>
      </w:r>
      <w:r>
        <w:t>s</w:t>
      </w:r>
      <w:r w:rsidRPr="00CF6AFD">
        <w:t>ed but did not subsequently receive treatment were included in the FAS in the treatment arm to which they were randomi</w:t>
      </w:r>
      <w:r>
        <w:t>s</w:t>
      </w:r>
      <w:r w:rsidRPr="00CF6AFD">
        <w:t>ed. The analysis of data using the FAS follows the principles of intention to treat.</w:t>
      </w:r>
    </w:p>
  </w:footnote>
  <w:footnote w:id="17">
    <w:p w14:paraId="7A936012" w14:textId="508097F8" w:rsidR="00473173" w:rsidRPr="00D56A43" w:rsidRDefault="00473173">
      <w:pPr>
        <w:pStyle w:val="FootnoteText"/>
      </w:pPr>
      <w:r w:rsidRPr="00D56A43">
        <w:rPr>
          <w:rStyle w:val="FootnoteReference"/>
        </w:rPr>
        <w:footnoteRef/>
      </w:r>
      <w:r w:rsidRPr="00D56A43">
        <w:t xml:space="preserve"> </w:t>
      </w:r>
      <w:r w:rsidR="004D7257" w:rsidRPr="00D56A43">
        <w:t>Nivolumab was recommended for</w:t>
      </w:r>
      <w:r w:rsidR="00A2457C" w:rsidRPr="00D56A43">
        <w:t xml:space="preserve"> PBS</w:t>
      </w:r>
      <w:r w:rsidR="004D7257" w:rsidRPr="00D56A43">
        <w:t xml:space="preserve"> listing in </w:t>
      </w:r>
      <w:r w:rsidR="00A2457C" w:rsidRPr="00D56A43">
        <w:t xml:space="preserve">March 2024. </w:t>
      </w:r>
      <w:r w:rsidR="00D54CFA" w:rsidRPr="00D56A43">
        <w:t>Paragraph 9.1 of the PSD</w:t>
      </w:r>
      <w:r w:rsidR="00A27F9C" w:rsidRPr="00D56A43">
        <w:t xml:space="preserve"> (addendum to</w:t>
      </w:r>
      <w:r w:rsidR="00410676" w:rsidRPr="00D56A43">
        <w:t xml:space="preserve"> the November 2023 PSD)</w:t>
      </w:r>
      <w:r w:rsidR="00D54CFA" w:rsidRPr="00D56A43">
        <w:t xml:space="preserve"> states: </w:t>
      </w:r>
      <w:r w:rsidR="00AB3001" w:rsidRPr="00D56A43">
        <w:t>The PBAC recommended</w:t>
      </w:r>
      <w:r w:rsidR="00AB3001" w:rsidRPr="00D56A43">
        <w:rPr>
          <w:b/>
          <w:bCs/>
        </w:rPr>
        <w:t xml:space="preserve"> </w:t>
      </w:r>
      <w:r w:rsidR="00AB3001" w:rsidRPr="00D56A43">
        <w:t>the Section 100 (Efficient Funding of Chemotherapy) Authority Required (telephone/online) listing of nivolumab for the adjuvant treatment of high-risk muscle invasive urothelial carcinoma in patients who have received prior neoadjuvant platinum-based chemotherapy (NAC). The PBAC is satisfied that nivolumab provides, for some patients, a significant improvement in efficacy over watchful waiting.</w:t>
      </w:r>
    </w:p>
  </w:footnote>
  <w:footnote w:id="18">
    <w:p w14:paraId="32534404" w14:textId="4A674659" w:rsidR="00184CC4" w:rsidRDefault="00184CC4">
      <w:pPr>
        <w:pStyle w:val="FootnoteText"/>
      </w:pPr>
      <w:r>
        <w:rPr>
          <w:rStyle w:val="FootnoteReference"/>
        </w:rPr>
        <w:footnoteRef/>
      </w:r>
      <w:r>
        <w:t xml:space="preserve"> However, the </w:t>
      </w:r>
      <w:r w:rsidR="00570BB4">
        <w:t xml:space="preserve">quoted </w:t>
      </w:r>
      <w:r>
        <w:t>OS benefit is from the NIAGARA trial</w:t>
      </w:r>
      <w:r w:rsidR="00570BB4">
        <w:t>, which does not include treatment with adjuvant nivolumab</w:t>
      </w:r>
      <w:r w:rsidR="000F1613">
        <w:t xml:space="preserve"> in the control arm</w:t>
      </w:r>
      <w:r w:rsidR="00570BB4">
        <w:t xml:space="preserve"> for patients at high risk of recurrence.</w:t>
      </w:r>
    </w:p>
  </w:footnote>
  <w:footnote w:id="19">
    <w:p w14:paraId="2D6BFC27" w14:textId="441331B9" w:rsidR="00E71941" w:rsidRDefault="00E71941">
      <w:pPr>
        <w:pStyle w:val="FootnoteText"/>
      </w:pPr>
      <w:r>
        <w:rPr>
          <w:rStyle w:val="FootnoteReference"/>
        </w:rPr>
        <w:footnoteRef/>
      </w:r>
      <w:r>
        <w:t xml:space="preserve"> </w:t>
      </w:r>
      <w:r w:rsidRPr="00367355">
        <w:rPr>
          <w:iCs/>
        </w:rPr>
        <w:t>Initially, the</w:t>
      </w:r>
      <w:r w:rsidRPr="00133367">
        <w:t xml:space="preserve"> </w:t>
      </w:r>
      <w:r w:rsidRPr="00367355">
        <w:rPr>
          <w:iCs/>
        </w:rPr>
        <w:t>evaluation considered that the submission</w:t>
      </w:r>
      <w:r>
        <w:t xml:space="preserve"> had</w:t>
      </w:r>
      <w:r w:rsidRPr="00133367">
        <w:t xml:space="preserve"> incorrectly ranked the Akaike Information Criterion (AIC)/Bayesian Information Criterion (BIC) values for parametric models in descending order and therefore selected the worst fitting models for extrapolating the EFS curves.</w:t>
      </w:r>
      <w:r w:rsidR="005A7D88">
        <w:t xml:space="preserve"> </w:t>
      </w:r>
      <w:r w:rsidR="004A2D65" w:rsidRPr="00367355">
        <w:rPr>
          <w:rFonts w:cs="Calibri"/>
          <w:iCs/>
        </w:rPr>
        <w:t xml:space="preserve">The PSCR clarified that the submission had neglected to notate the AIC and BIC values as negative and noted that the best fitting models and base case selection from the submission </w:t>
      </w:r>
      <w:r w:rsidR="00780C21">
        <w:rPr>
          <w:rFonts w:cs="Calibri"/>
          <w:iCs/>
        </w:rPr>
        <w:t>is</w:t>
      </w:r>
      <w:r w:rsidR="004A2D65" w:rsidRPr="00367355">
        <w:rPr>
          <w:rFonts w:cs="Calibri"/>
          <w:iCs/>
        </w:rPr>
        <w:t xml:space="preserve"> accurate.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3AB3" w14:textId="73FFD6E3" w:rsidR="00827639" w:rsidRDefault="00D77F63">
    <w:pPr>
      <w:pStyle w:val="Header"/>
    </w:pPr>
    <w:r>
      <w:rPr>
        <w:noProof/>
      </w:rPr>
      <mc:AlternateContent>
        <mc:Choice Requires="wps">
          <w:drawing>
            <wp:anchor distT="0" distB="0" distL="0" distR="0" simplePos="0" relativeHeight="251660293" behindDoc="0" locked="0" layoutInCell="1" allowOverlap="1" wp14:anchorId="38E3AE10" wp14:editId="1C69234F">
              <wp:simplePos x="635" y="635"/>
              <wp:positionH relativeFrom="page">
                <wp:align>center</wp:align>
              </wp:positionH>
              <wp:positionV relativeFrom="page">
                <wp:align>top</wp:align>
              </wp:positionV>
              <wp:extent cx="622300" cy="376555"/>
              <wp:effectExtent l="0" t="0" r="6350" b="4445"/>
              <wp:wrapNone/>
              <wp:docPr id="4648043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51E434" w14:textId="4EAC792E"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E3AE1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651E434" w14:textId="4EAC792E"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4" w:name="_Hlk212455438"/>
  <w:p w14:paraId="176B6B0E" w14:textId="3AD4299F" w:rsidR="00CA7B56" w:rsidRPr="00056684" w:rsidRDefault="00D77F63" w:rsidP="48A34077">
    <w:pPr>
      <w:pStyle w:val="Header"/>
      <w:ind w:left="360"/>
      <w:rPr>
        <w:rFonts w:asciiTheme="minorHAnsi" w:hAnsiTheme="minorHAnsi"/>
        <w:i w:val="0"/>
        <w:iCs w:val="0"/>
        <w:color w:val="808080"/>
      </w:rPr>
    </w:pPr>
    <w:r>
      <w:rPr>
        <w:rFonts w:asciiTheme="minorHAnsi" w:hAnsiTheme="minorHAnsi"/>
        <w:noProof/>
        <w:color w:val="808080" w:themeColor="background1" w:themeShade="80"/>
      </w:rPr>
      <mc:AlternateContent>
        <mc:Choice Requires="wps">
          <w:drawing>
            <wp:anchor distT="0" distB="0" distL="0" distR="0" simplePos="0" relativeHeight="251661317" behindDoc="0" locked="0" layoutInCell="1" allowOverlap="1" wp14:anchorId="3D14F235" wp14:editId="661F4CB4">
              <wp:simplePos x="635" y="635"/>
              <wp:positionH relativeFrom="page">
                <wp:align>center</wp:align>
              </wp:positionH>
              <wp:positionV relativeFrom="page">
                <wp:align>top</wp:align>
              </wp:positionV>
              <wp:extent cx="622300" cy="376555"/>
              <wp:effectExtent l="0" t="0" r="6350" b="4445"/>
              <wp:wrapNone/>
              <wp:docPr id="1945157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1E9F71" w14:textId="31D757AA"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14F23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01E9F71" w14:textId="31D757AA"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v:textbox>
              <w10:wrap anchorx="page" anchory="page"/>
            </v:shape>
          </w:pict>
        </mc:Fallback>
      </mc:AlternateContent>
    </w:r>
    <w:r w:rsidR="48A34077" w:rsidRPr="48A34077">
      <w:rPr>
        <w:rFonts w:asciiTheme="minorHAnsi" w:hAnsiTheme="minorHAnsi"/>
        <w:color w:val="808080" w:themeColor="background1" w:themeShade="80"/>
      </w:rPr>
      <w:t xml:space="preserve"> Public Summary Document </w:t>
    </w:r>
    <w:r w:rsidR="48A34077" w:rsidRPr="48A34077">
      <w:rPr>
        <w:rFonts w:asciiTheme="minorHAnsi" w:hAnsiTheme="minorHAnsi"/>
        <w:color w:val="808080"/>
      </w:rPr>
      <w:t>– November 2025 PBAC Meeting</w:t>
    </w:r>
  </w:p>
  <w:bookmarkEnd w:id="124"/>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452F" w14:textId="04ACC5F1" w:rsidR="00827639" w:rsidRDefault="00D77F63">
    <w:pPr>
      <w:pStyle w:val="Header"/>
    </w:pPr>
    <w:r>
      <w:rPr>
        <w:noProof/>
      </w:rPr>
      <mc:AlternateContent>
        <mc:Choice Requires="wps">
          <w:drawing>
            <wp:anchor distT="0" distB="0" distL="0" distR="0" simplePos="0" relativeHeight="251659269" behindDoc="0" locked="0" layoutInCell="1" allowOverlap="1" wp14:anchorId="73326ED6" wp14:editId="5C6F5C77">
              <wp:simplePos x="635" y="635"/>
              <wp:positionH relativeFrom="page">
                <wp:align>center</wp:align>
              </wp:positionH>
              <wp:positionV relativeFrom="page">
                <wp:align>top</wp:align>
              </wp:positionV>
              <wp:extent cx="622300" cy="376555"/>
              <wp:effectExtent l="0" t="0" r="6350" b="4445"/>
              <wp:wrapNone/>
              <wp:docPr id="11493328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046ABF" w14:textId="4680105B"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326ED6"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A046ABF" w14:textId="4680105B" w:rsidR="00D77F63" w:rsidRPr="00D77F63" w:rsidRDefault="00D77F63" w:rsidP="00D77F63">
                    <w:pPr>
                      <w:rPr>
                        <w:rFonts w:ascii="Aptos" w:eastAsia="Aptos" w:hAnsi="Aptos" w:cs="Aptos"/>
                        <w:noProof/>
                        <w:color w:val="FF0000"/>
                      </w:rPr>
                    </w:pPr>
                    <w:r w:rsidRPr="00D77F6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479EB"/>
    <w:multiLevelType w:val="multilevel"/>
    <w:tmpl w:val="EAD2F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65C41"/>
    <w:multiLevelType w:val="hybridMultilevel"/>
    <w:tmpl w:val="53E4C38C"/>
    <w:lvl w:ilvl="0" w:tplc="0C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D797C68"/>
    <w:multiLevelType w:val="hybridMultilevel"/>
    <w:tmpl w:val="F5FA1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C3A87"/>
    <w:multiLevelType w:val="hybridMultilevel"/>
    <w:tmpl w:val="851890A2"/>
    <w:lvl w:ilvl="0" w:tplc="0C090005">
      <w:start w:val="1"/>
      <w:numFmt w:val="bullet"/>
      <w:lvlText w:val=""/>
      <w:lvlJc w:val="left"/>
      <w:pPr>
        <w:ind w:left="2520" w:hanging="360"/>
      </w:pPr>
      <w:rPr>
        <w:rFonts w:ascii="Wingdings" w:hAnsi="Wingdings"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5" w15:restartNumberingAfterBreak="0">
    <w:nsid w:val="126562D4"/>
    <w:multiLevelType w:val="multilevel"/>
    <w:tmpl w:val="89D8A1FA"/>
    <w:name w:val="TableFootnotes"/>
    <w:lvl w:ilvl="0">
      <w:start w:val="1"/>
      <w:numFmt w:val="lowerLetter"/>
      <w:pStyle w:val="TableFootnoteLetter"/>
      <w:lvlText w:val="%1"/>
      <w:lvlJc w:val="left"/>
      <w:pPr>
        <w:tabs>
          <w:tab w:val="num" w:pos="567"/>
        </w:tabs>
        <w:ind w:left="567"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6" w15:restartNumberingAfterBreak="0">
    <w:nsid w:val="1B8C0303"/>
    <w:multiLevelType w:val="hybridMultilevel"/>
    <w:tmpl w:val="57D892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2D160FE"/>
    <w:multiLevelType w:val="hybridMultilevel"/>
    <w:tmpl w:val="C16283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AD72C5"/>
    <w:multiLevelType w:val="hybridMultilevel"/>
    <w:tmpl w:val="A21480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AD145B9"/>
    <w:multiLevelType w:val="multilevel"/>
    <w:tmpl w:val="068A157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DFC5E98"/>
    <w:multiLevelType w:val="multilevel"/>
    <w:tmpl w:val="6D722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346AD7"/>
    <w:multiLevelType w:val="hybridMultilevel"/>
    <w:tmpl w:val="C6042074"/>
    <w:lvl w:ilvl="0" w:tplc="CFBE442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A15C0"/>
    <w:multiLevelType w:val="multilevel"/>
    <w:tmpl w:val="0D2C928A"/>
    <w:lvl w:ilvl="0">
      <w:start w:val="1"/>
      <w:numFmt w:val="decimal"/>
      <w:lvlText w:val="%1."/>
      <w:lvlJc w:val="left"/>
      <w:pPr>
        <w:tabs>
          <w:tab w:val="num" w:pos="357"/>
        </w:tabs>
        <w:ind w:left="357" w:hanging="360"/>
      </w:pPr>
      <w:rPr>
        <w:rFonts w:asciiTheme="minorHAnsi" w:eastAsiaTheme="minorHAnsi" w:hAnsiTheme="minorHAnsi" w:cstheme="minorHAnsi"/>
        <w:sz w:val="24"/>
        <w:szCs w:val="24"/>
      </w:rPr>
    </w:lvl>
    <w:lvl w:ilvl="1">
      <w:start w:val="1"/>
      <w:numFmt w:val="bullet"/>
      <w:lvlText w:val="o"/>
      <w:lvlJc w:val="left"/>
      <w:pPr>
        <w:tabs>
          <w:tab w:val="num" w:pos="1077"/>
        </w:tabs>
        <w:ind w:left="1077" w:hanging="360"/>
      </w:pPr>
      <w:rPr>
        <w:rFonts w:ascii="Courier New" w:hAnsi="Courier New" w:hint="default"/>
        <w:sz w:val="20"/>
      </w:rPr>
    </w:lvl>
    <w:lvl w:ilvl="2">
      <w:start w:val="6"/>
      <w:numFmt w:val="bullet"/>
      <w:lvlText w:val=""/>
      <w:lvlJc w:val="left"/>
      <w:pPr>
        <w:ind w:left="1797" w:hanging="360"/>
      </w:pPr>
      <w:rPr>
        <w:rFonts w:ascii="Symbol" w:eastAsiaTheme="minorHAnsi" w:hAnsi="Symbol" w:cstheme="minorHAnsi" w:hint="default"/>
      </w:rPr>
    </w:lvl>
    <w:lvl w:ilvl="3" w:tentative="1">
      <w:start w:val="1"/>
      <w:numFmt w:val="bullet"/>
      <w:lvlText w:val=""/>
      <w:lvlJc w:val="left"/>
      <w:pPr>
        <w:tabs>
          <w:tab w:val="num" w:pos="2517"/>
        </w:tabs>
        <w:ind w:left="2517" w:hanging="360"/>
      </w:pPr>
      <w:rPr>
        <w:rFonts w:ascii="Wingdings" w:hAnsi="Wingdings" w:hint="default"/>
        <w:sz w:val="20"/>
      </w:rPr>
    </w:lvl>
    <w:lvl w:ilvl="4" w:tentative="1">
      <w:start w:val="1"/>
      <w:numFmt w:val="bullet"/>
      <w:lvlText w:val=""/>
      <w:lvlJc w:val="left"/>
      <w:pPr>
        <w:tabs>
          <w:tab w:val="num" w:pos="3237"/>
        </w:tabs>
        <w:ind w:left="3237" w:hanging="360"/>
      </w:pPr>
      <w:rPr>
        <w:rFonts w:ascii="Wingdings" w:hAnsi="Wingdings" w:hint="default"/>
        <w:sz w:val="20"/>
      </w:rPr>
    </w:lvl>
    <w:lvl w:ilvl="5" w:tentative="1">
      <w:start w:val="1"/>
      <w:numFmt w:val="bullet"/>
      <w:lvlText w:val=""/>
      <w:lvlJc w:val="left"/>
      <w:pPr>
        <w:tabs>
          <w:tab w:val="num" w:pos="3957"/>
        </w:tabs>
        <w:ind w:left="3957" w:hanging="360"/>
      </w:pPr>
      <w:rPr>
        <w:rFonts w:ascii="Wingdings" w:hAnsi="Wingdings" w:hint="default"/>
        <w:sz w:val="20"/>
      </w:rPr>
    </w:lvl>
    <w:lvl w:ilvl="6" w:tentative="1">
      <w:start w:val="1"/>
      <w:numFmt w:val="bullet"/>
      <w:lvlText w:val=""/>
      <w:lvlJc w:val="left"/>
      <w:pPr>
        <w:tabs>
          <w:tab w:val="num" w:pos="4677"/>
        </w:tabs>
        <w:ind w:left="4677" w:hanging="360"/>
      </w:pPr>
      <w:rPr>
        <w:rFonts w:ascii="Wingdings" w:hAnsi="Wingdings" w:hint="default"/>
        <w:sz w:val="20"/>
      </w:rPr>
    </w:lvl>
    <w:lvl w:ilvl="7" w:tentative="1">
      <w:start w:val="1"/>
      <w:numFmt w:val="bullet"/>
      <w:lvlText w:val=""/>
      <w:lvlJc w:val="left"/>
      <w:pPr>
        <w:tabs>
          <w:tab w:val="num" w:pos="5397"/>
        </w:tabs>
        <w:ind w:left="5397" w:hanging="360"/>
      </w:pPr>
      <w:rPr>
        <w:rFonts w:ascii="Wingdings" w:hAnsi="Wingdings" w:hint="default"/>
        <w:sz w:val="20"/>
      </w:rPr>
    </w:lvl>
    <w:lvl w:ilvl="8" w:tentative="1">
      <w:start w:val="1"/>
      <w:numFmt w:val="bullet"/>
      <w:lvlText w:val=""/>
      <w:lvlJc w:val="left"/>
      <w:pPr>
        <w:tabs>
          <w:tab w:val="num" w:pos="6117"/>
        </w:tabs>
        <w:ind w:left="6117" w:hanging="360"/>
      </w:pPr>
      <w:rPr>
        <w:rFonts w:ascii="Wingdings" w:hAnsi="Wingdings" w:hint="default"/>
        <w:sz w:val="20"/>
      </w:rPr>
    </w:lvl>
  </w:abstractNum>
  <w:abstractNum w:abstractNumId="13" w15:restartNumberingAfterBreak="0">
    <w:nsid w:val="38F6011C"/>
    <w:multiLevelType w:val="hybridMultilevel"/>
    <w:tmpl w:val="9A66BE72"/>
    <w:lvl w:ilvl="0" w:tplc="BFC20442">
      <w:start w:val="1"/>
      <w:numFmt w:val="lowerRoman"/>
      <w:lvlText w:val="%1)"/>
      <w:lvlJc w:val="right"/>
      <w:pPr>
        <w:ind w:left="1020" w:hanging="360"/>
      </w:pPr>
    </w:lvl>
    <w:lvl w:ilvl="1" w:tplc="CF20BB1A">
      <w:start w:val="1"/>
      <w:numFmt w:val="lowerRoman"/>
      <w:lvlText w:val="%2)"/>
      <w:lvlJc w:val="right"/>
      <w:pPr>
        <w:ind w:left="1020" w:hanging="360"/>
      </w:pPr>
    </w:lvl>
    <w:lvl w:ilvl="2" w:tplc="7A0230F4">
      <w:start w:val="1"/>
      <w:numFmt w:val="lowerRoman"/>
      <w:lvlText w:val="%3)"/>
      <w:lvlJc w:val="right"/>
      <w:pPr>
        <w:ind w:left="1020" w:hanging="360"/>
      </w:pPr>
    </w:lvl>
    <w:lvl w:ilvl="3" w:tplc="67DCC4D6">
      <w:start w:val="1"/>
      <w:numFmt w:val="lowerRoman"/>
      <w:lvlText w:val="%4)"/>
      <w:lvlJc w:val="right"/>
      <w:pPr>
        <w:ind w:left="1020" w:hanging="360"/>
      </w:pPr>
    </w:lvl>
    <w:lvl w:ilvl="4" w:tplc="C2641760">
      <w:start w:val="1"/>
      <w:numFmt w:val="lowerRoman"/>
      <w:lvlText w:val="%5)"/>
      <w:lvlJc w:val="right"/>
      <w:pPr>
        <w:ind w:left="1020" w:hanging="360"/>
      </w:pPr>
    </w:lvl>
    <w:lvl w:ilvl="5" w:tplc="34C006A8">
      <w:start w:val="1"/>
      <w:numFmt w:val="lowerRoman"/>
      <w:lvlText w:val="%6)"/>
      <w:lvlJc w:val="right"/>
      <w:pPr>
        <w:ind w:left="1020" w:hanging="360"/>
      </w:pPr>
    </w:lvl>
    <w:lvl w:ilvl="6" w:tplc="C20C023C">
      <w:start w:val="1"/>
      <w:numFmt w:val="lowerRoman"/>
      <w:lvlText w:val="%7)"/>
      <w:lvlJc w:val="right"/>
      <w:pPr>
        <w:ind w:left="1020" w:hanging="360"/>
      </w:pPr>
    </w:lvl>
    <w:lvl w:ilvl="7" w:tplc="EF92592A">
      <w:start w:val="1"/>
      <w:numFmt w:val="lowerRoman"/>
      <w:lvlText w:val="%8)"/>
      <w:lvlJc w:val="right"/>
      <w:pPr>
        <w:ind w:left="1020" w:hanging="360"/>
      </w:pPr>
    </w:lvl>
    <w:lvl w:ilvl="8" w:tplc="2340B8CE">
      <w:start w:val="1"/>
      <w:numFmt w:val="lowerRoman"/>
      <w:lvlText w:val="%9)"/>
      <w:lvlJc w:val="right"/>
      <w:pPr>
        <w:ind w:left="1020" w:hanging="360"/>
      </w:pPr>
    </w:lvl>
  </w:abstractNum>
  <w:abstractNum w:abstractNumId="14" w15:restartNumberingAfterBreak="0">
    <w:nsid w:val="3AC60154"/>
    <w:multiLevelType w:val="hybridMultilevel"/>
    <w:tmpl w:val="DDBE6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0A2DA5"/>
    <w:multiLevelType w:val="hybridMultilevel"/>
    <w:tmpl w:val="89B0BF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98108C"/>
    <w:multiLevelType w:val="hybridMultilevel"/>
    <w:tmpl w:val="CB60B4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E600B"/>
    <w:multiLevelType w:val="hybridMultilevel"/>
    <w:tmpl w:val="BC78CD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1AD03A1"/>
    <w:multiLevelType w:val="hybridMultilevel"/>
    <w:tmpl w:val="7EBA1B90"/>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7C37274"/>
    <w:multiLevelType w:val="hybridMultilevel"/>
    <w:tmpl w:val="50A6801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D76734"/>
    <w:multiLevelType w:val="hybridMultilevel"/>
    <w:tmpl w:val="1ACC760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5" w15:restartNumberingAfterBreak="0">
    <w:nsid w:val="733A3B84"/>
    <w:multiLevelType w:val="hybridMultilevel"/>
    <w:tmpl w:val="97CE26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B804D6"/>
    <w:multiLevelType w:val="hybridMultilevel"/>
    <w:tmpl w:val="81A63C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D5B5AF9"/>
    <w:multiLevelType w:val="hybridMultilevel"/>
    <w:tmpl w:val="88F4774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816186631">
    <w:abstractNumId w:val="26"/>
  </w:num>
  <w:num w:numId="2" w16cid:durableId="917793048">
    <w:abstractNumId w:val="17"/>
  </w:num>
  <w:num w:numId="3" w16cid:durableId="263461728">
    <w:abstractNumId w:val="0"/>
  </w:num>
  <w:num w:numId="4" w16cid:durableId="1177577810">
    <w:abstractNumId w:val="7"/>
  </w:num>
  <w:num w:numId="5" w16cid:durableId="220360847">
    <w:abstractNumId w:val="20"/>
  </w:num>
  <w:num w:numId="6" w16cid:durableId="268196418">
    <w:abstractNumId w:val="11"/>
  </w:num>
  <w:num w:numId="7" w16cid:durableId="1048839230">
    <w:abstractNumId w:val="26"/>
  </w:num>
  <w:num w:numId="8" w16cid:durableId="1292707373">
    <w:abstractNumId w:val="16"/>
  </w:num>
  <w:num w:numId="9" w16cid:durableId="8026208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9427087">
    <w:abstractNumId w:val="15"/>
  </w:num>
  <w:num w:numId="11" w16cid:durableId="506948925">
    <w:abstractNumId w:val="6"/>
  </w:num>
  <w:num w:numId="12" w16cid:durableId="1173689194">
    <w:abstractNumId w:val="27"/>
  </w:num>
  <w:num w:numId="13" w16cid:durableId="359163120">
    <w:abstractNumId w:val="8"/>
  </w:num>
  <w:num w:numId="14" w16cid:durableId="1858958379">
    <w:abstractNumId w:val="25"/>
  </w:num>
  <w:num w:numId="15" w16cid:durableId="680088834">
    <w:abstractNumId w:val="21"/>
  </w:num>
  <w:num w:numId="16" w16cid:durableId="1848211169">
    <w:abstractNumId w:val="12"/>
  </w:num>
  <w:num w:numId="17" w16cid:durableId="218589294">
    <w:abstractNumId w:val="9"/>
  </w:num>
  <w:num w:numId="18" w16cid:durableId="126240624">
    <w:abstractNumId w:val="22"/>
  </w:num>
  <w:num w:numId="19" w16cid:durableId="1726442183">
    <w:abstractNumId w:val="2"/>
  </w:num>
  <w:num w:numId="20" w16cid:durableId="196240487">
    <w:abstractNumId w:val="4"/>
  </w:num>
  <w:num w:numId="21" w16cid:durableId="2055733659">
    <w:abstractNumId w:val="14"/>
  </w:num>
  <w:num w:numId="22" w16cid:durableId="1671174388">
    <w:abstractNumId w:val="3"/>
  </w:num>
  <w:num w:numId="23" w16cid:durableId="878393984">
    <w:abstractNumId w:val="28"/>
  </w:num>
  <w:num w:numId="24" w16cid:durableId="942344605">
    <w:abstractNumId w:val="24"/>
  </w:num>
  <w:num w:numId="25" w16cid:durableId="209997201">
    <w:abstractNumId w:val="23"/>
  </w:num>
  <w:num w:numId="26" w16cid:durableId="1669480626">
    <w:abstractNumId w:val="19"/>
  </w:num>
  <w:num w:numId="27" w16cid:durableId="443042473">
    <w:abstractNumId w:val="13"/>
  </w:num>
  <w:num w:numId="28" w16cid:durableId="1038898226">
    <w:abstractNumId w:val="18"/>
  </w:num>
  <w:num w:numId="29" w16cid:durableId="891817063">
    <w:abstractNumId w:val="26"/>
  </w:num>
  <w:num w:numId="30" w16cid:durableId="119031383">
    <w:abstractNumId w:val="11"/>
  </w:num>
  <w:num w:numId="31" w16cid:durableId="592861438">
    <w:abstractNumId w:val="11"/>
  </w:num>
  <w:num w:numId="32" w16cid:durableId="660886898">
    <w:abstractNumId w:val="11"/>
  </w:num>
  <w:num w:numId="33" w16cid:durableId="1399013539">
    <w:abstractNumId w:val="1"/>
    <w:lvlOverride w:ilvl="0">
      <w:startOverride w:val="1"/>
    </w:lvlOverride>
  </w:num>
  <w:num w:numId="34" w16cid:durableId="504637106">
    <w:abstractNumId w:val="10"/>
    <w:lvlOverride w:ilvl="0">
      <w:startOverride w:val="2"/>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e00x29lt2r57epzebx9e24v0z9aard9wed&quot;&gt;Durvalumab-References-AHTA&lt;record-ids&gt;&lt;item&gt;4&lt;/item&gt;&lt;item&gt;11&lt;/item&gt;&lt;item&gt;13&lt;/item&gt;&lt;item&gt;25&lt;/item&gt;&lt;item&gt;26&lt;/item&gt;&lt;item&gt;27&lt;/item&gt;&lt;item&gt;28&lt;/item&gt;&lt;item&gt;33&lt;/item&gt;&lt;item&gt;37&lt;/item&gt;&lt;item&gt;42&lt;/item&gt;&lt;item&gt;44&lt;/item&gt;&lt;item&gt;59&lt;/item&gt;&lt;item&gt;61&lt;/item&gt;&lt;item&gt;67&lt;/item&gt;&lt;item&gt;68&lt;/item&gt;&lt;item&gt;69&lt;/item&gt;&lt;item&gt;71&lt;/item&gt;&lt;item&gt;72&lt;/item&gt;&lt;item&gt;73&lt;/item&gt;&lt;item&gt;74&lt;/item&gt;&lt;item&gt;75&lt;/item&gt;&lt;item&gt;82&lt;/item&gt;&lt;item&gt;83&lt;/item&gt;&lt;item&gt;87&lt;/item&gt;&lt;item&gt;88&lt;/item&gt;&lt;item&gt;89&lt;/item&gt;&lt;item&gt;90&lt;/item&gt;&lt;item&gt;91&lt;/item&gt;&lt;item&gt;97&lt;/item&gt;&lt;item&gt;100&lt;/item&gt;&lt;item&gt;101&lt;/item&gt;&lt;item&gt;102&lt;/item&gt;&lt;item&gt;106&lt;/item&gt;&lt;item&gt;107&lt;/item&gt;&lt;item&gt;108&lt;/item&gt;&lt;item&gt;109&lt;/item&gt;&lt;item&gt;110&lt;/item&gt;&lt;item&gt;112&lt;/item&gt;&lt;item&gt;113&lt;/item&gt;&lt;item&gt;114&lt;/item&gt;&lt;item&gt;116&lt;/item&gt;&lt;item&gt;118&lt;/item&gt;&lt;item&gt;121&lt;/item&gt;&lt;item&gt;122&lt;/item&gt;&lt;item&gt;123&lt;/item&gt;&lt;item&gt;125&lt;/item&gt;&lt;/record-ids&gt;&lt;/item&gt;&lt;/Libraries&gt;"/>
    <w:docVar w:name="EN.UseJSCitationFormat" w:val="False"/>
  </w:docVars>
  <w:rsids>
    <w:rsidRoot w:val="00E65E79"/>
    <w:rsid w:val="0000014A"/>
    <w:rsid w:val="00000208"/>
    <w:rsid w:val="00000364"/>
    <w:rsid w:val="00000790"/>
    <w:rsid w:val="00000C8F"/>
    <w:rsid w:val="00000EC8"/>
    <w:rsid w:val="0000110B"/>
    <w:rsid w:val="00001378"/>
    <w:rsid w:val="00001384"/>
    <w:rsid w:val="000014CE"/>
    <w:rsid w:val="000023BD"/>
    <w:rsid w:val="00002B0D"/>
    <w:rsid w:val="00002CEA"/>
    <w:rsid w:val="0000306B"/>
    <w:rsid w:val="0000322A"/>
    <w:rsid w:val="00003499"/>
    <w:rsid w:val="0000368D"/>
    <w:rsid w:val="00003839"/>
    <w:rsid w:val="0000386D"/>
    <w:rsid w:val="000039B7"/>
    <w:rsid w:val="00004029"/>
    <w:rsid w:val="00004879"/>
    <w:rsid w:val="00004D5B"/>
    <w:rsid w:val="00005107"/>
    <w:rsid w:val="00005257"/>
    <w:rsid w:val="000056B9"/>
    <w:rsid w:val="0000639A"/>
    <w:rsid w:val="0000695F"/>
    <w:rsid w:val="000071B3"/>
    <w:rsid w:val="00007538"/>
    <w:rsid w:val="000079F0"/>
    <w:rsid w:val="00007A24"/>
    <w:rsid w:val="00007ACE"/>
    <w:rsid w:val="00007ADF"/>
    <w:rsid w:val="00010654"/>
    <w:rsid w:val="000107D1"/>
    <w:rsid w:val="00010925"/>
    <w:rsid w:val="00010C14"/>
    <w:rsid w:val="00010DF7"/>
    <w:rsid w:val="00011059"/>
    <w:rsid w:val="00011204"/>
    <w:rsid w:val="0001138A"/>
    <w:rsid w:val="000114AC"/>
    <w:rsid w:val="000117C4"/>
    <w:rsid w:val="000117F6"/>
    <w:rsid w:val="0001222D"/>
    <w:rsid w:val="000126E2"/>
    <w:rsid w:val="00012904"/>
    <w:rsid w:val="00012BE8"/>
    <w:rsid w:val="00012DF3"/>
    <w:rsid w:val="00012E82"/>
    <w:rsid w:val="00012F00"/>
    <w:rsid w:val="00012FA2"/>
    <w:rsid w:val="00013091"/>
    <w:rsid w:val="00013247"/>
    <w:rsid w:val="000138F1"/>
    <w:rsid w:val="00013AF6"/>
    <w:rsid w:val="00013C43"/>
    <w:rsid w:val="000144A5"/>
    <w:rsid w:val="00014617"/>
    <w:rsid w:val="00014697"/>
    <w:rsid w:val="000146AC"/>
    <w:rsid w:val="000147DC"/>
    <w:rsid w:val="00014DAC"/>
    <w:rsid w:val="00014DBD"/>
    <w:rsid w:val="00015272"/>
    <w:rsid w:val="0001555D"/>
    <w:rsid w:val="000155EE"/>
    <w:rsid w:val="000157C3"/>
    <w:rsid w:val="00015886"/>
    <w:rsid w:val="000158AA"/>
    <w:rsid w:val="000158CA"/>
    <w:rsid w:val="00015A4F"/>
    <w:rsid w:val="00015AE4"/>
    <w:rsid w:val="00015C99"/>
    <w:rsid w:val="00015DC2"/>
    <w:rsid w:val="00016156"/>
    <w:rsid w:val="000162EF"/>
    <w:rsid w:val="00016CE7"/>
    <w:rsid w:val="00016E51"/>
    <w:rsid w:val="0001734E"/>
    <w:rsid w:val="0001744D"/>
    <w:rsid w:val="000178F6"/>
    <w:rsid w:val="00017A44"/>
    <w:rsid w:val="00020196"/>
    <w:rsid w:val="00020528"/>
    <w:rsid w:val="000206E7"/>
    <w:rsid w:val="0002076C"/>
    <w:rsid w:val="000207C9"/>
    <w:rsid w:val="000208DC"/>
    <w:rsid w:val="00021461"/>
    <w:rsid w:val="00021529"/>
    <w:rsid w:val="0002154E"/>
    <w:rsid w:val="0002162B"/>
    <w:rsid w:val="00021723"/>
    <w:rsid w:val="00021839"/>
    <w:rsid w:val="00021844"/>
    <w:rsid w:val="00021B25"/>
    <w:rsid w:val="00021E68"/>
    <w:rsid w:val="00021F5F"/>
    <w:rsid w:val="00021F73"/>
    <w:rsid w:val="0002225F"/>
    <w:rsid w:val="00022272"/>
    <w:rsid w:val="00022353"/>
    <w:rsid w:val="000225CE"/>
    <w:rsid w:val="00023763"/>
    <w:rsid w:val="00023776"/>
    <w:rsid w:val="000237AD"/>
    <w:rsid w:val="000237F0"/>
    <w:rsid w:val="00023A5B"/>
    <w:rsid w:val="00023A91"/>
    <w:rsid w:val="00023E62"/>
    <w:rsid w:val="000240A4"/>
    <w:rsid w:val="000241A5"/>
    <w:rsid w:val="00024310"/>
    <w:rsid w:val="00024522"/>
    <w:rsid w:val="00024548"/>
    <w:rsid w:val="000248DA"/>
    <w:rsid w:val="00024EB5"/>
    <w:rsid w:val="0002541B"/>
    <w:rsid w:val="0002572A"/>
    <w:rsid w:val="00025C81"/>
    <w:rsid w:val="00025FCA"/>
    <w:rsid w:val="00026198"/>
    <w:rsid w:val="000261BD"/>
    <w:rsid w:val="0002631D"/>
    <w:rsid w:val="00026A95"/>
    <w:rsid w:val="00026DE5"/>
    <w:rsid w:val="00026FA1"/>
    <w:rsid w:val="00026FE2"/>
    <w:rsid w:val="0002732C"/>
    <w:rsid w:val="000274B8"/>
    <w:rsid w:val="00027527"/>
    <w:rsid w:val="00027B10"/>
    <w:rsid w:val="00027C3C"/>
    <w:rsid w:val="00030007"/>
    <w:rsid w:val="0003059F"/>
    <w:rsid w:val="00030FB3"/>
    <w:rsid w:val="0003104A"/>
    <w:rsid w:val="0003107A"/>
    <w:rsid w:val="00031387"/>
    <w:rsid w:val="00031404"/>
    <w:rsid w:val="00031414"/>
    <w:rsid w:val="000314FA"/>
    <w:rsid w:val="00031B1C"/>
    <w:rsid w:val="00031D1A"/>
    <w:rsid w:val="00031D36"/>
    <w:rsid w:val="00031FAA"/>
    <w:rsid w:val="00031FE6"/>
    <w:rsid w:val="00032008"/>
    <w:rsid w:val="00032268"/>
    <w:rsid w:val="00032813"/>
    <w:rsid w:val="00032A7A"/>
    <w:rsid w:val="00032C5C"/>
    <w:rsid w:val="000331AE"/>
    <w:rsid w:val="000333FC"/>
    <w:rsid w:val="000334AC"/>
    <w:rsid w:val="000334CB"/>
    <w:rsid w:val="00033686"/>
    <w:rsid w:val="00033757"/>
    <w:rsid w:val="00033863"/>
    <w:rsid w:val="00033870"/>
    <w:rsid w:val="00033998"/>
    <w:rsid w:val="000339F6"/>
    <w:rsid w:val="00033DFC"/>
    <w:rsid w:val="00033F0C"/>
    <w:rsid w:val="0003408D"/>
    <w:rsid w:val="000342E9"/>
    <w:rsid w:val="000343ED"/>
    <w:rsid w:val="000347D6"/>
    <w:rsid w:val="00034A54"/>
    <w:rsid w:val="00034C23"/>
    <w:rsid w:val="00034EA8"/>
    <w:rsid w:val="0003516C"/>
    <w:rsid w:val="00035230"/>
    <w:rsid w:val="00035317"/>
    <w:rsid w:val="0003590F"/>
    <w:rsid w:val="00035968"/>
    <w:rsid w:val="00035ABD"/>
    <w:rsid w:val="00035DC0"/>
    <w:rsid w:val="00035EF3"/>
    <w:rsid w:val="00036542"/>
    <w:rsid w:val="00036829"/>
    <w:rsid w:val="00036941"/>
    <w:rsid w:val="00036A8D"/>
    <w:rsid w:val="00036B1B"/>
    <w:rsid w:val="00036B24"/>
    <w:rsid w:val="00036C2C"/>
    <w:rsid w:val="00036FD0"/>
    <w:rsid w:val="000375A7"/>
    <w:rsid w:val="00037AAB"/>
    <w:rsid w:val="00037C51"/>
    <w:rsid w:val="00037D22"/>
    <w:rsid w:val="00037D50"/>
    <w:rsid w:val="0004010F"/>
    <w:rsid w:val="000401A5"/>
    <w:rsid w:val="000401FE"/>
    <w:rsid w:val="0004030F"/>
    <w:rsid w:val="00040470"/>
    <w:rsid w:val="0004047E"/>
    <w:rsid w:val="000404D2"/>
    <w:rsid w:val="00040895"/>
    <w:rsid w:val="00040CA9"/>
    <w:rsid w:val="00040FEB"/>
    <w:rsid w:val="0004100F"/>
    <w:rsid w:val="000410A0"/>
    <w:rsid w:val="00041342"/>
    <w:rsid w:val="00041916"/>
    <w:rsid w:val="00041EC2"/>
    <w:rsid w:val="00041FCD"/>
    <w:rsid w:val="00042344"/>
    <w:rsid w:val="00042389"/>
    <w:rsid w:val="00042498"/>
    <w:rsid w:val="00042985"/>
    <w:rsid w:val="00042CD7"/>
    <w:rsid w:val="00042DB7"/>
    <w:rsid w:val="00042E33"/>
    <w:rsid w:val="00042F72"/>
    <w:rsid w:val="00043030"/>
    <w:rsid w:val="0004320B"/>
    <w:rsid w:val="00043532"/>
    <w:rsid w:val="00043563"/>
    <w:rsid w:val="000435EE"/>
    <w:rsid w:val="000436B6"/>
    <w:rsid w:val="00043C37"/>
    <w:rsid w:val="00043D70"/>
    <w:rsid w:val="00043D77"/>
    <w:rsid w:val="00043FEC"/>
    <w:rsid w:val="000445D4"/>
    <w:rsid w:val="0004461D"/>
    <w:rsid w:val="00044C63"/>
    <w:rsid w:val="00044D3F"/>
    <w:rsid w:val="00044D7D"/>
    <w:rsid w:val="00045017"/>
    <w:rsid w:val="00045124"/>
    <w:rsid w:val="00045154"/>
    <w:rsid w:val="000454A4"/>
    <w:rsid w:val="000455E4"/>
    <w:rsid w:val="0004583B"/>
    <w:rsid w:val="00045846"/>
    <w:rsid w:val="000458AF"/>
    <w:rsid w:val="00045A2B"/>
    <w:rsid w:val="00045ACD"/>
    <w:rsid w:val="00045D87"/>
    <w:rsid w:val="00045F3C"/>
    <w:rsid w:val="000460C7"/>
    <w:rsid w:val="000460CA"/>
    <w:rsid w:val="000467B2"/>
    <w:rsid w:val="0004698F"/>
    <w:rsid w:val="00046D64"/>
    <w:rsid w:val="00046F4F"/>
    <w:rsid w:val="0004710C"/>
    <w:rsid w:val="00047444"/>
    <w:rsid w:val="000479D1"/>
    <w:rsid w:val="00047F02"/>
    <w:rsid w:val="0005028E"/>
    <w:rsid w:val="000507FB"/>
    <w:rsid w:val="000508C2"/>
    <w:rsid w:val="00050B00"/>
    <w:rsid w:val="00050B49"/>
    <w:rsid w:val="0005158C"/>
    <w:rsid w:val="00051CA2"/>
    <w:rsid w:val="00051DAC"/>
    <w:rsid w:val="00051ECC"/>
    <w:rsid w:val="00051FB2"/>
    <w:rsid w:val="00051FC8"/>
    <w:rsid w:val="00052245"/>
    <w:rsid w:val="0005231B"/>
    <w:rsid w:val="00052588"/>
    <w:rsid w:val="00052DB7"/>
    <w:rsid w:val="00052E40"/>
    <w:rsid w:val="0005315A"/>
    <w:rsid w:val="00053200"/>
    <w:rsid w:val="000535D2"/>
    <w:rsid w:val="0005364E"/>
    <w:rsid w:val="00053781"/>
    <w:rsid w:val="000539D0"/>
    <w:rsid w:val="00053A80"/>
    <w:rsid w:val="00053B42"/>
    <w:rsid w:val="00053E0B"/>
    <w:rsid w:val="000541C1"/>
    <w:rsid w:val="000541F4"/>
    <w:rsid w:val="000543B6"/>
    <w:rsid w:val="00054621"/>
    <w:rsid w:val="000546D7"/>
    <w:rsid w:val="00054773"/>
    <w:rsid w:val="00054A8D"/>
    <w:rsid w:val="00054AEA"/>
    <w:rsid w:val="00054B7B"/>
    <w:rsid w:val="00054E2A"/>
    <w:rsid w:val="00054F30"/>
    <w:rsid w:val="00054F9C"/>
    <w:rsid w:val="0005581A"/>
    <w:rsid w:val="00056222"/>
    <w:rsid w:val="000567B5"/>
    <w:rsid w:val="00056857"/>
    <w:rsid w:val="00056867"/>
    <w:rsid w:val="00056ECF"/>
    <w:rsid w:val="00057770"/>
    <w:rsid w:val="00057880"/>
    <w:rsid w:val="00057C1B"/>
    <w:rsid w:val="00057CA2"/>
    <w:rsid w:val="00057D32"/>
    <w:rsid w:val="000604DF"/>
    <w:rsid w:val="00060534"/>
    <w:rsid w:val="00060E56"/>
    <w:rsid w:val="000617F5"/>
    <w:rsid w:val="00061BAF"/>
    <w:rsid w:val="00061CCA"/>
    <w:rsid w:val="00061CF5"/>
    <w:rsid w:val="00062324"/>
    <w:rsid w:val="00062524"/>
    <w:rsid w:val="000627DD"/>
    <w:rsid w:val="00062AD8"/>
    <w:rsid w:val="000630C9"/>
    <w:rsid w:val="000632D6"/>
    <w:rsid w:val="00063738"/>
    <w:rsid w:val="00063B00"/>
    <w:rsid w:val="00063C8A"/>
    <w:rsid w:val="00064089"/>
    <w:rsid w:val="000640F7"/>
    <w:rsid w:val="000646FF"/>
    <w:rsid w:val="00065036"/>
    <w:rsid w:val="000653B5"/>
    <w:rsid w:val="000654A7"/>
    <w:rsid w:val="0006559A"/>
    <w:rsid w:val="000656BD"/>
    <w:rsid w:val="00065812"/>
    <w:rsid w:val="00065C30"/>
    <w:rsid w:val="00065D50"/>
    <w:rsid w:val="00065E80"/>
    <w:rsid w:val="00065FB1"/>
    <w:rsid w:val="00066360"/>
    <w:rsid w:val="0006657C"/>
    <w:rsid w:val="000667F8"/>
    <w:rsid w:val="00066AF8"/>
    <w:rsid w:val="00066B7E"/>
    <w:rsid w:val="00066C31"/>
    <w:rsid w:val="00067065"/>
    <w:rsid w:val="00067199"/>
    <w:rsid w:val="0006731F"/>
    <w:rsid w:val="000678B5"/>
    <w:rsid w:val="000679B6"/>
    <w:rsid w:val="00067B3B"/>
    <w:rsid w:val="00067E91"/>
    <w:rsid w:val="0007060F"/>
    <w:rsid w:val="0007066C"/>
    <w:rsid w:val="0007076A"/>
    <w:rsid w:val="00070963"/>
    <w:rsid w:val="0007099A"/>
    <w:rsid w:val="000709C8"/>
    <w:rsid w:val="00070D49"/>
    <w:rsid w:val="00070F2F"/>
    <w:rsid w:val="00071248"/>
    <w:rsid w:val="00071766"/>
    <w:rsid w:val="0007176D"/>
    <w:rsid w:val="0007180D"/>
    <w:rsid w:val="00071955"/>
    <w:rsid w:val="000719AF"/>
    <w:rsid w:val="00071EC5"/>
    <w:rsid w:val="00071F44"/>
    <w:rsid w:val="000720B9"/>
    <w:rsid w:val="00072103"/>
    <w:rsid w:val="00072376"/>
    <w:rsid w:val="0007239B"/>
    <w:rsid w:val="000725E2"/>
    <w:rsid w:val="000727D3"/>
    <w:rsid w:val="00072905"/>
    <w:rsid w:val="00072A45"/>
    <w:rsid w:val="00072AB6"/>
    <w:rsid w:val="00072B16"/>
    <w:rsid w:val="00073059"/>
    <w:rsid w:val="00073156"/>
    <w:rsid w:val="00073197"/>
    <w:rsid w:val="00073226"/>
    <w:rsid w:val="0007328C"/>
    <w:rsid w:val="000733E5"/>
    <w:rsid w:val="000737F7"/>
    <w:rsid w:val="00073939"/>
    <w:rsid w:val="00073ECD"/>
    <w:rsid w:val="00074002"/>
    <w:rsid w:val="0007430C"/>
    <w:rsid w:val="000746EA"/>
    <w:rsid w:val="00074A6B"/>
    <w:rsid w:val="00074BEF"/>
    <w:rsid w:val="00074C07"/>
    <w:rsid w:val="00074C1D"/>
    <w:rsid w:val="000751B0"/>
    <w:rsid w:val="000751E6"/>
    <w:rsid w:val="000754AD"/>
    <w:rsid w:val="00075827"/>
    <w:rsid w:val="00075D1D"/>
    <w:rsid w:val="0007642A"/>
    <w:rsid w:val="0007672F"/>
    <w:rsid w:val="000769AA"/>
    <w:rsid w:val="00076B54"/>
    <w:rsid w:val="000772A1"/>
    <w:rsid w:val="000774F0"/>
    <w:rsid w:val="000777C6"/>
    <w:rsid w:val="00077BB7"/>
    <w:rsid w:val="0008024A"/>
    <w:rsid w:val="00080532"/>
    <w:rsid w:val="00080869"/>
    <w:rsid w:val="00080909"/>
    <w:rsid w:val="0008096D"/>
    <w:rsid w:val="00080DCC"/>
    <w:rsid w:val="00080E19"/>
    <w:rsid w:val="000811E4"/>
    <w:rsid w:val="000812CA"/>
    <w:rsid w:val="00081387"/>
    <w:rsid w:val="000815EA"/>
    <w:rsid w:val="00081AFC"/>
    <w:rsid w:val="00081C96"/>
    <w:rsid w:val="00081DED"/>
    <w:rsid w:val="00081E63"/>
    <w:rsid w:val="000820F2"/>
    <w:rsid w:val="0008247B"/>
    <w:rsid w:val="0008250B"/>
    <w:rsid w:val="0008258D"/>
    <w:rsid w:val="0008292B"/>
    <w:rsid w:val="000829FC"/>
    <w:rsid w:val="00082E39"/>
    <w:rsid w:val="00083720"/>
    <w:rsid w:val="00083AAF"/>
    <w:rsid w:val="00083E99"/>
    <w:rsid w:val="00083FCB"/>
    <w:rsid w:val="000840F5"/>
    <w:rsid w:val="000847E8"/>
    <w:rsid w:val="00084823"/>
    <w:rsid w:val="00084D6C"/>
    <w:rsid w:val="00084FA8"/>
    <w:rsid w:val="00085100"/>
    <w:rsid w:val="00085177"/>
    <w:rsid w:val="000851C6"/>
    <w:rsid w:val="00085471"/>
    <w:rsid w:val="00085473"/>
    <w:rsid w:val="000855EC"/>
    <w:rsid w:val="00085606"/>
    <w:rsid w:val="000856C5"/>
    <w:rsid w:val="00085ACE"/>
    <w:rsid w:val="00085C31"/>
    <w:rsid w:val="00085D5E"/>
    <w:rsid w:val="00085F57"/>
    <w:rsid w:val="00085F95"/>
    <w:rsid w:val="00085FFA"/>
    <w:rsid w:val="0008614F"/>
    <w:rsid w:val="00086395"/>
    <w:rsid w:val="000864CB"/>
    <w:rsid w:val="0008660D"/>
    <w:rsid w:val="000866CA"/>
    <w:rsid w:val="00086EC6"/>
    <w:rsid w:val="00087081"/>
    <w:rsid w:val="00087343"/>
    <w:rsid w:val="000874DE"/>
    <w:rsid w:val="00087674"/>
    <w:rsid w:val="00087CEE"/>
    <w:rsid w:val="000902D9"/>
    <w:rsid w:val="0009072C"/>
    <w:rsid w:val="000907F9"/>
    <w:rsid w:val="00090922"/>
    <w:rsid w:val="00090934"/>
    <w:rsid w:val="00090A5D"/>
    <w:rsid w:val="00090C7E"/>
    <w:rsid w:val="00090FD3"/>
    <w:rsid w:val="000911AC"/>
    <w:rsid w:val="000916AA"/>
    <w:rsid w:val="00091CC9"/>
    <w:rsid w:val="00091F95"/>
    <w:rsid w:val="000922B8"/>
    <w:rsid w:val="000922CF"/>
    <w:rsid w:val="0009248F"/>
    <w:rsid w:val="00092600"/>
    <w:rsid w:val="0009262B"/>
    <w:rsid w:val="000930A1"/>
    <w:rsid w:val="00093310"/>
    <w:rsid w:val="00093AAE"/>
    <w:rsid w:val="00093AD5"/>
    <w:rsid w:val="00093C56"/>
    <w:rsid w:val="00093C83"/>
    <w:rsid w:val="00093D03"/>
    <w:rsid w:val="0009445C"/>
    <w:rsid w:val="000946E2"/>
    <w:rsid w:val="00094905"/>
    <w:rsid w:val="00094C21"/>
    <w:rsid w:val="00094E55"/>
    <w:rsid w:val="00094F00"/>
    <w:rsid w:val="00094FCF"/>
    <w:rsid w:val="00095098"/>
    <w:rsid w:val="000950C4"/>
    <w:rsid w:val="00095175"/>
    <w:rsid w:val="00095200"/>
    <w:rsid w:val="00095769"/>
    <w:rsid w:val="00095A2B"/>
    <w:rsid w:val="00095E25"/>
    <w:rsid w:val="00095EF0"/>
    <w:rsid w:val="00095FE5"/>
    <w:rsid w:val="00096240"/>
    <w:rsid w:val="00096284"/>
    <w:rsid w:val="000970B6"/>
    <w:rsid w:val="0009714C"/>
    <w:rsid w:val="0009767F"/>
    <w:rsid w:val="000A01E3"/>
    <w:rsid w:val="000A0D47"/>
    <w:rsid w:val="000A0FF8"/>
    <w:rsid w:val="000A10FA"/>
    <w:rsid w:val="000A18EA"/>
    <w:rsid w:val="000A1BC0"/>
    <w:rsid w:val="000A1E61"/>
    <w:rsid w:val="000A26D2"/>
    <w:rsid w:val="000A27F1"/>
    <w:rsid w:val="000A2BD3"/>
    <w:rsid w:val="000A2D2F"/>
    <w:rsid w:val="000A2D4F"/>
    <w:rsid w:val="000A2F9E"/>
    <w:rsid w:val="000A33F1"/>
    <w:rsid w:val="000A37B6"/>
    <w:rsid w:val="000A3E47"/>
    <w:rsid w:val="000A3F70"/>
    <w:rsid w:val="000A4294"/>
    <w:rsid w:val="000A42AC"/>
    <w:rsid w:val="000A4636"/>
    <w:rsid w:val="000A4781"/>
    <w:rsid w:val="000A48BC"/>
    <w:rsid w:val="000A4CA8"/>
    <w:rsid w:val="000A4D76"/>
    <w:rsid w:val="000A5101"/>
    <w:rsid w:val="000A522B"/>
    <w:rsid w:val="000A5463"/>
    <w:rsid w:val="000A5553"/>
    <w:rsid w:val="000A573D"/>
    <w:rsid w:val="000A59C6"/>
    <w:rsid w:val="000A5D94"/>
    <w:rsid w:val="000A5F51"/>
    <w:rsid w:val="000A6039"/>
    <w:rsid w:val="000A63F2"/>
    <w:rsid w:val="000A648D"/>
    <w:rsid w:val="000A65E1"/>
    <w:rsid w:val="000A6711"/>
    <w:rsid w:val="000A6733"/>
    <w:rsid w:val="000A7178"/>
    <w:rsid w:val="000A7453"/>
    <w:rsid w:val="000A78F1"/>
    <w:rsid w:val="000A7A05"/>
    <w:rsid w:val="000A7A0D"/>
    <w:rsid w:val="000A7B45"/>
    <w:rsid w:val="000A7D08"/>
    <w:rsid w:val="000A7D1C"/>
    <w:rsid w:val="000B0121"/>
    <w:rsid w:val="000B0182"/>
    <w:rsid w:val="000B0184"/>
    <w:rsid w:val="000B0670"/>
    <w:rsid w:val="000B085B"/>
    <w:rsid w:val="000B0903"/>
    <w:rsid w:val="000B0C79"/>
    <w:rsid w:val="000B0D84"/>
    <w:rsid w:val="000B0E75"/>
    <w:rsid w:val="000B128E"/>
    <w:rsid w:val="000B12DF"/>
    <w:rsid w:val="000B1637"/>
    <w:rsid w:val="000B1715"/>
    <w:rsid w:val="000B1716"/>
    <w:rsid w:val="000B22B4"/>
    <w:rsid w:val="000B2491"/>
    <w:rsid w:val="000B24C6"/>
    <w:rsid w:val="000B2DCB"/>
    <w:rsid w:val="000B2EE3"/>
    <w:rsid w:val="000B31A0"/>
    <w:rsid w:val="000B3ABE"/>
    <w:rsid w:val="000B3E6A"/>
    <w:rsid w:val="000B4247"/>
    <w:rsid w:val="000B439A"/>
    <w:rsid w:val="000B4464"/>
    <w:rsid w:val="000B4FA0"/>
    <w:rsid w:val="000B4FE5"/>
    <w:rsid w:val="000B52DC"/>
    <w:rsid w:val="000B589F"/>
    <w:rsid w:val="000B5B83"/>
    <w:rsid w:val="000B5C32"/>
    <w:rsid w:val="000B5CE0"/>
    <w:rsid w:val="000B6320"/>
    <w:rsid w:val="000B638E"/>
    <w:rsid w:val="000B68F5"/>
    <w:rsid w:val="000B6926"/>
    <w:rsid w:val="000B6CAC"/>
    <w:rsid w:val="000B6DC4"/>
    <w:rsid w:val="000B6EBC"/>
    <w:rsid w:val="000B6FFA"/>
    <w:rsid w:val="000B72C0"/>
    <w:rsid w:val="000B7439"/>
    <w:rsid w:val="000B7612"/>
    <w:rsid w:val="000B78AE"/>
    <w:rsid w:val="000B7B3F"/>
    <w:rsid w:val="000C020A"/>
    <w:rsid w:val="000C06CC"/>
    <w:rsid w:val="000C07AC"/>
    <w:rsid w:val="000C0CDA"/>
    <w:rsid w:val="000C0D04"/>
    <w:rsid w:val="000C0F46"/>
    <w:rsid w:val="000C1401"/>
    <w:rsid w:val="000C1678"/>
    <w:rsid w:val="000C1715"/>
    <w:rsid w:val="000C18DF"/>
    <w:rsid w:val="000C1A2A"/>
    <w:rsid w:val="000C1AE7"/>
    <w:rsid w:val="000C1C68"/>
    <w:rsid w:val="000C2738"/>
    <w:rsid w:val="000C279C"/>
    <w:rsid w:val="000C2876"/>
    <w:rsid w:val="000C2C5F"/>
    <w:rsid w:val="000C3444"/>
    <w:rsid w:val="000C3534"/>
    <w:rsid w:val="000C37D1"/>
    <w:rsid w:val="000C3DF9"/>
    <w:rsid w:val="000C4736"/>
    <w:rsid w:val="000C4762"/>
    <w:rsid w:val="000C4CF2"/>
    <w:rsid w:val="000C4EE0"/>
    <w:rsid w:val="000C4F2F"/>
    <w:rsid w:val="000C5134"/>
    <w:rsid w:val="000C6385"/>
    <w:rsid w:val="000C666C"/>
    <w:rsid w:val="000C6713"/>
    <w:rsid w:val="000C6A4D"/>
    <w:rsid w:val="000C6A84"/>
    <w:rsid w:val="000C6C97"/>
    <w:rsid w:val="000C6D58"/>
    <w:rsid w:val="000C73F5"/>
    <w:rsid w:val="000C7D17"/>
    <w:rsid w:val="000C7E54"/>
    <w:rsid w:val="000C7FE5"/>
    <w:rsid w:val="000D05D2"/>
    <w:rsid w:val="000D071F"/>
    <w:rsid w:val="000D0AD8"/>
    <w:rsid w:val="000D1124"/>
    <w:rsid w:val="000D1195"/>
    <w:rsid w:val="000D1487"/>
    <w:rsid w:val="000D19AE"/>
    <w:rsid w:val="000D1BFC"/>
    <w:rsid w:val="000D1CF9"/>
    <w:rsid w:val="000D1D5D"/>
    <w:rsid w:val="000D1DDF"/>
    <w:rsid w:val="000D1E84"/>
    <w:rsid w:val="000D281A"/>
    <w:rsid w:val="000D2848"/>
    <w:rsid w:val="000D294C"/>
    <w:rsid w:val="000D2D41"/>
    <w:rsid w:val="000D30D6"/>
    <w:rsid w:val="000D3221"/>
    <w:rsid w:val="000D326A"/>
    <w:rsid w:val="000D330C"/>
    <w:rsid w:val="000D3479"/>
    <w:rsid w:val="000D3744"/>
    <w:rsid w:val="000D3C4E"/>
    <w:rsid w:val="000D3E56"/>
    <w:rsid w:val="000D4E25"/>
    <w:rsid w:val="000D51FB"/>
    <w:rsid w:val="000D5364"/>
    <w:rsid w:val="000D536F"/>
    <w:rsid w:val="000D554B"/>
    <w:rsid w:val="000D5603"/>
    <w:rsid w:val="000D56E8"/>
    <w:rsid w:val="000D5863"/>
    <w:rsid w:val="000D5E99"/>
    <w:rsid w:val="000D6128"/>
    <w:rsid w:val="000D613F"/>
    <w:rsid w:val="000D63FA"/>
    <w:rsid w:val="000D6446"/>
    <w:rsid w:val="000D681A"/>
    <w:rsid w:val="000D6969"/>
    <w:rsid w:val="000D6A1E"/>
    <w:rsid w:val="000D6B23"/>
    <w:rsid w:val="000D7594"/>
    <w:rsid w:val="000D7668"/>
    <w:rsid w:val="000D76F6"/>
    <w:rsid w:val="000D7727"/>
    <w:rsid w:val="000D776D"/>
    <w:rsid w:val="000D7C97"/>
    <w:rsid w:val="000D7EFA"/>
    <w:rsid w:val="000D7F57"/>
    <w:rsid w:val="000E0077"/>
    <w:rsid w:val="000E0640"/>
    <w:rsid w:val="000E083D"/>
    <w:rsid w:val="000E0988"/>
    <w:rsid w:val="000E0C61"/>
    <w:rsid w:val="000E0D4A"/>
    <w:rsid w:val="000E120E"/>
    <w:rsid w:val="000E135D"/>
    <w:rsid w:val="000E168E"/>
    <w:rsid w:val="000E18EC"/>
    <w:rsid w:val="000E1C1D"/>
    <w:rsid w:val="000E1E7A"/>
    <w:rsid w:val="000E2245"/>
    <w:rsid w:val="000E22E1"/>
    <w:rsid w:val="000E23EB"/>
    <w:rsid w:val="000E2BE4"/>
    <w:rsid w:val="000E2C3D"/>
    <w:rsid w:val="000E3000"/>
    <w:rsid w:val="000E3030"/>
    <w:rsid w:val="000E3042"/>
    <w:rsid w:val="000E3224"/>
    <w:rsid w:val="000E3CB1"/>
    <w:rsid w:val="000E3D68"/>
    <w:rsid w:val="000E40E4"/>
    <w:rsid w:val="000E413E"/>
    <w:rsid w:val="000E44E6"/>
    <w:rsid w:val="000E4694"/>
    <w:rsid w:val="000E4D09"/>
    <w:rsid w:val="000E500C"/>
    <w:rsid w:val="000E5020"/>
    <w:rsid w:val="000E5255"/>
    <w:rsid w:val="000E55A5"/>
    <w:rsid w:val="000E56BA"/>
    <w:rsid w:val="000E588A"/>
    <w:rsid w:val="000E5DFE"/>
    <w:rsid w:val="000E625C"/>
    <w:rsid w:val="000E6362"/>
    <w:rsid w:val="000E64CC"/>
    <w:rsid w:val="000E66A6"/>
    <w:rsid w:val="000E6A0B"/>
    <w:rsid w:val="000E6B38"/>
    <w:rsid w:val="000E6DF2"/>
    <w:rsid w:val="000E6ECB"/>
    <w:rsid w:val="000E7269"/>
    <w:rsid w:val="000E7597"/>
    <w:rsid w:val="000E759A"/>
    <w:rsid w:val="000E76EC"/>
    <w:rsid w:val="000E7BD2"/>
    <w:rsid w:val="000E7C9B"/>
    <w:rsid w:val="000E7DAE"/>
    <w:rsid w:val="000F00BA"/>
    <w:rsid w:val="000F02DE"/>
    <w:rsid w:val="000F0308"/>
    <w:rsid w:val="000F06F1"/>
    <w:rsid w:val="000F0BEE"/>
    <w:rsid w:val="000F13B4"/>
    <w:rsid w:val="000F1613"/>
    <w:rsid w:val="000F17A7"/>
    <w:rsid w:val="000F184D"/>
    <w:rsid w:val="000F1A7F"/>
    <w:rsid w:val="000F1D95"/>
    <w:rsid w:val="000F1E2B"/>
    <w:rsid w:val="000F2308"/>
    <w:rsid w:val="000F258D"/>
    <w:rsid w:val="000F25FD"/>
    <w:rsid w:val="000F2660"/>
    <w:rsid w:val="000F2CD7"/>
    <w:rsid w:val="000F2EE2"/>
    <w:rsid w:val="000F2FEC"/>
    <w:rsid w:val="000F316A"/>
    <w:rsid w:val="000F3B97"/>
    <w:rsid w:val="000F3C74"/>
    <w:rsid w:val="000F4846"/>
    <w:rsid w:val="000F4B68"/>
    <w:rsid w:val="000F4BB8"/>
    <w:rsid w:val="000F4FA9"/>
    <w:rsid w:val="000F4FEC"/>
    <w:rsid w:val="000F506F"/>
    <w:rsid w:val="000F5313"/>
    <w:rsid w:val="000F53FB"/>
    <w:rsid w:val="000F547F"/>
    <w:rsid w:val="000F5A99"/>
    <w:rsid w:val="000F5AFB"/>
    <w:rsid w:val="000F5B02"/>
    <w:rsid w:val="000F5E61"/>
    <w:rsid w:val="000F636B"/>
    <w:rsid w:val="000F6382"/>
    <w:rsid w:val="000F6548"/>
    <w:rsid w:val="000F6627"/>
    <w:rsid w:val="000F6716"/>
    <w:rsid w:val="000F6794"/>
    <w:rsid w:val="000F6889"/>
    <w:rsid w:val="000F6A09"/>
    <w:rsid w:val="000F6FD0"/>
    <w:rsid w:val="000F7127"/>
    <w:rsid w:val="000F73AD"/>
    <w:rsid w:val="000F757D"/>
    <w:rsid w:val="000F762E"/>
    <w:rsid w:val="000F7B54"/>
    <w:rsid w:val="000F7FD4"/>
    <w:rsid w:val="001000B3"/>
    <w:rsid w:val="00100492"/>
    <w:rsid w:val="001008B4"/>
    <w:rsid w:val="00100A1A"/>
    <w:rsid w:val="00100A96"/>
    <w:rsid w:val="00100B04"/>
    <w:rsid w:val="00100BA2"/>
    <w:rsid w:val="00100F8A"/>
    <w:rsid w:val="00101010"/>
    <w:rsid w:val="001013C6"/>
    <w:rsid w:val="0010158B"/>
    <w:rsid w:val="00101791"/>
    <w:rsid w:val="00101819"/>
    <w:rsid w:val="0010197C"/>
    <w:rsid w:val="00101999"/>
    <w:rsid w:val="00102018"/>
    <w:rsid w:val="001022F8"/>
    <w:rsid w:val="0010270F"/>
    <w:rsid w:val="0010288B"/>
    <w:rsid w:val="00102993"/>
    <w:rsid w:val="00102A07"/>
    <w:rsid w:val="00102B25"/>
    <w:rsid w:val="00102E75"/>
    <w:rsid w:val="00103340"/>
    <w:rsid w:val="00103345"/>
    <w:rsid w:val="00103360"/>
    <w:rsid w:val="0010354E"/>
    <w:rsid w:val="00103563"/>
    <w:rsid w:val="001036BB"/>
    <w:rsid w:val="001039DF"/>
    <w:rsid w:val="00103B08"/>
    <w:rsid w:val="00103BC2"/>
    <w:rsid w:val="00104134"/>
    <w:rsid w:val="0010414C"/>
    <w:rsid w:val="001043D1"/>
    <w:rsid w:val="0010452E"/>
    <w:rsid w:val="00104892"/>
    <w:rsid w:val="00104B11"/>
    <w:rsid w:val="00104B5C"/>
    <w:rsid w:val="00104FEA"/>
    <w:rsid w:val="001052D6"/>
    <w:rsid w:val="001054B4"/>
    <w:rsid w:val="001058D8"/>
    <w:rsid w:val="00105AE2"/>
    <w:rsid w:val="00105AF7"/>
    <w:rsid w:val="00105E9D"/>
    <w:rsid w:val="00105FCA"/>
    <w:rsid w:val="001060C6"/>
    <w:rsid w:val="001064B4"/>
    <w:rsid w:val="00106B80"/>
    <w:rsid w:val="00106C32"/>
    <w:rsid w:val="00106DCD"/>
    <w:rsid w:val="00106F4C"/>
    <w:rsid w:val="00107076"/>
    <w:rsid w:val="0010709C"/>
    <w:rsid w:val="001072A9"/>
    <w:rsid w:val="00107553"/>
    <w:rsid w:val="00107560"/>
    <w:rsid w:val="001079BC"/>
    <w:rsid w:val="00107A6D"/>
    <w:rsid w:val="00107DFF"/>
    <w:rsid w:val="001102FF"/>
    <w:rsid w:val="0011032E"/>
    <w:rsid w:val="001105E9"/>
    <w:rsid w:val="001106D3"/>
    <w:rsid w:val="001108A9"/>
    <w:rsid w:val="00110C3A"/>
    <w:rsid w:val="00110CF3"/>
    <w:rsid w:val="001110A0"/>
    <w:rsid w:val="001113F4"/>
    <w:rsid w:val="00111620"/>
    <w:rsid w:val="0011169E"/>
    <w:rsid w:val="0011189B"/>
    <w:rsid w:val="00111B85"/>
    <w:rsid w:val="00111BA4"/>
    <w:rsid w:val="00111D82"/>
    <w:rsid w:val="00111DAA"/>
    <w:rsid w:val="00111F11"/>
    <w:rsid w:val="001120E6"/>
    <w:rsid w:val="00112505"/>
    <w:rsid w:val="0011261F"/>
    <w:rsid w:val="00112717"/>
    <w:rsid w:val="00112C26"/>
    <w:rsid w:val="00112D10"/>
    <w:rsid w:val="00113194"/>
    <w:rsid w:val="00113459"/>
    <w:rsid w:val="0011348B"/>
    <w:rsid w:val="0011377B"/>
    <w:rsid w:val="001138F0"/>
    <w:rsid w:val="00114026"/>
    <w:rsid w:val="00114111"/>
    <w:rsid w:val="001143DD"/>
    <w:rsid w:val="0011457D"/>
    <w:rsid w:val="001145D6"/>
    <w:rsid w:val="00114607"/>
    <w:rsid w:val="00114A45"/>
    <w:rsid w:val="00114FA6"/>
    <w:rsid w:val="001150EB"/>
    <w:rsid w:val="00115177"/>
    <w:rsid w:val="001156DD"/>
    <w:rsid w:val="001157B5"/>
    <w:rsid w:val="00115982"/>
    <w:rsid w:val="00115B77"/>
    <w:rsid w:val="00115DBD"/>
    <w:rsid w:val="001163AC"/>
    <w:rsid w:val="00116400"/>
    <w:rsid w:val="00116428"/>
    <w:rsid w:val="00116725"/>
    <w:rsid w:val="00116B46"/>
    <w:rsid w:val="00116C53"/>
    <w:rsid w:val="00116EF7"/>
    <w:rsid w:val="00117252"/>
    <w:rsid w:val="00117558"/>
    <w:rsid w:val="0011758E"/>
    <w:rsid w:val="001177B4"/>
    <w:rsid w:val="0011791F"/>
    <w:rsid w:val="00117BF7"/>
    <w:rsid w:val="00117D26"/>
    <w:rsid w:val="00117E5F"/>
    <w:rsid w:val="00117FA2"/>
    <w:rsid w:val="001202DF"/>
    <w:rsid w:val="00120555"/>
    <w:rsid w:val="0012063E"/>
    <w:rsid w:val="00120F61"/>
    <w:rsid w:val="00120FDF"/>
    <w:rsid w:val="001213D0"/>
    <w:rsid w:val="00121444"/>
    <w:rsid w:val="00121722"/>
    <w:rsid w:val="00121776"/>
    <w:rsid w:val="00121799"/>
    <w:rsid w:val="00121B1E"/>
    <w:rsid w:val="001222FC"/>
    <w:rsid w:val="0012239E"/>
    <w:rsid w:val="0012254D"/>
    <w:rsid w:val="0012276E"/>
    <w:rsid w:val="00122901"/>
    <w:rsid w:val="00122EF9"/>
    <w:rsid w:val="00122FE5"/>
    <w:rsid w:val="00123192"/>
    <w:rsid w:val="001231FA"/>
    <w:rsid w:val="00123776"/>
    <w:rsid w:val="0012379E"/>
    <w:rsid w:val="00123871"/>
    <w:rsid w:val="00123902"/>
    <w:rsid w:val="00124049"/>
    <w:rsid w:val="00124464"/>
    <w:rsid w:val="00124642"/>
    <w:rsid w:val="0012469D"/>
    <w:rsid w:val="001246BC"/>
    <w:rsid w:val="00124861"/>
    <w:rsid w:val="00124A51"/>
    <w:rsid w:val="00124F0C"/>
    <w:rsid w:val="00124F9D"/>
    <w:rsid w:val="00124FE4"/>
    <w:rsid w:val="00125004"/>
    <w:rsid w:val="0012512F"/>
    <w:rsid w:val="001251E0"/>
    <w:rsid w:val="00125710"/>
    <w:rsid w:val="0012580C"/>
    <w:rsid w:val="001258D6"/>
    <w:rsid w:val="0012596E"/>
    <w:rsid w:val="00125AC6"/>
    <w:rsid w:val="00125D86"/>
    <w:rsid w:val="001260F3"/>
    <w:rsid w:val="00126108"/>
    <w:rsid w:val="001264B0"/>
    <w:rsid w:val="00126621"/>
    <w:rsid w:val="001267E6"/>
    <w:rsid w:val="00126A97"/>
    <w:rsid w:val="00126AC5"/>
    <w:rsid w:val="00126B1D"/>
    <w:rsid w:val="00126B77"/>
    <w:rsid w:val="00126E43"/>
    <w:rsid w:val="0013010F"/>
    <w:rsid w:val="001301E9"/>
    <w:rsid w:val="0013033A"/>
    <w:rsid w:val="00130387"/>
    <w:rsid w:val="00130543"/>
    <w:rsid w:val="001306D8"/>
    <w:rsid w:val="00131854"/>
    <w:rsid w:val="0013191F"/>
    <w:rsid w:val="00131D82"/>
    <w:rsid w:val="00131FD7"/>
    <w:rsid w:val="00132356"/>
    <w:rsid w:val="00132818"/>
    <w:rsid w:val="00132914"/>
    <w:rsid w:val="00132AA8"/>
    <w:rsid w:val="00132B22"/>
    <w:rsid w:val="00132C7D"/>
    <w:rsid w:val="00132CAE"/>
    <w:rsid w:val="00132F35"/>
    <w:rsid w:val="00132FC4"/>
    <w:rsid w:val="00133259"/>
    <w:rsid w:val="00133367"/>
    <w:rsid w:val="0013369A"/>
    <w:rsid w:val="00133733"/>
    <w:rsid w:val="0013383A"/>
    <w:rsid w:val="001338B6"/>
    <w:rsid w:val="00133951"/>
    <w:rsid w:val="00133C94"/>
    <w:rsid w:val="00133D36"/>
    <w:rsid w:val="001340FB"/>
    <w:rsid w:val="00134131"/>
    <w:rsid w:val="001341D7"/>
    <w:rsid w:val="001342B7"/>
    <w:rsid w:val="00134786"/>
    <w:rsid w:val="001347DD"/>
    <w:rsid w:val="00134961"/>
    <w:rsid w:val="0013499A"/>
    <w:rsid w:val="001349F7"/>
    <w:rsid w:val="00134B8F"/>
    <w:rsid w:val="00134FB6"/>
    <w:rsid w:val="00135065"/>
    <w:rsid w:val="001351C5"/>
    <w:rsid w:val="0013539D"/>
    <w:rsid w:val="0013566A"/>
    <w:rsid w:val="00135DBB"/>
    <w:rsid w:val="001362F2"/>
    <w:rsid w:val="00136408"/>
    <w:rsid w:val="0013651C"/>
    <w:rsid w:val="0013656F"/>
    <w:rsid w:val="00136B04"/>
    <w:rsid w:val="00136F95"/>
    <w:rsid w:val="0013708F"/>
    <w:rsid w:val="0013711C"/>
    <w:rsid w:val="001374CB"/>
    <w:rsid w:val="00137645"/>
    <w:rsid w:val="0013779F"/>
    <w:rsid w:val="001377A7"/>
    <w:rsid w:val="0013780E"/>
    <w:rsid w:val="00137841"/>
    <w:rsid w:val="00137A21"/>
    <w:rsid w:val="00137AD7"/>
    <w:rsid w:val="00137C43"/>
    <w:rsid w:val="0014015A"/>
    <w:rsid w:val="00140173"/>
    <w:rsid w:val="00140681"/>
    <w:rsid w:val="00140A18"/>
    <w:rsid w:val="00140E99"/>
    <w:rsid w:val="00141ECC"/>
    <w:rsid w:val="0014218C"/>
    <w:rsid w:val="0014230F"/>
    <w:rsid w:val="00142336"/>
    <w:rsid w:val="00142A98"/>
    <w:rsid w:val="00142F00"/>
    <w:rsid w:val="00143167"/>
    <w:rsid w:val="00143238"/>
    <w:rsid w:val="001437A1"/>
    <w:rsid w:val="00143C05"/>
    <w:rsid w:val="00143C1A"/>
    <w:rsid w:val="00143EF9"/>
    <w:rsid w:val="00143F53"/>
    <w:rsid w:val="00143F67"/>
    <w:rsid w:val="00144687"/>
    <w:rsid w:val="00144AB1"/>
    <w:rsid w:val="00144C91"/>
    <w:rsid w:val="00144DEA"/>
    <w:rsid w:val="00144EB5"/>
    <w:rsid w:val="00145234"/>
    <w:rsid w:val="001453AD"/>
    <w:rsid w:val="00145540"/>
    <w:rsid w:val="001455F4"/>
    <w:rsid w:val="001456B0"/>
    <w:rsid w:val="00145AA2"/>
    <w:rsid w:val="00145CDC"/>
    <w:rsid w:val="0014650F"/>
    <w:rsid w:val="00146766"/>
    <w:rsid w:val="00146B93"/>
    <w:rsid w:val="00146EBD"/>
    <w:rsid w:val="00146FF3"/>
    <w:rsid w:val="0014726B"/>
    <w:rsid w:val="00147477"/>
    <w:rsid w:val="00147488"/>
    <w:rsid w:val="00147581"/>
    <w:rsid w:val="00147853"/>
    <w:rsid w:val="0014791B"/>
    <w:rsid w:val="001501F1"/>
    <w:rsid w:val="001503FF"/>
    <w:rsid w:val="0015079E"/>
    <w:rsid w:val="00150C0A"/>
    <w:rsid w:val="00150F82"/>
    <w:rsid w:val="00151121"/>
    <w:rsid w:val="00151247"/>
    <w:rsid w:val="00151793"/>
    <w:rsid w:val="00151A67"/>
    <w:rsid w:val="00151C30"/>
    <w:rsid w:val="0015210B"/>
    <w:rsid w:val="001523BD"/>
    <w:rsid w:val="00152A7F"/>
    <w:rsid w:val="00152BCC"/>
    <w:rsid w:val="00152DEA"/>
    <w:rsid w:val="0015341E"/>
    <w:rsid w:val="00153686"/>
    <w:rsid w:val="00153787"/>
    <w:rsid w:val="001539CC"/>
    <w:rsid w:val="00153CBC"/>
    <w:rsid w:val="0015442E"/>
    <w:rsid w:val="00154632"/>
    <w:rsid w:val="001547AB"/>
    <w:rsid w:val="0015486F"/>
    <w:rsid w:val="001548AB"/>
    <w:rsid w:val="00154A08"/>
    <w:rsid w:val="00155043"/>
    <w:rsid w:val="0015541A"/>
    <w:rsid w:val="00155754"/>
    <w:rsid w:val="00155897"/>
    <w:rsid w:val="00155B74"/>
    <w:rsid w:val="00156299"/>
    <w:rsid w:val="0015670D"/>
    <w:rsid w:val="00156D9A"/>
    <w:rsid w:val="00156F8F"/>
    <w:rsid w:val="00157029"/>
    <w:rsid w:val="001570D7"/>
    <w:rsid w:val="00157130"/>
    <w:rsid w:val="001571B9"/>
    <w:rsid w:val="001572E2"/>
    <w:rsid w:val="00157303"/>
    <w:rsid w:val="001573C1"/>
    <w:rsid w:val="0015763E"/>
    <w:rsid w:val="001576B1"/>
    <w:rsid w:val="0015790C"/>
    <w:rsid w:val="00160015"/>
    <w:rsid w:val="001601AE"/>
    <w:rsid w:val="001601BE"/>
    <w:rsid w:val="0016038D"/>
    <w:rsid w:val="0016047B"/>
    <w:rsid w:val="00160A14"/>
    <w:rsid w:val="00160A4C"/>
    <w:rsid w:val="00160D9D"/>
    <w:rsid w:val="00160FD9"/>
    <w:rsid w:val="001610EE"/>
    <w:rsid w:val="0016151C"/>
    <w:rsid w:val="00161768"/>
    <w:rsid w:val="001618A2"/>
    <w:rsid w:val="00161B6A"/>
    <w:rsid w:val="00161CE0"/>
    <w:rsid w:val="00161F50"/>
    <w:rsid w:val="0016223B"/>
    <w:rsid w:val="0016227A"/>
    <w:rsid w:val="001625E4"/>
    <w:rsid w:val="00162913"/>
    <w:rsid w:val="00162A9C"/>
    <w:rsid w:val="00162C2F"/>
    <w:rsid w:val="00163007"/>
    <w:rsid w:val="00163088"/>
    <w:rsid w:val="00163187"/>
    <w:rsid w:val="001631BE"/>
    <w:rsid w:val="0016328C"/>
    <w:rsid w:val="0016367F"/>
    <w:rsid w:val="00163690"/>
    <w:rsid w:val="001639CD"/>
    <w:rsid w:val="00163CAD"/>
    <w:rsid w:val="00163EFF"/>
    <w:rsid w:val="00163F66"/>
    <w:rsid w:val="0016478E"/>
    <w:rsid w:val="0016480E"/>
    <w:rsid w:val="00164994"/>
    <w:rsid w:val="00164EC6"/>
    <w:rsid w:val="00165019"/>
    <w:rsid w:val="001658D3"/>
    <w:rsid w:val="00165A97"/>
    <w:rsid w:val="00165B03"/>
    <w:rsid w:val="00165BC2"/>
    <w:rsid w:val="00165D24"/>
    <w:rsid w:val="00165EC4"/>
    <w:rsid w:val="001661FB"/>
    <w:rsid w:val="0016654B"/>
    <w:rsid w:val="0016658E"/>
    <w:rsid w:val="0016694C"/>
    <w:rsid w:val="0016700E"/>
    <w:rsid w:val="001671A0"/>
    <w:rsid w:val="00167212"/>
    <w:rsid w:val="0016767F"/>
    <w:rsid w:val="00167883"/>
    <w:rsid w:val="0016790A"/>
    <w:rsid w:val="0017067B"/>
    <w:rsid w:val="00170BC7"/>
    <w:rsid w:val="00170CA8"/>
    <w:rsid w:val="00170F38"/>
    <w:rsid w:val="00170FF2"/>
    <w:rsid w:val="00171014"/>
    <w:rsid w:val="001715D4"/>
    <w:rsid w:val="00171B8C"/>
    <w:rsid w:val="00171D08"/>
    <w:rsid w:val="00172340"/>
    <w:rsid w:val="00172872"/>
    <w:rsid w:val="00172B60"/>
    <w:rsid w:val="00173272"/>
    <w:rsid w:val="00173565"/>
    <w:rsid w:val="0017391A"/>
    <w:rsid w:val="00173B07"/>
    <w:rsid w:val="00173B1B"/>
    <w:rsid w:val="00173B80"/>
    <w:rsid w:val="00173D99"/>
    <w:rsid w:val="001740A5"/>
    <w:rsid w:val="001744A5"/>
    <w:rsid w:val="001749C3"/>
    <w:rsid w:val="00174F23"/>
    <w:rsid w:val="001751FA"/>
    <w:rsid w:val="00175298"/>
    <w:rsid w:val="0017547D"/>
    <w:rsid w:val="00175766"/>
    <w:rsid w:val="00175910"/>
    <w:rsid w:val="00176372"/>
    <w:rsid w:val="0017638A"/>
    <w:rsid w:val="001763BA"/>
    <w:rsid w:val="001764B4"/>
    <w:rsid w:val="0017678C"/>
    <w:rsid w:val="001767A7"/>
    <w:rsid w:val="001769E3"/>
    <w:rsid w:val="00176BAD"/>
    <w:rsid w:val="00176F6A"/>
    <w:rsid w:val="0017740D"/>
    <w:rsid w:val="00177572"/>
    <w:rsid w:val="001776C4"/>
    <w:rsid w:val="001776E1"/>
    <w:rsid w:val="001778FB"/>
    <w:rsid w:val="00177EDC"/>
    <w:rsid w:val="00177F0F"/>
    <w:rsid w:val="00180170"/>
    <w:rsid w:val="0018095D"/>
    <w:rsid w:val="00180A77"/>
    <w:rsid w:val="00180AC5"/>
    <w:rsid w:val="00180B86"/>
    <w:rsid w:val="00180C59"/>
    <w:rsid w:val="00181409"/>
    <w:rsid w:val="001814AA"/>
    <w:rsid w:val="00181643"/>
    <w:rsid w:val="001818C7"/>
    <w:rsid w:val="00181BD7"/>
    <w:rsid w:val="00181C10"/>
    <w:rsid w:val="00181C1E"/>
    <w:rsid w:val="00181CB9"/>
    <w:rsid w:val="00181D9C"/>
    <w:rsid w:val="001823BC"/>
    <w:rsid w:val="001823E1"/>
    <w:rsid w:val="00182B5F"/>
    <w:rsid w:val="00182C33"/>
    <w:rsid w:val="00183073"/>
    <w:rsid w:val="001833B3"/>
    <w:rsid w:val="001837FF"/>
    <w:rsid w:val="001838BA"/>
    <w:rsid w:val="00183942"/>
    <w:rsid w:val="00183BB8"/>
    <w:rsid w:val="00183F76"/>
    <w:rsid w:val="00184643"/>
    <w:rsid w:val="00184661"/>
    <w:rsid w:val="00184B0E"/>
    <w:rsid w:val="00184CC4"/>
    <w:rsid w:val="0018509E"/>
    <w:rsid w:val="0018535B"/>
    <w:rsid w:val="00185CAC"/>
    <w:rsid w:val="00186719"/>
    <w:rsid w:val="00186BB5"/>
    <w:rsid w:val="00186D53"/>
    <w:rsid w:val="00186ECD"/>
    <w:rsid w:val="00186EFC"/>
    <w:rsid w:val="0018743E"/>
    <w:rsid w:val="0018752F"/>
    <w:rsid w:val="001876EF"/>
    <w:rsid w:val="00187B5A"/>
    <w:rsid w:val="00187D4D"/>
    <w:rsid w:val="00187EA1"/>
    <w:rsid w:val="001901FC"/>
    <w:rsid w:val="001905AC"/>
    <w:rsid w:val="001906DE"/>
    <w:rsid w:val="00190760"/>
    <w:rsid w:val="00190853"/>
    <w:rsid w:val="00190861"/>
    <w:rsid w:val="00190E56"/>
    <w:rsid w:val="00190F66"/>
    <w:rsid w:val="0019112D"/>
    <w:rsid w:val="00191609"/>
    <w:rsid w:val="0019161F"/>
    <w:rsid w:val="001918EB"/>
    <w:rsid w:val="00191C7D"/>
    <w:rsid w:val="001920E4"/>
    <w:rsid w:val="0019225D"/>
    <w:rsid w:val="00192A40"/>
    <w:rsid w:val="00192B94"/>
    <w:rsid w:val="00192D22"/>
    <w:rsid w:val="00192E34"/>
    <w:rsid w:val="001930D0"/>
    <w:rsid w:val="001932D0"/>
    <w:rsid w:val="0019333B"/>
    <w:rsid w:val="00193838"/>
    <w:rsid w:val="00193C57"/>
    <w:rsid w:val="00193F8D"/>
    <w:rsid w:val="00193FBD"/>
    <w:rsid w:val="00194263"/>
    <w:rsid w:val="0019435F"/>
    <w:rsid w:val="001946F9"/>
    <w:rsid w:val="00194AD8"/>
    <w:rsid w:val="00194D6B"/>
    <w:rsid w:val="00194E89"/>
    <w:rsid w:val="00195222"/>
    <w:rsid w:val="0019532F"/>
    <w:rsid w:val="00195452"/>
    <w:rsid w:val="001956D6"/>
    <w:rsid w:val="001956F0"/>
    <w:rsid w:val="00195B3A"/>
    <w:rsid w:val="00195C23"/>
    <w:rsid w:val="00195FE8"/>
    <w:rsid w:val="00196543"/>
    <w:rsid w:val="0019682B"/>
    <w:rsid w:val="00196E79"/>
    <w:rsid w:val="00196F9F"/>
    <w:rsid w:val="001975AF"/>
    <w:rsid w:val="001975D8"/>
    <w:rsid w:val="0019783C"/>
    <w:rsid w:val="00197B52"/>
    <w:rsid w:val="001A0630"/>
    <w:rsid w:val="001A0D7D"/>
    <w:rsid w:val="001A0F08"/>
    <w:rsid w:val="001A1018"/>
    <w:rsid w:val="001A125B"/>
    <w:rsid w:val="001A1435"/>
    <w:rsid w:val="001A15C5"/>
    <w:rsid w:val="001A178E"/>
    <w:rsid w:val="001A1AE8"/>
    <w:rsid w:val="001A1D0B"/>
    <w:rsid w:val="001A1F67"/>
    <w:rsid w:val="001A1F75"/>
    <w:rsid w:val="001A1F98"/>
    <w:rsid w:val="001A2CAE"/>
    <w:rsid w:val="001A315A"/>
    <w:rsid w:val="001A3537"/>
    <w:rsid w:val="001A3736"/>
    <w:rsid w:val="001A3802"/>
    <w:rsid w:val="001A39BE"/>
    <w:rsid w:val="001A3CEC"/>
    <w:rsid w:val="001A3E6C"/>
    <w:rsid w:val="001A3F95"/>
    <w:rsid w:val="001A429F"/>
    <w:rsid w:val="001A43FA"/>
    <w:rsid w:val="001A47C5"/>
    <w:rsid w:val="001A49F4"/>
    <w:rsid w:val="001A4E2E"/>
    <w:rsid w:val="001A4FAA"/>
    <w:rsid w:val="001A5274"/>
    <w:rsid w:val="001A5586"/>
    <w:rsid w:val="001A565B"/>
    <w:rsid w:val="001A5676"/>
    <w:rsid w:val="001A5718"/>
    <w:rsid w:val="001A59FB"/>
    <w:rsid w:val="001A5E9E"/>
    <w:rsid w:val="001A6354"/>
    <w:rsid w:val="001A6366"/>
    <w:rsid w:val="001A63B2"/>
    <w:rsid w:val="001A64BF"/>
    <w:rsid w:val="001A674D"/>
    <w:rsid w:val="001A68FE"/>
    <w:rsid w:val="001A6C17"/>
    <w:rsid w:val="001A6C78"/>
    <w:rsid w:val="001A6DD8"/>
    <w:rsid w:val="001A6FA7"/>
    <w:rsid w:val="001A7081"/>
    <w:rsid w:val="001A74DE"/>
    <w:rsid w:val="001A78BC"/>
    <w:rsid w:val="001A79C6"/>
    <w:rsid w:val="001A7AE8"/>
    <w:rsid w:val="001A7E77"/>
    <w:rsid w:val="001B016A"/>
    <w:rsid w:val="001B0412"/>
    <w:rsid w:val="001B07D6"/>
    <w:rsid w:val="001B0848"/>
    <w:rsid w:val="001B0992"/>
    <w:rsid w:val="001B0CDD"/>
    <w:rsid w:val="001B1157"/>
    <w:rsid w:val="001B147E"/>
    <w:rsid w:val="001B1B67"/>
    <w:rsid w:val="001B204E"/>
    <w:rsid w:val="001B2071"/>
    <w:rsid w:val="001B209A"/>
    <w:rsid w:val="001B21A1"/>
    <w:rsid w:val="001B2234"/>
    <w:rsid w:val="001B2372"/>
    <w:rsid w:val="001B24F1"/>
    <w:rsid w:val="001B2A08"/>
    <w:rsid w:val="001B2B9F"/>
    <w:rsid w:val="001B2BD9"/>
    <w:rsid w:val="001B2C1A"/>
    <w:rsid w:val="001B2E94"/>
    <w:rsid w:val="001B312E"/>
    <w:rsid w:val="001B3443"/>
    <w:rsid w:val="001B34B3"/>
    <w:rsid w:val="001B36F1"/>
    <w:rsid w:val="001B38EC"/>
    <w:rsid w:val="001B39AF"/>
    <w:rsid w:val="001B4317"/>
    <w:rsid w:val="001B464D"/>
    <w:rsid w:val="001B465F"/>
    <w:rsid w:val="001B4710"/>
    <w:rsid w:val="001B47BA"/>
    <w:rsid w:val="001B4A19"/>
    <w:rsid w:val="001B4C93"/>
    <w:rsid w:val="001B4CED"/>
    <w:rsid w:val="001B4D20"/>
    <w:rsid w:val="001B4DF4"/>
    <w:rsid w:val="001B4E96"/>
    <w:rsid w:val="001B51C7"/>
    <w:rsid w:val="001B55C8"/>
    <w:rsid w:val="001B57D9"/>
    <w:rsid w:val="001B58D3"/>
    <w:rsid w:val="001B5C6E"/>
    <w:rsid w:val="001B62A1"/>
    <w:rsid w:val="001B6A0C"/>
    <w:rsid w:val="001B6A6E"/>
    <w:rsid w:val="001B6B00"/>
    <w:rsid w:val="001B6F0D"/>
    <w:rsid w:val="001B6FC0"/>
    <w:rsid w:val="001B73D5"/>
    <w:rsid w:val="001B73D8"/>
    <w:rsid w:val="001B7486"/>
    <w:rsid w:val="001B7667"/>
    <w:rsid w:val="001B7B8B"/>
    <w:rsid w:val="001B7D42"/>
    <w:rsid w:val="001B7F74"/>
    <w:rsid w:val="001B7F84"/>
    <w:rsid w:val="001C0066"/>
    <w:rsid w:val="001C0248"/>
    <w:rsid w:val="001C04B9"/>
    <w:rsid w:val="001C0BCF"/>
    <w:rsid w:val="001C0E24"/>
    <w:rsid w:val="001C12B2"/>
    <w:rsid w:val="001C20F9"/>
    <w:rsid w:val="001C2321"/>
    <w:rsid w:val="001C25B7"/>
    <w:rsid w:val="001C280B"/>
    <w:rsid w:val="001C28A9"/>
    <w:rsid w:val="001C2A9B"/>
    <w:rsid w:val="001C2D93"/>
    <w:rsid w:val="001C320F"/>
    <w:rsid w:val="001C34D9"/>
    <w:rsid w:val="001C35A5"/>
    <w:rsid w:val="001C3DD6"/>
    <w:rsid w:val="001C3EF5"/>
    <w:rsid w:val="001C4100"/>
    <w:rsid w:val="001C4299"/>
    <w:rsid w:val="001C4832"/>
    <w:rsid w:val="001C4874"/>
    <w:rsid w:val="001C488B"/>
    <w:rsid w:val="001C4A5C"/>
    <w:rsid w:val="001C4B16"/>
    <w:rsid w:val="001C4B8F"/>
    <w:rsid w:val="001C4CBA"/>
    <w:rsid w:val="001C4FC9"/>
    <w:rsid w:val="001C54D2"/>
    <w:rsid w:val="001C551D"/>
    <w:rsid w:val="001C5534"/>
    <w:rsid w:val="001C56C6"/>
    <w:rsid w:val="001C57D2"/>
    <w:rsid w:val="001C5DF3"/>
    <w:rsid w:val="001C5F94"/>
    <w:rsid w:val="001C620D"/>
    <w:rsid w:val="001C63B9"/>
    <w:rsid w:val="001C697A"/>
    <w:rsid w:val="001C6A80"/>
    <w:rsid w:val="001C6E66"/>
    <w:rsid w:val="001C6F4B"/>
    <w:rsid w:val="001C7387"/>
    <w:rsid w:val="001C7697"/>
    <w:rsid w:val="001C77F2"/>
    <w:rsid w:val="001C7868"/>
    <w:rsid w:val="001C796A"/>
    <w:rsid w:val="001C7AD9"/>
    <w:rsid w:val="001C7C42"/>
    <w:rsid w:val="001C7C4C"/>
    <w:rsid w:val="001C7D7C"/>
    <w:rsid w:val="001D0230"/>
    <w:rsid w:val="001D073A"/>
    <w:rsid w:val="001D073E"/>
    <w:rsid w:val="001D0AD1"/>
    <w:rsid w:val="001D0D9C"/>
    <w:rsid w:val="001D1100"/>
    <w:rsid w:val="001D1391"/>
    <w:rsid w:val="001D1EA7"/>
    <w:rsid w:val="001D25D7"/>
    <w:rsid w:val="001D27C5"/>
    <w:rsid w:val="001D28B9"/>
    <w:rsid w:val="001D2915"/>
    <w:rsid w:val="001D2A6F"/>
    <w:rsid w:val="001D2BBD"/>
    <w:rsid w:val="001D3031"/>
    <w:rsid w:val="001D30D0"/>
    <w:rsid w:val="001D33A5"/>
    <w:rsid w:val="001D36CB"/>
    <w:rsid w:val="001D37EF"/>
    <w:rsid w:val="001D3849"/>
    <w:rsid w:val="001D3C8B"/>
    <w:rsid w:val="001D3C9D"/>
    <w:rsid w:val="001D404D"/>
    <w:rsid w:val="001D4348"/>
    <w:rsid w:val="001D4871"/>
    <w:rsid w:val="001D48CD"/>
    <w:rsid w:val="001D4D63"/>
    <w:rsid w:val="001D4F54"/>
    <w:rsid w:val="001D50B2"/>
    <w:rsid w:val="001D5266"/>
    <w:rsid w:val="001D55B0"/>
    <w:rsid w:val="001D57A9"/>
    <w:rsid w:val="001D5B81"/>
    <w:rsid w:val="001D608F"/>
    <w:rsid w:val="001D654B"/>
    <w:rsid w:val="001D65DA"/>
    <w:rsid w:val="001D6936"/>
    <w:rsid w:val="001D6C7C"/>
    <w:rsid w:val="001D6D94"/>
    <w:rsid w:val="001D6FF7"/>
    <w:rsid w:val="001D71F4"/>
    <w:rsid w:val="001D748C"/>
    <w:rsid w:val="001D7645"/>
    <w:rsid w:val="001D76C5"/>
    <w:rsid w:val="001D7876"/>
    <w:rsid w:val="001D79FE"/>
    <w:rsid w:val="001D7BD5"/>
    <w:rsid w:val="001D7BF7"/>
    <w:rsid w:val="001D7E8E"/>
    <w:rsid w:val="001D7EBD"/>
    <w:rsid w:val="001D7F2A"/>
    <w:rsid w:val="001E11D1"/>
    <w:rsid w:val="001E11DA"/>
    <w:rsid w:val="001E129C"/>
    <w:rsid w:val="001E13E0"/>
    <w:rsid w:val="001E13F1"/>
    <w:rsid w:val="001E1E86"/>
    <w:rsid w:val="001E1F4F"/>
    <w:rsid w:val="001E238E"/>
    <w:rsid w:val="001E2454"/>
    <w:rsid w:val="001E2483"/>
    <w:rsid w:val="001E264E"/>
    <w:rsid w:val="001E2A78"/>
    <w:rsid w:val="001E2B1E"/>
    <w:rsid w:val="001E2C12"/>
    <w:rsid w:val="001E2CB2"/>
    <w:rsid w:val="001E2CFF"/>
    <w:rsid w:val="001E2F24"/>
    <w:rsid w:val="001E30D4"/>
    <w:rsid w:val="001E30DD"/>
    <w:rsid w:val="001E34DF"/>
    <w:rsid w:val="001E3500"/>
    <w:rsid w:val="001E3688"/>
    <w:rsid w:val="001E369F"/>
    <w:rsid w:val="001E39CD"/>
    <w:rsid w:val="001E3A0E"/>
    <w:rsid w:val="001E3A5A"/>
    <w:rsid w:val="001E3D33"/>
    <w:rsid w:val="001E3FBA"/>
    <w:rsid w:val="001E4114"/>
    <w:rsid w:val="001E46D4"/>
    <w:rsid w:val="001E49E9"/>
    <w:rsid w:val="001E52EB"/>
    <w:rsid w:val="001E562F"/>
    <w:rsid w:val="001E5706"/>
    <w:rsid w:val="001E5C8A"/>
    <w:rsid w:val="001E5DA9"/>
    <w:rsid w:val="001E5F5A"/>
    <w:rsid w:val="001E6052"/>
    <w:rsid w:val="001E61D2"/>
    <w:rsid w:val="001E6367"/>
    <w:rsid w:val="001E670C"/>
    <w:rsid w:val="001E6A5C"/>
    <w:rsid w:val="001E6AE5"/>
    <w:rsid w:val="001E6F6F"/>
    <w:rsid w:val="001E703D"/>
    <w:rsid w:val="001E740C"/>
    <w:rsid w:val="001E77DB"/>
    <w:rsid w:val="001E7C9C"/>
    <w:rsid w:val="001E7D22"/>
    <w:rsid w:val="001F01F3"/>
    <w:rsid w:val="001F0354"/>
    <w:rsid w:val="001F04D9"/>
    <w:rsid w:val="001F0A7D"/>
    <w:rsid w:val="001F0B62"/>
    <w:rsid w:val="001F0D45"/>
    <w:rsid w:val="001F119C"/>
    <w:rsid w:val="001F1235"/>
    <w:rsid w:val="001F1269"/>
    <w:rsid w:val="001F15F1"/>
    <w:rsid w:val="001F1CB3"/>
    <w:rsid w:val="001F2201"/>
    <w:rsid w:val="001F2A3D"/>
    <w:rsid w:val="001F2B7D"/>
    <w:rsid w:val="001F3088"/>
    <w:rsid w:val="001F320F"/>
    <w:rsid w:val="001F33A2"/>
    <w:rsid w:val="001F349B"/>
    <w:rsid w:val="001F38B5"/>
    <w:rsid w:val="001F3B7B"/>
    <w:rsid w:val="001F3B84"/>
    <w:rsid w:val="001F3EE0"/>
    <w:rsid w:val="001F4081"/>
    <w:rsid w:val="001F4742"/>
    <w:rsid w:val="001F4945"/>
    <w:rsid w:val="001F4A1D"/>
    <w:rsid w:val="001F544D"/>
    <w:rsid w:val="001F56C5"/>
    <w:rsid w:val="001F5872"/>
    <w:rsid w:val="001F5A8F"/>
    <w:rsid w:val="001F65EF"/>
    <w:rsid w:val="001F66F2"/>
    <w:rsid w:val="001F6BB2"/>
    <w:rsid w:val="001F6CD0"/>
    <w:rsid w:val="001F6D1E"/>
    <w:rsid w:val="001F6DE8"/>
    <w:rsid w:val="001F6F92"/>
    <w:rsid w:val="001F725A"/>
    <w:rsid w:val="001F7361"/>
    <w:rsid w:val="001F74F8"/>
    <w:rsid w:val="001F769D"/>
    <w:rsid w:val="001F7757"/>
    <w:rsid w:val="001F77F8"/>
    <w:rsid w:val="001F7B81"/>
    <w:rsid w:val="001F7EFA"/>
    <w:rsid w:val="002000E4"/>
    <w:rsid w:val="00200281"/>
    <w:rsid w:val="0020040A"/>
    <w:rsid w:val="00200974"/>
    <w:rsid w:val="00200B45"/>
    <w:rsid w:val="00200C74"/>
    <w:rsid w:val="00200CA8"/>
    <w:rsid w:val="00200E4C"/>
    <w:rsid w:val="00200EA3"/>
    <w:rsid w:val="002011B0"/>
    <w:rsid w:val="0020165A"/>
    <w:rsid w:val="00201869"/>
    <w:rsid w:val="00201968"/>
    <w:rsid w:val="00201CB5"/>
    <w:rsid w:val="00201D0E"/>
    <w:rsid w:val="002021EA"/>
    <w:rsid w:val="00202587"/>
    <w:rsid w:val="002025D2"/>
    <w:rsid w:val="002026E4"/>
    <w:rsid w:val="002028F8"/>
    <w:rsid w:val="002029CC"/>
    <w:rsid w:val="00202BCB"/>
    <w:rsid w:val="00202F41"/>
    <w:rsid w:val="00203181"/>
    <w:rsid w:val="0020332D"/>
    <w:rsid w:val="00203587"/>
    <w:rsid w:val="002035BC"/>
    <w:rsid w:val="00203627"/>
    <w:rsid w:val="00203783"/>
    <w:rsid w:val="00203785"/>
    <w:rsid w:val="0020385F"/>
    <w:rsid w:val="00203B49"/>
    <w:rsid w:val="00203C20"/>
    <w:rsid w:val="00203EB1"/>
    <w:rsid w:val="00204090"/>
    <w:rsid w:val="00204267"/>
    <w:rsid w:val="00204D05"/>
    <w:rsid w:val="00205127"/>
    <w:rsid w:val="00205174"/>
    <w:rsid w:val="0020531E"/>
    <w:rsid w:val="002054F8"/>
    <w:rsid w:val="00205811"/>
    <w:rsid w:val="002059A7"/>
    <w:rsid w:val="00205B3F"/>
    <w:rsid w:val="00205BA7"/>
    <w:rsid w:val="00206395"/>
    <w:rsid w:val="0020641B"/>
    <w:rsid w:val="0020659A"/>
    <w:rsid w:val="0020684B"/>
    <w:rsid w:val="002068A0"/>
    <w:rsid w:val="002069E0"/>
    <w:rsid w:val="00206B9D"/>
    <w:rsid w:val="00206C72"/>
    <w:rsid w:val="00206D9D"/>
    <w:rsid w:val="00206FF8"/>
    <w:rsid w:val="00207021"/>
    <w:rsid w:val="0020732F"/>
    <w:rsid w:val="002078DF"/>
    <w:rsid w:val="0020791C"/>
    <w:rsid w:val="0020795A"/>
    <w:rsid w:val="002079FF"/>
    <w:rsid w:val="00207A98"/>
    <w:rsid w:val="00207D00"/>
    <w:rsid w:val="00207E49"/>
    <w:rsid w:val="00207EF4"/>
    <w:rsid w:val="00207FA1"/>
    <w:rsid w:val="0021009A"/>
    <w:rsid w:val="002103C8"/>
    <w:rsid w:val="00210461"/>
    <w:rsid w:val="002105C1"/>
    <w:rsid w:val="00210666"/>
    <w:rsid w:val="0021099E"/>
    <w:rsid w:val="00210B78"/>
    <w:rsid w:val="002116FD"/>
    <w:rsid w:val="00211A52"/>
    <w:rsid w:val="00211CB7"/>
    <w:rsid w:val="00211DD9"/>
    <w:rsid w:val="00212464"/>
    <w:rsid w:val="0021255E"/>
    <w:rsid w:val="00212592"/>
    <w:rsid w:val="00212724"/>
    <w:rsid w:val="0021285D"/>
    <w:rsid w:val="00212BC4"/>
    <w:rsid w:val="00212CB8"/>
    <w:rsid w:val="00212E47"/>
    <w:rsid w:val="002131FB"/>
    <w:rsid w:val="00213480"/>
    <w:rsid w:val="00213526"/>
    <w:rsid w:val="002135D6"/>
    <w:rsid w:val="0021371E"/>
    <w:rsid w:val="00213AA9"/>
    <w:rsid w:val="00213B12"/>
    <w:rsid w:val="00213EF5"/>
    <w:rsid w:val="00214110"/>
    <w:rsid w:val="002141DB"/>
    <w:rsid w:val="00214627"/>
    <w:rsid w:val="002146FD"/>
    <w:rsid w:val="0021472B"/>
    <w:rsid w:val="00214775"/>
    <w:rsid w:val="00214A46"/>
    <w:rsid w:val="00215189"/>
    <w:rsid w:val="002151C1"/>
    <w:rsid w:val="0021521F"/>
    <w:rsid w:val="00215423"/>
    <w:rsid w:val="00215462"/>
    <w:rsid w:val="0021568E"/>
    <w:rsid w:val="002159E0"/>
    <w:rsid w:val="00215AEC"/>
    <w:rsid w:val="00215D50"/>
    <w:rsid w:val="00215E34"/>
    <w:rsid w:val="00215EDE"/>
    <w:rsid w:val="002161FD"/>
    <w:rsid w:val="0021621D"/>
    <w:rsid w:val="00216395"/>
    <w:rsid w:val="00216478"/>
    <w:rsid w:val="00216727"/>
    <w:rsid w:val="00216B8E"/>
    <w:rsid w:val="00216BF5"/>
    <w:rsid w:val="0021712A"/>
    <w:rsid w:val="00217316"/>
    <w:rsid w:val="002174D3"/>
    <w:rsid w:val="00217659"/>
    <w:rsid w:val="002179F5"/>
    <w:rsid w:val="00217A61"/>
    <w:rsid w:val="00217DF8"/>
    <w:rsid w:val="00220075"/>
    <w:rsid w:val="00220A39"/>
    <w:rsid w:val="00220BC5"/>
    <w:rsid w:val="00220DAF"/>
    <w:rsid w:val="00220ECC"/>
    <w:rsid w:val="00220F46"/>
    <w:rsid w:val="00220F59"/>
    <w:rsid w:val="00221A1E"/>
    <w:rsid w:val="00221F8C"/>
    <w:rsid w:val="002220BA"/>
    <w:rsid w:val="00222289"/>
    <w:rsid w:val="00222352"/>
    <w:rsid w:val="0022248F"/>
    <w:rsid w:val="00222556"/>
    <w:rsid w:val="002225AE"/>
    <w:rsid w:val="002232CB"/>
    <w:rsid w:val="002232CC"/>
    <w:rsid w:val="00223657"/>
    <w:rsid w:val="00223683"/>
    <w:rsid w:val="002237FC"/>
    <w:rsid w:val="00223B49"/>
    <w:rsid w:val="00223D5A"/>
    <w:rsid w:val="00223E59"/>
    <w:rsid w:val="00223F58"/>
    <w:rsid w:val="00223FFB"/>
    <w:rsid w:val="002240B2"/>
    <w:rsid w:val="00224178"/>
    <w:rsid w:val="0022418E"/>
    <w:rsid w:val="00224399"/>
    <w:rsid w:val="0022473C"/>
    <w:rsid w:val="002247FA"/>
    <w:rsid w:val="00224C33"/>
    <w:rsid w:val="00224D6C"/>
    <w:rsid w:val="00224DD4"/>
    <w:rsid w:val="00225065"/>
    <w:rsid w:val="002252F6"/>
    <w:rsid w:val="00225522"/>
    <w:rsid w:val="00225637"/>
    <w:rsid w:val="00225993"/>
    <w:rsid w:val="00225D36"/>
    <w:rsid w:val="00226063"/>
    <w:rsid w:val="00226200"/>
    <w:rsid w:val="00226558"/>
    <w:rsid w:val="00226998"/>
    <w:rsid w:val="00226B82"/>
    <w:rsid w:val="002276DB"/>
    <w:rsid w:val="002278A0"/>
    <w:rsid w:val="00227ED2"/>
    <w:rsid w:val="00227F78"/>
    <w:rsid w:val="0023006F"/>
    <w:rsid w:val="0023010A"/>
    <w:rsid w:val="00230411"/>
    <w:rsid w:val="0023047E"/>
    <w:rsid w:val="002305E6"/>
    <w:rsid w:val="0023072E"/>
    <w:rsid w:val="002308E4"/>
    <w:rsid w:val="002309CC"/>
    <w:rsid w:val="00230E72"/>
    <w:rsid w:val="0023116C"/>
    <w:rsid w:val="00231715"/>
    <w:rsid w:val="00231752"/>
    <w:rsid w:val="00231956"/>
    <w:rsid w:val="00231A4E"/>
    <w:rsid w:val="00231BA9"/>
    <w:rsid w:val="00231D37"/>
    <w:rsid w:val="00231E19"/>
    <w:rsid w:val="0023209F"/>
    <w:rsid w:val="0023219A"/>
    <w:rsid w:val="002321B4"/>
    <w:rsid w:val="00232324"/>
    <w:rsid w:val="002326A4"/>
    <w:rsid w:val="002327DD"/>
    <w:rsid w:val="00232B64"/>
    <w:rsid w:val="00232D5A"/>
    <w:rsid w:val="00232F6E"/>
    <w:rsid w:val="00233020"/>
    <w:rsid w:val="0023351D"/>
    <w:rsid w:val="002339C3"/>
    <w:rsid w:val="00233C01"/>
    <w:rsid w:val="00233C1F"/>
    <w:rsid w:val="00233C95"/>
    <w:rsid w:val="00233F44"/>
    <w:rsid w:val="0023412D"/>
    <w:rsid w:val="0023413C"/>
    <w:rsid w:val="002346F0"/>
    <w:rsid w:val="0023478D"/>
    <w:rsid w:val="00234AE0"/>
    <w:rsid w:val="00234C39"/>
    <w:rsid w:val="00234D98"/>
    <w:rsid w:val="00234E34"/>
    <w:rsid w:val="00235169"/>
    <w:rsid w:val="002352BC"/>
    <w:rsid w:val="00235392"/>
    <w:rsid w:val="0023554C"/>
    <w:rsid w:val="002355C1"/>
    <w:rsid w:val="00236127"/>
    <w:rsid w:val="0023629D"/>
    <w:rsid w:val="0023691A"/>
    <w:rsid w:val="002370E4"/>
    <w:rsid w:val="00237255"/>
    <w:rsid w:val="00237586"/>
    <w:rsid w:val="002378D9"/>
    <w:rsid w:val="00237AA8"/>
    <w:rsid w:val="0024027A"/>
    <w:rsid w:val="0024043B"/>
    <w:rsid w:val="002405CA"/>
    <w:rsid w:val="00240D6A"/>
    <w:rsid w:val="00240E08"/>
    <w:rsid w:val="002411E8"/>
    <w:rsid w:val="002413CD"/>
    <w:rsid w:val="00241492"/>
    <w:rsid w:val="0024176C"/>
    <w:rsid w:val="00241CAB"/>
    <w:rsid w:val="00241E4E"/>
    <w:rsid w:val="00241F48"/>
    <w:rsid w:val="0024241F"/>
    <w:rsid w:val="002424AF"/>
    <w:rsid w:val="002425DA"/>
    <w:rsid w:val="002427C3"/>
    <w:rsid w:val="0024288E"/>
    <w:rsid w:val="00242AB6"/>
    <w:rsid w:val="00242CAD"/>
    <w:rsid w:val="00243506"/>
    <w:rsid w:val="002436CB"/>
    <w:rsid w:val="002438FA"/>
    <w:rsid w:val="0024397C"/>
    <w:rsid w:val="002439DC"/>
    <w:rsid w:val="00243A6E"/>
    <w:rsid w:val="00243DF6"/>
    <w:rsid w:val="002441D2"/>
    <w:rsid w:val="00244292"/>
    <w:rsid w:val="0024446B"/>
    <w:rsid w:val="002447C3"/>
    <w:rsid w:val="00244BB9"/>
    <w:rsid w:val="00244DC8"/>
    <w:rsid w:val="00244FD1"/>
    <w:rsid w:val="002458BA"/>
    <w:rsid w:val="00245983"/>
    <w:rsid w:val="00245CE9"/>
    <w:rsid w:val="00245E56"/>
    <w:rsid w:val="00245E9D"/>
    <w:rsid w:val="00245FA4"/>
    <w:rsid w:val="0024636C"/>
    <w:rsid w:val="0024655B"/>
    <w:rsid w:val="00246582"/>
    <w:rsid w:val="0024671C"/>
    <w:rsid w:val="002469A4"/>
    <w:rsid w:val="00246E75"/>
    <w:rsid w:val="002471BA"/>
    <w:rsid w:val="002471FA"/>
    <w:rsid w:val="00247472"/>
    <w:rsid w:val="0024747A"/>
    <w:rsid w:val="00247925"/>
    <w:rsid w:val="0025002E"/>
    <w:rsid w:val="00250AF3"/>
    <w:rsid w:val="00250CB1"/>
    <w:rsid w:val="00251006"/>
    <w:rsid w:val="00251354"/>
    <w:rsid w:val="00251443"/>
    <w:rsid w:val="002514F1"/>
    <w:rsid w:val="002517EC"/>
    <w:rsid w:val="00251BCE"/>
    <w:rsid w:val="0025231F"/>
    <w:rsid w:val="002524D5"/>
    <w:rsid w:val="00252540"/>
    <w:rsid w:val="00252810"/>
    <w:rsid w:val="0025287D"/>
    <w:rsid w:val="00252A2E"/>
    <w:rsid w:val="00252D20"/>
    <w:rsid w:val="002537FE"/>
    <w:rsid w:val="002538F4"/>
    <w:rsid w:val="00253B1D"/>
    <w:rsid w:val="00254070"/>
    <w:rsid w:val="00254500"/>
    <w:rsid w:val="00254AFA"/>
    <w:rsid w:val="00254DCF"/>
    <w:rsid w:val="00254FEB"/>
    <w:rsid w:val="0025534B"/>
    <w:rsid w:val="00255712"/>
    <w:rsid w:val="0025573F"/>
    <w:rsid w:val="00255BB7"/>
    <w:rsid w:val="00255E3F"/>
    <w:rsid w:val="002564D3"/>
    <w:rsid w:val="002566E3"/>
    <w:rsid w:val="002568DE"/>
    <w:rsid w:val="002569FA"/>
    <w:rsid w:val="00256E40"/>
    <w:rsid w:val="002572BE"/>
    <w:rsid w:val="00257541"/>
    <w:rsid w:val="002578BC"/>
    <w:rsid w:val="0025798C"/>
    <w:rsid w:val="00257A26"/>
    <w:rsid w:val="00257A39"/>
    <w:rsid w:val="00257AC4"/>
    <w:rsid w:val="00257BBE"/>
    <w:rsid w:val="00257F4D"/>
    <w:rsid w:val="00260534"/>
    <w:rsid w:val="0026151C"/>
    <w:rsid w:val="00261801"/>
    <w:rsid w:val="00261A87"/>
    <w:rsid w:val="00261AB4"/>
    <w:rsid w:val="00261CE6"/>
    <w:rsid w:val="00261EEF"/>
    <w:rsid w:val="00262219"/>
    <w:rsid w:val="0026251E"/>
    <w:rsid w:val="00262635"/>
    <w:rsid w:val="0026275F"/>
    <w:rsid w:val="0026294A"/>
    <w:rsid w:val="002629B2"/>
    <w:rsid w:val="00262A1A"/>
    <w:rsid w:val="00262A87"/>
    <w:rsid w:val="00262C03"/>
    <w:rsid w:val="00262EDF"/>
    <w:rsid w:val="00262F86"/>
    <w:rsid w:val="002630A0"/>
    <w:rsid w:val="00263155"/>
    <w:rsid w:val="00263166"/>
    <w:rsid w:val="0026324D"/>
    <w:rsid w:val="0026336F"/>
    <w:rsid w:val="00263803"/>
    <w:rsid w:val="00263C0D"/>
    <w:rsid w:val="00263C41"/>
    <w:rsid w:val="00263F5E"/>
    <w:rsid w:val="002642CB"/>
    <w:rsid w:val="00264371"/>
    <w:rsid w:val="002645FF"/>
    <w:rsid w:val="00264D26"/>
    <w:rsid w:val="00264F9B"/>
    <w:rsid w:val="002650E3"/>
    <w:rsid w:val="002650FF"/>
    <w:rsid w:val="0026539B"/>
    <w:rsid w:val="002653A3"/>
    <w:rsid w:val="00265F5A"/>
    <w:rsid w:val="00265FAE"/>
    <w:rsid w:val="00266105"/>
    <w:rsid w:val="00266390"/>
    <w:rsid w:val="0026655A"/>
    <w:rsid w:val="00266886"/>
    <w:rsid w:val="00266AC9"/>
    <w:rsid w:val="00266C23"/>
    <w:rsid w:val="002670D2"/>
    <w:rsid w:val="0026736C"/>
    <w:rsid w:val="00267642"/>
    <w:rsid w:val="0026783B"/>
    <w:rsid w:val="0026794D"/>
    <w:rsid w:val="00267AEA"/>
    <w:rsid w:val="00267C81"/>
    <w:rsid w:val="00267F53"/>
    <w:rsid w:val="00267F7B"/>
    <w:rsid w:val="002700E6"/>
    <w:rsid w:val="00270200"/>
    <w:rsid w:val="00270459"/>
    <w:rsid w:val="00270467"/>
    <w:rsid w:val="00270A36"/>
    <w:rsid w:val="00270F01"/>
    <w:rsid w:val="0027114F"/>
    <w:rsid w:val="002711BD"/>
    <w:rsid w:val="002714FE"/>
    <w:rsid w:val="002719C8"/>
    <w:rsid w:val="00271A07"/>
    <w:rsid w:val="00271B13"/>
    <w:rsid w:val="00271B8F"/>
    <w:rsid w:val="00271C44"/>
    <w:rsid w:val="00271CC1"/>
    <w:rsid w:val="0027203C"/>
    <w:rsid w:val="00272351"/>
    <w:rsid w:val="002724F7"/>
    <w:rsid w:val="00272557"/>
    <w:rsid w:val="00272859"/>
    <w:rsid w:val="0027294B"/>
    <w:rsid w:val="00272B91"/>
    <w:rsid w:val="00272D72"/>
    <w:rsid w:val="00273034"/>
    <w:rsid w:val="00273123"/>
    <w:rsid w:val="00273544"/>
    <w:rsid w:val="00273CC7"/>
    <w:rsid w:val="00273E0A"/>
    <w:rsid w:val="00273EB4"/>
    <w:rsid w:val="00274041"/>
    <w:rsid w:val="00274186"/>
    <w:rsid w:val="00274248"/>
    <w:rsid w:val="0027440B"/>
    <w:rsid w:val="00274549"/>
    <w:rsid w:val="00274605"/>
    <w:rsid w:val="0027467F"/>
    <w:rsid w:val="00274682"/>
    <w:rsid w:val="00274777"/>
    <w:rsid w:val="00274D7A"/>
    <w:rsid w:val="00274F6F"/>
    <w:rsid w:val="0027500B"/>
    <w:rsid w:val="00275071"/>
    <w:rsid w:val="00275158"/>
    <w:rsid w:val="002754FB"/>
    <w:rsid w:val="00275720"/>
    <w:rsid w:val="00275848"/>
    <w:rsid w:val="0027585B"/>
    <w:rsid w:val="00275A3B"/>
    <w:rsid w:val="00275C5A"/>
    <w:rsid w:val="00275E04"/>
    <w:rsid w:val="00276483"/>
    <w:rsid w:val="002771D4"/>
    <w:rsid w:val="002773D7"/>
    <w:rsid w:val="00277407"/>
    <w:rsid w:val="0027750F"/>
    <w:rsid w:val="00277DF6"/>
    <w:rsid w:val="00277E90"/>
    <w:rsid w:val="00277EDC"/>
    <w:rsid w:val="00277EDE"/>
    <w:rsid w:val="00277F46"/>
    <w:rsid w:val="00280770"/>
    <w:rsid w:val="0028093D"/>
    <w:rsid w:val="002809AF"/>
    <w:rsid w:val="00280B65"/>
    <w:rsid w:val="00281014"/>
    <w:rsid w:val="0028107A"/>
    <w:rsid w:val="00281326"/>
    <w:rsid w:val="002816AB"/>
    <w:rsid w:val="002817A7"/>
    <w:rsid w:val="0028190B"/>
    <w:rsid w:val="00281C8A"/>
    <w:rsid w:val="00281CA6"/>
    <w:rsid w:val="002820AF"/>
    <w:rsid w:val="00282297"/>
    <w:rsid w:val="00282392"/>
    <w:rsid w:val="00282451"/>
    <w:rsid w:val="00282513"/>
    <w:rsid w:val="00282E5D"/>
    <w:rsid w:val="002830FB"/>
    <w:rsid w:val="0028353C"/>
    <w:rsid w:val="002836BB"/>
    <w:rsid w:val="002842EA"/>
    <w:rsid w:val="0028495A"/>
    <w:rsid w:val="00284BD3"/>
    <w:rsid w:val="00284F31"/>
    <w:rsid w:val="00285222"/>
    <w:rsid w:val="0028572B"/>
    <w:rsid w:val="00285A5D"/>
    <w:rsid w:val="00285BCE"/>
    <w:rsid w:val="00285D2B"/>
    <w:rsid w:val="00285D6D"/>
    <w:rsid w:val="00285E7A"/>
    <w:rsid w:val="00286079"/>
    <w:rsid w:val="0028665D"/>
    <w:rsid w:val="00286CA5"/>
    <w:rsid w:val="00286DDC"/>
    <w:rsid w:val="00286EE7"/>
    <w:rsid w:val="002873FA"/>
    <w:rsid w:val="002876E2"/>
    <w:rsid w:val="00287710"/>
    <w:rsid w:val="00287955"/>
    <w:rsid w:val="00287B04"/>
    <w:rsid w:val="00287C10"/>
    <w:rsid w:val="00287FAD"/>
    <w:rsid w:val="00290165"/>
    <w:rsid w:val="00290206"/>
    <w:rsid w:val="00290CD3"/>
    <w:rsid w:val="00290F2E"/>
    <w:rsid w:val="0029101E"/>
    <w:rsid w:val="00291165"/>
    <w:rsid w:val="002914CC"/>
    <w:rsid w:val="00291D99"/>
    <w:rsid w:val="00291E0A"/>
    <w:rsid w:val="00291F73"/>
    <w:rsid w:val="002923FC"/>
    <w:rsid w:val="0029256F"/>
    <w:rsid w:val="00292769"/>
    <w:rsid w:val="0029278F"/>
    <w:rsid w:val="002928B2"/>
    <w:rsid w:val="00293328"/>
    <w:rsid w:val="002937BF"/>
    <w:rsid w:val="00293C60"/>
    <w:rsid w:val="00294AE8"/>
    <w:rsid w:val="00294DB5"/>
    <w:rsid w:val="00294E35"/>
    <w:rsid w:val="0029526C"/>
    <w:rsid w:val="0029532C"/>
    <w:rsid w:val="00295877"/>
    <w:rsid w:val="0029595E"/>
    <w:rsid w:val="002959C2"/>
    <w:rsid w:val="00295B83"/>
    <w:rsid w:val="00295E7C"/>
    <w:rsid w:val="00296332"/>
    <w:rsid w:val="0029701E"/>
    <w:rsid w:val="002970ED"/>
    <w:rsid w:val="0029723B"/>
    <w:rsid w:val="00297483"/>
    <w:rsid w:val="00297549"/>
    <w:rsid w:val="0029797B"/>
    <w:rsid w:val="00297A6E"/>
    <w:rsid w:val="002A02DA"/>
    <w:rsid w:val="002A0553"/>
    <w:rsid w:val="002A064F"/>
    <w:rsid w:val="002A14AB"/>
    <w:rsid w:val="002A163D"/>
    <w:rsid w:val="002A17F0"/>
    <w:rsid w:val="002A1A4D"/>
    <w:rsid w:val="002A1B07"/>
    <w:rsid w:val="002A1B5D"/>
    <w:rsid w:val="002A1BA3"/>
    <w:rsid w:val="002A1F72"/>
    <w:rsid w:val="002A2232"/>
    <w:rsid w:val="002A2ADE"/>
    <w:rsid w:val="002A2F50"/>
    <w:rsid w:val="002A3147"/>
    <w:rsid w:val="002A316E"/>
    <w:rsid w:val="002A3476"/>
    <w:rsid w:val="002A362A"/>
    <w:rsid w:val="002A372C"/>
    <w:rsid w:val="002A377D"/>
    <w:rsid w:val="002A3ADD"/>
    <w:rsid w:val="002A3B46"/>
    <w:rsid w:val="002A418C"/>
    <w:rsid w:val="002A4301"/>
    <w:rsid w:val="002A455D"/>
    <w:rsid w:val="002A4615"/>
    <w:rsid w:val="002A4F52"/>
    <w:rsid w:val="002A4FA6"/>
    <w:rsid w:val="002A500C"/>
    <w:rsid w:val="002A50B2"/>
    <w:rsid w:val="002A56C0"/>
    <w:rsid w:val="002A5B03"/>
    <w:rsid w:val="002A5D5D"/>
    <w:rsid w:val="002A5E91"/>
    <w:rsid w:val="002A5EB5"/>
    <w:rsid w:val="002A623B"/>
    <w:rsid w:val="002A6341"/>
    <w:rsid w:val="002A6507"/>
    <w:rsid w:val="002A6579"/>
    <w:rsid w:val="002A6913"/>
    <w:rsid w:val="002A6B5E"/>
    <w:rsid w:val="002A6BBB"/>
    <w:rsid w:val="002A6DC7"/>
    <w:rsid w:val="002A6DD8"/>
    <w:rsid w:val="002A7687"/>
    <w:rsid w:val="002A7943"/>
    <w:rsid w:val="002A7C65"/>
    <w:rsid w:val="002A7F64"/>
    <w:rsid w:val="002B0422"/>
    <w:rsid w:val="002B0568"/>
    <w:rsid w:val="002B05A1"/>
    <w:rsid w:val="002B072E"/>
    <w:rsid w:val="002B09A4"/>
    <w:rsid w:val="002B0D55"/>
    <w:rsid w:val="002B0D5D"/>
    <w:rsid w:val="002B1423"/>
    <w:rsid w:val="002B17A9"/>
    <w:rsid w:val="002B1ADC"/>
    <w:rsid w:val="002B1C1F"/>
    <w:rsid w:val="002B1C30"/>
    <w:rsid w:val="002B1C7E"/>
    <w:rsid w:val="002B1C89"/>
    <w:rsid w:val="002B1CC5"/>
    <w:rsid w:val="002B1D46"/>
    <w:rsid w:val="002B1D6A"/>
    <w:rsid w:val="002B1EDD"/>
    <w:rsid w:val="002B1EF3"/>
    <w:rsid w:val="002B1FB8"/>
    <w:rsid w:val="002B20AA"/>
    <w:rsid w:val="002B2283"/>
    <w:rsid w:val="002B23CC"/>
    <w:rsid w:val="002B27CB"/>
    <w:rsid w:val="002B27D3"/>
    <w:rsid w:val="002B2E36"/>
    <w:rsid w:val="002B2F81"/>
    <w:rsid w:val="002B3064"/>
    <w:rsid w:val="002B30FA"/>
    <w:rsid w:val="002B311E"/>
    <w:rsid w:val="002B32B6"/>
    <w:rsid w:val="002B33B7"/>
    <w:rsid w:val="002B3423"/>
    <w:rsid w:val="002B377F"/>
    <w:rsid w:val="002B379E"/>
    <w:rsid w:val="002B37C0"/>
    <w:rsid w:val="002B3A25"/>
    <w:rsid w:val="002B3C92"/>
    <w:rsid w:val="002B3F2C"/>
    <w:rsid w:val="002B432F"/>
    <w:rsid w:val="002B43B5"/>
    <w:rsid w:val="002B46B3"/>
    <w:rsid w:val="002B489F"/>
    <w:rsid w:val="002B4B5C"/>
    <w:rsid w:val="002B4ED3"/>
    <w:rsid w:val="002B515B"/>
    <w:rsid w:val="002B51E6"/>
    <w:rsid w:val="002B5282"/>
    <w:rsid w:val="002B529F"/>
    <w:rsid w:val="002B5412"/>
    <w:rsid w:val="002B55DF"/>
    <w:rsid w:val="002B5DD4"/>
    <w:rsid w:val="002B62B3"/>
    <w:rsid w:val="002B6754"/>
    <w:rsid w:val="002B6846"/>
    <w:rsid w:val="002B6CCE"/>
    <w:rsid w:val="002B6F4A"/>
    <w:rsid w:val="002B70CA"/>
    <w:rsid w:val="002B74C1"/>
    <w:rsid w:val="002B75A8"/>
    <w:rsid w:val="002B7982"/>
    <w:rsid w:val="002B7A1D"/>
    <w:rsid w:val="002B7E4E"/>
    <w:rsid w:val="002B7E79"/>
    <w:rsid w:val="002C02B5"/>
    <w:rsid w:val="002C0301"/>
    <w:rsid w:val="002C04E0"/>
    <w:rsid w:val="002C04FF"/>
    <w:rsid w:val="002C0701"/>
    <w:rsid w:val="002C07B7"/>
    <w:rsid w:val="002C0801"/>
    <w:rsid w:val="002C096F"/>
    <w:rsid w:val="002C0C98"/>
    <w:rsid w:val="002C0EE5"/>
    <w:rsid w:val="002C1545"/>
    <w:rsid w:val="002C16DE"/>
    <w:rsid w:val="002C17B2"/>
    <w:rsid w:val="002C197A"/>
    <w:rsid w:val="002C1E9B"/>
    <w:rsid w:val="002C2010"/>
    <w:rsid w:val="002C2228"/>
    <w:rsid w:val="002C2510"/>
    <w:rsid w:val="002C2775"/>
    <w:rsid w:val="002C27C1"/>
    <w:rsid w:val="002C281C"/>
    <w:rsid w:val="002C28C2"/>
    <w:rsid w:val="002C2B85"/>
    <w:rsid w:val="002C2C51"/>
    <w:rsid w:val="002C2D5B"/>
    <w:rsid w:val="002C2F9E"/>
    <w:rsid w:val="002C3167"/>
    <w:rsid w:val="002C36E3"/>
    <w:rsid w:val="002C3884"/>
    <w:rsid w:val="002C3A49"/>
    <w:rsid w:val="002C3C38"/>
    <w:rsid w:val="002C3C9A"/>
    <w:rsid w:val="002C3F29"/>
    <w:rsid w:val="002C4139"/>
    <w:rsid w:val="002C421A"/>
    <w:rsid w:val="002C488F"/>
    <w:rsid w:val="002C4D3A"/>
    <w:rsid w:val="002C4E57"/>
    <w:rsid w:val="002C4F0C"/>
    <w:rsid w:val="002C5062"/>
    <w:rsid w:val="002C5092"/>
    <w:rsid w:val="002C5099"/>
    <w:rsid w:val="002C57CB"/>
    <w:rsid w:val="002C5849"/>
    <w:rsid w:val="002C5889"/>
    <w:rsid w:val="002C5896"/>
    <w:rsid w:val="002C5DE1"/>
    <w:rsid w:val="002C6243"/>
    <w:rsid w:val="002C67B9"/>
    <w:rsid w:val="002C6CA5"/>
    <w:rsid w:val="002C71CE"/>
    <w:rsid w:val="002C75DE"/>
    <w:rsid w:val="002C77C2"/>
    <w:rsid w:val="002C786B"/>
    <w:rsid w:val="002C78EF"/>
    <w:rsid w:val="002C7E2C"/>
    <w:rsid w:val="002C7F9A"/>
    <w:rsid w:val="002D0566"/>
    <w:rsid w:val="002D07C2"/>
    <w:rsid w:val="002D08F8"/>
    <w:rsid w:val="002D0DD4"/>
    <w:rsid w:val="002D13BA"/>
    <w:rsid w:val="002D14FA"/>
    <w:rsid w:val="002D1AB8"/>
    <w:rsid w:val="002D1E25"/>
    <w:rsid w:val="002D1F42"/>
    <w:rsid w:val="002D1F70"/>
    <w:rsid w:val="002D2181"/>
    <w:rsid w:val="002D2596"/>
    <w:rsid w:val="002D275A"/>
    <w:rsid w:val="002D2861"/>
    <w:rsid w:val="002D29E2"/>
    <w:rsid w:val="002D2DA5"/>
    <w:rsid w:val="002D3236"/>
    <w:rsid w:val="002D32E3"/>
    <w:rsid w:val="002D3739"/>
    <w:rsid w:val="002D3CDC"/>
    <w:rsid w:val="002D3CF4"/>
    <w:rsid w:val="002D3DA8"/>
    <w:rsid w:val="002D3DFC"/>
    <w:rsid w:val="002D40E2"/>
    <w:rsid w:val="002D4395"/>
    <w:rsid w:val="002D487C"/>
    <w:rsid w:val="002D4967"/>
    <w:rsid w:val="002D4B3A"/>
    <w:rsid w:val="002D4FEC"/>
    <w:rsid w:val="002D5333"/>
    <w:rsid w:val="002D538A"/>
    <w:rsid w:val="002D53DB"/>
    <w:rsid w:val="002D54C7"/>
    <w:rsid w:val="002D570D"/>
    <w:rsid w:val="002D577C"/>
    <w:rsid w:val="002D598E"/>
    <w:rsid w:val="002D5F47"/>
    <w:rsid w:val="002D64C2"/>
    <w:rsid w:val="002D6557"/>
    <w:rsid w:val="002D689C"/>
    <w:rsid w:val="002D6A78"/>
    <w:rsid w:val="002D6B6B"/>
    <w:rsid w:val="002D6C6F"/>
    <w:rsid w:val="002D6CB0"/>
    <w:rsid w:val="002D6D75"/>
    <w:rsid w:val="002D7213"/>
    <w:rsid w:val="002D735B"/>
    <w:rsid w:val="002D7392"/>
    <w:rsid w:val="002D7652"/>
    <w:rsid w:val="002D7832"/>
    <w:rsid w:val="002D7E62"/>
    <w:rsid w:val="002E00D4"/>
    <w:rsid w:val="002E014A"/>
    <w:rsid w:val="002E05AD"/>
    <w:rsid w:val="002E0A4F"/>
    <w:rsid w:val="002E0D90"/>
    <w:rsid w:val="002E1071"/>
    <w:rsid w:val="002E14A4"/>
    <w:rsid w:val="002E15B9"/>
    <w:rsid w:val="002E18E7"/>
    <w:rsid w:val="002E1B17"/>
    <w:rsid w:val="002E1E59"/>
    <w:rsid w:val="002E2158"/>
    <w:rsid w:val="002E216C"/>
    <w:rsid w:val="002E2239"/>
    <w:rsid w:val="002E2E17"/>
    <w:rsid w:val="002E3045"/>
    <w:rsid w:val="002E319E"/>
    <w:rsid w:val="002E3229"/>
    <w:rsid w:val="002E3278"/>
    <w:rsid w:val="002E3360"/>
    <w:rsid w:val="002E3799"/>
    <w:rsid w:val="002E386A"/>
    <w:rsid w:val="002E3965"/>
    <w:rsid w:val="002E398F"/>
    <w:rsid w:val="002E3FE6"/>
    <w:rsid w:val="002E426C"/>
    <w:rsid w:val="002E4325"/>
    <w:rsid w:val="002E4392"/>
    <w:rsid w:val="002E43C4"/>
    <w:rsid w:val="002E4721"/>
    <w:rsid w:val="002E4A9B"/>
    <w:rsid w:val="002E4DF7"/>
    <w:rsid w:val="002E4F02"/>
    <w:rsid w:val="002E5260"/>
    <w:rsid w:val="002E55F3"/>
    <w:rsid w:val="002E564E"/>
    <w:rsid w:val="002E5701"/>
    <w:rsid w:val="002E5746"/>
    <w:rsid w:val="002E57DC"/>
    <w:rsid w:val="002E585D"/>
    <w:rsid w:val="002E59F6"/>
    <w:rsid w:val="002E5D56"/>
    <w:rsid w:val="002E5E0B"/>
    <w:rsid w:val="002E602E"/>
    <w:rsid w:val="002E6040"/>
    <w:rsid w:val="002E6261"/>
    <w:rsid w:val="002E62A4"/>
    <w:rsid w:val="002E6809"/>
    <w:rsid w:val="002E6983"/>
    <w:rsid w:val="002E6986"/>
    <w:rsid w:val="002E69C4"/>
    <w:rsid w:val="002E6B35"/>
    <w:rsid w:val="002E7283"/>
    <w:rsid w:val="002E72C6"/>
    <w:rsid w:val="002E7553"/>
    <w:rsid w:val="002E7722"/>
    <w:rsid w:val="002E7804"/>
    <w:rsid w:val="002E7CA9"/>
    <w:rsid w:val="002F04B4"/>
    <w:rsid w:val="002F07BA"/>
    <w:rsid w:val="002F08F4"/>
    <w:rsid w:val="002F0AF7"/>
    <w:rsid w:val="002F0DA9"/>
    <w:rsid w:val="002F1004"/>
    <w:rsid w:val="002F1014"/>
    <w:rsid w:val="002F18EE"/>
    <w:rsid w:val="002F1A07"/>
    <w:rsid w:val="002F1E3B"/>
    <w:rsid w:val="002F277E"/>
    <w:rsid w:val="002F2C06"/>
    <w:rsid w:val="002F31AA"/>
    <w:rsid w:val="002F332C"/>
    <w:rsid w:val="002F3984"/>
    <w:rsid w:val="002F3AA1"/>
    <w:rsid w:val="002F3C7F"/>
    <w:rsid w:val="002F415D"/>
    <w:rsid w:val="002F4209"/>
    <w:rsid w:val="002F45FC"/>
    <w:rsid w:val="002F4CBD"/>
    <w:rsid w:val="002F4F17"/>
    <w:rsid w:val="002F522C"/>
    <w:rsid w:val="002F63B8"/>
    <w:rsid w:val="002F643C"/>
    <w:rsid w:val="002F6529"/>
    <w:rsid w:val="002F6836"/>
    <w:rsid w:val="002F6F1E"/>
    <w:rsid w:val="002F718F"/>
    <w:rsid w:val="002F71C0"/>
    <w:rsid w:val="002F720A"/>
    <w:rsid w:val="002F731F"/>
    <w:rsid w:val="002F74C8"/>
    <w:rsid w:val="002F74F1"/>
    <w:rsid w:val="002F78AB"/>
    <w:rsid w:val="003006C4"/>
    <w:rsid w:val="00300CA5"/>
    <w:rsid w:val="00301017"/>
    <w:rsid w:val="003010F7"/>
    <w:rsid w:val="0030155F"/>
    <w:rsid w:val="0030156E"/>
    <w:rsid w:val="003017C7"/>
    <w:rsid w:val="00301A8A"/>
    <w:rsid w:val="00301AE4"/>
    <w:rsid w:val="00302C31"/>
    <w:rsid w:val="00302E74"/>
    <w:rsid w:val="00302F6A"/>
    <w:rsid w:val="003032AF"/>
    <w:rsid w:val="003033D4"/>
    <w:rsid w:val="0030345E"/>
    <w:rsid w:val="00303930"/>
    <w:rsid w:val="00303B96"/>
    <w:rsid w:val="0030414F"/>
    <w:rsid w:val="0030421F"/>
    <w:rsid w:val="003042A1"/>
    <w:rsid w:val="003049B1"/>
    <w:rsid w:val="00304BC9"/>
    <w:rsid w:val="00304DFD"/>
    <w:rsid w:val="00305019"/>
    <w:rsid w:val="003053DB"/>
    <w:rsid w:val="003054B8"/>
    <w:rsid w:val="003054DD"/>
    <w:rsid w:val="0030587B"/>
    <w:rsid w:val="003060A9"/>
    <w:rsid w:val="003063F4"/>
    <w:rsid w:val="0030693B"/>
    <w:rsid w:val="00306D98"/>
    <w:rsid w:val="00306DA3"/>
    <w:rsid w:val="00307639"/>
    <w:rsid w:val="0030786C"/>
    <w:rsid w:val="003079F7"/>
    <w:rsid w:val="003100E7"/>
    <w:rsid w:val="003102CF"/>
    <w:rsid w:val="0031031A"/>
    <w:rsid w:val="0031033E"/>
    <w:rsid w:val="00310456"/>
    <w:rsid w:val="00310981"/>
    <w:rsid w:val="00310E40"/>
    <w:rsid w:val="003114DB"/>
    <w:rsid w:val="00311AB3"/>
    <w:rsid w:val="00311D9B"/>
    <w:rsid w:val="00311DD7"/>
    <w:rsid w:val="003124D9"/>
    <w:rsid w:val="00312594"/>
    <w:rsid w:val="003127E4"/>
    <w:rsid w:val="00312B84"/>
    <w:rsid w:val="00312DC6"/>
    <w:rsid w:val="00313314"/>
    <w:rsid w:val="0031339C"/>
    <w:rsid w:val="003134D7"/>
    <w:rsid w:val="0031395A"/>
    <w:rsid w:val="00313966"/>
    <w:rsid w:val="00313B7C"/>
    <w:rsid w:val="00313BCF"/>
    <w:rsid w:val="00313C06"/>
    <w:rsid w:val="00313CA5"/>
    <w:rsid w:val="0031440E"/>
    <w:rsid w:val="0031464A"/>
    <w:rsid w:val="0031488D"/>
    <w:rsid w:val="00314A4B"/>
    <w:rsid w:val="00315498"/>
    <w:rsid w:val="00315784"/>
    <w:rsid w:val="003157A2"/>
    <w:rsid w:val="00315ACE"/>
    <w:rsid w:val="00315CE9"/>
    <w:rsid w:val="00315D23"/>
    <w:rsid w:val="00315D94"/>
    <w:rsid w:val="00316131"/>
    <w:rsid w:val="0031613B"/>
    <w:rsid w:val="003163B2"/>
    <w:rsid w:val="00316474"/>
    <w:rsid w:val="00316549"/>
    <w:rsid w:val="0031662A"/>
    <w:rsid w:val="00316841"/>
    <w:rsid w:val="00316948"/>
    <w:rsid w:val="0031697C"/>
    <w:rsid w:val="00316989"/>
    <w:rsid w:val="00316ED3"/>
    <w:rsid w:val="00316F14"/>
    <w:rsid w:val="003170F5"/>
    <w:rsid w:val="003172BD"/>
    <w:rsid w:val="00317407"/>
    <w:rsid w:val="00317956"/>
    <w:rsid w:val="0031799D"/>
    <w:rsid w:val="00317BBF"/>
    <w:rsid w:val="00317D67"/>
    <w:rsid w:val="00317DDF"/>
    <w:rsid w:val="003203EC"/>
    <w:rsid w:val="00320681"/>
    <w:rsid w:val="00320846"/>
    <w:rsid w:val="00320C67"/>
    <w:rsid w:val="0032116B"/>
    <w:rsid w:val="00321623"/>
    <w:rsid w:val="003219AD"/>
    <w:rsid w:val="00322107"/>
    <w:rsid w:val="003221B1"/>
    <w:rsid w:val="00322286"/>
    <w:rsid w:val="00322355"/>
    <w:rsid w:val="00322846"/>
    <w:rsid w:val="00322B7A"/>
    <w:rsid w:val="00322B83"/>
    <w:rsid w:val="00322DEC"/>
    <w:rsid w:val="00322E15"/>
    <w:rsid w:val="00322E91"/>
    <w:rsid w:val="00323234"/>
    <w:rsid w:val="00323565"/>
    <w:rsid w:val="00323CB4"/>
    <w:rsid w:val="00323CCE"/>
    <w:rsid w:val="00323FF1"/>
    <w:rsid w:val="00324180"/>
    <w:rsid w:val="003242E4"/>
    <w:rsid w:val="00324958"/>
    <w:rsid w:val="00324A03"/>
    <w:rsid w:val="00325198"/>
    <w:rsid w:val="0032552B"/>
    <w:rsid w:val="0032594F"/>
    <w:rsid w:val="00325A03"/>
    <w:rsid w:val="00325B61"/>
    <w:rsid w:val="003263FB"/>
    <w:rsid w:val="00326900"/>
    <w:rsid w:val="003269C2"/>
    <w:rsid w:val="00326B3F"/>
    <w:rsid w:val="00326DA7"/>
    <w:rsid w:val="00326F96"/>
    <w:rsid w:val="003270E4"/>
    <w:rsid w:val="0032749E"/>
    <w:rsid w:val="003274FA"/>
    <w:rsid w:val="003277A1"/>
    <w:rsid w:val="00327B26"/>
    <w:rsid w:val="00327DD9"/>
    <w:rsid w:val="00330369"/>
    <w:rsid w:val="0033037B"/>
    <w:rsid w:val="003306F7"/>
    <w:rsid w:val="00330A61"/>
    <w:rsid w:val="00330AED"/>
    <w:rsid w:val="00330B23"/>
    <w:rsid w:val="00330C9D"/>
    <w:rsid w:val="00330DAA"/>
    <w:rsid w:val="00330EDD"/>
    <w:rsid w:val="00330F5C"/>
    <w:rsid w:val="00331094"/>
    <w:rsid w:val="003310EE"/>
    <w:rsid w:val="00331330"/>
    <w:rsid w:val="0033181C"/>
    <w:rsid w:val="00331E25"/>
    <w:rsid w:val="0033216E"/>
    <w:rsid w:val="00332771"/>
    <w:rsid w:val="003329CB"/>
    <w:rsid w:val="00332C73"/>
    <w:rsid w:val="00332CA9"/>
    <w:rsid w:val="00332CDB"/>
    <w:rsid w:val="00332DA7"/>
    <w:rsid w:val="003330A2"/>
    <w:rsid w:val="00333117"/>
    <w:rsid w:val="003335F0"/>
    <w:rsid w:val="00333751"/>
    <w:rsid w:val="00333907"/>
    <w:rsid w:val="00333B1E"/>
    <w:rsid w:val="00333CF9"/>
    <w:rsid w:val="00333D00"/>
    <w:rsid w:val="00334069"/>
    <w:rsid w:val="003341AC"/>
    <w:rsid w:val="0033444F"/>
    <w:rsid w:val="00334529"/>
    <w:rsid w:val="003345A8"/>
    <w:rsid w:val="00334832"/>
    <w:rsid w:val="00334BC8"/>
    <w:rsid w:val="00334D38"/>
    <w:rsid w:val="003350D9"/>
    <w:rsid w:val="00335579"/>
    <w:rsid w:val="003356F2"/>
    <w:rsid w:val="0033576B"/>
    <w:rsid w:val="00335815"/>
    <w:rsid w:val="00335BD0"/>
    <w:rsid w:val="00335D47"/>
    <w:rsid w:val="00335F5A"/>
    <w:rsid w:val="003365BC"/>
    <w:rsid w:val="003365CA"/>
    <w:rsid w:val="003366C9"/>
    <w:rsid w:val="00336967"/>
    <w:rsid w:val="003369EF"/>
    <w:rsid w:val="00336B4A"/>
    <w:rsid w:val="00336EBD"/>
    <w:rsid w:val="003370A8"/>
    <w:rsid w:val="00337119"/>
    <w:rsid w:val="003371B0"/>
    <w:rsid w:val="0033747A"/>
    <w:rsid w:val="003375C5"/>
    <w:rsid w:val="0033766E"/>
    <w:rsid w:val="003378CE"/>
    <w:rsid w:val="003378FE"/>
    <w:rsid w:val="00337C3A"/>
    <w:rsid w:val="00337C51"/>
    <w:rsid w:val="00337FEA"/>
    <w:rsid w:val="003405C0"/>
    <w:rsid w:val="00340625"/>
    <w:rsid w:val="003408A4"/>
    <w:rsid w:val="00340DF1"/>
    <w:rsid w:val="00340E83"/>
    <w:rsid w:val="0034105B"/>
    <w:rsid w:val="0034160A"/>
    <w:rsid w:val="00341837"/>
    <w:rsid w:val="00341995"/>
    <w:rsid w:val="0034296C"/>
    <w:rsid w:val="00342A00"/>
    <w:rsid w:val="00342E50"/>
    <w:rsid w:val="00342FD1"/>
    <w:rsid w:val="0034319A"/>
    <w:rsid w:val="00343313"/>
    <w:rsid w:val="00343460"/>
    <w:rsid w:val="003434C6"/>
    <w:rsid w:val="00343743"/>
    <w:rsid w:val="0034375F"/>
    <w:rsid w:val="00343831"/>
    <w:rsid w:val="00343E9B"/>
    <w:rsid w:val="00344360"/>
    <w:rsid w:val="003443E1"/>
    <w:rsid w:val="00344612"/>
    <w:rsid w:val="0034472E"/>
    <w:rsid w:val="0034476D"/>
    <w:rsid w:val="00344C9C"/>
    <w:rsid w:val="00345041"/>
    <w:rsid w:val="003453C8"/>
    <w:rsid w:val="0034568E"/>
    <w:rsid w:val="0034594F"/>
    <w:rsid w:val="00345D45"/>
    <w:rsid w:val="00345DD0"/>
    <w:rsid w:val="00346385"/>
    <w:rsid w:val="003463DD"/>
    <w:rsid w:val="00346508"/>
    <w:rsid w:val="003467CD"/>
    <w:rsid w:val="00346BDD"/>
    <w:rsid w:val="00346C87"/>
    <w:rsid w:val="00346D61"/>
    <w:rsid w:val="00346DCD"/>
    <w:rsid w:val="00347021"/>
    <w:rsid w:val="003474C6"/>
    <w:rsid w:val="00347670"/>
    <w:rsid w:val="0034788B"/>
    <w:rsid w:val="00347CA5"/>
    <w:rsid w:val="00347D57"/>
    <w:rsid w:val="00347DB0"/>
    <w:rsid w:val="00350060"/>
    <w:rsid w:val="00350AA7"/>
    <w:rsid w:val="0035104C"/>
    <w:rsid w:val="003517F9"/>
    <w:rsid w:val="0035196B"/>
    <w:rsid w:val="00351AD9"/>
    <w:rsid w:val="00351BA9"/>
    <w:rsid w:val="00352060"/>
    <w:rsid w:val="00352321"/>
    <w:rsid w:val="003523F8"/>
    <w:rsid w:val="00352729"/>
    <w:rsid w:val="003528C9"/>
    <w:rsid w:val="003528F3"/>
    <w:rsid w:val="0035298E"/>
    <w:rsid w:val="00352A3C"/>
    <w:rsid w:val="00352CEF"/>
    <w:rsid w:val="00352D8D"/>
    <w:rsid w:val="00352F0B"/>
    <w:rsid w:val="00352FCA"/>
    <w:rsid w:val="003532E4"/>
    <w:rsid w:val="00353549"/>
    <w:rsid w:val="0035354C"/>
    <w:rsid w:val="00353CE0"/>
    <w:rsid w:val="00353CFD"/>
    <w:rsid w:val="003544C1"/>
    <w:rsid w:val="003544DD"/>
    <w:rsid w:val="00354762"/>
    <w:rsid w:val="00354781"/>
    <w:rsid w:val="00354808"/>
    <w:rsid w:val="00354F64"/>
    <w:rsid w:val="0035534F"/>
    <w:rsid w:val="00355928"/>
    <w:rsid w:val="00355937"/>
    <w:rsid w:val="003559A3"/>
    <w:rsid w:val="00355A88"/>
    <w:rsid w:val="00355B72"/>
    <w:rsid w:val="00355C6E"/>
    <w:rsid w:val="00355E3F"/>
    <w:rsid w:val="00355ED9"/>
    <w:rsid w:val="0035620E"/>
    <w:rsid w:val="00356BC8"/>
    <w:rsid w:val="00356E59"/>
    <w:rsid w:val="00356F2B"/>
    <w:rsid w:val="003573AE"/>
    <w:rsid w:val="003575BE"/>
    <w:rsid w:val="00357B46"/>
    <w:rsid w:val="00360345"/>
    <w:rsid w:val="003607A2"/>
    <w:rsid w:val="00360AA2"/>
    <w:rsid w:val="00360C66"/>
    <w:rsid w:val="00360D26"/>
    <w:rsid w:val="0036134F"/>
    <w:rsid w:val="00361390"/>
    <w:rsid w:val="003613FE"/>
    <w:rsid w:val="0036178E"/>
    <w:rsid w:val="00361A05"/>
    <w:rsid w:val="00361A79"/>
    <w:rsid w:val="00361B59"/>
    <w:rsid w:val="003624C4"/>
    <w:rsid w:val="00362979"/>
    <w:rsid w:val="00362B14"/>
    <w:rsid w:val="00362B9F"/>
    <w:rsid w:val="003635CF"/>
    <w:rsid w:val="003638A9"/>
    <w:rsid w:val="00363A37"/>
    <w:rsid w:val="00363B00"/>
    <w:rsid w:val="00363CC9"/>
    <w:rsid w:val="00364A20"/>
    <w:rsid w:val="0036517D"/>
    <w:rsid w:val="0036541B"/>
    <w:rsid w:val="003654AC"/>
    <w:rsid w:val="003655BB"/>
    <w:rsid w:val="00365B02"/>
    <w:rsid w:val="00365D28"/>
    <w:rsid w:val="00365E0A"/>
    <w:rsid w:val="00365E4E"/>
    <w:rsid w:val="00365E54"/>
    <w:rsid w:val="00365EDB"/>
    <w:rsid w:val="00366261"/>
    <w:rsid w:val="00366274"/>
    <w:rsid w:val="00366618"/>
    <w:rsid w:val="003666CD"/>
    <w:rsid w:val="003667C8"/>
    <w:rsid w:val="003669B1"/>
    <w:rsid w:val="00366B72"/>
    <w:rsid w:val="00366CF3"/>
    <w:rsid w:val="00366D50"/>
    <w:rsid w:val="00366DFD"/>
    <w:rsid w:val="00366F97"/>
    <w:rsid w:val="00367159"/>
    <w:rsid w:val="00367186"/>
    <w:rsid w:val="0036729A"/>
    <w:rsid w:val="00367349"/>
    <w:rsid w:val="00367355"/>
    <w:rsid w:val="00367423"/>
    <w:rsid w:val="00370A62"/>
    <w:rsid w:val="003710CF"/>
    <w:rsid w:val="00371B1E"/>
    <w:rsid w:val="00371B88"/>
    <w:rsid w:val="00371F94"/>
    <w:rsid w:val="003724DD"/>
    <w:rsid w:val="00372706"/>
    <w:rsid w:val="00372D66"/>
    <w:rsid w:val="00372F93"/>
    <w:rsid w:val="003730A9"/>
    <w:rsid w:val="003731F0"/>
    <w:rsid w:val="00373339"/>
    <w:rsid w:val="0037358A"/>
    <w:rsid w:val="00373713"/>
    <w:rsid w:val="00373776"/>
    <w:rsid w:val="003737F5"/>
    <w:rsid w:val="00373AA1"/>
    <w:rsid w:val="00373B2D"/>
    <w:rsid w:val="00373B9C"/>
    <w:rsid w:val="00373EE6"/>
    <w:rsid w:val="00373FCB"/>
    <w:rsid w:val="0037482C"/>
    <w:rsid w:val="00374904"/>
    <w:rsid w:val="0037501C"/>
    <w:rsid w:val="003750F6"/>
    <w:rsid w:val="00375116"/>
    <w:rsid w:val="003751B2"/>
    <w:rsid w:val="003756C1"/>
    <w:rsid w:val="00375B5C"/>
    <w:rsid w:val="00375BB0"/>
    <w:rsid w:val="00375BF5"/>
    <w:rsid w:val="00375DF3"/>
    <w:rsid w:val="00375F4D"/>
    <w:rsid w:val="003760FC"/>
    <w:rsid w:val="0037629E"/>
    <w:rsid w:val="003766E0"/>
    <w:rsid w:val="0037685F"/>
    <w:rsid w:val="00376F3E"/>
    <w:rsid w:val="003777E3"/>
    <w:rsid w:val="0037791A"/>
    <w:rsid w:val="00377BD5"/>
    <w:rsid w:val="00377F66"/>
    <w:rsid w:val="0038022A"/>
    <w:rsid w:val="0038053B"/>
    <w:rsid w:val="003809D6"/>
    <w:rsid w:val="00381005"/>
    <w:rsid w:val="003816D8"/>
    <w:rsid w:val="00381A8B"/>
    <w:rsid w:val="00381E33"/>
    <w:rsid w:val="00382561"/>
    <w:rsid w:val="00382825"/>
    <w:rsid w:val="003828D1"/>
    <w:rsid w:val="00382E25"/>
    <w:rsid w:val="00383111"/>
    <w:rsid w:val="0038333F"/>
    <w:rsid w:val="0038365C"/>
    <w:rsid w:val="0038369B"/>
    <w:rsid w:val="00383A86"/>
    <w:rsid w:val="00383B78"/>
    <w:rsid w:val="00383BC3"/>
    <w:rsid w:val="00383CD9"/>
    <w:rsid w:val="00383CDB"/>
    <w:rsid w:val="0038411F"/>
    <w:rsid w:val="00384142"/>
    <w:rsid w:val="003841D5"/>
    <w:rsid w:val="003843C9"/>
    <w:rsid w:val="003844AA"/>
    <w:rsid w:val="00384564"/>
    <w:rsid w:val="00384639"/>
    <w:rsid w:val="00384683"/>
    <w:rsid w:val="00384E7F"/>
    <w:rsid w:val="003850CB"/>
    <w:rsid w:val="003850FF"/>
    <w:rsid w:val="003852EE"/>
    <w:rsid w:val="003855B8"/>
    <w:rsid w:val="003855C8"/>
    <w:rsid w:val="003857B0"/>
    <w:rsid w:val="0038597C"/>
    <w:rsid w:val="00385A9D"/>
    <w:rsid w:val="00385B9D"/>
    <w:rsid w:val="00385F60"/>
    <w:rsid w:val="00386253"/>
    <w:rsid w:val="003868E2"/>
    <w:rsid w:val="00386A14"/>
    <w:rsid w:val="00386FD0"/>
    <w:rsid w:val="0038710A"/>
    <w:rsid w:val="00387121"/>
    <w:rsid w:val="003871F1"/>
    <w:rsid w:val="00387392"/>
    <w:rsid w:val="0038753B"/>
    <w:rsid w:val="00387A01"/>
    <w:rsid w:val="00387BA2"/>
    <w:rsid w:val="00387C27"/>
    <w:rsid w:val="00387EF3"/>
    <w:rsid w:val="00390028"/>
    <w:rsid w:val="003900AC"/>
    <w:rsid w:val="003900FD"/>
    <w:rsid w:val="003901DC"/>
    <w:rsid w:val="00390216"/>
    <w:rsid w:val="003902B1"/>
    <w:rsid w:val="0039031D"/>
    <w:rsid w:val="00390662"/>
    <w:rsid w:val="0039067C"/>
    <w:rsid w:val="003906F1"/>
    <w:rsid w:val="00390B17"/>
    <w:rsid w:val="00390B9E"/>
    <w:rsid w:val="00390D14"/>
    <w:rsid w:val="00391050"/>
    <w:rsid w:val="00391088"/>
    <w:rsid w:val="0039179C"/>
    <w:rsid w:val="003919A6"/>
    <w:rsid w:val="00391B39"/>
    <w:rsid w:val="0039227E"/>
    <w:rsid w:val="003925CD"/>
    <w:rsid w:val="00392977"/>
    <w:rsid w:val="0039298A"/>
    <w:rsid w:val="003929B3"/>
    <w:rsid w:val="00392B3C"/>
    <w:rsid w:val="00392C64"/>
    <w:rsid w:val="00392D34"/>
    <w:rsid w:val="00392E3D"/>
    <w:rsid w:val="003930FE"/>
    <w:rsid w:val="0039319A"/>
    <w:rsid w:val="00393331"/>
    <w:rsid w:val="003935BD"/>
    <w:rsid w:val="00393DFB"/>
    <w:rsid w:val="00394539"/>
    <w:rsid w:val="00394A0F"/>
    <w:rsid w:val="00394D28"/>
    <w:rsid w:val="00394E34"/>
    <w:rsid w:val="003951B9"/>
    <w:rsid w:val="003957E9"/>
    <w:rsid w:val="00395B4F"/>
    <w:rsid w:val="00395E56"/>
    <w:rsid w:val="00396896"/>
    <w:rsid w:val="00396904"/>
    <w:rsid w:val="0039691B"/>
    <w:rsid w:val="003969EB"/>
    <w:rsid w:val="00396D1A"/>
    <w:rsid w:val="00396E2D"/>
    <w:rsid w:val="00396FD0"/>
    <w:rsid w:val="00397277"/>
    <w:rsid w:val="00397461"/>
    <w:rsid w:val="0039765A"/>
    <w:rsid w:val="00397883"/>
    <w:rsid w:val="003978A0"/>
    <w:rsid w:val="00397946"/>
    <w:rsid w:val="00397D09"/>
    <w:rsid w:val="003A0896"/>
    <w:rsid w:val="003A0919"/>
    <w:rsid w:val="003A091E"/>
    <w:rsid w:val="003A0C99"/>
    <w:rsid w:val="003A127E"/>
    <w:rsid w:val="003A14C2"/>
    <w:rsid w:val="003A14CA"/>
    <w:rsid w:val="003A1559"/>
    <w:rsid w:val="003A16BE"/>
    <w:rsid w:val="003A16FB"/>
    <w:rsid w:val="003A194E"/>
    <w:rsid w:val="003A1A7A"/>
    <w:rsid w:val="003A1A8F"/>
    <w:rsid w:val="003A1E20"/>
    <w:rsid w:val="003A2335"/>
    <w:rsid w:val="003A2392"/>
    <w:rsid w:val="003A2831"/>
    <w:rsid w:val="003A297C"/>
    <w:rsid w:val="003A2A3E"/>
    <w:rsid w:val="003A30A0"/>
    <w:rsid w:val="003A32CF"/>
    <w:rsid w:val="003A345C"/>
    <w:rsid w:val="003A3487"/>
    <w:rsid w:val="003A3A9C"/>
    <w:rsid w:val="003A3CB6"/>
    <w:rsid w:val="003A3ED1"/>
    <w:rsid w:val="003A3FB4"/>
    <w:rsid w:val="003A40A1"/>
    <w:rsid w:val="003A44DB"/>
    <w:rsid w:val="003A48D7"/>
    <w:rsid w:val="003A4AF9"/>
    <w:rsid w:val="003A4B27"/>
    <w:rsid w:val="003A4B71"/>
    <w:rsid w:val="003A4C14"/>
    <w:rsid w:val="003A5039"/>
    <w:rsid w:val="003A51AC"/>
    <w:rsid w:val="003A5657"/>
    <w:rsid w:val="003A5AB8"/>
    <w:rsid w:val="003A5BDC"/>
    <w:rsid w:val="003A5EBB"/>
    <w:rsid w:val="003A60D7"/>
    <w:rsid w:val="003A6414"/>
    <w:rsid w:val="003A6494"/>
    <w:rsid w:val="003A64CE"/>
    <w:rsid w:val="003A6763"/>
    <w:rsid w:val="003A697E"/>
    <w:rsid w:val="003A6D06"/>
    <w:rsid w:val="003A7300"/>
    <w:rsid w:val="003A7ECC"/>
    <w:rsid w:val="003B00A9"/>
    <w:rsid w:val="003B00D0"/>
    <w:rsid w:val="003B021B"/>
    <w:rsid w:val="003B02A0"/>
    <w:rsid w:val="003B05F3"/>
    <w:rsid w:val="003B07E6"/>
    <w:rsid w:val="003B096F"/>
    <w:rsid w:val="003B0A99"/>
    <w:rsid w:val="003B0AB7"/>
    <w:rsid w:val="003B0F52"/>
    <w:rsid w:val="003B1570"/>
    <w:rsid w:val="003B1832"/>
    <w:rsid w:val="003B1A55"/>
    <w:rsid w:val="003B1D05"/>
    <w:rsid w:val="003B262B"/>
    <w:rsid w:val="003B2D33"/>
    <w:rsid w:val="003B2F12"/>
    <w:rsid w:val="003B2F2D"/>
    <w:rsid w:val="003B32E5"/>
    <w:rsid w:val="003B3366"/>
    <w:rsid w:val="003B3971"/>
    <w:rsid w:val="003B399D"/>
    <w:rsid w:val="003B3CA0"/>
    <w:rsid w:val="003B3D15"/>
    <w:rsid w:val="003B4007"/>
    <w:rsid w:val="003B45E3"/>
    <w:rsid w:val="003B4656"/>
    <w:rsid w:val="003B4AED"/>
    <w:rsid w:val="003B4D08"/>
    <w:rsid w:val="003B4D1B"/>
    <w:rsid w:val="003B4E9F"/>
    <w:rsid w:val="003B51DE"/>
    <w:rsid w:val="003B5252"/>
    <w:rsid w:val="003B53C8"/>
    <w:rsid w:val="003B55D1"/>
    <w:rsid w:val="003B5B61"/>
    <w:rsid w:val="003B6024"/>
    <w:rsid w:val="003B6A8A"/>
    <w:rsid w:val="003B6B57"/>
    <w:rsid w:val="003B6C46"/>
    <w:rsid w:val="003B7042"/>
    <w:rsid w:val="003B727C"/>
    <w:rsid w:val="003B7868"/>
    <w:rsid w:val="003B7C9E"/>
    <w:rsid w:val="003B7DCF"/>
    <w:rsid w:val="003B7E4D"/>
    <w:rsid w:val="003B7ED9"/>
    <w:rsid w:val="003C04B1"/>
    <w:rsid w:val="003C05D5"/>
    <w:rsid w:val="003C0667"/>
    <w:rsid w:val="003C0D10"/>
    <w:rsid w:val="003C0D9E"/>
    <w:rsid w:val="003C0F58"/>
    <w:rsid w:val="003C121E"/>
    <w:rsid w:val="003C12C3"/>
    <w:rsid w:val="003C1322"/>
    <w:rsid w:val="003C1486"/>
    <w:rsid w:val="003C1654"/>
    <w:rsid w:val="003C1776"/>
    <w:rsid w:val="003C185E"/>
    <w:rsid w:val="003C197A"/>
    <w:rsid w:val="003C214C"/>
    <w:rsid w:val="003C2487"/>
    <w:rsid w:val="003C28E4"/>
    <w:rsid w:val="003C3003"/>
    <w:rsid w:val="003C33E4"/>
    <w:rsid w:val="003C35E6"/>
    <w:rsid w:val="003C411A"/>
    <w:rsid w:val="003C42EC"/>
    <w:rsid w:val="003C4443"/>
    <w:rsid w:val="003C47C8"/>
    <w:rsid w:val="003C4E6E"/>
    <w:rsid w:val="003C51BE"/>
    <w:rsid w:val="003C525E"/>
    <w:rsid w:val="003C54D9"/>
    <w:rsid w:val="003C5542"/>
    <w:rsid w:val="003C556A"/>
    <w:rsid w:val="003C5645"/>
    <w:rsid w:val="003C585B"/>
    <w:rsid w:val="003C5A91"/>
    <w:rsid w:val="003C5DE3"/>
    <w:rsid w:val="003C61A5"/>
    <w:rsid w:val="003C6297"/>
    <w:rsid w:val="003C62C6"/>
    <w:rsid w:val="003C669C"/>
    <w:rsid w:val="003C673D"/>
    <w:rsid w:val="003C68C4"/>
    <w:rsid w:val="003C69C8"/>
    <w:rsid w:val="003C6D92"/>
    <w:rsid w:val="003C6E14"/>
    <w:rsid w:val="003C70BB"/>
    <w:rsid w:val="003C71E6"/>
    <w:rsid w:val="003C79A8"/>
    <w:rsid w:val="003C7BE3"/>
    <w:rsid w:val="003C7C15"/>
    <w:rsid w:val="003C7D19"/>
    <w:rsid w:val="003C7D2F"/>
    <w:rsid w:val="003D00BE"/>
    <w:rsid w:val="003D0190"/>
    <w:rsid w:val="003D069E"/>
    <w:rsid w:val="003D06F7"/>
    <w:rsid w:val="003D0857"/>
    <w:rsid w:val="003D08B9"/>
    <w:rsid w:val="003D098F"/>
    <w:rsid w:val="003D0C5A"/>
    <w:rsid w:val="003D1151"/>
    <w:rsid w:val="003D1499"/>
    <w:rsid w:val="003D14E1"/>
    <w:rsid w:val="003D1804"/>
    <w:rsid w:val="003D1828"/>
    <w:rsid w:val="003D18D7"/>
    <w:rsid w:val="003D1DE4"/>
    <w:rsid w:val="003D1E9A"/>
    <w:rsid w:val="003D2001"/>
    <w:rsid w:val="003D205A"/>
    <w:rsid w:val="003D2076"/>
    <w:rsid w:val="003D2422"/>
    <w:rsid w:val="003D2EFE"/>
    <w:rsid w:val="003D2FD1"/>
    <w:rsid w:val="003D3029"/>
    <w:rsid w:val="003D3358"/>
    <w:rsid w:val="003D33DD"/>
    <w:rsid w:val="003D393A"/>
    <w:rsid w:val="003D39A1"/>
    <w:rsid w:val="003D3A05"/>
    <w:rsid w:val="003D3FBF"/>
    <w:rsid w:val="003D40A8"/>
    <w:rsid w:val="003D47C0"/>
    <w:rsid w:val="003D4A30"/>
    <w:rsid w:val="003D4C57"/>
    <w:rsid w:val="003D5083"/>
    <w:rsid w:val="003D55E7"/>
    <w:rsid w:val="003D6093"/>
    <w:rsid w:val="003D6BAB"/>
    <w:rsid w:val="003D6E86"/>
    <w:rsid w:val="003D7283"/>
    <w:rsid w:val="003D72C8"/>
    <w:rsid w:val="003D72E8"/>
    <w:rsid w:val="003D7338"/>
    <w:rsid w:val="003D7452"/>
    <w:rsid w:val="003D788E"/>
    <w:rsid w:val="003D79BB"/>
    <w:rsid w:val="003D7BD2"/>
    <w:rsid w:val="003D7C98"/>
    <w:rsid w:val="003D7D9D"/>
    <w:rsid w:val="003D7F02"/>
    <w:rsid w:val="003E04FC"/>
    <w:rsid w:val="003E0543"/>
    <w:rsid w:val="003E0CE7"/>
    <w:rsid w:val="003E0D10"/>
    <w:rsid w:val="003E0EB8"/>
    <w:rsid w:val="003E1063"/>
    <w:rsid w:val="003E130D"/>
    <w:rsid w:val="003E1461"/>
    <w:rsid w:val="003E15CC"/>
    <w:rsid w:val="003E1B5C"/>
    <w:rsid w:val="003E1C22"/>
    <w:rsid w:val="003E1C3E"/>
    <w:rsid w:val="003E1CEB"/>
    <w:rsid w:val="003E1EFE"/>
    <w:rsid w:val="003E2166"/>
    <w:rsid w:val="003E296A"/>
    <w:rsid w:val="003E2A26"/>
    <w:rsid w:val="003E2A7B"/>
    <w:rsid w:val="003E2EE7"/>
    <w:rsid w:val="003E33A2"/>
    <w:rsid w:val="003E33EF"/>
    <w:rsid w:val="003E3467"/>
    <w:rsid w:val="003E3833"/>
    <w:rsid w:val="003E38B3"/>
    <w:rsid w:val="003E3A8E"/>
    <w:rsid w:val="003E3A93"/>
    <w:rsid w:val="003E3B22"/>
    <w:rsid w:val="003E3C1A"/>
    <w:rsid w:val="003E3CBC"/>
    <w:rsid w:val="003E4495"/>
    <w:rsid w:val="003E46B9"/>
    <w:rsid w:val="003E475A"/>
    <w:rsid w:val="003E4A9A"/>
    <w:rsid w:val="003E4D54"/>
    <w:rsid w:val="003E4E1B"/>
    <w:rsid w:val="003E5603"/>
    <w:rsid w:val="003E5C40"/>
    <w:rsid w:val="003E5DD8"/>
    <w:rsid w:val="003E6624"/>
    <w:rsid w:val="003E69EF"/>
    <w:rsid w:val="003E6E57"/>
    <w:rsid w:val="003E6EC4"/>
    <w:rsid w:val="003E6F24"/>
    <w:rsid w:val="003E718E"/>
    <w:rsid w:val="003E71D6"/>
    <w:rsid w:val="003E7233"/>
    <w:rsid w:val="003E749E"/>
    <w:rsid w:val="003E75F6"/>
    <w:rsid w:val="003E7A9B"/>
    <w:rsid w:val="003E7DBB"/>
    <w:rsid w:val="003E7EEE"/>
    <w:rsid w:val="003F05FA"/>
    <w:rsid w:val="003F09AD"/>
    <w:rsid w:val="003F0A14"/>
    <w:rsid w:val="003F0DF5"/>
    <w:rsid w:val="003F0F45"/>
    <w:rsid w:val="003F101C"/>
    <w:rsid w:val="003F106B"/>
    <w:rsid w:val="003F12AA"/>
    <w:rsid w:val="003F1540"/>
    <w:rsid w:val="003F16DE"/>
    <w:rsid w:val="003F193B"/>
    <w:rsid w:val="003F19A3"/>
    <w:rsid w:val="003F1B0C"/>
    <w:rsid w:val="003F1C8D"/>
    <w:rsid w:val="003F1F1C"/>
    <w:rsid w:val="003F2213"/>
    <w:rsid w:val="003F22F2"/>
    <w:rsid w:val="003F249D"/>
    <w:rsid w:val="003F24AB"/>
    <w:rsid w:val="003F2C44"/>
    <w:rsid w:val="003F3215"/>
    <w:rsid w:val="003F3777"/>
    <w:rsid w:val="003F3816"/>
    <w:rsid w:val="003F384C"/>
    <w:rsid w:val="003F387E"/>
    <w:rsid w:val="003F3CF7"/>
    <w:rsid w:val="003F4156"/>
    <w:rsid w:val="003F4197"/>
    <w:rsid w:val="003F42AB"/>
    <w:rsid w:val="003F44BD"/>
    <w:rsid w:val="003F462D"/>
    <w:rsid w:val="003F4775"/>
    <w:rsid w:val="003F47B8"/>
    <w:rsid w:val="003F492F"/>
    <w:rsid w:val="003F4940"/>
    <w:rsid w:val="003F49AC"/>
    <w:rsid w:val="003F4A12"/>
    <w:rsid w:val="003F4A8E"/>
    <w:rsid w:val="003F4CA0"/>
    <w:rsid w:val="003F4E77"/>
    <w:rsid w:val="003F4ED2"/>
    <w:rsid w:val="003F4F2A"/>
    <w:rsid w:val="003F57AE"/>
    <w:rsid w:val="003F5877"/>
    <w:rsid w:val="003F58B8"/>
    <w:rsid w:val="003F58EB"/>
    <w:rsid w:val="003F5ADF"/>
    <w:rsid w:val="003F5C0A"/>
    <w:rsid w:val="003F5EAE"/>
    <w:rsid w:val="003F5FE3"/>
    <w:rsid w:val="003F6266"/>
    <w:rsid w:val="003F64D0"/>
    <w:rsid w:val="003F6583"/>
    <w:rsid w:val="003F65AA"/>
    <w:rsid w:val="003F676B"/>
    <w:rsid w:val="003F68C6"/>
    <w:rsid w:val="003F75D9"/>
    <w:rsid w:val="003F77D8"/>
    <w:rsid w:val="003F7922"/>
    <w:rsid w:val="003F7B6D"/>
    <w:rsid w:val="003F7F22"/>
    <w:rsid w:val="00400452"/>
    <w:rsid w:val="00400678"/>
    <w:rsid w:val="004008FD"/>
    <w:rsid w:val="00400B29"/>
    <w:rsid w:val="00400CA4"/>
    <w:rsid w:val="00400EE5"/>
    <w:rsid w:val="00401661"/>
    <w:rsid w:val="00401907"/>
    <w:rsid w:val="00401931"/>
    <w:rsid w:val="00401AAC"/>
    <w:rsid w:val="00402349"/>
    <w:rsid w:val="00402453"/>
    <w:rsid w:val="004025FB"/>
    <w:rsid w:val="004026D1"/>
    <w:rsid w:val="00402812"/>
    <w:rsid w:val="00402971"/>
    <w:rsid w:val="00402ECF"/>
    <w:rsid w:val="004031E6"/>
    <w:rsid w:val="00403572"/>
    <w:rsid w:val="0040365F"/>
    <w:rsid w:val="004038C7"/>
    <w:rsid w:val="00403CBA"/>
    <w:rsid w:val="00403DFB"/>
    <w:rsid w:val="00403E72"/>
    <w:rsid w:val="00403F31"/>
    <w:rsid w:val="00404278"/>
    <w:rsid w:val="004045D8"/>
    <w:rsid w:val="004049A3"/>
    <w:rsid w:val="004049F3"/>
    <w:rsid w:val="00404C8C"/>
    <w:rsid w:val="00404F98"/>
    <w:rsid w:val="0040504B"/>
    <w:rsid w:val="00405098"/>
    <w:rsid w:val="004050B4"/>
    <w:rsid w:val="004053FC"/>
    <w:rsid w:val="004055DE"/>
    <w:rsid w:val="004058BA"/>
    <w:rsid w:val="00405943"/>
    <w:rsid w:val="004059F4"/>
    <w:rsid w:val="00405E77"/>
    <w:rsid w:val="004060F0"/>
    <w:rsid w:val="00406AB0"/>
    <w:rsid w:val="00406AD2"/>
    <w:rsid w:val="00406F1C"/>
    <w:rsid w:val="004070ED"/>
    <w:rsid w:val="00407120"/>
    <w:rsid w:val="004075F1"/>
    <w:rsid w:val="00407D13"/>
    <w:rsid w:val="00407D63"/>
    <w:rsid w:val="00407FE5"/>
    <w:rsid w:val="004101B0"/>
    <w:rsid w:val="00410326"/>
    <w:rsid w:val="00410450"/>
    <w:rsid w:val="00410676"/>
    <w:rsid w:val="004106BE"/>
    <w:rsid w:val="00410708"/>
    <w:rsid w:val="00410794"/>
    <w:rsid w:val="004107EC"/>
    <w:rsid w:val="004108FE"/>
    <w:rsid w:val="00410E43"/>
    <w:rsid w:val="00410EC7"/>
    <w:rsid w:val="00411716"/>
    <w:rsid w:val="00411728"/>
    <w:rsid w:val="00411A94"/>
    <w:rsid w:val="00411B39"/>
    <w:rsid w:val="00411B4E"/>
    <w:rsid w:val="00411F42"/>
    <w:rsid w:val="00412007"/>
    <w:rsid w:val="00412016"/>
    <w:rsid w:val="00412161"/>
    <w:rsid w:val="004121FB"/>
    <w:rsid w:val="004126B7"/>
    <w:rsid w:val="004127A7"/>
    <w:rsid w:val="004129D4"/>
    <w:rsid w:val="004131AF"/>
    <w:rsid w:val="00413433"/>
    <w:rsid w:val="0041383E"/>
    <w:rsid w:val="00413A1E"/>
    <w:rsid w:val="00414103"/>
    <w:rsid w:val="00414476"/>
    <w:rsid w:val="00414528"/>
    <w:rsid w:val="00414765"/>
    <w:rsid w:val="00414B0D"/>
    <w:rsid w:val="00414C2E"/>
    <w:rsid w:val="004151CF"/>
    <w:rsid w:val="004154CB"/>
    <w:rsid w:val="004158CE"/>
    <w:rsid w:val="00415AC3"/>
    <w:rsid w:val="00415CA0"/>
    <w:rsid w:val="00415FF3"/>
    <w:rsid w:val="0041607C"/>
    <w:rsid w:val="00416255"/>
    <w:rsid w:val="00416364"/>
    <w:rsid w:val="00416572"/>
    <w:rsid w:val="004167EC"/>
    <w:rsid w:val="004169C0"/>
    <w:rsid w:val="00416B25"/>
    <w:rsid w:val="00416D85"/>
    <w:rsid w:val="0041701F"/>
    <w:rsid w:val="00417242"/>
    <w:rsid w:val="004172D4"/>
    <w:rsid w:val="0041734A"/>
    <w:rsid w:val="004173F5"/>
    <w:rsid w:val="0041773B"/>
    <w:rsid w:val="0041794F"/>
    <w:rsid w:val="004179A2"/>
    <w:rsid w:val="00417BE5"/>
    <w:rsid w:val="00417FD0"/>
    <w:rsid w:val="004200AF"/>
    <w:rsid w:val="0042047F"/>
    <w:rsid w:val="0042059D"/>
    <w:rsid w:val="00420A76"/>
    <w:rsid w:val="00420AA6"/>
    <w:rsid w:val="00420B9F"/>
    <w:rsid w:val="00420CFC"/>
    <w:rsid w:val="00420FD8"/>
    <w:rsid w:val="00421010"/>
    <w:rsid w:val="0042130F"/>
    <w:rsid w:val="0042182A"/>
    <w:rsid w:val="0042185A"/>
    <w:rsid w:val="0042192C"/>
    <w:rsid w:val="0042195B"/>
    <w:rsid w:val="004219DE"/>
    <w:rsid w:val="00421D36"/>
    <w:rsid w:val="004221B1"/>
    <w:rsid w:val="00422260"/>
    <w:rsid w:val="004224F6"/>
    <w:rsid w:val="0042269B"/>
    <w:rsid w:val="004226FB"/>
    <w:rsid w:val="00422C2D"/>
    <w:rsid w:val="0042349A"/>
    <w:rsid w:val="00423606"/>
    <w:rsid w:val="00423EDD"/>
    <w:rsid w:val="0042402C"/>
    <w:rsid w:val="00424094"/>
    <w:rsid w:val="0042413F"/>
    <w:rsid w:val="0042414F"/>
    <w:rsid w:val="00424460"/>
    <w:rsid w:val="0042447D"/>
    <w:rsid w:val="00424A01"/>
    <w:rsid w:val="00424E85"/>
    <w:rsid w:val="00425124"/>
    <w:rsid w:val="00425275"/>
    <w:rsid w:val="00425825"/>
    <w:rsid w:val="00425904"/>
    <w:rsid w:val="00425FCD"/>
    <w:rsid w:val="004260EC"/>
    <w:rsid w:val="004260EE"/>
    <w:rsid w:val="004265B1"/>
    <w:rsid w:val="00426B09"/>
    <w:rsid w:val="00426C35"/>
    <w:rsid w:val="00427022"/>
    <w:rsid w:val="004271DD"/>
    <w:rsid w:val="00427B6D"/>
    <w:rsid w:val="00427EC9"/>
    <w:rsid w:val="00430804"/>
    <w:rsid w:val="00430852"/>
    <w:rsid w:val="004309FD"/>
    <w:rsid w:val="00430A03"/>
    <w:rsid w:val="00430AC5"/>
    <w:rsid w:val="004310BC"/>
    <w:rsid w:val="00431264"/>
    <w:rsid w:val="004312C2"/>
    <w:rsid w:val="0043198F"/>
    <w:rsid w:val="004319F8"/>
    <w:rsid w:val="00431A9E"/>
    <w:rsid w:val="00431AD4"/>
    <w:rsid w:val="00431C0E"/>
    <w:rsid w:val="00431C96"/>
    <w:rsid w:val="00431E55"/>
    <w:rsid w:val="004321F6"/>
    <w:rsid w:val="00432202"/>
    <w:rsid w:val="0043245E"/>
    <w:rsid w:val="004324EB"/>
    <w:rsid w:val="00432600"/>
    <w:rsid w:val="00432911"/>
    <w:rsid w:val="00432A95"/>
    <w:rsid w:val="00432C9D"/>
    <w:rsid w:val="00432CA8"/>
    <w:rsid w:val="00433044"/>
    <w:rsid w:val="00433445"/>
    <w:rsid w:val="00433494"/>
    <w:rsid w:val="00433753"/>
    <w:rsid w:val="00433764"/>
    <w:rsid w:val="00433C49"/>
    <w:rsid w:val="00433CB6"/>
    <w:rsid w:val="00433DC6"/>
    <w:rsid w:val="00433F4B"/>
    <w:rsid w:val="00434064"/>
    <w:rsid w:val="00434088"/>
    <w:rsid w:val="004346D0"/>
    <w:rsid w:val="00434A7A"/>
    <w:rsid w:val="004351E1"/>
    <w:rsid w:val="004355D6"/>
    <w:rsid w:val="004356E5"/>
    <w:rsid w:val="00435712"/>
    <w:rsid w:val="00435777"/>
    <w:rsid w:val="00435A86"/>
    <w:rsid w:val="00435B3C"/>
    <w:rsid w:val="00436104"/>
    <w:rsid w:val="0043631E"/>
    <w:rsid w:val="0043667C"/>
    <w:rsid w:val="004368BF"/>
    <w:rsid w:val="00436CD1"/>
    <w:rsid w:val="00436E23"/>
    <w:rsid w:val="0043717B"/>
    <w:rsid w:val="0043717F"/>
    <w:rsid w:val="00437408"/>
    <w:rsid w:val="004375B9"/>
    <w:rsid w:val="004379CB"/>
    <w:rsid w:val="00437C3B"/>
    <w:rsid w:val="00437E28"/>
    <w:rsid w:val="00437FD5"/>
    <w:rsid w:val="00440260"/>
    <w:rsid w:val="00440891"/>
    <w:rsid w:val="00440D34"/>
    <w:rsid w:val="00440D6F"/>
    <w:rsid w:val="00440DB1"/>
    <w:rsid w:val="004415FE"/>
    <w:rsid w:val="0044160F"/>
    <w:rsid w:val="00441887"/>
    <w:rsid w:val="00441A16"/>
    <w:rsid w:val="00441C53"/>
    <w:rsid w:val="00441DCD"/>
    <w:rsid w:val="00441F96"/>
    <w:rsid w:val="0044200B"/>
    <w:rsid w:val="0044206B"/>
    <w:rsid w:val="004425F7"/>
    <w:rsid w:val="00442650"/>
    <w:rsid w:val="004426AC"/>
    <w:rsid w:val="004426C6"/>
    <w:rsid w:val="00442746"/>
    <w:rsid w:val="004428D0"/>
    <w:rsid w:val="00442DC2"/>
    <w:rsid w:val="00442E9A"/>
    <w:rsid w:val="0044310B"/>
    <w:rsid w:val="00443350"/>
    <w:rsid w:val="004433D6"/>
    <w:rsid w:val="00443926"/>
    <w:rsid w:val="00443D33"/>
    <w:rsid w:val="00443E1E"/>
    <w:rsid w:val="00443F90"/>
    <w:rsid w:val="00444185"/>
    <w:rsid w:val="004443A7"/>
    <w:rsid w:val="00444414"/>
    <w:rsid w:val="0044442C"/>
    <w:rsid w:val="004444C7"/>
    <w:rsid w:val="0044455C"/>
    <w:rsid w:val="00444799"/>
    <w:rsid w:val="00444871"/>
    <w:rsid w:val="004449C9"/>
    <w:rsid w:val="00444A06"/>
    <w:rsid w:val="00445186"/>
    <w:rsid w:val="004455E5"/>
    <w:rsid w:val="0044567A"/>
    <w:rsid w:val="004458FE"/>
    <w:rsid w:val="00445941"/>
    <w:rsid w:val="00445C27"/>
    <w:rsid w:val="00445D62"/>
    <w:rsid w:val="00445DC1"/>
    <w:rsid w:val="004460C0"/>
    <w:rsid w:val="004464C9"/>
    <w:rsid w:val="004464E4"/>
    <w:rsid w:val="004464EB"/>
    <w:rsid w:val="00446576"/>
    <w:rsid w:val="00446651"/>
    <w:rsid w:val="0044666A"/>
    <w:rsid w:val="00446AE7"/>
    <w:rsid w:val="00446BC2"/>
    <w:rsid w:val="00447847"/>
    <w:rsid w:val="00447A2E"/>
    <w:rsid w:val="00447C26"/>
    <w:rsid w:val="00447D26"/>
    <w:rsid w:val="00447D6E"/>
    <w:rsid w:val="00447DFC"/>
    <w:rsid w:val="00450358"/>
    <w:rsid w:val="00450392"/>
    <w:rsid w:val="00450670"/>
    <w:rsid w:val="00450AB6"/>
    <w:rsid w:val="00450BE9"/>
    <w:rsid w:val="00451167"/>
    <w:rsid w:val="0045136D"/>
    <w:rsid w:val="004515AB"/>
    <w:rsid w:val="004516FB"/>
    <w:rsid w:val="00451D15"/>
    <w:rsid w:val="004522AB"/>
    <w:rsid w:val="004522CD"/>
    <w:rsid w:val="0045245D"/>
    <w:rsid w:val="004527C2"/>
    <w:rsid w:val="0045282F"/>
    <w:rsid w:val="00452A06"/>
    <w:rsid w:val="00452D13"/>
    <w:rsid w:val="00452D6B"/>
    <w:rsid w:val="00452E43"/>
    <w:rsid w:val="00452FBD"/>
    <w:rsid w:val="00453268"/>
    <w:rsid w:val="004538C1"/>
    <w:rsid w:val="004539BF"/>
    <w:rsid w:val="00453A5A"/>
    <w:rsid w:val="00453CB7"/>
    <w:rsid w:val="00453E18"/>
    <w:rsid w:val="00453F07"/>
    <w:rsid w:val="0045435A"/>
    <w:rsid w:val="004543B3"/>
    <w:rsid w:val="00454A06"/>
    <w:rsid w:val="00454CA8"/>
    <w:rsid w:val="00454D27"/>
    <w:rsid w:val="00454D5B"/>
    <w:rsid w:val="00454DE2"/>
    <w:rsid w:val="00455794"/>
    <w:rsid w:val="00455929"/>
    <w:rsid w:val="00455C0C"/>
    <w:rsid w:val="00455D45"/>
    <w:rsid w:val="00455E6E"/>
    <w:rsid w:val="00456576"/>
    <w:rsid w:val="00456652"/>
    <w:rsid w:val="00456A5E"/>
    <w:rsid w:val="00456C99"/>
    <w:rsid w:val="00456CF5"/>
    <w:rsid w:val="00456ECB"/>
    <w:rsid w:val="00457069"/>
    <w:rsid w:val="004571AC"/>
    <w:rsid w:val="00457677"/>
    <w:rsid w:val="00457D14"/>
    <w:rsid w:val="00457F1A"/>
    <w:rsid w:val="00460131"/>
    <w:rsid w:val="0046069E"/>
    <w:rsid w:val="0046076F"/>
    <w:rsid w:val="0046081C"/>
    <w:rsid w:val="00460DC6"/>
    <w:rsid w:val="00460DF2"/>
    <w:rsid w:val="00461126"/>
    <w:rsid w:val="004611CC"/>
    <w:rsid w:val="004612F1"/>
    <w:rsid w:val="00461391"/>
    <w:rsid w:val="00461520"/>
    <w:rsid w:val="0046170C"/>
    <w:rsid w:val="00461844"/>
    <w:rsid w:val="00461BF2"/>
    <w:rsid w:val="004623BE"/>
    <w:rsid w:val="00462427"/>
    <w:rsid w:val="00462809"/>
    <w:rsid w:val="00462810"/>
    <w:rsid w:val="0046295B"/>
    <w:rsid w:val="0046314B"/>
    <w:rsid w:val="00463256"/>
    <w:rsid w:val="00463603"/>
    <w:rsid w:val="00463D3E"/>
    <w:rsid w:val="00463E36"/>
    <w:rsid w:val="00463F08"/>
    <w:rsid w:val="00463FFD"/>
    <w:rsid w:val="00464116"/>
    <w:rsid w:val="00464595"/>
    <w:rsid w:val="004645E2"/>
    <w:rsid w:val="00464BA6"/>
    <w:rsid w:val="00464C2A"/>
    <w:rsid w:val="00464F31"/>
    <w:rsid w:val="004654B4"/>
    <w:rsid w:val="004654E7"/>
    <w:rsid w:val="00465535"/>
    <w:rsid w:val="004656D5"/>
    <w:rsid w:val="004658B5"/>
    <w:rsid w:val="00465AB9"/>
    <w:rsid w:val="00465B8E"/>
    <w:rsid w:val="00465D20"/>
    <w:rsid w:val="00465DA3"/>
    <w:rsid w:val="00465DC5"/>
    <w:rsid w:val="00465FA2"/>
    <w:rsid w:val="004660BF"/>
    <w:rsid w:val="004660DC"/>
    <w:rsid w:val="004663ED"/>
    <w:rsid w:val="00466527"/>
    <w:rsid w:val="004665DB"/>
    <w:rsid w:val="004667D6"/>
    <w:rsid w:val="0046680C"/>
    <w:rsid w:val="00466D87"/>
    <w:rsid w:val="00466F24"/>
    <w:rsid w:val="0046715B"/>
    <w:rsid w:val="004676B2"/>
    <w:rsid w:val="0046770D"/>
    <w:rsid w:val="00467912"/>
    <w:rsid w:val="00467995"/>
    <w:rsid w:val="004679AC"/>
    <w:rsid w:val="00470054"/>
    <w:rsid w:val="004700DF"/>
    <w:rsid w:val="00470867"/>
    <w:rsid w:val="004708C8"/>
    <w:rsid w:val="00470C09"/>
    <w:rsid w:val="004710BF"/>
    <w:rsid w:val="004712CA"/>
    <w:rsid w:val="0047141F"/>
    <w:rsid w:val="00471EA5"/>
    <w:rsid w:val="00471EDA"/>
    <w:rsid w:val="004720E5"/>
    <w:rsid w:val="004721D6"/>
    <w:rsid w:val="0047275A"/>
    <w:rsid w:val="00472A79"/>
    <w:rsid w:val="00472A87"/>
    <w:rsid w:val="00472BAC"/>
    <w:rsid w:val="00472CD6"/>
    <w:rsid w:val="00473036"/>
    <w:rsid w:val="0047313F"/>
    <w:rsid w:val="00473173"/>
    <w:rsid w:val="004731DB"/>
    <w:rsid w:val="004732DB"/>
    <w:rsid w:val="0047353A"/>
    <w:rsid w:val="0047380F"/>
    <w:rsid w:val="00473AC1"/>
    <w:rsid w:val="00473D51"/>
    <w:rsid w:val="00473E7A"/>
    <w:rsid w:val="00473F19"/>
    <w:rsid w:val="0047414B"/>
    <w:rsid w:val="004746F1"/>
    <w:rsid w:val="004748FA"/>
    <w:rsid w:val="004751C8"/>
    <w:rsid w:val="004754CB"/>
    <w:rsid w:val="004754CD"/>
    <w:rsid w:val="004756D6"/>
    <w:rsid w:val="00475715"/>
    <w:rsid w:val="00475915"/>
    <w:rsid w:val="00475C70"/>
    <w:rsid w:val="00475DA7"/>
    <w:rsid w:val="00475E22"/>
    <w:rsid w:val="00475ECA"/>
    <w:rsid w:val="00475F38"/>
    <w:rsid w:val="00475F77"/>
    <w:rsid w:val="004763AC"/>
    <w:rsid w:val="004764F2"/>
    <w:rsid w:val="00476797"/>
    <w:rsid w:val="00476AF7"/>
    <w:rsid w:val="00476E9A"/>
    <w:rsid w:val="00476F34"/>
    <w:rsid w:val="00477025"/>
    <w:rsid w:val="00477772"/>
    <w:rsid w:val="00477999"/>
    <w:rsid w:val="00477DE1"/>
    <w:rsid w:val="004800FA"/>
    <w:rsid w:val="004803D6"/>
    <w:rsid w:val="00480669"/>
    <w:rsid w:val="00480818"/>
    <w:rsid w:val="0048088E"/>
    <w:rsid w:val="00480E69"/>
    <w:rsid w:val="00480F2B"/>
    <w:rsid w:val="0048134A"/>
    <w:rsid w:val="0048136D"/>
    <w:rsid w:val="00481725"/>
    <w:rsid w:val="004819AB"/>
    <w:rsid w:val="004819D1"/>
    <w:rsid w:val="00481A2A"/>
    <w:rsid w:val="00481BED"/>
    <w:rsid w:val="00481C65"/>
    <w:rsid w:val="00482587"/>
    <w:rsid w:val="00482720"/>
    <w:rsid w:val="00482874"/>
    <w:rsid w:val="00482951"/>
    <w:rsid w:val="00482A66"/>
    <w:rsid w:val="00482E27"/>
    <w:rsid w:val="004831D5"/>
    <w:rsid w:val="0048335E"/>
    <w:rsid w:val="004835E7"/>
    <w:rsid w:val="00483654"/>
    <w:rsid w:val="00483684"/>
    <w:rsid w:val="00483D6C"/>
    <w:rsid w:val="00483F55"/>
    <w:rsid w:val="004840F7"/>
    <w:rsid w:val="0048429C"/>
    <w:rsid w:val="00484B34"/>
    <w:rsid w:val="00484FD1"/>
    <w:rsid w:val="004852FF"/>
    <w:rsid w:val="004858E8"/>
    <w:rsid w:val="004859E1"/>
    <w:rsid w:val="00485AB6"/>
    <w:rsid w:val="00485F3E"/>
    <w:rsid w:val="00486128"/>
    <w:rsid w:val="00486379"/>
    <w:rsid w:val="00486449"/>
    <w:rsid w:val="004867E2"/>
    <w:rsid w:val="00486A73"/>
    <w:rsid w:val="00486A77"/>
    <w:rsid w:val="00486D69"/>
    <w:rsid w:val="00486DE4"/>
    <w:rsid w:val="00486FB3"/>
    <w:rsid w:val="0048708A"/>
    <w:rsid w:val="00487181"/>
    <w:rsid w:val="00487190"/>
    <w:rsid w:val="004872D5"/>
    <w:rsid w:val="00487C57"/>
    <w:rsid w:val="00487C80"/>
    <w:rsid w:val="0049007B"/>
    <w:rsid w:val="004906BF"/>
    <w:rsid w:val="004906E3"/>
    <w:rsid w:val="00490A9B"/>
    <w:rsid w:val="00490B17"/>
    <w:rsid w:val="00490C2A"/>
    <w:rsid w:val="004911BD"/>
    <w:rsid w:val="00491601"/>
    <w:rsid w:val="004918B7"/>
    <w:rsid w:val="0049193F"/>
    <w:rsid w:val="00491B3A"/>
    <w:rsid w:val="00491ECD"/>
    <w:rsid w:val="0049261B"/>
    <w:rsid w:val="00492C97"/>
    <w:rsid w:val="00492CFD"/>
    <w:rsid w:val="00492E5A"/>
    <w:rsid w:val="00493105"/>
    <w:rsid w:val="004933E0"/>
    <w:rsid w:val="00493495"/>
    <w:rsid w:val="004935F8"/>
    <w:rsid w:val="0049363E"/>
    <w:rsid w:val="004937C0"/>
    <w:rsid w:val="00493897"/>
    <w:rsid w:val="004939EA"/>
    <w:rsid w:val="004939F3"/>
    <w:rsid w:val="00493E6C"/>
    <w:rsid w:val="004941AE"/>
    <w:rsid w:val="00494207"/>
    <w:rsid w:val="004945A6"/>
    <w:rsid w:val="00494A21"/>
    <w:rsid w:val="00494DD5"/>
    <w:rsid w:val="00495AFF"/>
    <w:rsid w:val="00495B2E"/>
    <w:rsid w:val="00495B88"/>
    <w:rsid w:val="00495BC0"/>
    <w:rsid w:val="00495BC8"/>
    <w:rsid w:val="004962D2"/>
    <w:rsid w:val="00496664"/>
    <w:rsid w:val="00496A32"/>
    <w:rsid w:val="004970E7"/>
    <w:rsid w:val="00497147"/>
    <w:rsid w:val="004971E0"/>
    <w:rsid w:val="00497281"/>
    <w:rsid w:val="00497309"/>
    <w:rsid w:val="00497445"/>
    <w:rsid w:val="00497720"/>
    <w:rsid w:val="00497EF1"/>
    <w:rsid w:val="004A0054"/>
    <w:rsid w:val="004A01E8"/>
    <w:rsid w:val="004A01F2"/>
    <w:rsid w:val="004A0333"/>
    <w:rsid w:val="004A037D"/>
    <w:rsid w:val="004A03E9"/>
    <w:rsid w:val="004A0667"/>
    <w:rsid w:val="004A0962"/>
    <w:rsid w:val="004A0CE0"/>
    <w:rsid w:val="004A0DA1"/>
    <w:rsid w:val="004A0DA9"/>
    <w:rsid w:val="004A10E3"/>
    <w:rsid w:val="004A12B5"/>
    <w:rsid w:val="004A12C7"/>
    <w:rsid w:val="004A13D6"/>
    <w:rsid w:val="004A1832"/>
    <w:rsid w:val="004A1B15"/>
    <w:rsid w:val="004A25EF"/>
    <w:rsid w:val="004A2982"/>
    <w:rsid w:val="004A2A6E"/>
    <w:rsid w:val="004A2D65"/>
    <w:rsid w:val="004A3820"/>
    <w:rsid w:val="004A38F8"/>
    <w:rsid w:val="004A39F5"/>
    <w:rsid w:val="004A3ABA"/>
    <w:rsid w:val="004A3E5E"/>
    <w:rsid w:val="004A3E7D"/>
    <w:rsid w:val="004A41A1"/>
    <w:rsid w:val="004A4411"/>
    <w:rsid w:val="004A452C"/>
    <w:rsid w:val="004A52E9"/>
    <w:rsid w:val="004A53D6"/>
    <w:rsid w:val="004A5476"/>
    <w:rsid w:val="004A5EB1"/>
    <w:rsid w:val="004A5F3B"/>
    <w:rsid w:val="004A6040"/>
    <w:rsid w:val="004A6050"/>
    <w:rsid w:val="004A61D5"/>
    <w:rsid w:val="004A629E"/>
    <w:rsid w:val="004A6597"/>
    <w:rsid w:val="004A6608"/>
    <w:rsid w:val="004A666B"/>
    <w:rsid w:val="004A6BB7"/>
    <w:rsid w:val="004A735B"/>
    <w:rsid w:val="004A776A"/>
    <w:rsid w:val="004A7848"/>
    <w:rsid w:val="004A793B"/>
    <w:rsid w:val="004A7B24"/>
    <w:rsid w:val="004B00E3"/>
    <w:rsid w:val="004B0AE6"/>
    <w:rsid w:val="004B119C"/>
    <w:rsid w:val="004B16DD"/>
    <w:rsid w:val="004B188F"/>
    <w:rsid w:val="004B1C2F"/>
    <w:rsid w:val="004B1CB4"/>
    <w:rsid w:val="004B1CE2"/>
    <w:rsid w:val="004B1E07"/>
    <w:rsid w:val="004B1F91"/>
    <w:rsid w:val="004B20C7"/>
    <w:rsid w:val="004B21F6"/>
    <w:rsid w:val="004B2935"/>
    <w:rsid w:val="004B2AE6"/>
    <w:rsid w:val="004B2B80"/>
    <w:rsid w:val="004B2BB4"/>
    <w:rsid w:val="004B2E5B"/>
    <w:rsid w:val="004B2F18"/>
    <w:rsid w:val="004B2F3E"/>
    <w:rsid w:val="004B2F77"/>
    <w:rsid w:val="004B33DD"/>
    <w:rsid w:val="004B341D"/>
    <w:rsid w:val="004B3A38"/>
    <w:rsid w:val="004B3A7B"/>
    <w:rsid w:val="004B3DDB"/>
    <w:rsid w:val="004B406B"/>
    <w:rsid w:val="004B41E5"/>
    <w:rsid w:val="004B448B"/>
    <w:rsid w:val="004B44FD"/>
    <w:rsid w:val="004B46C1"/>
    <w:rsid w:val="004B486C"/>
    <w:rsid w:val="004B4CA3"/>
    <w:rsid w:val="004B4F20"/>
    <w:rsid w:val="004B5082"/>
    <w:rsid w:val="004B533E"/>
    <w:rsid w:val="004B5CFC"/>
    <w:rsid w:val="004B635A"/>
    <w:rsid w:val="004B6566"/>
    <w:rsid w:val="004B65F7"/>
    <w:rsid w:val="004B68EC"/>
    <w:rsid w:val="004B6902"/>
    <w:rsid w:val="004B6A8C"/>
    <w:rsid w:val="004B6B90"/>
    <w:rsid w:val="004B6CA3"/>
    <w:rsid w:val="004B6E63"/>
    <w:rsid w:val="004B6F79"/>
    <w:rsid w:val="004B7054"/>
    <w:rsid w:val="004B75AA"/>
    <w:rsid w:val="004B774D"/>
    <w:rsid w:val="004B77FF"/>
    <w:rsid w:val="004C03A2"/>
    <w:rsid w:val="004C0405"/>
    <w:rsid w:val="004C0449"/>
    <w:rsid w:val="004C05BB"/>
    <w:rsid w:val="004C07E2"/>
    <w:rsid w:val="004C0A2C"/>
    <w:rsid w:val="004C1857"/>
    <w:rsid w:val="004C19E4"/>
    <w:rsid w:val="004C1B32"/>
    <w:rsid w:val="004C2AC2"/>
    <w:rsid w:val="004C2FFE"/>
    <w:rsid w:val="004C309B"/>
    <w:rsid w:val="004C31B8"/>
    <w:rsid w:val="004C3676"/>
    <w:rsid w:val="004C3B02"/>
    <w:rsid w:val="004C3B0B"/>
    <w:rsid w:val="004C4AED"/>
    <w:rsid w:val="004C4B18"/>
    <w:rsid w:val="004C4DAE"/>
    <w:rsid w:val="004C52CA"/>
    <w:rsid w:val="004C5506"/>
    <w:rsid w:val="004C5649"/>
    <w:rsid w:val="004C5E3D"/>
    <w:rsid w:val="004C5E90"/>
    <w:rsid w:val="004C61EF"/>
    <w:rsid w:val="004C6344"/>
    <w:rsid w:val="004C6474"/>
    <w:rsid w:val="004C6745"/>
    <w:rsid w:val="004C6846"/>
    <w:rsid w:val="004C6B89"/>
    <w:rsid w:val="004C7569"/>
    <w:rsid w:val="004C7881"/>
    <w:rsid w:val="004C7E61"/>
    <w:rsid w:val="004D0158"/>
    <w:rsid w:val="004D0578"/>
    <w:rsid w:val="004D075B"/>
    <w:rsid w:val="004D0A05"/>
    <w:rsid w:val="004D0C07"/>
    <w:rsid w:val="004D0C21"/>
    <w:rsid w:val="004D0F7F"/>
    <w:rsid w:val="004D1192"/>
    <w:rsid w:val="004D14CF"/>
    <w:rsid w:val="004D1657"/>
    <w:rsid w:val="004D1A34"/>
    <w:rsid w:val="004D1F32"/>
    <w:rsid w:val="004D234D"/>
    <w:rsid w:val="004D23DD"/>
    <w:rsid w:val="004D2C0E"/>
    <w:rsid w:val="004D2C2D"/>
    <w:rsid w:val="004D2CDE"/>
    <w:rsid w:val="004D33F4"/>
    <w:rsid w:val="004D36A4"/>
    <w:rsid w:val="004D3DA7"/>
    <w:rsid w:val="004D42C7"/>
    <w:rsid w:val="004D4516"/>
    <w:rsid w:val="004D471F"/>
    <w:rsid w:val="004D48AA"/>
    <w:rsid w:val="004D48DC"/>
    <w:rsid w:val="004D49B1"/>
    <w:rsid w:val="004D49E5"/>
    <w:rsid w:val="004D4C4B"/>
    <w:rsid w:val="004D4FA8"/>
    <w:rsid w:val="004D5000"/>
    <w:rsid w:val="004D5314"/>
    <w:rsid w:val="004D57DA"/>
    <w:rsid w:val="004D5E2B"/>
    <w:rsid w:val="004D62E1"/>
    <w:rsid w:val="004D632F"/>
    <w:rsid w:val="004D659B"/>
    <w:rsid w:val="004D66CC"/>
    <w:rsid w:val="004D6714"/>
    <w:rsid w:val="004D6864"/>
    <w:rsid w:val="004D69B5"/>
    <w:rsid w:val="004D6BA6"/>
    <w:rsid w:val="004D6C50"/>
    <w:rsid w:val="004D7227"/>
    <w:rsid w:val="004D7257"/>
    <w:rsid w:val="004D7258"/>
    <w:rsid w:val="004D735B"/>
    <w:rsid w:val="004D7656"/>
    <w:rsid w:val="004D7AA2"/>
    <w:rsid w:val="004D7B49"/>
    <w:rsid w:val="004D7B5E"/>
    <w:rsid w:val="004D7B73"/>
    <w:rsid w:val="004E055B"/>
    <w:rsid w:val="004E0D71"/>
    <w:rsid w:val="004E0DD7"/>
    <w:rsid w:val="004E0E7F"/>
    <w:rsid w:val="004E0EB8"/>
    <w:rsid w:val="004E0FDF"/>
    <w:rsid w:val="004E1037"/>
    <w:rsid w:val="004E1098"/>
    <w:rsid w:val="004E10F2"/>
    <w:rsid w:val="004E1378"/>
    <w:rsid w:val="004E1458"/>
    <w:rsid w:val="004E15A7"/>
    <w:rsid w:val="004E166A"/>
    <w:rsid w:val="004E18B1"/>
    <w:rsid w:val="004E18E9"/>
    <w:rsid w:val="004E196F"/>
    <w:rsid w:val="004E1C89"/>
    <w:rsid w:val="004E1DEF"/>
    <w:rsid w:val="004E257D"/>
    <w:rsid w:val="004E26F6"/>
    <w:rsid w:val="004E2756"/>
    <w:rsid w:val="004E2939"/>
    <w:rsid w:val="004E2980"/>
    <w:rsid w:val="004E2981"/>
    <w:rsid w:val="004E29C5"/>
    <w:rsid w:val="004E2ADC"/>
    <w:rsid w:val="004E30CB"/>
    <w:rsid w:val="004E3128"/>
    <w:rsid w:val="004E3492"/>
    <w:rsid w:val="004E350E"/>
    <w:rsid w:val="004E3855"/>
    <w:rsid w:val="004E3A3C"/>
    <w:rsid w:val="004E3AD3"/>
    <w:rsid w:val="004E3AFD"/>
    <w:rsid w:val="004E3C02"/>
    <w:rsid w:val="004E3C2C"/>
    <w:rsid w:val="004E3D1C"/>
    <w:rsid w:val="004E3D9B"/>
    <w:rsid w:val="004E3F64"/>
    <w:rsid w:val="004E43B2"/>
    <w:rsid w:val="004E44D9"/>
    <w:rsid w:val="004E46B5"/>
    <w:rsid w:val="004E478F"/>
    <w:rsid w:val="004E4A8C"/>
    <w:rsid w:val="004E4D50"/>
    <w:rsid w:val="004E5547"/>
    <w:rsid w:val="004E5834"/>
    <w:rsid w:val="004E5DB5"/>
    <w:rsid w:val="004E5F1F"/>
    <w:rsid w:val="004E6020"/>
    <w:rsid w:val="004E6232"/>
    <w:rsid w:val="004E626E"/>
    <w:rsid w:val="004E63EB"/>
    <w:rsid w:val="004E6786"/>
    <w:rsid w:val="004E690F"/>
    <w:rsid w:val="004E6995"/>
    <w:rsid w:val="004E6F39"/>
    <w:rsid w:val="004E7202"/>
    <w:rsid w:val="004E79F0"/>
    <w:rsid w:val="004E7EB2"/>
    <w:rsid w:val="004F0006"/>
    <w:rsid w:val="004F00B2"/>
    <w:rsid w:val="004F1016"/>
    <w:rsid w:val="004F1198"/>
    <w:rsid w:val="004F14B4"/>
    <w:rsid w:val="004F15B1"/>
    <w:rsid w:val="004F1998"/>
    <w:rsid w:val="004F1CAF"/>
    <w:rsid w:val="004F1CEA"/>
    <w:rsid w:val="004F1D02"/>
    <w:rsid w:val="004F1EFE"/>
    <w:rsid w:val="004F2339"/>
    <w:rsid w:val="004F2350"/>
    <w:rsid w:val="004F2679"/>
    <w:rsid w:val="004F298E"/>
    <w:rsid w:val="004F2A13"/>
    <w:rsid w:val="004F2C63"/>
    <w:rsid w:val="004F2DF4"/>
    <w:rsid w:val="004F2F21"/>
    <w:rsid w:val="004F35C9"/>
    <w:rsid w:val="004F3C33"/>
    <w:rsid w:val="004F3DE5"/>
    <w:rsid w:val="004F4622"/>
    <w:rsid w:val="004F47F7"/>
    <w:rsid w:val="004F4948"/>
    <w:rsid w:val="004F5331"/>
    <w:rsid w:val="004F5807"/>
    <w:rsid w:val="004F58DA"/>
    <w:rsid w:val="004F5A9B"/>
    <w:rsid w:val="004F5E96"/>
    <w:rsid w:val="004F63D3"/>
    <w:rsid w:val="004F6860"/>
    <w:rsid w:val="004F6913"/>
    <w:rsid w:val="004F723E"/>
    <w:rsid w:val="004F7736"/>
    <w:rsid w:val="004F7865"/>
    <w:rsid w:val="005001A0"/>
    <w:rsid w:val="00500348"/>
    <w:rsid w:val="0050042A"/>
    <w:rsid w:val="0050045F"/>
    <w:rsid w:val="00500686"/>
    <w:rsid w:val="00500AE3"/>
    <w:rsid w:val="00500D4C"/>
    <w:rsid w:val="005011AF"/>
    <w:rsid w:val="005013F0"/>
    <w:rsid w:val="00501448"/>
    <w:rsid w:val="00501481"/>
    <w:rsid w:val="00501508"/>
    <w:rsid w:val="0050174E"/>
    <w:rsid w:val="00501854"/>
    <w:rsid w:val="00501A0C"/>
    <w:rsid w:val="00501AA2"/>
    <w:rsid w:val="00501CDB"/>
    <w:rsid w:val="00501E99"/>
    <w:rsid w:val="0050219B"/>
    <w:rsid w:val="005021B0"/>
    <w:rsid w:val="005027C7"/>
    <w:rsid w:val="0050288F"/>
    <w:rsid w:val="005028F9"/>
    <w:rsid w:val="00502D21"/>
    <w:rsid w:val="00502D4C"/>
    <w:rsid w:val="00502D6E"/>
    <w:rsid w:val="00502DE6"/>
    <w:rsid w:val="00502F93"/>
    <w:rsid w:val="0050302A"/>
    <w:rsid w:val="005032E9"/>
    <w:rsid w:val="00503B50"/>
    <w:rsid w:val="00503F17"/>
    <w:rsid w:val="00503F3A"/>
    <w:rsid w:val="0050405A"/>
    <w:rsid w:val="00504442"/>
    <w:rsid w:val="00504B51"/>
    <w:rsid w:val="00504FE4"/>
    <w:rsid w:val="00505458"/>
    <w:rsid w:val="005055FC"/>
    <w:rsid w:val="00505768"/>
    <w:rsid w:val="0050595D"/>
    <w:rsid w:val="00505BB6"/>
    <w:rsid w:val="00505C0B"/>
    <w:rsid w:val="00505CC1"/>
    <w:rsid w:val="00505F71"/>
    <w:rsid w:val="00506140"/>
    <w:rsid w:val="005061F0"/>
    <w:rsid w:val="005067C7"/>
    <w:rsid w:val="005068B7"/>
    <w:rsid w:val="005068FA"/>
    <w:rsid w:val="00506928"/>
    <w:rsid w:val="00506BAD"/>
    <w:rsid w:val="005071B4"/>
    <w:rsid w:val="005075BF"/>
    <w:rsid w:val="0050779A"/>
    <w:rsid w:val="005077EF"/>
    <w:rsid w:val="00507AFD"/>
    <w:rsid w:val="00507D68"/>
    <w:rsid w:val="005100A1"/>
    <w:rsid w:val="005105A9"/>
    <w:rsid w:val="005107CE"/>
    <w:rsid w:val="00510AE0"/>
    <w:rsid w:val="005112C3"/>
    <w:rsid w:val="00511346"/>
    <w:rsid w:val="00511395"/>
    <w:rsid w:val="00511438"/>
    <w:rsid w:val="00511807"/>
    <w:rsid w:val="00511A54"/>
    <w:rsid w:val="00511AD5"/>
    <w:rsid w:val="00511B35"/>
    <w:rsid w:val="00511BF4"/>
    <w:rsid w:val="00511C4F"/>
    <w:rsid w:val="00511D8D"/>
    <w:rsid w:val="00511DC7"/>
    <w:rsid w:val="00512336"/>
    <w:rsid w:val="005125C1"/>
    <w:rsid w:val="00513195"/>
    <w:rsid w:val="005132C6"/>
    <w:rsid w:val="005133E4"/>
    <w:rsid w:val="005135C5"/>
    <w:rsid w:val="00513644"/>
    <w:rsid w:val="0051389A"/>
    <w:rsid w:val="00513BBC"/>
    <w:rsid w:val="00513C1D"/>
    <w:rsid w:val="00513FD6"/>
    <w:rsid w:val="00514078"/>
    <w:rsid w:val="0051426B"/>
    <w:rsid w:val="005142C5"/>
    <w:rsid w:val="005142D7"/>
    <w:rsid w:val="005143D0"/>
    <w:rsid w:val="00514406"/>
    <w:rsid w:val="005146D2"/>
    <w:rsid w:val="005148B6"/>
    <w:rsid w:val="00514FD6"/>
    <w:rsid w:val="0051501B"/>
    <w:rsid w:val="00515137"/>
    <w:rsid w:val="0051514E"/>
    <w:rsid w:val="005152B5"/>
    <w:rsid w:val="00515554"/>
    <w:rsid w:val="00515886"/>
    <w:rsid w:val="00515FFA"/>
    <w:rsid w:val="005169E2"/>
    <w:rsid w:val="00516AD6"/>
    <w:rsid w:val="00516BED"/>
    <w:rsid w:val="00516C4E"/>
    <w:rsid w:val="00517028"/>
    <w:rsid w:val="00517097"/>
    <w:rsid w:val="00517298"/>
    <w:rsid w:val="0051752A"/>
    <w:rsid w:val="00517562"/>
    <w:rsid w:val="005176A0"/>
    <w:rsid w:val="005176CE"/>
    <w:rsid w:val="005176F9"/>
    <w:rsid w:val="005177D8"/>
    <w:rsid w:val="00517841"/>
    <w:rsid w:val="0051793F"/>
    <w:rsid w:val="00517C66"/>
    <w:rsid w:val="0052000C"/>
    <w:rsid w:val="005207B4"/>
    <w:rsid w:val="0052086E"/>
    <w:rsid w:val="00520A4F"/>
    <w:rsid w:val="00520B59"/>
    <w:rsid w:val="00521066"/>
    <w:rsid w:val="0052123C"/>
    <w:rsid w:val="00521319"/>
    <w:rsid w:val="005213E8"/>
    <w:rsid w:val="005216D7"/>
    <w:rsid w:val="00521745"/>
    <w:rsid w:val="00521C70"/>
    <w:rsid w:val="005220A9"/>
    <w:rsid w:val="0052229C"/>
    <w:rsid w:val="005223A7"/>
    <w:rsid w:val="005223C8"/>
    <w:rsid w:val="00522968"/>
    <w:rsid w:val="00522BC8"/>
    <w:rsid w:val="00522C0D"/>
    <w:rsid w:val="00522C73"/>
    <w:rsid w:val="00522CC0"/>
    <w:rsid w:val="00522F49"/>
    <w:rsid w:val="00523190"/>
    <w:rsid w:val="005234F9"/>
    <w:rsid w:val="0052352D"/>
    <w:rsid w:val="0052399B"/>
    <w:rsid w:val="00523A71"/>
    <w:rsid w:val="00523BE8"/>
    <w:rsid w:val="00523C28"/>
    <w:rsid w:val="00523F5D"/>
    <w:rsid w:val="00524003"/>
    <w:rsid w:val="005241D8"/>
    <w:rsid w:val="00524439"/>
    <w:rsid w:val="005248EC"/>
    <w:rsid w:val="00524AC0"/>
    <w:rsid w:val="00524DFE"/>
    <w:rsid w:val="00525117"/>
    <w:rsid w:val="005251D5"/>
    <w:rsid w:val="00525341"/>
    <w:rsid w:val="0052559B"/>
    <w:rsid w:val="00525735"/>
    <w:rsid w:val="00525739"/>
    <w:rsid w:val="00525D64"/>
    <w:rsid w:val="0052659E"/>
    <w:rsid w:val="005265D9"/>
    <w:rsid w:val="005268CD"/>
    <w:rsid w:val="00526919"/>
    <w:rsid w:val="00526C45"/>
    <w:rsid w:val="0052738E"/>
    <w:rsid w:val="005275B6"/>
    <w:rsid w:val="00527928"/>
    <w:rsid w:val="00527973"/>
    <w:rsid w:val="00527D2C"/>
    <w:rsid w:val="00527E58"/>
    <w:rsid w:val="005300D3"/>
    <w:rsid w:val="005302B1"/>
    <w:rsid w:val="005304DD"/>
    <w:rsid w:val="005305C6"/>
    <w:rsid w:val="00530E46"/>
    <w:rsid w:val="00530E6B"/>
    <w:rsid w:val="00530EF4"/>
    <w:rsid w:val="00531584"/>
    <w:rsid w:val="0053176B"/>
    <w:rsid w:val="00531A10"/>
    <w:rsid w:val="00531F51"/>
    <w:rsid w:val="00532AA7"/>
    <w:rsid w:val="00532AA9"/>
    <w:rsid w:val="00532D64"/>
    <w:rsid w:val="00532E33"/>
    <w:rsid w:val="00532F58"/>
    <w:rsid w:val="005332FE"/>
    <w:rsid w:val="00533396"/>
    <w:rsid w:val="005334A6"/>
    <w:rsid w:val="00533D7F"/>
    <w:rsid w:val="00533FD3"/>
    <w:rsid w:val="005341B3"/>
    <w:rsid w:val="005346C9"/>
    <w:rsid w:val="00534831"/>
    <w:rsid w:val="005348C4"/>
    <w:rsid w:val="00534A87"/>
    <w:rsid w:val="00534E49"/>
    <w:rsid w:val="00534FB0"/>
    <w:rsid w:val="005353F2"/>
    <w:rsid w:val="005357F3"/>
    <w:rsid w:val="005358B3"/>
    <w:rsid w:val="005358D1"/>
    <w:rsid w:val="00535914"/>
    <w:rsid w:val="00535947"/>
    <w:rsid w:val="00535B93"/>
    <w:rsid w:val="00535C12"/>
    <w:rsid w:val="00535C87"/>
    <w:rsid w:val="00536620"/>
    <w:rsid w:val="00536738"/>
    <w:rsid w:val="00536E0A"/>
    <w:rsid w:val="00536F42"/>
    <w:rsid w:val="00536F85"/>
    <w:rsid w:val="005370C0"/>
    <w:rsid w:val="00537182"/>
    <w:rsid w:val="0053722F"/>
    <w:rsid w:val="00537283"/>
    <w:rsid w:val="005373C9"/>
    <w:rsid w:val="005377C0"/>
    <w:rsid w:val="00537C5B"/>
    <w:rsid w:val="005401CB"/>
    <w:rsid w:val="00540378"/>
    <w:rsid w:val="00540D9C"/>
    <w:rsid w:val="0054149E"/>
    <w:rsid w:val="005414BC"/>
    <w:rsid w:val="00541607"/>
    <w:rsid w:val="00541939"/>
    <w:rsid w:val="00541EDD"/>
    <w:rsid w:val="005422F3"/>
    <w:rsid w:val="0054269B"/>
    <w:rsid w:val="00542743"/>
    <w:rsid w:val="00542825"/>
    <w:rsid w:val="005428B4"/>
    <w:rsid w:val="00542AB5"/>
    <w:rsid w:val="00542C2D"/>
    <w:rsid w:val="00542C70"/>
    <w:rsid w:val="00542D5B"/>
    <w:rsid w:val="00542D60"/>
    <w:rsid w:val="00542D90"/>
    <w:rsid w:val="00542E07"/>
    <w:rsid w:val="00542EB1"/>
    <w:rsid w:val="00543231"/>
    <w:rsid w:val="005434B5"/>
    <w:rsid w:val="00543AD1"/>
    <w:rsid w:val="00543D71"/>
    <w:rsid w:val="0054404B"/>
    <w:rsid w:val="005446C1"/>
    <w:rsid w:val="005446F9"/>
    <w:rsid w:val="00544C23"/>
    <w:rsid w:val="00544D95"/>
    <w:rsid w:val="00544F40"/>
    <w:rsid w:val="00546672"/>
    <w:rsid w:val="0054671F"/>
    <w:rsid w:val="00546978"/>
    <w:rsid w:val="00546D49"/>
    <w:rsid w:val="00546EED"/>
    <w:rsid w:val="005471BA"/>
    <w:rsid w:val="005473AC"/>
    <w:rsid w:val="005475EA"/>
    <w:rsid w:val="005478BD"/>
    <w:rsid w:val="005479E3"/>
    <w:rsid w:val="00547C29"/>
    <w:rsid w:val="00547C3B"/>
    <w:rsid w:val="00547EB3"/>
    <w:rsid w:val="00550331"/>
    <w:rsid w:val="005505B1"/>
    <w:rsid w:val="0055091B"/>
    <w:rsid w:val="00550DFE"/>
    <w:rsid w:val="00551311"/>
    <w:rsid w:val="00551623"/>
    <w:rsid w:val="00551793"/>
    <w:rsid w:val="0055180C"/>
    <w:rsid w:val="00551985"/>
    <w:rsid w:val="00551A3A"/>
    <w:rsid w:val="00551A3C"/>
    <w:rsid w:val="00551A4E"/>
    <w:rsid w:val="00552368"/>
    <w:rsid w:val="00552576"/>
    <w:rsid w:val="00552B6A"/>
    <w:rsid w:val="00552BD3"/>
    <w:rsid w:val="005530B0"/>
    <w:rsid w:val="005532A0"/>
    <w:rsid w:val="00553305"/>
    <w:rsid w:val="005539A8"/>
    <w:rsid w:val="00553AC1"/>
    <w:rsid w:val="00554178"/>
    <w:rsid w:val="0055452B"/>
    <w:rsid w:val="005546F2"/>
    <w:rsid w:val="00554A1E"/>
    <w:rsid w:val="00554A24"/>
    <w:rsid w:val="00554C52"/>
    <w:rsid w:val="00555109"/>
    <w:rsid w:val="005551F4"/>
    <w:rsid w:val="0055554D"/>
    <w:rsid w:val="00555F16"/>
    <w:rsid w:val="00556363"/>
    <w:rsid w:val="00556B35"/>
    <w:rsid w:val="00556BE0"/>
    <w:rsid w:val="0055701C"/>
    <w:rsid w:val="0055741A"/>
    <w:rsid w:val="00557480"/>
    <w:rsid w:val="005574E4"/>
    <w:rsid w:val="005575C1"/>
    <w:rsid w:val="00557650"/>
    <w:rsid w:val="00557BE7"/>
    <w:rsid w:val="00557F3B"/>
    <w:rsid w:val="00557F57"/>
    <w:rsid w:val="0056009E"/>
    <w:rsid w:val="005600EB"/>
    <w:rsid w:val="00560208"/>
    <w:rsid w:val="00560316"/>
    <w:rsid w:val="0056032F"/>
    <w:rsid w:val="00560755"/>
    <w:rsid w:val="0056079B"/>
    <w:rsid w:val="00560F39"/>
    <w:rsid w:val="00561141"/>
    <w:rsid w:val="005611B7"/>
    <w:rsid w:val="0056135E"/>
    <w:rsid w:val="005613E0"/>
    <w:rsid w:val="005618D4"/>
    <w:rsid w:val="00561AB3"/>
    <w:rsid w:val="00561FCC"/>
    <w:rsid w:val="00562370"/>
    <w:rsid w:val="00562B3D"/>
    <w:rsid w:val="00562E9A"/>
    <w:rsid w:val="0056310C"/>
    <w:rsid w:val="005635DF"/>
    <w:rsid w:val="005639E0"/>
    <w:rsid w:val="00563B00"/>
    <w:rsid w:val="00563D66"/>
    <w:rsid w:val="00563DFA"/>
    <w:rsid w:val="00563FF3"/>
    <w:rsid w:val="005641A9"/>
    <w:rsid w:val="00564327"/>
    <w:rsid w:val="005643DE"/>
    <w:rsid w:val="00564730"/>
    <w:rsid w:val="00564867"/>
    <w:rsid w:val="005653E1"/>
    <w:rsid w:val="00565664"/>
    <w:rsid w:val="0056575D"/>
    <w:rsid w:val="00565A18"/>
    <w:rsid w:val="00565C0D"/>
    <w:rsid w:val="00565C79"/>
    <w:rsid w:val="00565DF0"/>
    <w:rsid w:val="0056644A"/>
    <w:rsid w:val="005666F8"/>
    <w:rsid w:val="00566783"/>
    <w:rsid w:val="0056683D"/>
    <w:rsid w:val="0056696F"/>
    <w:rsid w:val="00566B6B"/>
    <w:rsid w:val="00566BF2"/>
    <w:rsid w:val="00566E69"/>
    <w:rsid w:val="00566F9B"/>
    <w:rsid w:val="0056702C"/>
    <w:rsid w:val="00567303"/>
    <w:rsid w:val="005673F0"/>
    <w:rsid w:val="005676EC"/>
    <w:rsid w:val="00567732"/>
    <w:rsid w:val="00567BA6"/>
    <w:rsid w:val="00567F90"/>
    <w:rsid w:val="00570127"/>
    <w:rsid w:val="005701C2"/>
    <w:rsid w:val="0057084C"/>
    <w:rsid w:val="00570A47"/>
    <w:rsid w:val="00570A80"/>
    <w:rsid w:val="00570BB4"/>
    <w:rsid w:val="00570D7E"/>
    <w:rsid w:val="00570DF9"/>
    <w:rsid w:val="00570F93"/>
    <w:rsid w:val="00571121"/>
    <w:rsid w:val="00571131"/>
    <w:rsid w:val="00571294"/>
    <w:rsid w:val="0057155F"/>
    <w:rsid w:val="0057167B"/>
    <w:rsid w:val="0057184C"/>
    <w:rsid w:val="005719AE"/>
    <w:rsid w:val="00571F8B"/>
    <w:rsid w:val="00572074"/>
    <w:rsid w:val="00572269"/>
    <w:rsid w:val="0057244A"/>
    <w:rsid w:val="005727DE"/>
    <w:rsid w:val="00572E13"/>
    <w:rsid w:val="00572F26"/>
    <w:rsid w:val="00572F75"/>
    <w:rsid w:val="005731FF"/>
    <w:rsid w:val="00573534"/>
    <w:rsid w:val="00573D0D"/>
    <w:rsid w:val="00573F19"/>
    <w:rsid w:val="005741BB"/>
    <w:rsid w:val="005741CA"/>
    <w:rsid w:val="00574A25"/>
    <w:rsid w:val="00574D0B"/>
    <w:rsid w:val="00574F01"/>
    <w:rsid w:val="00574F97"/>
    <w:rsid w:val="005750C5"/>
    <w:rsid w:val="005752DE"/>
    <w:rsid w:val="005754D2"/>
    <w:rsid w:val="00575676"/>
    <w:rsid w:val="00575ADC"/>
    <w:rsid w:val="00575D60"/>
    <w:rsid w:val="00575D8D"/>
    <w:rsid w:val="00575D94"/>
    <w:rsid w:val="005760D2"/>
    <w:rsid w:val="00576162"/>
    <w:rsid w:val="005764D1"/>
    <w:rsid w:val="005768D8"/>
    <w:rsid w:val="00576972"/>
    <w:rsid w:val="005770B3"/>
    <w:rsid w:val="00577248"/>
    <w:rsid w:val="005774F4"/>
    <w:rsid w:val="00577F48"/>
    <w:rsid w:val="00577FDB"/>
    <w:rsid w:val="00580010"/>
    <w:rsid w:val="00580152"/>
    <w:rsid w:val="00580175"/>
    <w:rsid w:val="0058019D"/>
    <w:rsid w:val="00580423"/>
    <w:rsid w:val="005809A4"/>
    <w:rsid w:val="005809EA"/>
    <w:rsid w:val="00580E2D"/>
    <w:rsid w:val="00581038"/>
    <w:rsid w:val="0058150A"/>
    <w:rsid w:val="005818AB"/>
    <w:rsid w:val="00581C8C"/>
    <w:rsid w:val="00581DBD"/>
    <w:rsid w:val="0058207A"/>
    <w:rsid w:val="005821D5"/>
    <w:rsid w:val="0058223E"/>
    <w:rsid w:val="0058239B"/>
    <w:rsid w:val="00582832"/>
    <w:rsid w:val="00582841"/>
    <w:rsid w:val="00582CFF"/>
    <w:rsid w:val="00582FA8"/>
    <w:rsid w:val="0058310B"/>
    <w:rsid w:val="005834A4"/>
    <w:rsid w:val="00583699"/>
    <w:rsid w:val="005841F1"/>
    <w:rsid w:val="0058424F"/>
    <w:rsid w:val="005842EF"/>
    <w:rsid w:val="00584472"/>
    <w:rsid w:val="00584652"/>
    <w:rsid w:val="00584A48"/>
    <w:rsid w:val="00584AFE"/>
    <w:rsid w:val="00584DAD"/>
    <w:rsid w:val="00584F4F"/>
    <w:rsid w:val="005852BC"/>
    <w:rsid w:val="00585894"/>
    <w:rsid w:val="005858CF"/>
    <w:rsid w:val="005858E6"/>
    <w:rsid w:val="00585C39"/>
    <w:rsid w:val="00585CC0"/>
    <w:rsid w:val="00585CDD"/>
    <w:rsid w:val="00585DC5"/>
    <w:rsid w:val="00585ED9"/>
    <w:rsid w:val="00585F0E"/>
    <w:rsid w:val="0058629F"/>
    <w:rsid w:val="00586404"/>
    <w:rsid w:val="005866E7"/>
    <w:rsid w:val="005866EB"/>
    <w:rsid w:val="00586755"/>
    <w:rsid w:val="00587058"/>
    <w:rsid w:val="00587066"/>
    <w:rsid w:val="00587232"/>
    <w:rsid w:val="005872C0"/>
    <w:rsid w:val="0058775F"/>
    <w:rsid w:val="005878BE"/>
    <w:rsid w:val="0058797E"/>
    <w:rsid w:val="00587B03"/>
    <w:rsid w:val="00587C0A"/>
    <w:rsid w:val="00587E6B"/>
    <w:rsid w:val="0059003D"/>
    <w:rsid w:val="00590131"/>
    <w:rsid w:val="00590380"/>
    <w:rsid w:val="0059049C"/>
    <w:rsid w:val="0059063D"/>
    <w:rsid w:val="005906E8"/>
    <w:rsid w:val="00590BBB"/>
    <w:rsid w:val="00590D51"/>
    <w:rsid w:val="00590F43"/>
    <w:rsid w:val="00590F9B"/>
    <w:rsid w:val="005912BC"/>
    <w:rsid w:val="005912C7"/>
    <w:rsid w:val="00591957"/>
    <w:rsid w:val="005919E8"/>
    <w:rsid w:val="00591A2C"/>
    <w:rsid w:val="00591AB1"/>
    <w:rsid w:val="00591DDF"/>
    <w:rsid w:val="00591F9E"/>
    <w:rsid w:val="0059226C"/>
    <w:rsid w:val="00592D95"/>
    <w:rsid w:val="00592DAD"/>
    <w:rsid w:val="005930E2"/>
    <w:rsid w:val="005934BF"/>
    <w:rsid w:val="0059383C"/>
    <w:rsid w:val="00593DCE"/>
    <w:rsid w:val="00594081"/>
    <w:rsid w:val="0059419A"/>
    <w:rsid w:val="005941BF"/>
    <w:rsid w:val="005941FC"/>
    <w:rsid w:val="005943C8"/>
    <w:rsid w:val="00594607"/>
    <w:rsid w:val="00594626"/>
    <w:rsid w:val="00594922"/>
    <w:rsid w:val="00594D99"/>
    <w:rsid w:val="00594E18"/>
    <w:rsid w:val="00594F18"/>
    <w:rsid w:val="00595514"/>
    <w:rsid w:val="00595764"/>
    <w:rsid w:val="00596009"/>
    <w:rsid w:val="00596605"/>
    <w:rsid w:val="00596929"/>
    <w:rsid w:val="00596E87"/>
    <w:rsid w:val="00597169"/>
    <w:rsid w:val="00597390"/>
    <w:rsid w:val="005973AF"/>
    <w:rsid w:val="0059752F"/>
    <w:rsid w:val="00597804"/>
    <w:rsid w:val="00597A4F"/>
    <w:rsid w:val="00597B3C"/>
    <w:rsid w:val="00597B62"/>
    <w:rsid w:val="00597BF9"/>
    <w:rsid w:val="005A075E"/>
    <w:rsid w:val="005A0C11"/>
    <w:rsid w:val="005A0DA1"/>
    <w:rsid w:val="005A0E6E"/>
    <w:rsid w:val="005A1212"/>
    <w:rsid w:val="005A1330"/>
    <w:rsid w:val="005A156B"/>
    <w:rsid w:val="005A19EA"/>
    <w:rsid w:val="005A1AED"/>
    <w:rsid w:val="005A1F1A"/>
    <w:rsid w:val="005A2958"/>
    <w:rsid w:val="005A2BEB"/>
    <w:rsid w:val="005A309A"/>
    <w:rsid w:val="005A3521"/>
    <w:rsid w:val="005A373D"/>
    <w:rsid w:val="005A377F"/>
    <w:rsid w:val="005A37A4"/>
    <w:rsid w:val="005A37B9"/>
    <w:rsid w:val="005A38F8"/>
    <w:rsid w:val="005A3BAC"/>
    <w:rsid w:val="005A3E75"/>
    <w:rsid w:val="005A3EF6"/>
    <w:rsid w:val="005A405E"/>
    <w:rsid w:val="005A46F5"/>
    <w:rsid w:val="005A4994"/>
    <w:rsid w:val="005A4A2C"/>
    <w:rsid w:val="005A4AE5"/>
    <w:rsid w:val="005A4E68"/>
    <w:rsid w:val="005A4F65"/>
    <w:rsid w:val="005A5136"/>
    <w:rsid w:val="005A5162"/>
    <w:rsid w:val="005A5506"/>
    <w:rsid w:val="005A56E7"/>
    <w:rsid w:val="005A5722"/>
    <w:rsid w:val="005A57BB"/>
    <w:rsid w:val="005A588B"/>
    <w:rsid w:val="005A5BA3"/>
    <w:rsid w:val="005A5E24"/>
    <w:rsid w:val="005A6023"/>
    <w:rsid w:val="005A72DE"/>
    <w:rsid w:val="005A7338"/>
    <w:rsid w:val="005A7570"/>
    <w:rsid w:val="005A77FB"/>
    <w:rsid w:val="005A78DA"/>
    <w:rsid w:val="005A7A62"/>
    <w:rsid w:val="005A7B87"/>
    <w:rsid w:val="005A7D88"/>
    <w:rsid w:val="005B00CA"/>
    <w:rsid w:val="005B0350"/>
    <w:rsid w:val="005B043E"/>
    <w:rsid w:val="005B046F"/>
    <w:rsid w:val="005B0B3E"/>
    <w:rsid w:val="005B0B58"/>
    <w:rsid w:val="005B0BDE"/>
    <w:rsid w:val="005B0C0D"/>
    <w:rsid w:val="005B0DF7"/>
    <w:rsid w:val="005B12F9"/>
    <w:rsid w:val="005B16AC"/>
    <w:rsid w:val="005B1832"/>
    <w:rsid w:val="005B1B87"/>
    <w:rsid w:val="005B23A5"/>
    <w:rsid w:val="005B243A"/>
    <w:rsid w:val="005B255D"/>
    <w:rsid w:val="005B2A8E"/>
    <w:rsid w:val="005B3779"/>
    <w:rsid w:val="005B3B98"/>
    <w:rsid w:val="005B3F04"/>
    <w:rsid w:val="005B41A7"/>
    <w:rsid w:val="005B421E"/>
    <w:rsid w:val="005B47F8"/>
    <w:rsid w:val="005B49A5"/>
    <w:rsid w:val="005B4BF6"/>
    <w:rsid w:val="005B4E1B"/>
    <w:rsid w:val="005B4E53"/>
    <w:rsid w:val="005B5032"/>
    <w:rsid w:val="005B5857"/>
    <w:rsid w:val="005B598F"/>
    <w:rsid w:val="005B5E89"/>
    <w:rsid w:val="005B61CE"/>
    <w:rsid w:val="005B6216"/>
    <w:rsid w:val="005B624D"/>
    <w:rsid w:val="005B6EC8"/>
    <w:rsid w:val="005B710F"/>
    <w:rsid w:val="005B7A53"/>
    <w:rsid w:val="005B7B17"/>
    <w:rsid w:val="005B7C57"/>
    <w:rsid w:val="005B7C7C"/>
    <w:rsid w:val="005B7D52"/>
    <w:rsid w:val="005B7DE5"/>
    <w:rsid w:val="005C0093"/>
    <w:rsid w:val="005C026F"/>
    <w:rsid w:val="005C07E7"/>
    <w:rsid w:val="005C08C7"/>
    <w:rsid w:val="005C0B35"/>
    <w:rsid w:val="005C0B91"/>
    <w:rsid w:val="005C0CEB"/>
    <w:rsid w:val="005C0D73"/>
    <w:rsid w:val="005C1081"/>
    <w:rsid w:val="005C1116"/>
    <w:rsid w:val="005C125A"/>
    <w:rsid w:val="005C1394"/>
    <w:rsid w:val="005C171B"/>
    <w:rsid w:val="005C19C4"/>
    <w:rsid w:val="005C1A4B"/>
    <w:rsid w:val="005C1B83"/>
    <w:rsid w:val="005C1C00"/>
    <w:rsid w:val="005C1C14"/>
    <w:rsid w:val="005C1E6D"/>
    <w:rsid w:val="005C2041"/>
    <w:rsid w:val="005C25FF"/>
    <w:rsid w:val="005C2656"/>
    <w:rsid w:val="005C2A0F"/>
    <w:rsid w:val="005C2D55"/>
    <w:rsid w:val="005C2FFA"/>
    <w:rsid w:val="005C3249"/>
    <w:rsid w:val="005C3338"/>
    <w:rsid w:val="005C346B"/>
    <w:rsid w:val="005C347A"/>
    <w:rsid w:val="005C36E4"/>
    <w:rsid w:val="005C37D2"/>
    <w:rsid w:val="005C3B5B"/>
    <w:rsid w:val="005C42DB"/>
    <w:rsid w:val="005C467F"/>
    <w:rsid w:val="005C4B0C"/>
    <w:rsid w:val="005C4B52"/>
    <w:rsid w:val="005C4D4A"/>
    <w:rsid w:val="005C4DF1"/>
    <w:rsid w:val="005C4F3A"/>
    <w:rsid w:val="005C4F50"/>
    <w:rsid w:val="005C5019"/>
    <w:rsid w:val="005C598C"/>
    <w:rsid w:val="005C5ABC"/>
    <w:rsid w:val="005C5B46"/>
    <w:rsid w:val="005C5EB5"/>
    <w:rsid w:val="005C6134"/>
    <w:rsid w:val="005C617B"/>
    <w:rsid w:val="005C6242"/>
    <w:rsid w:val="005C661D"/>
    <w:rsid w:val="005C69FA"/>
    <w:rsid w:val="005C6AB3"/>
    <w:rsid w:val="005C73E4"/>
    <w:rsid w:val="005C7889"/>
    <w:rsid w:val="005C79AD"/>
    <w:rsid w:val="005C79EE"/>
    <w:rsid w:val="005C7C42"/>
    <w:rsid w:val="005C7D9B"/>
    <w:rsid w:val="005C7E83"/>
    <w:rsid w:val="005D0149"/>
    <w:rsid w:val="005D0271"/>
    <w:rsid w:val="005D044D"/>
    <w:rsid w:val="005D0607"/>
    <w:rsid w:val="005D0798"/>
    <w:rsid w:val="005D0886"/>
    <w:rsid w:val="005D091E"/>
    <w:rsid w:val="005D0ABD"/>
    <w:rsid w:val="005D0CDA"/>
    <w:rsid w:val="005D0E52"/>
    <w:rsid w:val="005D0EB5"/>
    <w:rsid w:val="005D107D"/>
    <w:rsid w:val="005D1559"/>
    <w:rsid w:val="005D16BD"/>
    <w:rsid w:val="005D16D3"/>
    <w:rsid w:val="005D18AD"/>
    <w:rsid w:val="005D190B"/>
    <w:rsid w:val="005D1C91"/>
    <w:rsid w:val="005D1E48"/>
    <w:rsid w:val="005D2053"/>
    <w:rsid w:val="005D226D"/>
    <w:rsid w:val="005D2335"/>
    <w:rsid w:val="005D23AA"/>
    <w:rsid w:val="005D2448"/>
    <w:rsid w:val="005D26B4"/>
    <w:rsid w:val="005D28A1"/>
    <w:rsid w:val="005D2CCA"/>
    <w:rsid w:val="005D343F"/>
    <w:rsid w:val="005D3BB5"/>
    <w:rsid w:val="005D3C62"/>
    <w:rsid w:val="005D4134"/>
    <w:rsid w:val="005D42D3"/>
    <w:rsid w:val="005D4ECF"/>
    <w:rsid w:val="005D5444"/>
    <w:rsid w:val="005D57C3"/>
    <w:rsid w:val="005D5C53"/>
    <w:rsid w:val="005D5DA7"/>
    <w:rsid w:val="005D6016"/>
    <w:rsid w:val="005D6C81"/>
    <w:rsid w:val="005D6ECD"/>
    <w:rsid w:val="005D6EEE"/>
    <w:rsid w:val="005D733E"/>
    <w:rsid w:val="005D748E"/>
    <w:rsid w:val="005D756C"/>
    <w:rsid w:val="005D75DF"/>
    <w:rsid w:val="005D7629"/>
    <w:rsid w:val="005D7699"/>
    <w:rsid w:val="005D78A2"/>
    <w:rsid w:val="005D7A76"/>
    <w:rsid w:val="005D7B0A"/>
    <w:rsid w:val="005E04FD"/>
    <w:rsid w:val="005E0986"/>
    <w:rsid w:val="005E0C60"/>
    <w:rsid w:val="005E0DA9"/>
    <w:rsid w:val="005E1064"/>
    <w:rsid w:val="005E1995"/>
    <w:rsid w:val="005E19E0"/>
    <w:rsid w:val="005E1A73"/>
    <w:rsid w:val="005E2058"/>
    <w:rsid w:val="005E2187"/>
    <w:rsid w:val="005E2385"/>
    <w:rsid w:val="005E2483"/>
    <w:rsid w:val="005E2A01"/>
    <w:rsid w:val="005E2A24"/>
    <w:rsid w:val="005E2B84"/>
    <w:rsid w:val="005E2C7D"/>
    <w:rsid w:val="005E315C"/>
    <w:rsid w:val="005E31BC"/>
    <w:rsid w:val="005E337C"/>
    <w:rsid w:val="005E3452"/>
    <w:rsid w:val="005E3488"/>
    <w:rsid w:val="005E3B34"/>
    <w:rsid w:val="005E3ECE"/>
    <w:rsid w:val="005E3EEE"/>
    <w:rsid w:val="005E4010"/>
    <w:rsid w:val="005E4142"/>
    <w:rsid w:val="005E4652"/>
    <w:rsid w:val="005E46BD"/>
    <w:rsid w:val="005E4894"/>
    <w:rsid w:val="005E49F6"/>
    <w:rsid w:val="005E4AF3"/>
    <w:rsid w:val="005E4AF9"/>
    <w:rsid w:val="005E4BE6"/>
    <w:rsid w:val="005E4E7B"/>
    <w:rsid w:val="005E4EDB"/>
    <w:rsid w:val="005E5047"/>
    <w:rsid w:val="005E5186"/>
    <w:rsid w:val="005E564E"/>
    <w:rsid w:val="005E5EEC"/>
    <w:rsid w:val="005E6148"/>
    <w:rsid w:val="005E629B"/>
    <w:rsid w:val="005E6A79"/>
    <w:rsid w:val="005E6AD7"/>
    <w:rsid w:val="005E6C10"/>
    <w:rsid w:val="005E6CBC"/>
    <w:rsid w:val="005E70D0"/>
    <w:rsid w:val="005E728D"/>
    <w:rsid w:val="005E72FF"/>
    <w:rsid w:val="005E73C0"/>
    <w:rsid w:val="005E7B18"/>
    <w:rsid w:val="005F05D1"/>
    <w:rsid w:val="005F0746"/>
    <w:rsid w:val="005F07ED"/>
    <w:rsid w:val="005F0BB5"/>
    <w:rsid w:val="005F0BFC"/>
    <w:rsid w:val="005F0CF3"/>
    <w:rsid w:val="005F18A7"/>
    <w:rsid w:val="005F1D02"/>
    <w:rsid w:val="005F1E09"/>
    <w:rsid w:val="005F2706"/>
    <w:rsid w:val="005F2884"/>
    <w:rsid w:val="005F29C4"/>
    <w:rsid w:val="005F2A29"/>
    <w:rsid w:val="005F2E80"/>
    <w:rsid w:val="005F2F7E"/>
    <w:rsid w:val="005F3137"/>
    <w:rsid w:val="005F3387"/>
    <w:rsid w:val="005F34C7"/>
    <w:rsid w:val="005F3570"/>
    <w:rsid w:val="005F3ADA"/>
    <w:rsid w:val="005F3C03"/>
    <w:rsid w:val="005F4055"/>
    <w:rsid w:val="005F4249"/>
    <w:rsid w:val="005F4720"/>
    <w:rsid w:val="005F47B0"/>
    <w:rsid w:val="005F4D11"/>
    <w:rsid w:val="005F4D43"/>
    <w:rsid w:val="005F4F74"/>
    <w:rsid w:val="005F5478"/>
    <w:rsid w:val="005F54A6"/>
    <w:rsid w:val="005F54AA"/>
    <w:rsid w:val="005F558A"/>
    <w:rsid w:val="005F579A"/>
    <w:rsid w:val="005F5A55"/>
    <w:rsid w:val="005F6186"/>
    <w:rsid w:val="005F627A"/>
    <w:rsid w:val="005F67CC"/>
    <w:rsid w:val="005F680A"/>
    <w:rsid w:val="005F6A8F"/>
    <w:rsid w:val="005F6BB7"/>
    <w:rsid w:val="005F6E7C"/>
    <w:rsid w:val="005F6FA9"/>
    <w:rsid w:val="005F71F8"/>
    <w:rsid w:val="005F72A3"/>
    <w:rsid w:val="005F735B"/>
    <w:rsid w:val="005F745D"/>
    <w:rsid w:val="005F7588"/>
    <w:rsid w:val="005F7734"/>
    <w:rsid w:val="005F7738"/>
    <w:rsid w:val="005F77D0"/>
    <w:rsid w:val="005F7FBD"/>
    <w:rsid w:val="006004B1"/>
    <w:rsid w:val="006009F8"/>
    <w:rsid w:val="00600EF7"/>
    <w:rsid w:val="00601A61"/>
    <w:rsid w:val="00601BDC"/>
    <w:rsid w:val="00601C4A"/>
    <w:rsid w:val="006023BB"/>
    <w:rsid w:val="006023D8"/>
    <w:rsid w:val="00602651"/>
    <w:rsid w:val="006026DD"/>
    <w:rsid w:val="006028D3"/>
    <w:rsid w:val="00602B1A"/>
    <w:rsid w:val="006032AA"/>
    <w:rsid w:val="00603338"/>
    <w:rsid w:val="0060372F"/>
    <w:rsid w:val="0060383C"/>
    <w:rsid w:val="00603B1F"/>
    <w:rsid w:val="00603B99"/>
    <w:rsid w:val="00603B9B"/>
    <w:rsid w:val="00603DB9"/>
    <w:rsid w:val="00603DBA"/>
    <w:rsid w:val="00603DF0"/>
    <w:rsid w:val="00603F64"/>
    <w:rsid w:val="006040C9"/>
    <w:rsid w:val="0060435B"/>
    <w:rsid w:val="00604792"/>
    <w:rsid w:val="00604C67"/>
    <w:rsid w:val="00604CB4"/>
    <w:rsid w:val="006053D1"/>
    <w:rsid w:val="006054BF"/>
    <w:rsid w:val="006055D8"/>
    <w:rsid w:val="006057FE"/>
    <w:rsid w:val="00605AB5"/>
    <w:rsid w:val="00605F87"/>
    <w:rsid w:val="00606F3F"/>
    <w:rsid w:val="00606FBA"/>
    <w:rsid w:val="00607120"/>
    <w:rsid w:val="00607669"/>
    <w:rsid w:val="006076A8"/>
    <w:rsid w:val="006076F4"/>
    <w:rsid w:val="006079E4"/>
    <w:rsid w:val="00607AFD"/>
    <w:rsid w:val="006104A9"/>
    <w:rsid w:val="0061073C"/>
    <w:rsid w:val="00611339"/>
    <w:rsid w:val="0061169E"/>
    <w:rsid w:val="00611B12"/>
    <w:rsid w:val="00611EFC"/>
    <w:rsid w:val="00611FE3"/>
    <w:rsid w:val="006122BE"/>
    <w:rsid w:val="00612314"/>
    <w:rsid w:val="006128B4"/>
    <w:rsid w:val="00612BD7"/>
    <w:rsid w:val="00612C79"/>
    <w:rsid w:val="00612D7A"/>
    <w:rsid w:val="00612F88"/>
    <w:rsid w:val="00612F97"/>
    <w:rsid w:val="006130B0"/>
    <w:rsid w:val="006131B5"/>
    <w:rsid w:val="006132C0"/>
    <w:rsid w:val="0061345D"/>
    <w:rsid w:val="00613605"/>
    <w:rsid w:val="006136AB"/>
    <w:rsid w:val="00613799"/>
    <w:rsid w:val="0061397E"/>
    <w:rsid w:val="006139C0"/>
    <w:rsid w:val="00613A06"/>
    <w:rsid w:val="00613A13"/>
    <w:rsid w:val="00613BB8"/>
    <w:rsid w:val="00614543"/>
    <w:rsid w:val="006146DA"/>
    <w:rsid w:val="00614946"/>
    <w:rsid w:val="00614A3E"/>
    <w:rsid w:val="00614B8E"/>
    <w:rsid w:val="00614BF9"/>
    <w:rsid w:val="00614EDF"/>
    <w:rsid w:val="006150AE"/>
    <w:rsid w:val="006152A4"/>
    <w:rsid w:val="0061530A"/>
    <w:rsid w:val="0061549B"/>
    <w:rsid w:val="00615E88"/>
    <w:rsid w:val="00615F70"/>
    <w:rsid w:val="006163F4"/>
    <w:rsid w:val="0061669E"/>
    <w:rsid w:val="00616802"/>
    <w:rsid w:val="00616B26"/>
    <w:rsid w:val="00616D28"/>
    <w:rsid w:val="0061701B"/>
    <w:rsid w:val="00617175"/>
    <w:rsid w:val="0061726C"/>
    <w:rsid w:val="006173F9"/>
    <w:rsid w:val="0061747F"/>
    <w:rsid w:val="00617638"/>
    <w:rsid w:val="006179C3"/>
    <w:rsid w:val="00617B42"/>
    <w:rsid w:val="00617E12"/>
    <w:rsid w:val="006201A7"/>
    <w:rsid w:val="00620466"/>
    <w:rsid w:val="006208C2"/>
    <w:rsid w:val="00620AF9"/>
    <w:rsid w:val="00620C25"/>
    <w:rsid w:val="00620CD1"/>
    <w:rsid w:val="00620D18"/>
    <w:rsid w:val="00620D43"/>
    <w:rsid w:val="00620D9D"/>
    <w:rsid w:val="00621276"/>
    <w:rsid w:val="006213A3"/>
    <w:rsid w:val="00621477"/>
    <w:rsid w:val="00621512"/>
    <w:rsid w:val="00621549"/>
    <w:rsid w:val="006215A5"/>
    <w:rsid w:val="00621ADA"/>
    <w:rsid w:val="00622390"/>
    <w:rsid w:val="00622631"/>
    <w:rsid w:val="006226B0"/>
    <w:rsid w:val="00622B36"/>
    <w:rsid w:val="00622BBC"/>
    <w:rsid w:val="00622C19"/>
    <w:rsid w:val="006230D3"/>
    <w:rsid w:val="00623126"/>
    <w:rsid w:val="00623A41"/>
    <w:rsid w:val="00623DD8"/>
    <w:rsid w:val="00623F7B"/>
    <w:rsid w:val="006240FE"/>
    <w:rsid w:val="006248A1"/>
    <w:rsid w:val="00624932"/>
    <w:rsid w:val="00624AC1"/>
    <w:rsid w:val="00624BD4"/>
    <w:rsid w:val="00624C5B"/>
    <w:rsid w:val="00625176"/>
    <w:rsid w:val="006253C0"/>
    <w:rsid w:val="0062584F"/>
    <w:rsid w:val="00625A2E"/>
    <w:rsid w:val="00625FF9"/>
    <w:rsid w:val="0062613E"/>
    <w:rsid w:val="006261E8"/>
    <w:rsid w:val="00626CDB"/>
    <w:rsid w:val="00626E45"/>
    <w:rsid w:val="00626E73"/>
    <w:rsid w:val="006270EB"/>
    <w:rsid w:val="0062710B"/>
    <w:rsid w:val="0062743F"/>
    <w:rsid w:val="006278DC"/>
    <w:rsid w:val="00627BF2"/>
    <w:rsid w:val="00627DF4"/>
    <w:rsid w:val="006304EB"/>
    <w:rsid w:val="00630559"/>
    <w:rsid w:val="00630744"/>
    <w:rsid w:val="00630A79"/>
    <w:rsid w:val="00630A9B"/>
    <w:rsid w:val="00630DFD"/>
    <w:rsid w:val="006310F5"/>
    <w:rsid w:val="00631567"/>
    <w:rsid w:val="00631578"/>
    <w:rsid w:val="0063158F"/>
    <w:rsid w:val="0063185D"/>
    <w:rsid w:val="00631D6B"/>
    <w:rsid w:val="00631E46"/>
    <w:rsid w:val="00631E53"/>
    <w:rsid w:val="0063213E"/>
    <w:rsid w:val="00632183"/>
    <w:rsid w:val="00632339"/>
    <w:rsid w:val="0063241B"/>
    <w:rsid w:val="00632464"/>
    <w:rsid w:val="00632864"/>
    <w:rsid w:val="00632987"/>
    <w:rsid w:val="006329B7"/>
    <w:rsid w:val="00632BFB"/>
    <w:rsid w:val="00632F0D"/>
    <w:rsid w:val="006330A1"/>
    <w:rsid w:val="00633F44"/>
    <w:rsid w:val="006343EB"/>
    <w:rsid w:val="0063441D"/>
    <w:rsid w:val="00634423"/>
    <w:rsid w:val="00634640"/>
    <w:rsid w:val="0063479F"/>
    <w:rsid w:val="006348FD"/>
    <w:rsid w:val="00634B87"/>
    <w:rsid w:val="00634CF6"/>
    <w:rsid w:val="00634FBF"/>
    <w:rsid w:val="006350C3"/>
    <w:rsid w:val="00635196"/>
    <w:rsid w:val="006353F0"/>
    <w:rsid w:val="00635566"/>
    <w:rsid w:val="006357B5"/>
    <w:rsid w:val="00635991"/>
    <w:rsid w:val="00635A89"/>
    <w:rsid w:val="00635BE9"/>
    <w:rsid w:val="00636050"/>
    <w:rsid w:val="00636391"/>
    <w:rsid w:val="006364A1"/>
    <w:rsid w:val="0063678E"/>
    <w:rsid w:val="00636895"/>
    <w:rsid w:val="00636B6C"/>
    <w:rsid w:val="00636B8B"/>
    <w:rsid w:val="006373ED"/>
    <w:rsid w:val="0063785C"/>
    <w:rsid w:val="00637994"/>
    <w:rsid w:val="00637BFD"/>
    <w:rsid w:val="00637C5C"/>
    <w:rsid w:val="00637F91"/>
    <w:rsid w:val="00640540"/>
    <w:rsid w:val="00640731"/>
    <w:rsid w:val="0064099B"/>
    <w:rsid w:val="00640A37"/>
    <w:rsid w:val="00640CB0"/>
    <w:rsid w:val="00641265"/>
    <w:rsid w:val="0064132A"/>
    <w:rsid w:val="00641912"/>
    <w:rsid w:val="00641C4E"/>
    <w:rsid w:val="00641CD2"/>
    <w:rsid w:val="00641CE8"/>
    <w:rsid w:val="00641FB3"/>
    <w:rsid w:val="00642087"/>
    <w:rsid w:val="006423C3"/>
    <w:rsid w:val="006423EC"/>
    <w:rsid w:val="006426ED"/>
    <w:rsid w:val="00642837"/>
    <w:rsid w:val="00642D3D"/>
    <w:rsid w:val="00642DDD"/>
    <w:rsid w:val="00642F6D"/>
    <w:rsid w:val="0064394E"/>
    <w:rsid w:val="00644176"/>
    <w:rsid w:val="00644191"/>
    <w:rsid w:val="0064425A"/>
    <w:rsid w:val="0064434C"/>
    <w:rsid w:val="0064477C"/>
    <w:rsid w:val="00644818"/>
    <w:rsid w:val="006448F3"/>
    <w:rsid w:val="00644CAD"/>
    <w:rsid w:val="00644DA3"/>
    <w:rsid w:val="006451E9"/>
    <w:rsid w:val="0064558C"/>
    <w:rsid w:val="006455A0"/>
    <w:rsid w:val="006455D0"/>
    <w:rsid w:val="006457F3"/>
    <w:rsid w:val="00645AE1"/>
    <w:rsid w:val="00645D7E"/>
    <w:rsid w:val="00646000"/>
    <w:rsid w:val="00646081"/>
    <w:rsid w:val="00646174"/>
    <w:rsid w:val="006464E7"/>
    <w:rsid w:val="00646826"/>
    <w:rsid w:val="00646EF5"/>
    <w:rsid w:val="006470A0"/>
    <w:rsid w:val="006471CC"/>
    <w:rsid w:val="006472FE"/>
    <w:rsid w:val="00647A29"/>
    <w:rsid w:val="00647AE2"/>
    <w:rsid w:val="00647B18"/>
    <w:rsid w:val="00647B3A"/>
    <w:rsid w:val="00650707"/>
    <w:rsid w:val="0065079F"/>
    <w:rsid w:val="00650AF9"/>
    <w:rsid w:val="00650D81"/>
    <w:rsid w:val="00650D9F"/>
    <w:rsid w:val="00651227"/>
    <w:rsid w:val="00651343"/>
    <w:rsid w:val="006516C6"/>
    <w:rsid w:val="006516F1"/>
    <w:rsid w:val="00651B41"/>
    <w:rsid w:val="00651B67"/>
    <w:rsid w:val="00651DFE"/>
    <w:rsid w:val="00652039"/>
    <w:rsid w:val="00652463"/>
    <w:rsid w:val="00652563"/>
    <w:rsid w:val="006525D5"/>
    <w:rsid w:val="00652795"/>
    <w:rsid w:val="006527F4"/>
    <w:rsid w:val="00652A28"/>
    <w:rsid w:val="00652AF1"/>
    <w:rsid w:val="00652BC1"/>
    <w:rsid w:val="00652D95"/>
    <w:rsid w:val="006532AF"/>
    <w:rsid w:val="00653348"/>
    <w:rsid w:val="00653459"/>
    <w:rsid w:val="0065379F"/>
    <w:rsid w:val="00653C5E"/>
    <w:rsid w:val="00653D4C"/>
    <w:rsid w:val="00654035"/>
    <w:rsid w:val="00654458"/>
    <w:rsid w:val="006545AA"/>
    <w:rsid w:val="006545BF"/>
    <w:rsid w:val="0065480C"/>
    <w:rsid w:val="00654C0D"/>
    <w:rsid w:val="00654CD8"/>
    <w:rsid w:val="00654DE2"/>
    <w:rsid w:val="00654EA9"/>
    <w:rsid w:val="00655002"/>
    <w:rsid w:val="0065528E"/>
    <w:rsid w:val="006553A3"/>
    <w:rsid w:val="00655462"/>
    <w:rsid w:val="006558E4"/>
    <w:rsid w:val="006559D4"/>
    <w:rsid w:val="00655A06"/>
    <w:rsid w:val="00655F93"/>
    <w:rsid w:val="00656188"/>
    <w:rsid w:val="0065646C"/>
    <w:rsid w:val="006565A6"/>
    <w:rsid w:val="006567F1"/>
    <w:rsid w:val="0065685A"/>
    <w:rsid w:val="00656D89"/>
    <w:rsid w:val="00657025"/>
    <w:rsid w:val="0065715A"/>
    <w:rsid w:val="0065720B"/>
    <w:rsid w:val="00657571"/>
    <w:rsid w:val="00657572"/>
    <w:rsid w:val="00657753"/>
    <w:rsid w:val="00657AC6"/>
    <w:rsid w:val="00657DFF"/>
    <w:rsid w:val="00657EAE"/>
    <w:rsid w:val="00657FA9"/>
    <w:rsid w:val="006601C5"/>
    <w:rsid w:val="006603D2"/>
    <w:rsid w:val="00660714"/>
    <w:rsid w:val="00660C94"/>
    <w:rsid w:val="00660EE2"/>
    <w:rsid w:val="006610F1"/>
    <w:rsid w:val="006611F6"/>
    <w:rsid w:val="006612B9"/>
    <w:rsid w:val="006613FB"/>
    <w:rsid w:val="00661C6B"/>
    <w:rsid w:val="00661DAF"/>
    <w:rsid w:val="0066221E"/>
    <w:rsid w:val="00662D33"/>
    <w:rsid w:val="00662D3E"/>
    <w:rsid w:val="006632FF"/>
    <w:rsid w:val="00663650"/>
    <w:rsid w:val="00663695"/>
    <w:rsid w:val="006638EA"/>
    <w:rsid w:val="006639B3"/>
    <w:rsid w:val="00663CAF"/>
    <w:rsid w:val="00663DBB"/>
    <w:rsid w:val="00663EFF"/>
    <w:rsid w:val="0066426B"/>
    <w:rsid w:val="00664A07"/>
    <w:rsid w:val="00664ACB"/>
    <w:rsid w:val="00664B0A"/>
    <w:rsid w:val="006654F7"/>
    <w:rsid w:val="006657A8"/>
    <w:rsid w:val="00665CC8"/>
    <w:rsid w:val="00665F8D"/>
    <w:rsid w:val="00666042"/>
    <w:rsid w:val="00666052"/>
    <w:rsid w:val="0066634D"/>
    <w:rsid w:val="0066654A"/>
    <w:rsid w:val="006667B1"/>
    <w:rsid w:val="00666DA3"/>
    <w:rsid w:val="00666F2F"/>
    <w:rsid w:val="00667047"/>
    <w:rsid w:val="0066745F"/>
    <w:rsid w:val="006677AD"/>
    <w:rsid w:val="006677E0"/>
    <w:rsid w:val="00667BE3"/>
    <w:rsid w:val="00667FD1"/>
    <w:rsid w:val="006700B0"/>
    <w:rsid w:val="006703A7"/>
    <w:rsid w:val="00670714"/>
    <w:rsid w:val="0067085F"/>
    <w:rsid w:val="00670A43"/>
    <w:rsid w:val="00670D27"/>
    <w:rsid w:val="00670D5B"/>
    <w:rsid w:val="00670FAD"/>
    <w:rsid w:val="00670FDB"/>
    <w:rsid w:val="00671004"/>
    <w:rsid w:val="00671752"/>
    <w:rsid w:val="00671755"/>
    <w:rsid w:val="006718A3"/>
    <w:rsid w:val="00671B29"/>
    <w:rsid w:val="00671B37"/>
    <w:rsid w:val="00671E40"/>
    <w:rsid w:val="00671F15"/>
    <w:rsid w:val="00671F4B"/>
    <w:rsid w:val="006720D1"/>
    <w:rsid w:val="00672113"/>
    <w:rsid w:val="0067227C"/>
    <w:rsid w:val="00672396"/>
    <w:rsid w:val="00672646"/>
    <w:rsid w:val="006726E4"/>
    <w:rsid w:val="0067285A"/>
    <w:rsid w:val="00672918"/>
    <w:rsid w:val="00672D2C"/>
    <w:rsid w:val="00672DEB"/>
    <w:rsid w:val="00672EAF"/>
    <w:rsid w:val="00673002"/>
    <w:rsid w:val="00673293"/>
    <w:rsid w:val="006739FD"/>
    <w:rsid w:val="00673B46"/>
    <w:rsid w:val="00673CC8"/>
    <w:rsid w:val="00674119"/>
    <w:rsid w:val="006743CB"/>
    <w:rsid w:val="00674E42"/>
    <w:rsid w:val="0067513F"/>
    <w:rsid w:val="0067555A"/>
    <w:rsid w:val="00675613"/>
    <w:rsid w:val="00675F23"/>
    <w:rsid w:val="0067609B"/>
    <w:rsid w:val="00676563"/>
    <w:rsid w:val="006766D9"/>
    <w:rsid w:val="00676B82"/>
    <w:rsid w:val="00676BD4"/>
    <w:rsid w:val="00676F20"/>
    <w:rsid w:val="00676F99"/>
    <w:rsid w:val="0067736F"/>
    <w:rsid w:val="0067760B"/>
    <w:rsid w:val="006778E9"/>
    <w:rsid w:val="00677A26"/>
    <w:rsid w:val="00677A3D"/>
    <w:rsid w:val="00677DFA"/>
    <w:rsid w:val="00677EB6"/>
    <w:rsid w:val="00680002"/>
    <w:rsid w:val="0068001B"/>
    <w:rsid w:val="00680A4F"/>
    <w:rsid w:val="00680E67"/>
    <w:rsid w:val="00680EFD"/>
    <w:rsid w:val="006810E9"/>
    <w:rsid w:val="00681247"/>
    <w:rsid w:val="006813F8"/>
    <w:rsid w:val="00681434"/>
    <w:rsid w:val="0068173F"/>
    <w:rsid w:val="00681756"/>
    <w:rsid w:val="00681B2B"/>
    <w:rsid w:val="00681B50"/>
    <w:rsid w:val="00681EA4"/>
    <w:rsid w:val="00681EBC"/>
    <w:rsid w:val="00682112"/>
    <w:rsid w:val="0068227F"/>
    <w:rsid w:val="006822F4"/>
    <w:rsid w:val="00682376"/>
    <w:rsid w:val="00682636"/>
    <w:rsid w:val="0068270C"/>
    <w:rsid w:val="00682A99"/>
    <w:rsid w:val="00682BA6"/>
    <w:rsid w:val="00682FEB"/>
    <w:rsid w:val="00683340"/>
    <w:rsid w:val="006835F6"/>
    <w:rsid w:val="00683797"/>
    <w:rsid w:val="00683AB5"/>
    <w:rsid w:val="00683B53"/>
    <w:rsid w:val="00683E13"/>
    <w:rsid w:val="00683F6E"/>
    <w:rsid w:val="006844B0"/>
    <w:rsid w:val="006844BC"/>
    <w:rsid w:val="0068451C"/>
    <w:rsid w:val="006845D1"/>
    <w:rsid w:val="006845F2"/>
    <w:rsid w:val="0068480E"/>
    <w:rsid w:val="006849FF"/>
    <w:rsid w:val="00684A67"/>
    <w:rsid w:val="00684C51"/>
    <w:rsid w:val="006850D5"/>
    <w:rsid w:val="00685165"/>
    <w:rsid w:val="00685507"/>
    <w:rsid w:val="006857D4"/>
    <w:rsid w:val="00685F7D"/>
    <w:rsid w:val="00686290"/>
    <w:rsid w:val="006863F8"/>
    <w:rsid w:val="0068683C"/>
    <w:rsid w:val="00686957"/>
    <w:rsid w:val="00686BC9"/>
    <w:rsid w:val="00686EA4"/>
    <w:rsid w:val="0068710D"/>
    <w:rsid w:val="006872BA"/>
    <w:rsid w:val="0068749D"/>
    <w:rsid w:val="00687560"/>
    <w:rsid w:val="006878CA"/>
    <w:rsid w:val="00687E67"/>
    <w:rsid w:val="00690156"/>
    <w:rsid w:val="006903A0"/>
    <w:rsid w:val="0069046B"/>
    <w:rsid w:val="00690795"/>
    <w:rsid w:val="00690AFC"/>
    <w:rsid w:val="00690B28"/>
    <w:rsid w:val="006910A0"/>
    <w:rsid w:val="00691138"/>
    <w:rsid w:val="00691648"/>
    <w:rsid w:val="006917D7"/>
    <w:rsid w:val="0069182E"/>
    <w:rsid w:val="00691917"/>
    <w:rsid w:val="00691BA9"/>
    <w:rsid w:val="00691C5C"/>
    <w:rsid w:val="00691D01"/>
    <w:rsid w:val="00691ECB"/>
    <w:rsid w:val="00692620"/>
    <w:rsid w:val="006927B9"/>
    <w:rsid w:val="006928FC"/>
    <w:rsid w:val="00692A44"/>
    <w:rsid w:val="00692B56"/>
    <w:rsid w:val="00693179"/>
    <w:rsid w:val="006932C9"/>
    <w:rsid w:val="006936D3"/>
    <w:rsid w:val="006937AC"/>
    <w:rsid w:val="0069382F"/>
    <w:rsid w:val="00693955"/>
    <w:rsid w:val="00694072"/>
    <w:rsid w:val="0069434C"/>
    <w:rsid w:val="006944A8"/>
    <w:rsid w:val="006948EE"/>
    <w:rsid w:val="00694A1B"/>
    <w:rsid w:val="00694D6F"/>
    <w:rsid w:val="00694F44"/>
    <w:rsid w:val="00695226"/>
    <w:rsid w:val="0069536D"/>
    <w:rsid w:val="006955AF"/>
    <w:rsid w:val="0069598A"/>
    <w:rsid w:val="00695A59"/>
    <w:rsid w:val="00695E43"/>
    <w:rsid w:val="006961F9"/>
    <w:rsid w:val="0069637F"/>
    <w:rsid w:val="00696576"/>
    <w:rsid w:val="0069675B"/>
    <w:rsid w:val="00696823"/>
    <w:rsid w:val="00696A2C"/>
    <w:rsid w:val="00696DDF"/>
    <w:rsid w:val="00696EF9"/>
    <w:rsid w:val="00696F51"/>
    <w:rsid w:val="00696F5B"/>
    <w:rsid w:val="00696F87"/>
    <w:rsid w:val="00697636"/>
    <w:rsid w:val="0069764B"/>
    <w:rsid w:val="006977F6"/>
    <w:rsid w:val="006977F8"/>
    <w:rsid w:val="0069787D"/>
    <w:rsid w:val="006979A5"/>
    <w:rsid w:val="006A016F"/>
    <w:rsid w:val="006A01D8"/>
    <w:rsid w:val="006A025B"/>
    <w:rsid w:val="006A0D03"/>
    <w:rsid w:val="006A0DF7"/>
    <w:rsid w:val="006A121A"/>
    <w:rsid w:val="006A16EB"/>
    <w:rsid w:val="006A181C"/>
    <w:rsid w:val="006A199F"/>
    <w:rsid w:val="006A19C9"/>
    <w:rsid w:val="006A1DB7"/>
    <w:rsid w:val="006A2159"/>
    <w:rsid w:val="006A35F0"/>
    <w:rsid w:val="006A3640"/>
    <w:rsid w:val="006A3931"/>
    <w:rsid w:val="006A3944"/>
    <w:rsid w:val="006A3CA2"/>
    <w:rsid w:val="006A3D2F"/>
    <w:rsid w:val="006A42D3"/>
    <w:rsid w:val="006A42F9"/>
    <w:rsid w:val="006A4321"/>
    <w:rsid w:val="006A43D9"/>
    <w:rsid w:val="006A440A"/>
    <w:rsid w:val="006A4472"/>
    <w:rsid w:val="006A46D5"/>
    <w:rsid w:val="006A46F8"/>
    <w:rsid w:val="006A4724"/>
    <w:rsid w:val="006A477A"/>
    <w:rsid w:val="006A4A7C"/>
    <w:rsid w:val="006A4C8F"/>
    <w:rsid w:val="006A4F12"/>
    <w:rsid w:val="006A51CA"/>
    <w:rsid w:val="006A52AC"/>
    <w:rsid w:val="006A53D7"/>
    <w:rsid w:val="006A599A"/>
    <w:rsid w:val="006A5B6F"/>
    <w:rsid w:val="006A61BF"/>
    <w:rsid w:val="006A6489"/>
    <w:rsid w:val="006A69A8"/>
    <w:rsid w:val="006A69FA"/>
    <w:rsid w:val="006A6A9E"/>
    <w:rsid w:val="006A6AC3"/>
    <w:rsid w:val="006A6B99"/>
    <w:rsid w:val="006A70F5"/>
    <w:rsid w:val="006A71FF"/>
    <w:rsid w:val="006A730E"/>
    <w:rsid w:val="006A76A3"/>
    <w:rsid w:val="006A7751"/>
    <w:rsid w:val="006A79AF"/>
    <w:rsid w:val="006A7B58"/>
    <w:rsid w:val="006A7E5F"/>
    <w:rsid w:val="006A7EE8"/>
    <w:rsid w:val="006B03C4"/>
    <w:rsid w:val="006B08E5"/>
    <w:rsid w:val="006B10AC"/>
    <w:rsid w:val="006B14E0"/>
    <w:rsid w:val="006B1602"/>
    <w:rsid w:val="006B1645"/>
    <w:rsid w:val="006B179F"/>
    <w:rsid w:val="006B19CA"/>
    <w:rsid w:val="006B1A7E"/>
    <w:rsid w:val="006B1F49"/>
    <w:rsid w:val="006B22BC"/>
    <w:rsid w:val="006B2550"/>
    <w:rsid w:val="006B261B"/>
    <w:rsid w:val="006B2675"/>
    <w:rsid w:val="006B272B"/>
    <w:rsid w:val="006B29AE"/>
    <w:rsid w:val="006B29D2"/>
    <w:rsid w:val="006B2C90"/>
    <w:rsid w:val="006B2D1C"/>
    <w:rsid w:val="006B317D"/>
    <w:rsid w:val="006B325B"/>
    <w:rsid w:val="006B32E4"/>
    <w:rsid w:val="006B35DB"/>
    <w:rsid w:val="006B35E6"/>
    <w:rsid w:val="006B360A"/>
    <w:rsid w:val="006B3680"/>
    <w:rsid w:val="006B3EE1"/>
    <w:rsid w:val="006B40D7"/>
    <w:rsid w:val="006B435F"/>
    <w:rsid w:val="006B4394"/>
    <w:rsid w:val="006B4459"/>
    <w:rsid w:val="006B465A"/>
    <w:rsid w:val="006B4945"/>
    <w:rsid w:val="006B49B9"/>
    <w:rsid w:val="006B4C54"/>
    <w:rsid w:val="006B4DBB"/>
    <w:rsid w:val="006B4DD3"/>
    <w:rsid w:val="006B5DD0"/>
    <w:rsid w:val="006B5F2E"/>
    <w:rsid w:val="006B5F5D"/>
    <w:rsid w:val="006B5FA6"/>
    <w:rsid w:val="006B63E0"/>
    <w:rsid w:val="006B64AA"/>
    <w:rsid w:val="006B6577"/>
    <w:rsid w:val="006B6DD0"/>
    <w:rsid w:val="006B7067"/>
    <w:rsid w:val="006B7771"/>
    <w:rsid w:val="006B7837"/>
    <w:rsid w:val="006B7B7D"/>
    <w:rsid w:val="006B7CEF"/>
    <w:rsid w:val="006B7F96"/>
    <w:rsid w:val="006C009C"/>
    <w:rsid w:val="006C020A"/>
    <w:rsid w:val="006C02AA"/>
    <w:rsid w:val="006C031E"/>
    <w:rsid w:val="006C0340"/>
    <w:rsid w:val="006C0399"/>
    <w:rsid w:val="006C03BA"/>
    <w:rsid w:val="006C05B7"/>
    <w:rsid w:val="006C085C"/>
    <w:rsid w:val="006C089B"/>
    <w:rsid w:val="006C13A0"/>
    <w:rsid w:val="006C1976"/>
    <w:rsid w:val="006C1D37"/>
    <w:rsid w:val="006C1E55"/>
    <w:rsid w:val="006C1FED"/>
    <w:rsid w:val="006C21EC"/>
    <w:rsid w:val="006C2450"/>
    <w:rsid w:val="006C26FD"/>
    <w:rsid w:val="006C2810"/>
    <w:rsid w:val="006C2829"/>
    <w:rsid w:val="006C2A8E"/>
    <w:rsid w:val="006C2BAC"/>
    <w:rsid w:val="006C31BC"/>
    <w:rsid w:val="006C3255"/>
    <w:rsid w:val="006C326A"/>
    <w:rsid w:val="006C3F26"/>
    <w:rsid w:val="006C3F2A"/>
    <w:rsid w:val="006C4187"/>
    <w:rsid w:val="006C4670"/>
    <w:rsid w:val="006C49A1"/>
    <w:rsid w:val="006C4C4F"/>
    <w:rsid w:val="006C548D"/>
    <w:rsid w:val="006C59AE"/>
    <w:rsid w:val="006C6064"/>
    <w:rsid w:val="006C633B"/>
    <w:rsid w:val="006C6376"/>
    <w:rsid w:val="006C654F"/>
    <w:rsid w:val="006C65F5"/>
    <w:rsid w:val="006C6993"/>
    <w:rsid w:val="006C6D3B"/>
    <w:rsid w:val="006C6E6B"/>
    <w:rsid w:val="006C6F0C"/>
    <w:rsid w:val="006C7568"/>
    <w:rsid w:val="006C7D12"/>
    <w:rsid w:val="006C7FFA"/>
    <w:rsid w:val="006D007B"/>
    <w:rsid w:val="006D037D"/>
    <w:rsid w:val="006D0495"/>
    <w:rsid w:val="006D0621"/>
    <w:rsid w:val="006D0BA3"/>
    <w:rsid w:val="006D0D06"/>
    <w:rsid w:val="006D0D17"/>
    <w:rsid w:val="006D109B"/>
    <w:rsid w:val="006D11E2"/>
    <w:rsid w:val="006D1C6E"/>
    <w:rsid w:val="006D1DF0"/>
    <w:rsid w:val="006D2A36"/>
    <w:rsid w:val="006D2AED"/>
    <w:rsid w:val="006D2B26"/>
    <w:rsid w:val="006D2C0B"/>
    <w:rsid w:val="006D2E96"/>
    <w:rsid w:val="006D3193"/>
    <w:rsid w:val="006D3BC3"/>
    <w:rsid w:val="006D3C75"/>
    <w:rsid w:val="006D3C7D"/>
    <w:rsid w:val="006D3C95"/>
    <w:rsid w:val="006D3FD8"/>
    <w:rsid w:val="006D40B6"/>
    <w:rsid w:val="006D40F7"/>
    <w:rsid w:val="006D43DD"/>
    <w:rsid w:val="006D4659"/>
    <w:rsid w:val="006D4676"/>
    <w:rsid w:val="006D4683"/>
    <w:rsid w:val="006D4CE2"/>
    <w:rsid w:val="006D50DE"/>
    <w:rsid w:val="006D5189"/>
    <w:rsid w:val="006D5349"/>
    <w:rsid w:val="006D5913"/>
    <w:rsid w:val="006D5A5E"/>
    <w:rsid w:val="006D5AF9"/>
    <w:rsid w:val="006D5C4D"/>
    <w:rsid w:val="006D5CDB"/>
    <w:rsid w:val="006D5D5F"/>
    <w:rsid w:val="006D5DF7"/>
    <w:rsid w:val="006D607E"/>
    <w:rsid w:val="006D61CB"/>
    <w:rsid w:val="006D6335"/>
    <w:rsid w:val="006D68FB"/>
    <w:rsid w:val="006D6B2E"/>
    <w:rsid w:val="006D7062"/>
    <w:rsid w:val="006D7317"/>
    <w:rsid w:val="006D735A"/>
    <w:rsid w:val="006D7D2D"/>
    <w:rsid w:val="006D7EC1"/>
    <w:rsid w:val="006E0045"/>
    <w:rsid w:val="006E0318"/>
    <w:rsid w:val="006E0B38"/>
    <w:rsid w:val="006E0DB4"/>
    <w:rsid w:val="006E0F41"/>
    <w:rsid w:val="006E12DF"/>
    <w:rsid w:val="006E1523"/>
    <w:rsid w:val="006E173D"/>
    <w:rsid w:val="006E1A75"/>
    <w:rsid w:val="006E1D2D"/>
    <w:rsid w:val="006E1DB7"/>
    <w:rsid w:val="006E1DF0"/>
    <w:rsid w:val="006E201A"/>
    <w:rsid w:val="006E2570"/>
    <w:rsid w:val="006E2785"/>
    <w:rsid w:val="006E2868"/>
    <w:rsid w:val="006E2B22"/>
    <w:rsid w:val="006E2E24"/>
    <w:rsid w:val="006E2F50"/>
    <w:rsid w:val="006E300F"/>
    <w:rsid w:val="006E331C"/>
    <w:rsid w:val="006E334E"/>
    <w:rsid w:val="006E3399"/>
    <w:rsid w:val="006E33B3"/>
    <w:rsid w:val="006E3556"/>
    <w:rsid w:val="006E3838"/>
    <w:rsid w:val="006E3C52"/>
    <w:rsid w:val="006E3D71"/>
    <w:rsid w:val="006E3ED6"/>
    <w:rsid w:val="006E426C"/>
    <w:rsid w:val="006E4381"/>
    <w:rsid w:val="006E47AD"/>
    <w:rsid w:val="006E4BE3"/>
    <w:rsid w:val="006E4C24"/>
    <w:rsid w:val="006E4E6B"/>
    <w:rsid w:val="006E52E8"/>
    <w:rsid w:val="006E5DAF"/>
    <w:rsid w:val="006E5E16"/>
    <w:rsid w:val="006E5E2E"/>
    <w:rsid w:val="006E5E3F"/>
    <w:rsid w:val="006E639C"/>
    <w:rsid w:val="006E6724"/>
    <w:rsid w:val="006E677C"/>
    <w:rsid w:val="006E6B86"/>
    <w:rsid w:val="006E6D3B"/>
    <w:rsid w:val="006E6DA4"/>
    <w:rsid w:val="006E6FFF"/>
    <w:rsid w:val="006E70FF"/>
    <w:rsid w:val="006E711C"/>
    <w:rsid w:val="006E7904"/>
    <w:rsid w:val="006E7B07"/>
    <w:rsid w:val="006E7F3F"/>
    <w:rsid w:val="006F009A"/>
    <w:rsid w:val="006F029A"/>
    <w:rsid w:val="006F046E"/>
    <w:rsid w:val="006F08AD"/>
    <w:rsid w:val="006F0ADC"/>
    <w:rsid w:val="006F1C69"/>
    <w:rsid w:val="006F1D90"/>
    <w:rsid w:val="006F1F26"/>
    <w:rsid w:val="006F21E5"/>
    <w:rsid w:val="006F227A"/>
    <w:rsid w:val="006F22FC"/>
    <w:rsid w:val="006F28E1"/>
    <w:rsid w:val="006F2AE1"/>
    <w:rsid w:val="006F2DC0"/>
    <w:rsid w:val="006F2FDA"/>
    <w:rsid w:val="006F306C"/>
    <w:rsid w:val="006F32DF"/>
    <w:rsid w:val="006F34CC"/>
    <w:rsid w:val="006F35AC"/>
    <w:rsid w:val="006F3811"/>
    <w:rsid w:val="006F3DED"/>
    <w:rsid w:val="006F3EB9"/>
    <w:rsid w:val="006F4121"/>
    <w:rsid w:val="006F4150"/>
    <w:rsid w:val="006F42D8"/>
    <w:rsid w:val="006F4311"/>
    <w:rsid w:val="006F43B3"/>
    <w:rsid w:val="006F44B1"/>
    <w:rsid w:val="006F455C"/>
    <w:rsid w:val="006F4655"/>
    <w:rsid w:val="006F46E7"/>
    <w:rsid w:val="006F48DE"/>
    <w:rsid w:val="006F49DC"/>
    <w:rsid w:val="006F4CB0"/>
    <w:rsid w:val="006F4E22"/>
    <w:rsid w:val="006F4F1E"/>
    <w:rsid w:val="006F5151"/>
    <w:rsid w:val="006F5622"/>
    <w:rsid w:val="006F5623"/>
    <w:rsid w:val="006F57A8"/>
    <w:rsid w:val="006F5814"/>
    <w:rsid w:val="006F5BBC"/>
    <w:rsid w:val="006F5C1F"/>
    <w:rsid w:val="006F5CE9"/>
    <w:rsid w:val="006F633C"/>
    <w:rsid w:val="006F63A5"/>
    <w:rsid w:val="006F67F9"/>
    <w:rsid w:val="006F6944"/>
    <w:rsid w:val="006F6B1B"/>
    <w:rsid w:val="006F6B50"/>
    <w:rsid w:val="006F6F07"/>
    <w:rsid w:val="006F6F08"/>
    <w:rsid w:val="006F7060"/>
    <w:rsid w:val="006F7901"/>
    <w:rsid w:val="006F792F"/>
    <w:rsid w:val="006F7E74"/>
    <w:rsid w:val="006F7EC5"/>
    <w:rsid w:val="006F7F50"/>
    <w:rsid w:val="0070005F"/>
    <w:rsid w:val="00700743"/>
    <w:rsid w:val="00700E00"/>
    <w:rsid w:val="00701020"/>
    <w:rsid w:val="007010DF"/>
    <w:rsid w:val="007012EA"/>
    <w:rsid w:val="007012FD"/>
    <w:rsid w:val="0070142B"/>
    <w:rsid w:val="00701ADA"/>
    <w:rsid w:val="00702001"/>
    <w:rsid w:val="00702407"/>
    <w:rsid w:val="0070276E"/>
    <w:rsid w:val="00702920"/>
    <w:rsid w:val="00702C70"/>
    <w:rsid w:val="00702F8F"/>
    <w:rsid w:val="00703356"/>
    <w:rsid w:val="0070352E"/>
    <w:rsid w:val="00703B7C"/>
    <w:rsid w:val="00703E7D"/>
    <w:rsid w:val="00704285"/>
    <w:rsid w:val="007047A1"/>
    <w:rsid w:val="00704B2A"/>
    <w:rsid w:val="00704BD2"/>
    <w:rsid w:val="00704BE6"/>
    <w:rsid w:val="00704C1F"/>
    <w:rsid w:val="00704CAC"/>
    <w:rsid w:val="00704D43"/>
    <w:rsid w:val="00704F6C"/>
    <w:rsid w:val="0070503E"/>
    <w:rsid w:val="00705506"/>
    <w:rsid w:val="00705E16"/>
    <w:rsid w:val="00705E6F"/>
    <w:rsid w:val="00705F60"/>
    <w:rsid w:val="007060F0"/>
    <w:rsid w:val="0070616A"/>
    <w:rsid w:val="00706372"/>
    <w:rsid w:val="007064B4"/>
    <w:rsid w:val="00706600"/>
    <w:rsid w:val="007066AF"/>
    <w:rsid w:val="007066C1"/>
    <w:rsid w:val="007068E5"/>
    <w:rsid w:val="00706939"/>
    <w:rsid w:val="00706A83"/>
    <w:rsid w:val="00706CF9"/>
    <w:rsid w:val="007072C3"/>
    <w:rsid w:val="00707656"/>
    <w:rsid w:val="007078AA"/>
    <w:rsid w:val="007078CB"/>
    <w:rsid w:val="007079BE"/>
    <w:rsid w:val="007079FC"/>
    <w:rsid w:val="00710360"/>
    <w:rsid w:val="0071062E"/>
    <w:rsid w:val="0071075E"/>
    <w:rsid w:val="007107BA"/>
    <w:rsid w:val="007107F4"/>
    <w:rsid w:val="00710850"/>
    <w:rsid w:val="0071089C"/>
    <w:rsid w:val="00710D28"/>
    <w:rsid w:val="00710E32"/>
    <w:rsid w:val="00710F71"/>
    <w:rsid w:val="00711088"/>
    <w:rsid w:val="0071112F"/>
    <w:rsid w:val="00711759"/>
    <w:rsid w:val="0071177D"/>
    <w:rsid w:val="00711895"/>
    <w:rsid w:val="00711A36"/>
    <w:rsid w:val="00711C16"/>
    <w:rsid w:val="00711D2C"/>
    <w:rsid w:val="00712024"/>
    <w:rsid w:val="00712303"/>
    <w:rsid w:val="007125D3"/>
    <w:rsid w:val="007127B9"/>
    <w:rsid w:val="00712C5A"/>
    <w:rsid w:val="00712D34"/>
    <w:rsid w:val="00712F4C"/>
    <w:rsid w:val="00712F93"/>
    <w:rsid w:val="00713061"/>
    <w:rsid w:val="007136FD"/>
    <w:rsid w:val="00713965"/>
    <w:rsid w:val="00713A36"/>
    <w:rsid w:val="00713D97"/>
    <w:rsid w:val="00713DB7"/>
    <w:rsid w:val="00713EED"/>
    <w:rsid w:val="00714A88"/>
    <w:rsid w:val="00714C26"/>
    <w:rsid w:val="00714F85"/>
    <w:rsid w:val="0071513C"/>
    <w:rsid w:val="0071529C"/>
    <w:rsid w:val="0071576D"/>
    <w:rsid w:val="00715AE7"/>
    <w:rsid w:val="00715C01"/>
    <w:rsid w:val="00715C0C"/>
    <w:rsid w:val="00715CAF"/>
    <w:rsid w:val="00715D73"/>
    <w:rsid w:val="00715E67"/>
    <w:rsid w:val="007161DA"/>
    <w:rsid w:val="00716337"/>
    <w:rsid w:val="007168B3"/>
    <w:rsid w:val="00716DE0"/>
    <w:rsid w:val="007170DA"/>
    <w:rsid w:val="007172AD"/>
    <w:rsid w:val="00717546"/>
    <w:rsid w:val="00717BC6"/>
    <w:rsid w:val="00717DED"/>
    <w:rsid w:val="00720038"/>
    <w:rsid w:val="007203FA"/>
    <w:rsid w:val="007204A4"/>
    <w:rsid w:val="007204C8"/>
    <w:rsid w:val="007206B8"/>
    <w:rsid w:val="00720801"/>
    <w:rsid w:val="00720BD3"/>
    <w:rsid w:val="00720BD4"/>
    <w:rsid w:val="00720C25"/>
    <w:rsid w:val="00721488"/>
    <w:rsid w:val="007215FE"/>
    <w:rsid w:val="00721A7E"/>
    <w:rsid w:val="00721AC0"/>
    <w:rsid w:val="00721C22"/>
    <w:rsid w:val="00721E14"/>
    <w:rsid w:val="007220C2"/>
    <w:rsid w:val="007225A2"/>
    <w:rsid w:val="00722734"/>
    <w:rsid w:val="0072290D"/>
    <w:rsid w:val="00722B1B"/>
    <w:rsid w:val="00722BEE"/>
    <w:rsid w:val="007230A7"/>
    <w:rsid w:val="00723185"/>
    <w:rsid w:val="00723613"/>
    <w:rsid w:val="00723981"/>
    <w:rsid w:val="00723ADC"/>
    <w:rsid w:val="00723AF9"/>
    <w:rsid w:val="0072416F"/>
    <w:rsid w:val="00724285"/>
    <w:rsid w:val="00724316"/>
    <w:rsid w:val="007250FD"/>
    <w:rsid w:val="007254D5"/>
    <w:rsid w:val="00725676"/>
    <w:rsid w:val="00725B12"/>
    <w:rsid w:val="00725CE2"/>
    <w:rsid w:val="00725CE9"/>
    <w:rsid w:val="00725F9C"/>
    <w:rsid w:val="0072636B"/>
    <w:rsid w:val="007266BE"/>
    <w:rsid w:val="00726A9F"/>
    <w:rsid w:val="00726BF9"/>
    <w:rsid w:val="00726D27"/>
    <w:rsid w:val="00727187"/>
    <w:rsid w:val="00727792"/>
    <w:rsid w:val="0072794B"/>
    <w:rsid w:val="00727C94"/>
    <w:rsid w:val="00730275"/>
    <w:rsid w:val="007304B5"/>
    <w:rsid w:val="00730C9F"/>
    <w:rsid w:val="007310FA"/>
    <w:rsid w:val="00731104"/>
    <w:rsid w:val="0073114B"/>
    <w:rsid w:val="007311EE"/>
    <w:rsid w:val="00731331"/>
    <w:rsid w:val="007314EB"/>
    <w:rsid w:val="0073150D"/>
    <w:rsid w:val="0073167C"/>
    <w:rsid w:val="007317FD"/>
    <w:rsid w:val="00731882"/>
    <w:rsid w:val="0073198A"/>
    <w:rsid w:val="00731B0A"/>
    <w:rsid w:val="00731EAE"/>
    <w:rsid w:val="007326CF"/>
    <w:rsid w:val="007327F7"/>
    <w:rsid w:val="00732CEF"/>
    <w:rsid w:val="00732D2C"/>
    <w:rsid w:val="00732F25"/>
    <w:rsid w:val="0073306F"/>
    <w:rsid w:val="00733073"/>
    <w:rsid w:val="007331C7"/>
    <w:rsid w:val="0073332B"/>
    <w:rsid w:val="0073333B"/>
    <w:rsid w:val="00733751"/>
    <w:rsid w:val="00733B5C"/>
    <w:rsid w:val="00733B96"/>
    <w:rsid w:val="00733C0B"/>
    <w:rsid w:val="0073406B"/>
    <w:rsid w:val="0073425A"/>
    <w:rsid w:val="0073435B"/>
    <w:rsid w:val="00734BCC"/>
    <w:rsid w:val="00734C28"/>
    <w:rsid w:val="00734C40"/>
    <w:rsid w:val="00734CFF"/>
    <w:rsid w:val="00734D8D"/>
    <w:rsid w:val="00735010"/>
    <w:rsid w:val="00735033"/>
    <w:rsid w:val="0073503C"/>
    <w:rsid w:val="00735328"/>
    <w:rsid w:val="007353F6"/>
    <w:rsid w:val="00735413"/>
    <w:rsid w:val="007356F5"/>
    <w:rsid w:val="00735717"/>
    <w:rsid w:val="007357CD"/>
    <w:rsid w:val="00735B4F"/>
    <w:rsid w:val="00735DF4"/>
    <w:rsid w:val="00735E74"/>
    <w:rsid w:val="00736071"/>
    <w:rsid w:val="0073628E"/>
    <w:rsid w:val="007363C7"/>
    <w:rsid w:val="00736478"/>
    <w:rsid w:val="007365E2"/>
    <w:rsid w:val="007367CC"/>
    <w:rsid w:val="007367D3"/>
    <w:rsid w:val="0073685B"/>
    <w:rsid w:val="007369E3"/>
    <w:rsid w:val="00736A97"/>
    <w:rsid w:val="00737241"/>
    <w:rsid w:val="00737919"/>
    <w:rsid w:val="00737925"/>
    <w:rsid w:val="007379A5"/>
    <w:rsid w:val="00737E18"/>
    <w:rsid w:val="00737F7E"/>
    <w:rsid w:val="0074022E"/>
    <w:rsid w:val="0074023E"/>
    <w:rsid w:val="007402F4"/>
    <w:rsid w:val="00740333"/>
    <w:rsid w:val="00740398"/>
    <w:rsid w:val="00740540"/>
    <w:rsid w:val="007405D1"/>
    <w:rsid w:val="00740931"/>
    <w:rsid w:val="00740BD4"/>
    <w:rsid w:val="00740D90"/>
    <w:rsid w:val="00740F40"/>
    <w:rsid w:val="0074113D"/>
    <w:rsid w:val="00741216"/>
    <w:rsid w:val="00741B01"/>
    <w:rsid w:val="00741DAA"/>
    <w:rsid w:val="00741F3C"/>
    <w:rsid w:val="0074208F"/>
    <w:rsid w:val="0074223D"/>
    <w:rsid w:val="007424F7"/>
    <w:rsid w:val="007427D5"/>
    <w:rsid w:val="00742820"/>
    <w:rsid w:val="00742BE3"/>
    <w:rsid w:val="00743233"/>
    <w:rsid w:val="0074329D"/>
    <w:rsid w:val="007439BA"/>
    <w:rsid w:val="00743B7D"/>
    <w:rsid w:val="00743C49"/>
    <w:rsid w:val="00743D0C"/>
    <w:rsid w:val="007442D3"/>
    <w:rsid w:val="0074475E"/>
    <w:rsid w:val="007447E6"/>
    <w:rsid w:val="007449BF"/>
    <w:rsid w:val="007451A9"/>
    <w:rsid w:val="00745570"/>
    <w:rsid w:val="00745615"/>
    <w:rsid w:val="00745882"/>
    <w:rsid w:val="007458AB"/>
    <w:rsid w:val="00745DDC"/>
    <w:rsid w:val="007460E9"/>
    <w:rsid w:val="007463FE"/>
    <w:rsid w:val="00746502"/>
    <w:rsid w:val="00746527"/>
    <w:rsid w:val="00746926"/>
    <w:rsid w:val="00746BC0"/>
    <w:rsid w:val="00746ECA"/>
    <w:rsid w:val="00747008"/>
    <w:rsid w:val="007478DE"/>
    <w:rsid w:val="0074796E"/>
    <w:rsid w:val="00747ACE"/>
    <w:rsid w:val="00747B78"/>
    <w:rsid w:val="007501ED"/>
    <w:rsid w:val="007503A2"/>
    <w:rsid w:val="00750833"/>
    <w:rsid w:val="007509C5"/>
    <w:rsid w:val="00750B2C"/>
    <w:rsid w:val="007510B4"/>
    <w:rsid w:val="007517B9"/>
    <w:rsid w:val="00751923"/>
    <w:rsid w:val="0075198F"/>
    <w:rsid w:val="00752142"/>
    <w:rsid w:val="007523F9"/>
    <w:rsid w:val="007524C3"/>
    <w:rsid w:val="00752646"/>
    <w:rsid w:val="0075267F"/>
    <w:rsid w:val="00752CE6"/>
    <w:rsid w:val="00752ECB"/>
    <w:rsid w:val="00753013"/>
    <w:rsid w:val="007533B6"/>
    <w:rsid w:val="0075357E"/>
    <w:rsid w:val="00753652"/>
    <w:rsid w:val="00753AFE"/>
    <w:rsid w:val="00753B29"/>
    <w:rsid w:val="00753DCC"/>
    <w:rsid w:val="00753E18"/>
    <w:rsid w:val="00754227"/>
    <w:rsid w:val="0075441A"/>
    <w:rsid w:val="0075497D"/>
    <w:rsid w:val="00754C1D"/>
    <w:rsid w:val="00754F06"/>
    <w:rsid w:val="007550D5"/>
    <w:rsid w:val="007553FD"/>
    <w:rsid w:val="007554EF"/>
    <w:rsid w:val="007555DD"/>
    <w:rsid w:val="007558C8"/>
    <w:rsid w:val="00755A34"/>
    <w:rsid w:val="00755A48"/>
    <w:rsid w:val="00755B14"/>
    <w:rsid w:val="00755EFD"/>
    <w:rsid w:val="00756292"/>
    <w:rsid w:val="00756AA4"/>
    <w:rsid w:val="00756D85"/>
    <w:rsid w:val="00756E05"/>
    <w:rsid w:val="007573E8"/>
    <w:rsid w:val="0075751F"/>
    <w:rsid w:val="00757A11"/>
    <w:rsid w:val="00757C25"/>
    <w:rsid w:val="00757CBF"/>
    <w:rsid w:val="00757CCA"/>
    <w:rsid w:val="0076000F"/>
    <w:rsid w:val="007601EB"/>
    <w:rsid w:val="00760870"/>
    <w:rsid w:val="00760898"/>
    <w:rsid w:val="00760B7D"/>
    <w:rsid w:val="00760C4E"/>
    <w:rsid w:val="00760F9E"/>
    <w:rsid w:val="007616E6"/>
    <w:rsid w:val="0076175E"/>
    <w:rsid w:val="00761AC2"/>
    <w:rsid w:val="00761C53"/>
    <w:rsid w:val="00762065"/>
    <w:rsid w:val="007621EA"/>
    <w:rsid w:val="0076241E"/>
    <w:rsid w:val="007627BE"/>
    <w:rsid w:val="00762E80"/>
    <w:rsid w:val="007634D5"/>
    <w:rsid w:val="0076353C"/>
    <w:rsid w:val="007635DB"/>
    <w:rsid w:val="0076368C"/>
    <w:rsid w:val="00763707"/>
    <w:rsid w:val="007639C8"/>
    <w:rsid w:val="00763F5F"/>
    <w:rsid w:val="00763F79"/>
    <w:rsid w:val="007645DD"/>
    <w:rsid w:val="00764647"/>
    <w:rsid w:val="007647E5"/>
    <w:rsid w:val="00764A67"/>
    <w:rsid w:val="00764A9F"/>
    <w:rsid w:val="00764B00"/>
    <w:rsid w:val="00764B50"/>
    <w:rsid w:val="00764BDC"/>
    <w:rsid w:val="00764F03"/>
    <w:rsid w:val="0076507C"/>
    <w:rsid w:val="00765528"/>
    <w:rsid w:val="00765786"/>
    <w:rsid w:val="007657BC"/>
    <w:rsid w:val="00765846"/>
    <w:rsid w:val="00765B0F"/>
    <w:rsid w:val="00765B1A"/>
    <w:rsid w:val="00765DC1"/>
    <w:rsid w:val="00765FF0"/>
    <w:rsid w:val="007666BB"/>
    <w:rsid w:val="00766815"/>
    <w:rsid w:val="007669B6"/>
    <w:rsid w:val="00767051"/>
    <w:rsid w:val="007679A6"/>
    <w:rsid w:val="00767B53"/>
    <w:rsid w:val="00767E8A"/>
    <w:rsid w:val="00767F8A"/>
    <w:rsid w:val="0077025B"/>
    <w:rsid w:val="0077032A"/>
    <w:rsid w:val="007706AA"/>
    <w:rsid w:val="00770BC1"/>
    <w:rsid w:val="00771000"/>
    <w:rsid w:val="0077137E"/>
    <w:rsid w:val="00771931"/>
    <w:rsid w:val="00771AFD"/>
    <w:rsid w:val="00771DC5"/>
    <w:rsid w:val="00771F87"/>
    <w:rsid w:val="00772220"/>
    <w:rsid w:val="007723AD"/>
    <w:rsid w:val="00772A80"/>
    <w:rsid w:val="00772D2A"/>
    <w:rsid w:val="00772E4A"/>
    <w:rsid w:val="0077343F"/>
    <w:rsid w:val="0077376F"/>
    <w:rsid w:val="00773C06"/>
    <w:rsid w:val="007740FC"/>
    <w:rsid w:val="00774560"/>
    <w:rsid w:val="00774608"/>
    <w:rsid w:val="00774E60"/>
    <w:rsid w:val="00775099"/>
    <w:rsid w:val="007756E3"/>
    <w:rsid w:val="00775978"/>
    <w:rsid w:val="00775A39"/>
    <w:rsid w:val="00775B58"/>
    <w:rsid w:val="00775C83"/>
    <w:rsid w:val="00776019"/>
    <w:rsid w:val="00776184"/>
    <w:rsid w:val="007761D5"/>
    <w:rsid w:val="0077641B"/>
    <w:rsid w:val="007765F9"/>
    <w:rsid w:val="007766BE"/>
    <w:rsid w:val="00776A29"/>
    <w:rsid w:val="0077703C"/>
    <w:rsid w:val="00777335"/>
    <w:rsid w:val="00777504"/>
    <w:rsid w:val="007775E9"/>
    <w:rsid w:val="007776C5"/>
    <w:rsid w:val="0077772B"/>
    <w:rsid w:val="00777869"/>
    <w:rsid w:val="00777B2E"/>
    <w:rsid w:val="00777BA7"/>
    <w:rsid w:val="00777E63"/>
    <w:rsid w:val="007801AF"/>
    <w:rsid w:val="007806C5"/>
    <w:rsid w:val="0078099E"/>
    <w:rsid w:val="007809E2"/>
    <w:rsid w:val="00780B79"/>
    <w:rsid w:val="00780C21"/>
    <w:rsid w:val="00780CB5"/>
    <w:rsid w:val="00780FDB"/>
    <w:rsid w:val="007811F9"/>
    <w:rsid w:val="007815A0"/>
    <w:rsid w:val="00781658"/>
    <w:rsid w:val="0078183E"/>
    <w:rsid w:val="00781A2E"/>
    <w:rsid w:val="00781EAE"/>
    <w:rsid w:val="00782054"/>
    <w:rsid w:val="00782077"/>
    <w:rsid w:val="007821EB"/>
    <w:rsid w:val="0078243D"/>
    <w:rsid w:val="007824D3"/>
    <w:rsid w:val="00782B0F"/>
    <w:rsid w:val="00782B72"/>
    <w:rsid w:val="00782D58"/>
    <w:rsid w:val="00782F2B"/>
    <w:rsid w:val="00782F3F"/>
    <w:rsid w:val="007830B4"/>
    <w:rsid w:val="00783124"/>
    <w:rsid w:val="0078372F"/>
    <w:rsid w:val="007837C3"/>
    <w:rsid w:val="00783850"/>
    <w:rsid w:val="0078403E"/>
    <w:rsid w:val="007843F2"/>
    <w:rsid w:val="0078441B"/>
    <w:rsid w:val="007846FA"/>
    <w:rsid w:val="00784CB5"/>
    <w:rsid w:val="00784D94"/>
    <w:rsid w:val="00784F92"/>
    <w:rsid w:val="00785059"/>
    <w:rsid w:val="007853FC"/>
    <w:rsid w:val="00785493"/>
    <w:rsid w:val="0078557B"/>
    <w:rsid w:val="007856AA"/>
    <w:rsid w:val="00785A9F"/>
    <w:rsid w:val="00785B1A"/>
    <w:rsid w:val="00785F6F"/>
    <w:rsid w:val="007860E7"/>
    <w:rsid w:val="007865F1"/>
    <w:rsid w:val="00786D13"/>
    <w:rsid w:val="00786D75"/>
    <w:rsid w:val="00786E86"/>
    <w:rsid w:val="00787359"/>
    <w:rsid w:val="007877F3"/>
    <w:rsid w:val="0078789A"/>
    <w:rsid w:val="00787E50"/>
    <w:rsid w:val="00790A08"/>
    <w:rsid w:val="00790C04"/>
    <w:rsid w:val="00790CE3"/>
    <w:rsid w:val="00790E02"/>
    <w:rsid w:val="00791029"/>
    <w:rsid w:val="007916BC"/>
    <w:rsid w:val="007919D5"/>
    <w:rsid w:val="00791A9F"/>
    <w:rsid w:val="00791B29"/>
    <w:rsid w:val="00791C00"/>
    <w:rsid w:val="00791EE3"/>
    <w:rsid w:val="00792071"/>
    <w:rsid w:val="00792269"/>
    <w:rsid w:val="007925DF"/>
    <w:rsid w:val="007925EC"/>
    <w:rsid w:val="00792674"/>
    <w:rsid w:val="007926C7"/>
    <w:rsid w:val="0079294B"/>
    <w:rsid w:val="00792CC5"/>
    <w:rsid w:val="00792D6E"/>
    <w:rsid w:val="00792D99"/>
    <w:rsid w:val="00793292"/>
    <w:rsid w:val="00793903"/>
    <w:rsid w:val="00793C34"/>
    <w:rsid w:val="00793F01"/>
    <w:rsid w:val="007946DA"/>
    <w:rsid w:val="0079476B"/>
    <w:rsid w:val="00794E84"/>
    <w:rsid w:val="00794FDC"/>
    <w:rsid w:val="007954FD"/>
    <w:rsid w:val="007955DB"/>
    <w:rsid w:val="00795989"/>
    <w:rsid w:val="00795A35"/>
    <w:rsid w:val="00795A41"/>
    <w:rsid w:val="00795C01"/>
    <w:rsid w:val="00795E1B"/>
    <w:rsid w:val="00796278"/>
    <w:rsid w:val="00797555"/>
    <w:rsid w:val="00797656"/>
    <w:rsid w:val="0079791E"/>
    <w:rsid w:val="00797B1A"/>
    <w:rsid w:val="00797D5B"/>
    <w:rsid w:val="00797E64"/>
    <w:rsid w:val="007A07AE"/>
    <w:rsid w:val="007A08AA"/>
    <w:rsid w:val="007A094B"/>
    <w:rsid w:val="007A0A12"/>
    <w:rsid w:val="007A104A"/>
    <w:rsid w:val="007A132D"/>
    <w:rsid w:val="007A1345"/>
    <w:rsid w:val="007A1730"/>
    <w:rsid w:val="007A17AE"/>
    <w:rsid w:val="007A194F"/>
    <w:rsid w:val="007A1C1D"/>
    <w:rsid w:val="007A1C3C"/>
    <w:rsid w:val="007A1FD1"/>
    <w:rsid w:val="007A1FEE"/>
    <w:rsid w:val="007A21F0"/>
    <w:rsid w:val="007A2237"/>
    <w:rsid w:val="007A2764"/>
    <w:rsid w:val="007A2DDB"/>
    <w:rsid w:val="007A2ED4"/>
    <w:rsid w:val="007A3075"/>
    <w:rsid w:val="007A35F8"/>
    <w:rsid w:val="007A37DB"/>
    <w:rsid w:val="007A42E4"/>
    <w:rsid w:val="007A438A"/>
    <w:rsid w:val="007A4B33"/>
    <w:rsid w:val="007A5051"/>
    <w:rsid w:val="007A534B"/>
    <w:rsid w:val="007A5446"/>
    <w:rsid w:val="007A54B2"/>
    <w:rsid w:val="007A55D8"/>
    <w:rsid w:val="007A5930"/>
    <w:rsid w:val="007A5948"/>
    <w:rsid w:val="007A5976"/>
    <w:rsid w:val="007A5D79"/>
    <w:rsid w:val="007A5E4D"/>
    <w:rsid w:val="007A5F1A"/>
    <w:rsid w:val="007A63C8"/>
    <w:rsid w:val="007A6462"/>
    <w:rsid w:val="007A6561"/>
    <w:rsid w:val="007A6819"/>
    <w:rsid w:val="007A68C6"/>
    <w:rsid w:val="007A6D51"/>
    <w:rsid w:val="007A6E60"/>
    <w:rsid w:val="007A6F5C"/>
    <w:rsid w:val="007A709D"/>
    <w:rsid w:val="007A70BA"/>
    <w:rsid w:val="007A7585"/>
    <w:rsid w:val="007A77AA"/>
    <w:rsid w:val="007A7887"/>
    <w:rsid w:val="007B0471"/>
    <w:rsid w:val="007B0681"/>
    <w:rsid w:val="007B0B55"/>
    <w:rsid w:val="007B0CB8"/>
    <w:rsid w:val="007B0D68"/>
    <w:rsid w:val="007B0E23"/>
    <w:rsid w:val="007B0FFA"/>
    <w:rsid w:val="007B125C"/>
    <w:rsid w:val="007B12AB"/>
    <w:rsid w:val="007B1723"/>
    <w:rsid w:val="007B1831"/>
    <w:rsid w:val="007B1B71"/>
    <w:rsid w:val="007B1D73"/>
    <w:rsid w:val="007B1DFD"/>
    <w:rsid w:val="007B20B3"/>
    <w:rsid w:val="007B2484"/>
    <w:rsid w:val="007B251D"/>
    <w:rsid w:val="007B2859"/>
    <w:rsid w:val="007B2C5F"/>
    <w:rsid w:val="007B2F7D"/>
    <w:rsid w:val="007B3533"/>
    <w:rsid w:val="007B35D2"/>
    <w:rsid w:val="007B4022"/>
    <w:rsid w:val="007B46DC"/>
    <w:rsid w:val="007B4854"/>
    <w:rsid w:val="007B4D11"/>
    <w:rsid w:val="007B4F58"/>
    <w:rsid w:val="007B528D"/>
    <w:rsid w:val="007B5309"/>
    <w:rsid w:val="007B546D"/>
    <w:rsid w:val="007B5800"/>
    <w:rsid w:val="007B58C1"/>
    <w:rsid w:val="007B59BB"/>
    <w:rsid w:val="007B5AF1"/>
    <w:rsid w:val="007B5EBD"/>
    <w:rsid w:val="007B62F9"/>
    <w:rsid w:val="007B6314"/>
    <w:rsid w:val="007B63CA"/>
    <w:rsid w:val="007B662F"/>
    <w:rsid w:val="007B67AA"/>
    <w:rsid w:val="007B6A05"/>
    <w:rsid w:val="007B6CF8"/>
    <w:rsid w:val="007B7425"/>
    <w:rsid w:val="007B74CF"/>
    <w:rsid w:val="007B77D1"/>
    <w:rsid w:val="007B78D2"/>
    <w:rsid w:val="007C018F"/>
    <w:rsid w:val="007C0309"/>
    <w:rsid w:val="007C04EB"/>
    <w:rsid w:val="007C05AA"/>
    <w:rsid w:val="007C07C7"/>
    <w:rsid w:val="007C11DC"/>
    <w:rsid w:val="007C18DF"/>
    <w:rsid w:val="007C1CD9"/>
    <w:rsid w:val="007C20F3"/>
    <w:rsid w:val="007C22B3"/>
    <w:rsid w:val="007C246C"/>
    <w:rsid w:val="007C26FF"/>
    <w:rsid w:val="007C2AFD"/>
    <w:rsid w:val="007C2C31"/>
    <w:rsid w:val="007C2F72"/>
    <w:rsid w:val="007C301B"/>
    <w:rsid w:val="007C32EF"/>
    <w:rsid w:val="007C361D"/>
    <w:rsid w:val="007C3666"/>
    <w:rsid w:val="007C36E6"/>
    <w:rsid w:val="007C3CEA"/>
    <w:rsid w:val="007C3F62"/>
    <w:rsid w:val="007C406E"/>
    <w:rsid w:val="007C409A"/>
    <w:rsid w:val="007C429B"/>
    <w:rsid w:val="007C433E"/>
    <w:rsid w:val="007C439A"/>
    <w:rsid w:val="007C43AB"/>
    <w:rsid w:val="007C44AF"/>
    <w:rsid w:val="007C48E4"/>
    <w:rsid w:val="007C4B84"/>
    <w:rsid w:val="007C6307"/>
    <w:rsid w:val="007C63E6"/>
    <w:rsid w:val="007C6713"/>
    <w:rsid w:val="007C6BBF"/>
    <w:rsid w:val="007C6E24"/>
    <w:rsid w:val="007C6E49"/>
    <w:rsid w:val="007C70DF"/>
    <w:rsid w:val="007C70FF"/>
    <w:rsid w:val="007C731C"/>
    <w:rsid w:val="007C73F4"/>
    <w:rsid w:val="007C7517"/>
    <w:rsid w:val="007C7735"/>
    <w:rsid w:val="007C7C25"/>
    <w:rsid w:val="007C7D49"/>
    <w:rsid w:val="007C7F02"/>
    <w:rsid w:val="007D004F"/>
    <w:rsid w:val="007D0208"/>
    <w:rsid w:val="007D023A"/>
    <w:rsid w:val="007D0245"/>
    <w:rsid w:val="007D035F"/>
    <w:rsid w:val="007D06B2"/>
    <w:rsid w:val="007D06C9"/>
    <w:rsid w:val="007D0B36"/>
    <w:rsid w:val="007D0B38"/>
    <w:rsid w:val="007D0C2C"/>
    <w:rsid w:val="007D0EC6"/>
    <w:rsid w:val="007D0FD6"/>
    <w:rsid w:val="007D1404"/>
    <w:rsid w:val="007D153C"/>
    <w:rsid w:val="007D1B76"/>
    <w:rsid w:val="007D1CB2"/>
    <w:rsid w:val="007D2050"/>
    <w:rsid w:val="007D2070"/>
    <w:rsid w:val="007D2296"/>
    <w:rsid w:val="007D25CA"/>
    <w:rsid w:val="007D27AA"/>
    <w:rsid w:val="007D27C7"/>
    <w:rsid w:val="007D2913"/>
    <w:rsid w:val="007D2CF5"/>
    <w:rsid w:val="007D38A7"/>
    <w:rsid w:val="007D39D6"/>
    <w:rsid w:val="007D3D44"/>
    <w:rsid w:val="007D3E7A"/>
    <w:rsid w:val="007D40D5"/>
    <w:rsid w:val="007D4507"/>
    <w:rsid w:val="007D453B"/>
    <w:rsid w:val="007D4879"/>
    <w:rsid w:val="007D4CBD"/>
    <w:rsid w:val="007D4D73"/>
    <w:rsid w:val="007D4E47"/>
    <w:rsid w:val="007D534E"/>
    <w:rsid w:val="007D5440"/>
    <w:rsid w:val="007D56C2"/>
    <w:rsid w:val="007D5704"/>
    <w:rsid w:val="007D5B5E"/>
    <w:rsid w:val="007D5D08"/>
    <w:rsid w:val="007D5E0D"/>
    <w:rsid w:val="007D5FEE"/>
    <w:rsid w:val="007D6009"/>
    <w:rsid w:val="007D625D"/>
    <w:rsid w:val="007D649B"/>
    <w:rsid w:val="007D6528"/>
    <w:rsid w:val="007D675C"/>
    <w:rsid w:val="007D677D"/>
    <w:rsid w:val="007D69EB"/>
    <w:rsid w:val="007D6A5A"/>
    <w:rsid w:val="007D6C92"/>
    <w:rsid w:val="007D7158"/>
    <w:rsid w:val="007D758B"/>
    <w:rsid w:val="007D7A40"/>
    <w:rsid w:val="007D7C16"/>
    <w:rsid w:val="007D7F6E"/>
    <w:rsid w:val="007D7FC3"/>
    <w:rsid w:val="007E00A0"/>
    <w:rsid w:val="007E0765"/>
    <w:rsid w:val="007E080B"/>
    <w:rsid w:val="007E0A1D"/>
    <w:rsid w:val="007E0E93"/>
    <w:rsid w:val="007E1006"/>
    <w:rsid w:val="007E128F"/>
    <w:rsid w:val="007E1497"/>
    <w:rsid w:val="007E1499"/>
    <w:rsid w:val="007E14E2"/>
    <w:rsid w:val="007E14E4"/>
    <w:rsid w:val="007E1919"/>
    <w:rsid w:val="007E1C87"/>
    <w:rsid w:val="007E2147"/>
    <w:rsid w:val="007E2621"/>
    <w:rsid w:val="007E29E5"/>
    <w:rsid w:val="007E2B4E"/>
    <w:rsid w:val="007E2B95"/>
    <w:rsid w:val="007E2C03"/>
    <w:rsid w:val="007E2C6B"/>
    <w:rsid w:val="007E2F07"/>
    <w:rsid w:val="007E3A77"/>
    <w:rsid w:val="007E3D44"/>
    <w:rsid w:val="007E4109"/>
    <w:rsid w:val="007E414C"/>
    <w:rsid w:val="007E4209"/>
    <w:rsid w:val="007E469D"/>
    <w:rsid w:val="007E46EA"/>
    <w:rsid w:val="007E4A60"/>
    <w:rsid w:val="007E4B26"/>
    <w:rsid w:val="007E4CDC"/>
    <w:rsid w:val="007E4F73"/>
    <w:rsid w:val="007E5031"/>
    <w:rsid w:val="007E5043"/>
    <w:rsid w:val="007E5306"/>
    <w:rsid w:val="007E5314"/>
    <w:rsid w:val="007E536E"/>
    <w:rsid w:val="007E55FB"/>
    <w:rsid w:val="007E562E"/>
    <w:rsid w:val="007E563D"/>
    <w:rsid w:val="007E5859"/>
    <w:rsid w:val="007E5B16"/>
    <w:rsid w:val="007E6215"/>
    <w:rsid w:val="007E625B"/>
    <w:rsid w:val="007E6367"/>
    <w:rsid w:val="007E63AA"/>
    <w:rsid w:val="007E6911"/>
    <w:rsid w:val="007E6AAE"/>
    <w:rsid w:val="007E6F8B"/>
    <w:rsid w:val="007E7040"/>
    <w:rsid w:val="007E70B8"/>
    <w:rsid w:val="007E745F"/>
    <w:rsid w:val="007E7B3C"/>
    <w:rsid w:val="007E7C20"/>
    <w:rsid w:val="007E7E3E"/>
    <w:rsid w:val="007F00A2"/>
    <w:rsid w:val="007F01B9"/>
    <w:rsid w:val="007F07E9"/>
    <w:rsid w:val="007F0EBE"/>
    <w:rsid w:val="007F1017"/>
    <w:rsid w:val="007F16C1"/>
    <w:rsid w:val="007F1704"/>
    <w:rsid w:val="007F19CD"/>
    <w:rsid w:val="007F2146"/>
    <w:rsid w:val="007F214F"/>
    <w:rsid w:val="007F21A1"/>
    <w:rsid w:val="007F2249"/>
    <w:rsid w:val="007F22F4"/>
    <w:rsid w:val="007F2606"/>
    <w:rsid w:val="007F2640"/>
    <w:rsid w:val="007F26A5"/>
    <w:rsid w:val="007F28E0"/>
    <w:rsid w:val="007F3384"/>
    <w:rsid w:val="007F3884"/>
    <w:rsid w:val="007F3D32"/>
    <w:rsid w:val="007F4292"/>
    <w:rsid w:val="007F4A3F"/>
    <w:rsid w:val="007F4A61"/>
    <w:rsid w:val="007F4E40"/>
    <w:rsid w:val="007F4E79"/>
    <w:rsid w:val="007F50D3"/>
    <w:rsid w:val="007F5255"/>
    <w:rsid w:val="007F5350"/>
    <w:rsid w:val="007F56CC"/>
    <w:rsid w:val="007F579D"/>
    <w:rsid w:val="007F5830"/>
    <w:rsid w:val="007F59DE"/>
    <w:rsid w:val="007F5A8E"/>
    <w:rsid w:val="007F5BF0"/>
    <w:rsid w:val="007F5C63"/>
    <w:rsid w:val="007F60AC"/>
    <w:rsid w:val="007F61C2"/>
    <w:rsid w:val="007F668C"/>
    <w:rsid w:val="007F6FA5"/>
    <w:rsid w:val="007F7382"/>
    <w:rsid w:val="007F78A9"/>
    <w:rsid w:val="007F7BB2"/>
    <w:rsid w:val="0080007F"/>
    <w:rsid w:val="008002DD"/>
    <w:rsid w:val="00800489"/>
    <w:rsid w:val="00800701"/>
    <w:rsid w:val="00800765"/>
    <w:rsid w:val="00800BB6"/>
    <w:rsid w:val="00801760"/>
    <w:rsid w:val="00801BAD"/>
    <w:rsid w:val="00801CE2"/>
    <w:rsid w:val="00801DFC"/>
    <w:rsid w:val="00802276"/>
    <w:rsid w:val="008026AA"/>
    <w:rsid w:val="00802B2B"/>
    <w:rsid w:val="00802B2F"/>
    <w:rsid w:val="00802D17"/>
    <w:rsid w:val="00802DA2"/>
    <w:rsid w:val="008038EA"/>
    <w:rsid w:val="00803B14"/>
    <w:rsid w:val="00803B25"/>
    <w:rsid w:val="00803B6C"/>
    <w:rsid w:val="00803F1F"/>
    <w:rsid w:val="00803F75"/>
    <w:rsid w:val="008041AA"/>
    <w:rsid w:val="008041AC"/>
    <w:rsid w:val="008044A3"/>
    <w:rsid w:val="008045E2"/>
    <w:rsid w:val="0080468C"/>
    <w:rsid w:val="00804927"/>
    <w:rsid w:val="00804B77"/>
    <w:rsid w:val="00805142"/>
    <w:rsid w:val="0080566B"/>
    <w:rsid w:val="00805908"/>
    <w:rsid w:val="00805D5A"/>
    <w:rsid w:val="00805FCE"/>
    <w:rsid w:val="00806564"/>
    <w:rsid w:val="00806A47"/>
    <w:rsid w:val="00806B24"/>
    <w:rsid w:val="00806D48"/>
    <w:rsid w:val="00807A8B"/>
    <w:rsid w:val="00807BF2"/>
    <w:rsid w:val="00807E7E"/>
    <w:rsid w:val="00807F5D"/>
    <w:rsid w:val="00807F92"/>
    <w:rsid w:val="008100D7"/>
    <w:rsid w:val="0081024B"/>
    <w:rsid w:val="008104F0"/>
    <w:rsid w:val="00810804"/>
    <w:rsid w:val="0081088D"/>
    <w:rsid w:val="00810BC9"/>
    <w:rsid w:val="0081116E"/>
    <w:rsid w:val="00811383"/>
    <w:rsid w:val="00811839"/>
    <w:rsid w:val="00812113"/>
    <w:rsid w:val="00812149"/>
    <w:rsid w:val="008128F2"/>
    <w:rsid w:val="0081299E"/>
    <w:rsid w:val="00812A60"/>
    <w:rsid w:val="00812A65"/>
    <w:rsid w:val="00812CAC"/>
    <w:rsid w:val="0081337A"/>
    <w:rsid w:val="008133E8"/>
    <w:rsid w:val="00813981"/>
    <w:rsid w:val="00813AFE"/>
    <w:rsid w:val="008140A7"/>
    <w:rsid w:val="00814282"/>
    <w:rsid w:val="0081443F"/>
    <w:rsid w:val="008144DE"/>
    <w:rsid w:val="0081452F"/>
    <w:rsid w:val="00814633"/>
    <w:rsid w:val="0081486B"/>
    <w:rsid w:val="00814AE8"/>
    <w:rsid w:val="00814B07"/>
    <w:rsid w:val="00814FD4"/>
    <w:rsid w:val="00815734"/>
    <w:rsid w:val="008157D5"/>
    <w:rsid w:val="00815C56"/>
    <w:rsid w:val="00815EAB"/>
    <w:rsid w:val="00816361"/>
    <w:rsid w:val="00816620"/>
    <w:rsid w:val="008166AF"/>
    <w:rsid w:val="008166EF"/>
    <w:rsid w:val="00816708"/>
    <w:rsid w:val="00816B6F"/>
    <w:rsid w:val="00816B74"/>
    <w:rsid w:val="00816C94"/>
    <w:rsid w:val="00816DC6"/>
    <w:rsid w:val="00816FC5"/>
    <w:rsid w:val="00816FEF"/>
    <w:rsid w:val="00817034"/>
    <w:rsid w:val="00817670"/>
    <w:rsid w:val="008177C8"/>
    <w:rsid w:val="0081797D"/>
    <w:rsid w:val="00817D5E"/>
    <w:rsid w:val="00817F45"/>
    <w:rsid w:val="00820190"/>
    <w:rsid w:val="00820268"/>
    <w:rsid w:val="00820965"/>
    <w:rsid w:val="00820A8C"/>
    <w:rsid w:val="00820E95"/>
    <w:rsid w:val="00820FEB"/>
    <w:rsid w:val="00821142"/>
    <w:rsid w:val="008215FB"/>
    <w:rsid w:val="008217CF"/>
    <w:rsid w:val="00821801"/>
    <w:rsid w:val="00821ACA"/>
    <w:rsid w:val="00821DA5"/>
    <w:rsid w:val="00821FF9"/>
    <w:rsid w:val="00822038"/>
    <w:rsid w:val="008220CC"/>
    <w:rsid w:val="00822407"/>
    <w:rsid w:val="00822732"/>
    <w:rsid w:val="008227EA"/>
    <w:rsid w:val="00822D84"/>
    <w:rsid w:val="00823100"/>
    <w:rsid w:val="00823174"/>
    <w:rsid w:val="008232F3"/>
    <w:rsid w:val="0082336B"/>
    <w:rsid w:val="0082389D"/>
    <w:rsid w:val="00823DBE"/>
    <w:rsid w:val="00823E63"/>
    <w:rsid w:val="00823FD3"/>
    <w:rsid w:val="008242C2"/>
    <w:rsid w:val="0082432F"/>
    <w:rsid w:val="008245F4"/>
    <w:rsid w:val="00824845"/>
    <w:rsid w:val="008248D8"/>
    <w:rsid w:val="008249EA"/>
    <w:rsid w:val="00824CC8"/>
    <w:rsid w:val="00824DFF"/>
    <w:rsid w:val="008250E7"/>
    <w:rsid w:val="0082548C"/>
    <w:rsid w:val="00825751"/>
    <w:rsid w:val="00825946"/>
    <w:rsid w:val="00825ADE"/>
    <w:rsid w:val="00825C33"/>
    <w:rsid w:val="00825D32"/>
    <w:rsid w:val="008262FA"/>
    <w:rsid w:val="0082637C"/>
    <w:rsid w:val="008264EB"/>
    <w:rsid w:val="00826624"/>
    <w:rsid w:val="008268CE"/>
    <w:rsid w:val="008268E9"/>
    <w:rsid w:val="008269F6"/>
    <w:rsid w:val="00826AA5"/>
    <w:rsid w:val="00826AD7"/>
    <w:rsid w:val="008271E1"/>
    <w:rsid w:val="008272BF"/>
    <w:rsid w:val="008275F7"/>
    <w:rsid w:val="00827639"/>
    <w:rsid w:val="00827972"/>
    <w:rsid w:val="00827AC6"/>
    <w:rsid w:val="00827C23"/>
    <w:rsid w:val="00827E08"/>
    <w:rsid w:val="00827FC5"/>
    <w:rsid w:val="00830477"/>
    <w:rsid w:val="008306BC"/>
    <w:rsid w:val="008306F4"/>
    <w:rsid w:val="008308A5"/>
    <w:rsid w:val="00830CD7"/>
    <w:rsid w:val="00830E44"/>
    <w:rsid w:val="00830E70"/>
    <w:rsid w:val="00830EDC"/>
    <w:rsid w:val="00831653"/>
    <w:rsid w:val="008317AD"/>
    <w:rsid w:val="008319B4"/>
    <w:rsid w:val="00831ACE"/>
    <w:rsid w:val="00831EE2"/>
    <w:rsid w:val="0083263F"/>
    <w:rsid w:val="00832C08"/>
    <w:rsid w:val="00832F97"/>
    <w:rsid w:val="0083326F"/>
    <w:rsid w:val="008332F0"/>
    <w:rsid w:val="00833410"/>
    <w:rsid w:val="00833666"/>
    <w:rsid w:val="008336FB"/>
    <w:rsid w:val="00833AAE"/>
    <w:rsid w:val="00833B05"/>
    <w:rsid w:val="00833DB8"/>
    <w:rsid w:val="00833F33"/>
    <w:rsid w:val="0083440F"/>
    <w:rsid w:val="00834780"/>
    <w:rsid w:val="00834998"/>
    <w:rsid w:val="008352D0"/>
    <w:rsid w:val="008354A5"/>
    <w:rsid w:val="0083564E"/>
    <w:rsid w:val="0083583F"/>
    <w:rsid w:val="00835994"/>
    <w:rsid w:val="00835D39"/>
    <w:rsid w:val="00835E5C"/>
    <w:rsid w:val="008362B4"/>
    <w:rsid w:val="0083658D"/>
    <w:rsid w:val="00836C16"/>
    <w:rsid w:val="0083703A"/>
    <w:rsid w:val="00837056"/>
    <w:rsid w:val="00837C79"/>
    <w:rsid w:val="00837DC8"/>
    <w:rsid w:val="00840CA2"/>
    <w:rsid w:val="00840D0A"/>
    <w:rsid w:val="00841010"/>
    <w:rsid w:val="008410B7"/>
    <w:rsid w:val="008410FE"/>
    <w:rsid w:val="0084126E"/>
    <w:rsid w:val="00841440"/>
    <w:rsid w:val="00841458"/>
    <w:rsid w:val="00841997"/>
    <w:rsid w:val="00841A06"/>
    <w:rsid w:val="00841B6F"/>
    <w:rsid w:val="00841BA9"/>
    <w:rsid w:val="0084220B"/>
    <w:rsid w:val="008422B5"/>
    <w:rsid w:val="00842419"/>
    <w:rsid w:val="00842919"/>
    <w:rsid w:val="00842BF5"/>
    <w:rsid w:val="00842F0A"/>
    <w:rsid w:val="00842FDE"/>
    <w:rsid w:val="008435EE"/>
    <w:rsid w:val="008435FD"/>
    <w:rsid w:val="0084374F"/>
    <w:rsid w:val="008437EE"/>
    <w:rsid w:val="00843836"/>
    <w:rsid w:val="00843BEF"/>
    <w:rsid w:val="00843C53"/>
    <w:rsid w:val="00843FC8"/>
    <w:rsid w:val="008446AD"/>
    <w:rsid w:val="008448E5"/>
    <w:rsid w:val="0084494A"/>
    <w:rsid w:val="00844A22"/>
    <w:rsid w:val="00844C77"/>
    <w:rsid w:val="00845391"/>
    <w:rsid w:val="008454FD"/>
    <w:rsid w:val="008457A0"/>
    <w:rsid w:val="0084581D"/>
    <w:rsid w:val="00845A8D"/>
    <w:rsid w:val="00845AB0"/>
    <w:rsid w:val="00845D87"/>
    <w:rsid w:val="008464F0"/>
    <w:rsid w:val="00846851"/>
    <w:rsid w:val="008469F2"/>
    <w:rsid w:val="00846B5B"/>
    <w:rsid w:val="00846B5C"/>
    <w:rsid w:val="00846D35"/>
    <w:rsid w:val="00846EC9"/>
    <w:rsid w:val="00847091"/>
    <w:rsid w:val="008473D6"/>
    <w:rsid w:val="00847598"/>
    <w:rsid w:val="00847675"/>
    <w:rsid w:val="00847703"/>
    <w:rsid w:val="008477AB"/>
    <w:rsid w:val="00847B96"/>
    <w:rsid w:val="00847DF5"/>
    <w:rsid w:val="008502B1"/>
    <w:rsid w:val="00850ACE"/>
    <w:rsid w:val="00850D0E"/>
    <w:rsid w:val="00850D7A"/>
    <w:rsid w:val="00851094"/>
    <w:rsid w:val="0085116D"/>
    <w:rsid w:val="00851631"/>
    <w:rsid w:val="008516D5"/>
    <w:rsid w:val="00851A66"/>
    <w:rsid w:val="00851C40"/>
    <w:rsid w:val="00851C49"/>
    <w:rsid w:val="00851CA4"/>
    <w:rsid w:val="008523AA"/>
    <w:rsid w:val="008523BD"/>
    <w:rsid w:val="008525C1"/>
    <w:rsid w:val="0085309D"/>
    <w:rsid w:val="0085324D"/>
    <w:rsid w:val="00853393"/>
    <w:rsid w:val="00853A10"/>
    <w:rsid w:val="0085420F"/>
    <w:rsid w:val="008542E3"/>
    <w:rsid w:val="0085462E"/>
    <w:rsid w:val="008547FC"/>
    <w:rsid w:val="0085486B"/>
    <w:rsid w:val="008549A9"/>
    <w:rsid w:val="00854B71"/>
    <w:rsid w:val="008553EA"/>
    <w:rsid w:val="00855808"/>
    <w:rsid w:val="0085590F"/>
    <w:rsid w:val="00855AC2"/>
    <w:rsid w:val="00856006"/>
    <w:rsid w:val="008564E5"/>
    <w:rsid w:val="0085671D"/>
    <w:rsid w:val="00856771"/>
    <w:rsid w:val="0085677D"/>
    <w:rsid w:val="00856897"/>
    <w:rsid w:val="00856E73"/>
    <w:rsid w:val="00856E9A"/>
    <w:rsid w:val="00857239"/>
    <w:rsid w:val="00857BBB"/>
    <w:rsid w:val="00857E8D"/>
    <w:rsid w:val="00857FF3"/>
    <w:rsid w:val="0086044F"/>
    <w:rsid w:val="008605CA"/>
    <w:rsid w:val="00860708"/>
    <w:rsid w:val="0086075D"/>
    <w:rsid w:val="008608CE"/>
    <w:rsid w:val="00860EAD"/>
    <w:rsid w:val="008611C1"/>
    <w:rsid w:val="008611E0"/>
    <w:rsid w:val="008613B3"/>
    <w:rsid w:val="00861407"/>
    <w:rsid w:val="00862288"/>
    <w:rsid w:val="00862502"/>
    <w:rsid w:val="0086256D"/>
    <w:rsid w:val="00862CC1"/>
    <w:rsid w:val="00862E58"/>
    <w:rsid w:val="008631FA"/>
    <w:rsid w:val="008638F3"/>
    <w:rsid w:val="00863C07"/>
    <w:rsid w:val="00863C6C"/>
    <w:rsid w:val="00863DF7"/>
    <w:rsid w:val="00864194"/>
    <w:rsid w:val="008642A7"/>
    <w:rsid w:val="0086477A"/>
    <w:rsid w:val="0086494F"/>
    <w:rsid w:val="00864AE3"/>
    <w:rsid w:val="00864AF9"/>
    <w:rsid w:val="00864B3F"/>
    <w:rsid w:val="00864E67"/>
    <w:rsid w:val="008657AC"/>
    <w:rsid w:val="008657F0"/>
    <w:rsid w:val="008658E5"/>
    <w:rsid w:val="00865B90"/>
    <w:rsid w:val="00865E47"/>
    <w:rsid w:val="008660D4"/>
    <w:rsid w:val="00866146"/>
    <w:rsid w:val="00866340"/>
    <w:rsid w:val="00866357"/>
    <w:rsid w:val="00866945"/>
    <w:rsid w:val="00867387"/>
    <w:rsid w:val="0086785F"/>
    <w:rsid w:val="00867C31"/>
    <w:rsid w:val="00867D58"/>
    <w:rsid w:val="00867D7D"/>
    <w:rsid w:val="00867D92"/>
    <w:rsid w:val="00867DC2"/>
    <w:rsid w:val="00870271"/>
    <w:rsid w:val="008707FB"/>
    <w:rsid w:val="00870F68"/>
    <w:rsid w:val="00870F9F"/>
    <w:rsid w:val="0087148A"/>
    <w:rsid w:val="00871759"/>
    <w:rsid w:val="00871893"/>
    <w:rsid w:val="008719AD"/>
    <w:rsid w:val="00871F91"/>
    <w:rsid w:val="00871FA9"/>
    <w:rsid w:val="00871FED"/>
    <w:rsid w:val="0087222E"/>
    <w:rsid w:val="0087267D"/>
    <w:rsid w:val="008726E8"/>
    <w:rsid w:val="008727B6"/>
    <w:rsid w:val="008728E9"/>
    <w:rsid w:val="008729F1"/>
    <w:rsid w:val="00872B32"/>
    <w:rsid w:val="00872C65"/>
    <w:rsid w:val="00872E7A"/>
    <w:rsid w:val="00872F0D"/>
    <w:rsid w:val="00872F25"/>
    <w:rsid w:val="0087366B"/>
    <w:rsid w:val="008740E1"/>
    <w:rsid w:val="008746E3"/>
    <w:rsid w:val="00874C00"/>
    <w:rsid w:val="00874DE0"/>
    <w:rsid w:val="00874E26"/>
    <w:rsid w:val="0087538B"/>
    <w:rsid w:val="0087594D"/>
    <w:rsid w:val="008760A6"/>
    <w:rsid w:val="008761BA"/>
    <w:rsid w:val="008761FD"/>
    <w:rsid w:val="0087669D"/>
    <w:rsid w:val="00876716"/>
    <w:rsid w:val="0087691A"/>
    <w:rsid w:val="00876E22"/>
    <w:rsid w:val="00877011"/>
    <w:rsid w:val="008770AC"/>
    <w:rsid w:val="0087724A"/>
    <w:rsid w:val="008773AB"/>
    <w:rsid w:val="008775B9"/>
    <w:rsid w:val="00877661"/>
    <w:rsid w:val="00877B01"/>
    <w:rsid w:val="008801B7"/>
    <w:rsid w:val="008803A9"/>
    <w:rsid w:val="0088063E"/>
    <w:rsid w:val="008806D0"/>
    <w:rsid w:val="008809C6"/>
    <w:rsid w:val="00880B4B"/>
    <w:rsid w:val="00880BFA"/>
    <w:rsid w:val="00880D6F"/>
    <w:rsid w:val="00881122"/>
    <w:rsid w:val="008811BB"/>
    <w:rsid w:val="008811BE"/>
    <w:rsid w:val="008819E6"/>
    <w:rsid w:val="0088205B"/>
    <w:rsid w:val="00882157"/>
    <w:rsid w:val="0088220D"/>
    <w:rsid w:val="00882821"/>
    <w:rsid w:val="00882874"/>
    <w:rsid w:val="00882B4F"/>
    <w:rsid w:val="00882BF2"/>
    <w:rsid w:val="00882C4B"/>
    <w:rsid w:val="00882DFF"/>
    <w:rsid w:val="00882E3C"/>
    <w:rsid w:val="00883088"/>
    <w:rsid w:val="0088308A"/>
    <w:rsid w:val="008831B7"/>
    <w:rsid w:val="00883506"/>
    <w:rsid w:val="008836AF"/>
    <w:rsid w:val="00883787"/>
    <w:rsid w:val="00883851"/>
    <w:rsid w:val="00883966"/>
    <w:rsid w:val="0088399C"/>
    <w:rsid w:val="00883B05"/>
    <w:rsid w:val="00883D50"/>
    <w:rsid w:val="00884114"/>
    <w:rsid w:val="00884324"/>
    <w:rsid w:val="00884361"/>
    <w:rsid w:val="008844A9"/>
    <w:rsid w:val="00884F12"/>
    <w:rsid w:val="00885021"/>
    <w:rsid w:val="008851EA"/>
    <w:rsid w:val="008854FD"/>
    <w:rsid w:val="008855E4"/>
    <w:rsid w:val="00885C32"/>
    <w:rsid w:val="00885EDE"/>
    <w:rsid w:val="00886180"/>
    <w:rsid w:val="008861C4"/>
    <w:rsid w:val="00886233"/>
    <w:rsid w:val="008864E3"/>
    <w:rsid w:val="0088665E"/>
    <w:rsid w:val="00886668"/>
    <w:rsid w:val="00886CD2"/>
    <w:rsid w:val="008870C8"/>
    <w:rsid w:val="0088716D"/>
    <w:rsid w:val="00887B8A"/>
    <w:rsid w:val="00887D2E"/>
    <w:rsid w:val="00887FB9"/>
    <w:rsid w:val="00890627"/>
    <w:rsid w:val="00890654"/>
    <w:rsid w:val="00890848"/>
    <w:rsid w:val="00890ACA"/>
    <w:rsid w:val="00890D69"/>
    <w:rsid w:val="00890EE2"/>
    <w:rsid w:val="00891070"/>
    <w:rsid w:val="008910AB"/>
    <w:rsid w:val="008916D0"/>
    <w:rsid w:val="00891BA9"/>
    <w:rsid w:val="00891E6F"/>
    <w:rsid w:val="008920D4"/>
    <w:rsid w:val="00892268"/>
    <w:rsid w:val="008922B2"/>
    <w:rsid w:val="0089275D"/>
    <w:rsid w:val="00892A36"/>
    <w:rsid w:val="00892BF3"/>
    <w:rsid w:val="00892C7A"/>
    <w:rsid w:val="00892D49"/>
    <w:rsid w:val="00892D7C"/>
    <w:rsid w:val="00892ECA"/>
    <w:rsid w:val="00892EF2"/>
    <w:rsid w:val="008931AD"/>
    <w:rsid w:val="00893239"/>
    <w:rsid w:val="0089327A"/>
    <w:rsid w:val="00893348"/>
    <w:rsid w:val="00893612"/>
    <w:rsid w:val="008937EE"/>
    <w:rsid w:val="00893918"/>
    <w:rsid w:val="00893CAC"/>
    <w:rsid w:val="00893D72"/>
    <w:rsid w:val="00893EB4"/>
    <w:rsid w:val="0089420E"/>
    <w:rsid w:val="00894489"/>
    <w:rsid w:val="008945C1"/>
    <w:rsid w:val="00894B38"/>
    <w:rsid w:val="00894C42"/>
    <w:rsid w:val="00894CD6"/>
    <w:rsid w:val="00894E12"/>
    <w:rsid w:val="0089549F"/>
    <w:rsid w:val="00895708"/>
    <w:rsid w:val="00895778"/>
    <w:rsid w:val="00895A2E"/>
    <w:rsid w:val="00895DCE"/>
    <w:rsid w:val="00895E8E"/>
    <w:rsid w:val="0089638A"/>
    <w:rsid w:val="008963A5"/>
    <w:rsid w:val="008965A9"/>
    <w:rsid w:val="00896618"/>
    <w:rsid w:val="00896D5D"/>
    <w:rsid w:val="00897165"/>
    <w:rsid w:val="00897B5D"/>
    <w:rsid w:val="00897C50"/>
    <w:rsid w:val="00897D62"/>
    <w:rsid w:val="00897D9F"/>
    <w:rsid w:val="008A0182"/>
    <w:rsid w:val="008A06BF"/>
    <w:rsid w:val="008A08D3"/>
    <w:rsid w:val="008A0A95"/>
    <w:rsid w:val="008A14AB"/>
    <w:rsid w:val="008A1684"/>
    <w:rsid w:val="008A1A09"/>
    <w:rsid w:val="008A2189"/>
    <w:rsid w:val="008A249C"/>
    <w:rsid w:val="008A276A"/>
    <w:rsid w:val="008A2B79"/>
    <w:rsid w:val="008A2E9E"/>
    <w:rsid w:val="008A2EB3"/>
    <w:rsid w:val="008A2F10"/>
    <w:rsid w:val="008A3158"/>
    <w:rsid w:val="008A3363"/>
    <w:rsid w:val="008A3371"/>
    <w:rsid w:val="008A344B"/>
    <w:rsid w:val="008A345F"/>
    <w:rsid w:val="008A346D"/>
    <w:rsid w:val="008A34E5"/>
    <w:rsid w:val="008A356C"/>
    <w:rsid w:val="008A35A1"/>
    <w:rsid w:val="008A3C3E"/>
    <w:rsid w:val="008A3E35"/>
    <w:rsid w:val="008A3F05"/>
    <w:rsid w:val="008A43E0"/>
    <w:rsid w:val="008A46E7"/>
    <w:rsid w:val="008A4B12"/>
    <w:rsid w:val="008A4CE4"/>
    <w:rsid w:val="008A4EAB"/>
    <w:rsid w:val="008A519E"/>
    <w:rsid w:val="008A5408"/>
    <w:rsid w:val="008A5684"/>
    <w:rsid w:val="008A58C9"/>
    <w:rsid w:val="008A5A71"/>
    <w:rsid w:val="008A5AC7"/>
    <w:rsid w:val="008A5AEE"/>
    <w:rsid w:val="008A5D5D"/>
    <w:rsid w:val="008A5E9F"/>
    <w:rsid w:val="008A6686"/>
    <w:rsid w:val="008A6A5D"/>
    <w:rsid w:val="008A6AA2"/>
    <w:rsid w:val="008A6FC2"/>
    <w:rsid w:val="008A7238"/>
    <w:rsid w:val="008A723E"/>
    <w:rsid w:val="008A7451"/>
    <w:rsid w:val="008A795E"/>
    <w:rsid w:val="008A79DE"/>
    <w:rsid w:val="008B0552"/>
    <w:rsid w:val="008B0554"/>
    <w:rsid w:val="008B07E4"/>
    <w:rsid w:val="008B100F"/>
    <w:rsid w:val="008B12D5"/>
    <w:rsid w:val="008B134E"/>
    <w:rsid w:val="008B16D7"/>
    <w:rsid w:val="008B1757"/>
    <w:rsid w:val="008B17A4"/>
    <w:rsid w:val="008B1932"/>
    <w:rsid w:val="008B1C33"/>
    <w:rsid w:val="008B204F"/>
    <w:rsid w:val="008B2419"/>
    <w:rsid w:val="008B2704"/>
    <w:rsid w:val="008B27F2"/>
    <w:rsid w:val="008B2C74"/>
    <w:rsid w:val="008B2D4C"/>
    <w:rsid w:val="008B2F4F"/>
    <w:rsid w:val="008B327E"/>
    <w:rsid w:val="008B335B"/>
    <w:rsid w:val="008B371F"/>
    <w:rsid w:val="008B38E6"/>
    <w:rsid w:val="008B39B5"/>
    <w:rsid w:val="008B3ED4"/>
    <w:rsid w:val="008B3F17"/>
    <w:rsid w:val="008B417E"/>
    <w:rsid w:val="008B454C"/>
    <w:rsid w:val="008B46E4"/>
    <w:rsid w:val="008B48ED"/>
    <w:rsid w:val="008B491A"/>
    <w:rsid w:val="008B4B6F"/>
    <w:rsid w:val="008B4DB9"/>
    <w:rsid w:val="008B4F44"/>
    <w:rsid w:val="008B508E"/>
    <w:rsid w:val="008B50DA"/>
    <w:rsid w:val="008B592B"/>
    <w:rsid w:val="008B5A65"/>
    <w:rsid w:val="008B5CD5"/>
    <w:rsid w:val="008B5D5C"/>
    <w:rsid w:val="008B6230"/>
    <w:rsid w:val="008B663D"/>
    <w:rsid w:val="008B66F2"/>
    <w:rsid w:val="008B694C"/>
    <w:rsid w:val="008B6BDF"/>
    <w:rsid w:val="008B6C6A"/>
    <w:rsid w:val="008B7169"/>
    <w:rsid w:val="008B75B5"/>
    <w:rsid w:val="008B75E0"/>
    <w:rsid w:val="008B7709"/>
    <w:rsid w:val="008B77C8"/>
    <w:rsid w:val="008B7992"/>
    <w:rsid w:val="008B7BAB"/>
    <w:rsid w:val="008B7C63"/>
    <w:rsid w:val="008B7D7E"/>
    <w:rsid w:val="008B7F0C"/>
    <w:rsid w:val="008C0334"/>
    <w:rsid w:val="008C0700"/>
    <w:rsid w:val="008C0E74"/>
    <w:rsid w:val="008C1513"/>
    <w:rsid w:val="008C15C9"/>
    <w:rsid w:val="008C192A"/>
    <w:rsid w:val="008C1967"/>
    <w:rsid w:val="008C1CC0"/>
    <w:rsid w:val="008C1CFD"/>
    <w:rsid w:val="008C208B"/>
    <w:rsid w:val="008C258D"/>
    <w:rsid w:val="008C2BBE"/>
    <w:rsid w:val="008C2BF0"/>
    <w:rsid w:val="008C2CCB"/>
    <w:rsid w:val="008C2FB5"/>
    <w:rsid w:val="008C35BA"/>
    <w:rsid w:val="008C371A"/>
    <w:rsid w:val="008C38C1"/>
    <w:rsid w:val="008C3CD0"/>
    <w:rsid w:val="008C3DC8"/>
    <w:rsid w:val="008C3F29"/>
    <w:rsid w:val="008C41C9"/>
    <w:rsid w:val="008C41ED"/>
    <w:rsid w:val="008C46CD"/>
    <w:rsid w:val="008C4716"/>
    <w:rsid w:val="008C47D5"/>
    <w:rsid w:val="008C48D8"/>
    <w:rsid w:val="008C5371"/>
    <w:rsid w:val="008C54A2"/>
    <w:rsid w:val="008C54E7"/>
    <w:rsid w:val="008C55FF"/>
    <w:rsid w:val="008C5610"/>
    <w:rsid w:val="008C5739"/>
    <w:rsid w:val="008C5834"/>
    <w:rsid w:val="008C6596"/>
    <w:rsid w:val="008C6BB7"/>
    <w:rsid w:val="008C6EF6"/>
    <w:rsid w:val="008C7282"/>
    <w:rsid w:val="008C77EE"/>
    <w:rsid w:val="008C7ECB"/>
    <w:rsid w:val="008C7F2D"/>
    <w:rsid w:val="008C7F42"/>
    <w:rsid w:val="008D006E"/>
    <w:rsid w:val="008D03B9"/>
    <w:rsid w:val="008D051C"/>
    <w:rsid w:val="008D055D"/>
    <w:rsid w:val="008D05C4"/>
    <w:rsid w:val="008D05EF"/>
    <w:rsid w:val="008D063C"/>
    <w:rsid w:val="008D0A72"/>
    <w:rsid w:val="008D0AEC"/>
    <w:rsid w:val="008D0D97"/>
    <w:rsid w:val="008D0E8E"/>
    <w:rsid w:val="008D174B"/>
    <w:rsid w:val="008D18F3"/>
    <w:rsid w:val="008D1A42"/>
    <w:rsid w:val="008D1C87"/>
    <w:rsid w:val="008D1F76"/>
    <w:rsid w:val="008D2140"/>
    <w:rsid w:val="008D23E9"/>
    <w:rsid w:val="008D27A4"/>
    <w:rsid w:val="008D2911"/>
    <w:rsid w:val="008D2A9B"/>
    <w:rsid w:val="008D2ABA"/>
    <w:rsid w:val="008D2CC3"/>
    <w:rsid w:val="008D2E33"/>
    <w:rsid w:val="008D3298"/>
    <w:rsid w:val="008D34C0"/>
    <w:rsid w:val="008D3562"/>
    <w:rsid w:val="008D3B86"/>
    <w:rsid w:val="008D3BA4"/>
    <w:rsid w:val="008D3E2E"/>
    <w:rsid w:val="008D3E5F"/>
    <w:rsid w:val="008D3EC8"/>
    <w:rsid w:val="008D4108"/>
    <w:rsid w:val="008D4175"/>
    <w:rsid w:val="008D43FD"/>
    <w:rsid w:val="008D4755"/>
    <w:rsid w:val="008D4C3D"/>
    <w:rsid w:val="008D4F4A"/>
    <w:rsid w:val="008D527D"/>
    <w:rsid w:val="008D53A7"/>
    <w:rsid w:val="008D58B5"/>
    <w:rsid w:val="008D599E"/>
    <w:rsid w:val="008D5BA0"/>
    <w:rsid w:val="008D5DD3"/>
    <w:rsid w:val="008D5E84"/>
    <w:rsid w:val="008D5F3C"/>
    <w:rsid w:val="008D62A1"/>
    <w:rsid w:val="008D6359"/>
    <w:rsid w:val="008D64B0"/>
    <w:rsid w:val="008D66DE"/>
    <w:rsid w:val="008D6886"/>
    <w:rsid w:val="008D6A1B"/>
    <w:rsid w:val="008D6AD6"/>
    <w:rsid w:val="008D6D36"/>
    <w:rsid w:val="008D7040"/>
    <w:rsid w:val="008D743C"/>
    <w:rsid w:val="008D7613"/>
    <w:rsid w:val="008D761C"/>
    <w:rsid w:val="008D7B2F"/>
    <w:rsid w:val="008D7B74"/>
    <w:rsid w:val="008E059A"/>
    <w:rsid w:val="008E05ED"/>
    <w:rsid w:val="008E06B2"/>
    <w:rsid w:val="008E0D3C"/>
    <w:rsid w:val="008E0E6C"/>
    <w:rsid w:val="008E0F53"/>
    <w:rsid w:val="008E10E6"/>
    <w:rsid w:val="008E115F"/>
    <w:rsid w:val="008E11A6"/>
    <w:rsid w:val="008E11BA"/>
    <w:rsid w:val="008E1463"/>
    <w:rsid w:val="008E15D9"/>
    <w:rsid w:val="008E1711"/>
    <w:rsid w:val="008E1B9E"/>
    <w:rsid w:val="008E1BDF"/>
    <w:rsid w:val="008E1CBE"/>
    <w:rsid w:val="008E1CD9"/>
    <w:rsid w:val="008E1D12"/>
    <w:rsid w:val="008E1F98"/>
    <w:rsid w:val="008E21FF"/>
    <w:rsid w:val="008E24FD"/>
    <w:rsid w:val="008E26B6"/>
    <w:rsid w:val="008E2983"/>
    <w:rsid w:val="008E29DF"/>
    <w:rsid w:val="008E2D23"/>
    <w:rsid w:val="008E2D52"/>
    <w:rsid w:val="008E2EAA"/>
    <w:rsid w:val="008E356B"/>
    <w:rsid w:val="008E372D"/>
    <w:rsid w:val="008E40A1"/>
    <w:rsid w:val="008E4233"/>
    <w:rsid w:val="008E44F9"/>
    <w:rsid w:val="008E469C"/>
    <w:rsid w:val="008E4B1F"/>
    <w:rsid w:val="008E4CD0"/>
    <w:rsid w:val="008E4FF3"/>
    <w:rsid w:val="008E50C4"/>
    <w:rsid w:val="008E55AB"/>
    <w:rsid w:val="008E5662"/>
    <w:rsid w:val="008E59A8"/>
    <w:rsid w:val="008E5A39"/>
    <w:rsid w:val="008E61A0"/>
    <w:rsid w:val="008E67FA"/>
    <w:rsid w:val="008E6E2B"/>
    <w:rsid w:val="008E7003"/>
    <w:rsid w:val="008E7682"/>
    <w:rsid w:val="008E79FF"/>
    <w:rsid w:val="008E7EF9"/>
    <w:rsid w:val="008E7FD0"/>
    <w:rsid w:val="008F120A"/>
    <w:rsid w:val="008F1869"/>
    <w:rsid w:val="008F1B95"/>
    <w:rsid w:val="008F1EEE"/>
    <w:rsid w:val="008F2564"/>
    <w:rsid w:val="008F26C3"/>
    <w:rsid w:val="008F27E0"/>
    <w:rsid w:val="008F28A9"/>
    <w:rsid w:val="008F2E20"/>
    <w:rsid w:val="008F2F04"/>
    <w:rsid w:val="008F2FB6"/>
    <w:rsid w:val="008F351C"/>
    <w:rsid w:val="008F3F1F"/>
    <w:rsid w:val="008F48EB"/>
    <w:rsid w:val="008F4919"/>
    <w:rsid w:val="008F4B40"/>
    <w:rsid w:val="008F4E62"/>
    <w:rsid w:val="008F4F0B"/>
    <w:rsid w:val="008F509E"/>
    <w:rsid w:val="008F521E"/>
    <w:rsid w:val="008F543D"/>
    <w:rsid w:val="008F572F"/>
    <w:rsid w:val="008F582B"/>
    <w:rsid w:val="008F5D13"/>
    <w:rsid w:val="008F6306"/>
    <w:rsid w:val="008F6465"/>
    <w:rsid w:val="008F699A"/>
    <w:rsid w:val="008F6ACB"/>
    <w:rsid w:val="008F6C3F"/>
    <w:rsid w:val="008F6D08"/>
    <w:rsid w:val="008F6FB7"/>
    <w:rsid w:val="008F7206"/>
    <w:rsid w:val="008F7284"/>
    <w:rsid w:val="008F7386"/>
    <w:rsid w:val="008F756B"/>
    <w:rsid w:val="008F77BB"/>
    <w:rsid w:val="008F7AA6"/>
    <w:rsid w:val="008F7D54"/>
    <w:rsid w:val="00900208"/>
    <w:rsid w:val="009004A7"/>
    <w:rsid w:val="00900A0F"/>
    <w:rsid w:val="00900DCE"/>
    <w:rsid w:val="00900F20"/>
    <w:rsid w:val="00900F90"/>
    <w:rsid w:val="00901062"/>
    <w:rsid w:val="0090131E"/>
    <w:rsid w:val="009018B3"/>
    <w:rsid w:val="00901AB4"/>
    <w:rsid w:val="00901B95"/>
    <w:rsid w:val="00901BFA"/>
    <w:rsid w:val="00901D18"/>
    <w:rsid w:val="00901DB9"/>
    <w:rsid w:val="00901DF0"/>
    <w:rsid w:val="0090207B"/>
    <w:rsid w:val="00902092"/>
    <w:rsid w:val="00902233"/>
    <w:rsid w:val="0090255D"/>
    <w:rsid w:val="009025C5"/>
    <w:rsid w:val="00902A6C"/>
    <w:rsid w:val="009031D7"/>
    <w:rsid w:val="00903803"/>
    <w:rsid w:val="00903EAB"/>
    <w:rsid w:val="00904252"/>
    <w:rsid w:val="009046C4"/>
    <w:rsid w:val="009046E3"/>
    <w:rsid w:val="009049BF"/>
    <w:rsid w:val="00904AAC"/>
    <w:rsid w:val="00904B9E"/>
    <w:rsid w:val="00904C58"/>
    <w:rsid w:val="00904F24"/>
    <w:rsid w:val="009053AB"/>
    <w:rsid w:val="009056C4"/>
    <w:rsid w:val="0090570F"/>
    <w:rsid w:val="009059C1"/>
    <w:rsid w:val="00905A76"/>
    <w:rsid w:val="00905E3F"/>
    <w:rsid w:val="00905EDE"/>
    <w:rsid w:val="00906152"/>
    <w:rsid w:val="00906162"/>
    <w:rsid w:val="00906178"/>
    <w:rsid w:val="009061E4"/>
    <w:rsid w:val="009062A5"/>
    <w:rsid w:val="0090666F"/>
    <w:rsid w:val="00906736"/>
    <w:rsid w:val="009068D3"/>
    <w:rsid w:val="00906EBF"/>
    <w:rsid w:val="0090763C"/>
    <w:rsid w:val="00907699"/>
    <w:rsid w:val="00907CDF"/>
    <w:rsid w:val="00910022"/>
    <w:rsid w:val="009103EA"/>
    <w:rsid w:val="009104C7"/>
    <w:rsid w:val="00910667"/>
    <w:rsid w:val="009107FA"/>
    <w:rsid w:val="00910D9D"/>
    <w:rsid w:val="00910F45"/>
    <w:rsid w:val="00910FA7"/>
    <w:rsid w:val="00911225"/>
    <w:rsid w:val="00911272"/>
    <w:rsid w:val="00911339"/>
    <w:rsid w:val="0091158D"/>
    <w:rsid w:val="00911B6F"/>
    <w:rsid w:val="0091277A"/>
    <w:rsid w:val="00913097"/>
    <w:rsid w:val="009135D6"/>
    <w:rsid w:val="009136DA"/>
    <w:rsid w:val="00913B1A"/>
    <w:rsid w:val="00913F36"/>
    <w:rsid w:val="00913F61"/>
    <w:rsid w:val="00914772"/>
    <w:rsid w:val="0091483F"/>
    <w:rsid w:val="00914A01"/>
    <w:rsid w:val="00914C77"/>
    <w:rsid w:val="00914D99"/>
    <w:rsid w:val="00914E49"/>
    <w:rsid w:val="00914E85"/>
    <w:rsid w:val="0091517A"/>
    <w:rsid w:val="0091638D"/>
    <w:rsid w:val="00916425"/>
    <w:rsid w:val="009164ED"/>
    <w:rsid w:val="009167F1"/>
    <w:rsid w:val="00916938"/>
    <w:rsid w:val="00916A7B"/>
    <w:rsid w:val="00916C80"/>
    <w:rsid w:val="00916D8D"/>
    <w:rsid w:val="00916F4A"/>
    <w:rsid w:val="0091709E"/>
    <w:rsid w:val="00917273"/>
    <w:rsid w:val="009176BF"/>
    <w:rsid w:val="00917954"/>
    <w:rsid w:val="00917996"/>
    <w:rsid w:val="00917B12"/>
    <w:rsid w:val="0092004C"/>
    <w:rsid w:val="00920501"/>
    <w:rsid w:val="009205D9"/>
    <w:rsid w:val="009205EF"/>
    <w:rsid w:val="00920B9C"/>
    <w:rsid w:val="009212A3"/>
    <w:rsid w:val="009217CF"/>
    <w:rsid w:val="00921ACB"/>
    <w:rsid w:val="00921BA1"/>
    <w:rsid w:val="00921FD8"/>
    <w:rsid w:val="00922C82"/>
    <w:rsid w:val="00922DB8"/>
    <w:rsid w:val="00922F0D"/>
    <w:rsid w:val="00923052"/>
    <w:rsid w:val="009230BE"/>
    <w:rsid w:val="009230DF"/>
    <w:rsid w:val="009232EF"/>
    <w:rsid w:val="009233DF"/>
    <w:rsid w:val="009233E4"/>
    <w:rsid w:val="0092369B"/>
    <w:rsid w:val="00923A22"/>
    <w:rsid w:val="00923D9C"/>
    <w:rsid w:val="00923F81"/>
    <w:rsid w:val="0092451B"/>
    <w:rsid w:val="00924B75"/>
    <w:rsid w:val="00924CCE"/>
    <w:rsid w:val="00924DBC"/>
    <w:rsid w:val="00924F89"/>
    <w:rsid w:val="009251A6"/>
    <w:rsid w:val="00925728"/>
    <w:rsid w:val="00925873"/>
    <w:rsid w:val="00925A7D"/>
    <w:rsid w:val="00925A8A"/>
    <w:rsid w:val="00925CD9"/>
    <w:rsid w:val="00925D13"/>
    <w:rsid w:val="00925F3D"/>
    <w:rsid w:val="009260D6"/>
    <w:rsid w:val="00926766"/>
    <w:rsid w:val="009269D4"/>
    <w:rsid w:val="00926E22"/>
    <w:rsid w:val="009272D8"/>
    <w:rsid w:val="009275D4"/>
    <w:rsid w:val="00927BC1"/>
    <w:rsid w:val="00927DC2"/>
    <w:rsid w:val="00927E2C"/>
    <w:rsid w:val="00927E4D"/>
    <w:rsid w:val="00927EFA"/>
    <w:rsid w:val="00927F91"/>
    <w:rsid w:val="00930141"/>
    <w:rsid w:val="0093014E"/>
    <w:rsid w:val="0093042C"/>
    <w:rsid w:val="009304DC"/>
    <w:rsid w:val="00930500"/>
    <w:rsid w:val="009306AD"/>
    <w:rsid w:val="009306DD"/>
    <w:rsid w:val="009306F8"/>
    <w:rsid w:val="00930969"/>
    <w:rsid w:val="00930992"/>
    <w:rsid w:val="00930C82"/>
    <w:rsid w:val="00930DAE"/>
    <w:rsid w:val="00930FE2"/>
    <w:rsid w:val="00931FDD"/>
    <w:rsid w:val="00932069"/>
    <w:rsid w:val="009325DD"/>
    <w:rsid w:val="009326B9"/>
    <w:rsid w:val="00932702"/>
    <w:rsid w:val="009328D9"/>
    <w:rsid w:val="00932D87"/>
    <w:rsid w:val="009331C2"/>
    <w:rsid w:val="00933B8D"/>
    <w:rsid w:val="00933C28"/>
    <w:rsid w:val="00933CFE"/>
    <w:rsid w:val="00933D7B"/>
    <w:rsid w:val="00933F2B"/>
    <w:rsid w:val="00934389"/>
    <w:rsid w:val="0093470A"/>
    <w:rsid w:val="00934988"/>
    <w:rsid w:val="00935208"/>
    <w:rsid w:val="009352C9"/>
    <w:rsid w:val="0093539E"/>
    <w:rsid w:val="00935432"/>
    <w:rsid w:val="009358F6"/>
    <w:rsid w:val="00935DD6"/>
    <w:rsid w:val="00935EAF"/>
    <w:rsid w:val="0093645F"/>
    <w:rsid w:val="0093662C"/>
    <w:rsid w:val="009366F7"/>
    <w:rsid w:val="009367C5"/>
    <w:rsid w:val="00936AD7"/>
    <w:rsid w:val="00936B33"/>
    <w:rsid w:val="00937089"/>
    <w:rsid w:val="00937314"/>
    <w:rsid w:val="009375E9"/>
    <w:rsid w:val="0093790D"/>
    <w:rsid w:val="00937943"/>
    <w:rsid w:val="00937E11"/>
    <w:rsid w:val="009400BE"/>
    <w:rsid w:val="009403F3"/>
    <w:rsid w:val="0094046D"/>
    <w:rsid w:val="0094061A"/>
    <w:rsid w:val="0094067C"/>
    <w:rsid w:val="00940777"/>
    <w:rsid w:val="00940878"/>
    <w:rsid w:val="00940EF3"/>
    <w:rsid w:val="0094102D"/>
    <w:rsid w:val="00941967"/>
    <w:rsid w:val="00941D84"/>
    <w:rsid w:val="00941DBC"/>
    <w:rsid w:val="00941DD1"/>
    <w:rsid w:val="009420BB"/>
    <w:rsid w:val="009427AF"/>
    <w:rsid w:val="00942951"/>
    <w:rsid w:val="00942988"/>
    <w:rsid w:val="00942A92"/>
    <w:rsid w:val="00942EB9"/>
    <w:rsid w:val="009430F3"/>
    <w:rsid w:val="0094351B"/>
    <w:rsid w:val="009438F5"/>
    <w:rsid w:val="00943ACA"/>
    <w:rsid w:val="00943C9A"/>
    <w:rsid w:val="00943D7D"/>
    <w:rsid w:val="00944298"/>
    <w:rsid w:val="00944307"/>
    <w:rsid w:val="0094473F"/>
    <w:rsid w:val="00944AA3"/>
    <w:rsid w:val="00944F8A"/>
    <w:rsid w:val="009450AF"/>
    <w:rsid w:val="009450C3"/>
    <w:rsid w:val="0094516A"/>
    <w:rsid w:val="00945526"/>
    <w:rsid w:val="00945A6E"/>
    <w:rsid w:val="0094608B"/>
    <w:rsid w:val="009462B0"/>
    <w:rsid w:val="00946898"/>
    <w:rsid w:val="00946978"/>
    <w:rsid w:val="00946F4E"/>
    <w:rsid w:val="009470A8"/>
    <w:rsid w:val="00947120"/>
    <w:rsid w:val="009472EA"/>
    <w:rsid w:val="00947342"/>
    <w:rsid w:val="00947399"/>
    <w:rsid w:val="009475B5"/>
    <w:rsid w:val="00947854"/>
    <w:rsid w:val="009478A6"/>
    <w:rsid w:val="00947D92"/>
    <w:rsid w:val="00947FE6"/>
    <w:rsid w:val="0095000D"/>
    <w:rsid w:val="0095034C"/>
    <w:rsid w:val="00950533"/>
    <w:rsid w:val="009505C6"/>
    <w:rsid w:val="0095075A"/>
    <w:rsid w:val="00950985"/>
    <w:rsid w:val="009509C2"/>
    <w:rsid w:val="00950BE5"/>
    <w:rsid w:val="00950CAB"/>
    <w:rsid w:val="0095107A"/>
    <w:rsid w:val="009510A2"/>
    <w:rsid w:val="00951314"/>
    <w:rsid w:val="0095153B"/>
    <w:rsid w:val="0095158D"/>
    <w:rsid w:val="0095177E"/>
    <w:rsid w:val="00951BCC"/>
    <w:rsid w:val="00952204"/>
    <w:rsid w:val="009524E7"/>
    <w:rsid w:val="00952C57"/>
    <w:rsid w:val="00953257"/>
    <w:rsid w:val="0095327D"/>
    <w:rsid w:val="0095338C"/>
    <w:rsid w:val="009535BB"/>
    <w:rsid w:val="0095395D"/>
    <w:rsid w:val="009545C7"/>
    <w:rsid w:val="0095474C"/>
    <w:rsid w:val="009548AB"/>
    <w:rsid w:val="00954C5B"/>
    <w:rsid w:val="00955393"/>
    <w:rsid w:val="009553CA"/>
    <w:rsid w:val="009554ED"/>
    <w:rsid w:val="00955501"/>
    <w:rsid w:val="009555AB"/>
    <w:rsid w:val="00955646"/>
    <w:rsid w:val="00955AD7"/>
    <w:rsid w:val="00955CAA"/>
    <w:rsid w:val="0095670C"/>
    <w:rsid w:val="0095676D"/>
    <w:rsid w:val="00956C75"/>
    <w:rsid w:val="00957645"/>
    <w:rsid w:val="0095770B"/>
    <w:rsid w:val="0095798F"/>
    <w:rsid w:val="00957BB5"/>
    <w:rsid w:val="00957D92"/>
    <w:rsid w:val="00960413"/>
    <w:rsid w:val="00960455"/>
    <w:rsid w:val="00960879"/>
    <w:rsid w:val="00960DB8"/>
    <w:rsid w:val="00960DF2"/>
    <w:rsid w:val="00960E7F"/>
    <w:rsid w:val="00960ED6"/>
    <w:rsid w:val="00961309"/>
    <w:rsid w:val="009613D5"/>
    <w:rsid w:val="009614D9"/>
    <w:rsid w:val="009614E0"/>
    <w:rsid w:val="00961899"/>
    <w:rsid w:val="00961915"/>
    <w:rsid w:val="00961A22"/>
    <w:rsid w:val="00961D1A"/>
    <w:rsid w:val="00961DC4"/>
    <w:rsid w:val="00962894"/>
    <w:rsid w:val="009628FC"/>
    <w:rsid w:val="00962A60"/>
    <w:rsid w:val="00962A86"/>
    <w:rsid w:val="00962B6C"/>
    <w:rsid w:val="00962C44"/>
    <w:rsid w:val="00962CB9"/>
    <w:rsid w:val="00962DDD"/>
    <w:rsid w:val="009631FD"/>
    <w:rsid w:val="00963573"/>
    <w:rsid w:val="00963AC3"/>
    <w:rsid w:val="00964312"/>
    <w:rsid w:val="0096442E"/>
    <w:rsid w:val="00964823"/>
    <w:rsid w:val="00964B2D"/>
    <w:rsid w:val="00964C85"/>
    <w:rsid w:val="00964D04"/>
    <w:rsid w:val="0096518F"/>
    <w:rsid w:val="00965B8A"/>
    <w:rsid w:val="00966DAD"/>
    <w:rsid w:val="00966FE1"/>
    <w:rsid w:val="00967504"/>
    <w:rsid w:val="00967AEE"/>
    <w:rsid w:val="00967CA6"/>
    <w:rsid w:val="00967F67"/>
    <w:rsid w:val="00970230"/>
    <w:rsid w:val="00970288"/>
    <w:rsid w:val="0097071F"/>
    <w:rsid w:val="009708CC"/>
    <w:rsid w:val="00970ABD"/>
    <w:rsid w:val="00970C0E"/>
    <w:rsid w:val="00970CD8"/>
    <w:rsid w:val="00970E43"/>
    <w:rsid w:val="00971051"/>
    <w:rsid w:val="009713B9"/>
    <w:rsid w:val="009713D6"/>
    <w:rsid w:val="009714C7"/>
    <w:rsid w:val="00971529"/>
    <w:rsid w:val="0097155E"/>
    <w:rsid w:val="009717AC"/>
    <w:rsid w:val="00971BC9"/>
    <w:rsid w:val="00971BDC"/>
    <w:rsid w:val="00971F09"/>
    <w:rsid w:val="00972408"/>
    <w:rsid w:val="00972480"/>
    <w:rsid w:val="00972537"/>
    <w:rsid w:val="00972843"/>
    <w:rsid w:val="00972EBB"/>
    <w:rsid w:val="0097325D"/>
    <w:rsid w:val="009733E9"/>
    <w:rsid w:val="00973857"/>
    <w:rsid w:val="0097385A"/>
    <w:rsid w:val="0097387E"/>
    <w:rsid w:val="009740AF"/>
    <w:rsid w:val="00974101"/>
    <w:rsid w:val="0097424C"/>
    <w:rsid w:val="00974389"/>
    <w:rsid w:val="009744ED"/>
    <w:rsid w:val="00974988"/>
    <w:rsid w:val="00974AA4"/>
    <w:rsid w:val="00974AA5"/>
    <w:rsid w:val="00974AB3"/>
    <w:rsid w:val="00974ABA"/>
    <w:rsid w:val="00974B7C"/>
    <w:rsid w:val="00974B87"/>
    <w:rsid w:val="00974BB0"/>
    <w:rsid w:val="00974FF0"/>
    <w:rsid w:val="009751C1"/>
    <w:rsid w:val="009752B4"/>
    <w:rsid w:val="009752B6"/>
    <w:rsid w:val="00975FEE"/>
    <w:rsid w:val="00976092"/>
    <w:rsid w:val="009765DE"/>
    <w:rsid w:val="009766E4"/>
    <w:rsid w:val="009770B0"/>
    <w:rsid w:val="00977126"/>
    <w:rsid w:val="00977757"/>
    <w:rsid w:val="00977A5C"/>
    <w:rsid w:val="00977B2F"/>
    <w:rsid w:val="00977D6E"/>
    <w:rsid w:val="00977DF4"/>
    <w:rsid w:val="00977EB1"/>
    <w:rsid w:val="00977EF3"/>
    <w:rsid w:val="00977F59"/>
    <w:rsid w:val="00977FD6"/>
    <w:rsid w:val="00977FDE"/>
    <w:rsid w:val="00980440"/>
    <w:rsid w:val="009805B6"/>
    <w:rsid w:val="0098073F"/>
    <w:rsid w:val="0098090D"/>
    <w:rsid w:val="00980919"/>
    <w:rsid w:val="009811F1"/>
    <w:rsid w:val="00981591"/>
    <w:rsid w:val="00981EE6"/>
    <w:rsid w:val="00981EF0"/>
    <w:rsid w:val="00982196"/>
    <w:rsid w:val="009821D5"/>
    <w:rsid w:val="0098235E"/>
    <w:rsid w:val="0098262F"/>
    <w:rsid w:val="009828BE"/>
    <w:rsid w:val="00982A44"/>
    <w:rsid w:val="00982AF7"/>
    <w:rsid w:val="00982E95"/>
    <w:rsid w:val="009839FC"/>
    <w:rsid w:val="00983D75"/>
    <w:rsid w:val="00983E53"/>
    <w:rsid w:val="00983E57"/>
    <w:rsid w:val="00983F6B"/>
    <w:rsid w:val="009846BB"/>
    <w:rsid w:val="00984828"/>
    <w:rsid w:val="009849FD"/>
    <w:rsid w:val="00984F21"/>
    <w:rsid w:val="00985321"/>
    <w:rsid w:val="009853CE"/>
    <w:rsid w:val="0098542A"/>
    <w:rsid w:val="0098549B"/>
    <w:rsid w:val="00985514"/>
    <w:rsid w:val="0098552D"/>
    <w:rsid w:val="009857F2"/>
    <w:rsid w:val="00985B51"/>
    <w:rsid w:val="00985D65"/>
    <w:rsid w:val="00985DE2"/>
    <w:rsid w:val="00986293"/>
    <w:rsid w:val="0098631B"/>
    <w:rsid w:val="0098675D"/>
    <w:rsid w:val="00986765"/>
    <w:rsid w:val="0098680A"/>
    <w:rsid w:val="00986A09"/>
    <w:rsid w:val="00986C1B"/>
    <w:rsid w:val="00986C63"/>
    <w:rsid w:val="00986D04"/>
    <w:rsid w:val="009879DB"/>
    <w:rsid w:val="00987BA4"/>
    <w:rsid w:val="00987F31"/>
    <w:rsid w:val="009905D1"/>
    <w:rsid w:val="00990691"/>
    <w:rsid w:val="009906BE"/>
    <w:rsid w:val="009908BA"/>
    <w:rsid w:val="00990941"/>
    <w:rsid w:val="00990DBC"/>
    <w:rsid w:val="00991000"/>
    <w:rsid w:val="00991555"/>
    <w:rsid w:val="00991557"/>
    <w:rsid w:val="009917DF"/>
    <w:rsid w:val="00991AE6"/>
    <w:rsid w:val="00991C9E"/>
    <w:rsid w:val="00992180"/>
    <w:rsid w:val="00992229"/>
    <w:rsid w:val="009924FE"/>
    <w:rsid w:val="009926E0"/>
    <w:rsid w:val="00992730"/>
    <w:rsid w:val="00992B2B"/>
    <w:rsid w:val="00992E88"/>
    <w:rsid w:val="009938AB"/>
    <w:rsid w:val="00993939"/>
    <w:rsid w:val="00993D04"/>
    <w:rsid w:val="00993E9C"/>
    <w:rsid w:val="0099400F"/>
    <w:rsid w:val="00994117"/>
    <w:rsid w:val="00994362"/>
    <w:rsid w:val="0099451E"/>
    <w:rsid w:val="00994AFD"/>
    <w:rsid w:val="00994D1D"/>
    <w:rsid w:val="009950FA"/>
    <w:rsid w:val="0099515B"/>
    <w:rsid w:val="0099516B"/>
    <w:rsid w:val="009952A9"/>
    <w:rsid w:val="0099555D"/>
    <w:rsid w:val="009955C7"/>
    <w:rsid w:val="00995D54"/>
    <w:rsid w:val="00995E39"/>
    <w:rsid w:val="00995F56"/>
    <w:rsid w:val="009960E1"/>
    <w:rsid w:val="00996113"/>
    <w:rsid w:val="0099623C"/>
    <w:rsid w:val="00996A73"/>
    <w:rsid w:val="00996B1A"/>
    <w:rsid w:val="00996CB4"/>
    <w:rsid w:val="00997100"/>
    <w:rsid w:val="0099727E"/>
    <w:rsid w:val="0099745E"/>
    <w:rsid w:val="00997518"/>
    <w:rsid w:val="00997A65"/>
    <w:rsid w:val="00997C7E"/>
    <w:rsid w:val="00997E93"/>
    <w:rsid w:val="009A0226"/>
    <w:rsid w:val="009A030D"/>
    <w:rsid w:val="009A03F7"/>
    <w:rsid w:val="009A0490"/>
    <w:rsid w:val="009A0530"/>
    <w:rsid w:val="009A0661"/>
    <w:rsid w:val="009A08AF"/>
    <w:rsid w:val="009A097E"/>
    <w:rsid w:val="009A09DB"/>
    <w:rsid w:val="009A0E43"/>
    <w:rsid w:val="009A18F6"/>
    <w:rsid w:val="009A19D4"/>
    <w:rsid w:val="009A1A3E"/>
    <w:rsid w:val="009A2205"/>
    <w:rsid w:val="009A2661"/>
    <w:rsid w:val="009A2963"/>
    <w:rsid w:val="009A2DCC"/>
    <w:rsid w:val="009A2DD7"/>
    <w:rsid w:val="009A34A4"/>
    <w:rsid w:val="009A3651"/>
    <w:rsid w:val="009A383F"/>
    <w:rsid w:val="009A3FCC"/>
    <w:rsid w:val="009A40AC"/>
    <w:rsid w:val="009A43C0"/>
    <w:rsid w:val="009A47F6"/>
    <w:rsid w:val="009A4BB4"/>
    <w:rsid w:val="009A4E9B"/>
    <w:rsid w:val="009A4F95"/>
    <w:rsid w:val="009A5085"/>
    <w:rsid w:val="009A57AB"/>
    <w:rsid w:val="009A5926"/>
    <w:rsid w:val="009A5A19"/>
    <w:rsid w:val="009A5ABC"/>
    <w:rsid w:val="009A5B13"/>
    <w:rsid w:val="009A5B86"/>
    <w:rsid w:val="009A6151"/>
    <w:rsid w:val="009A633A"/>
    <w:rsid w:val="009A63A0"/>
    <w:rsid w:val="009A6BAE"/>
    <w:rsid w:val="009A6CB5"/>
    <w:rsid w:val="009A6CCB"/>
    <w:rsid w:val="009A705F"/>
    <w:rsid w:val="009A7581"/>
    <w:rsid w:val="009A774E"/>
    <w:rsid w:val="009A7F10"/>
    <w:rsid w:val="009A7F71"/>
    <w:rsid w:val="009B032F"/>
    <w:rsid w:val="009B0D32"/>
    <w:rsid w:val="009B0F5E"/>
    <w:rsid w:val="009B1826"/>
    <w:rsid w:val="009B1FDE"/>
    <w:rsid w:val="009B2309"/>
    <w:rsid w:val="009B2653"/>
    <w:rsid w:val="009B2955"/>
    <w:rsid w:val="009B2A69"/>
    <w:rsid w:val="009B2C1A"/>
    <w:rsid w:val="009B2D65"/>
    <w:rsid w:val="009B2DB1"/>
    <w:rsid w:val="009B31A9"/>
    <w:rsid w:val="009B31C2"/>
    <w:rsid w:val="009B37D1"/>
    <w:rsid w:val="009B38FE"/>
    <w:rsid w:val="009B3E26"/>
    <w:rsid w:val="009B3FB5"/>
    <w:rsid w:val="009B4088"/>
    <w:rsid w:val="009B4218"/>
    <w:rsid w:val="009B43E6"/>
    <w:rsid w:val="009B44A5"/>
    <w:rsid w:val="009B489C"/>
    <w:rsid w:val="009B4C8B"/>
    <w:rsid w:val="009B515D"/>
    <w:rsid w:val="009B5300"/>
    <w:rsid w:val="009B53B3"/>
    <w:rsid w:val="009B551F"/>
    <w:rsid w:val="009B5686"/>
    <w:rsid w:val="009B5740"/>
    <w:rsid w:val="009B58A5"/>
    <w:rsid w:val="009B593E"/>
    <w:rsid w:val="009B59D8"/>
    <w:rsid w:val="009B616B"/>
    <w:rsid w:val="009B6252"/>
    <w:rsid w:val="009B68D4"/>
    <w:rsid w:val="009B6C57"/>
    <w:rsid w:val="009B6D20"/>
    <w:rsid w:val="009B70A1"/>
    <w:rsid w:val="009B730D"/>
    <w:rsid w:val="009B73D0"/>
    <w:rsid w:val="009B7C87"/>
    <w:rsid w:val="009C03D5"/>
    <w:rsid w:val="009C07E2"/>
    <w:rsid w:val="009C094D"/>
    <w:rsid w:val="009C0CD3"/>
    <w:rsid w:val="009C0FC6"/>
    <w:rsid w:val="009C1271"/>
    <w:rsid w:val="009C14D3"/>
    <w:rsid w:val="009C171C"/>
    <w:rsid w:val="009C19A2"/>
    <w:rsid w:val="009C1B19"/>
    <w:rsid w:val="009C1E06"/>
    <w:rsid w:val="009C1FDC"/>
    <w:rsid w:val="009C2D65"/>
    <w:rsid w:val="009C2DC9"/>
    <w:rsid w:val="009C2FAF"/>
    <w:rsid w:val="009C30D7"/>
    <w:rsid w:val="009C349A"/>
    <w:rsid w:val="009C34AB"/>
    <w:rsid w:val="009C34E8"/>
    <w:rsid w:val="009C357B"/>
    <w:rsid w:val="009C3706"/>
    <w:rsid w:val="009C3A3A"/>
    <w:rsid w:val="009C426B"/>
    <w:rsid w:val="009C4348"/>
    <w:rsid w:val="009C4868"/>
    <w:rsid w:val="009C4C10"/>
    <w:rsid w:val="009C4DCE"/>
    <w:rsid w:val="009C4DE7"/>
    <w:rsid w:val="009C568B"/>
    <w:rsid w:val="009C582D"/>
    <w:rsid w:val="009C5956"/>
    <w:rsid w:val="009C5B68"/>
    <w:rsid w:val="009C61C0"/>
    <w:rsid w:val="009C6B34"/>
    <w:rsid w:val="009C6CEA"/>
    <w:rsid w:val="009C6DB2"/>
    <w:rsid w:val="009C724C"/>
    <w:rsid w:val="009C7447"/>
    <w:rsid w:val="009C75BA"/>
    <w:rsid w:val="009C76A1"/>
    <w:rsid w:val="009C76A5"/>
    <w:rsid w:val="009C76B3"/>
    <w:rsid w:val="009C79BB"/>
    <w:rsid w:val="009C7B85"/>
    <w:rsid w:val="009C7C2D"/>
    <w:rsid w:val="009C7D5D"/>
    <w:rsid w:val="009C7E79"/>
    <w:rsid w:val="009D0062"/>
    <w:rsid w:val="009D0254"/>
    <w:rsid w:val="009D0303"/>
    <w:rsid w:val="009D04C3"/>
    <w:rsid w:val="009D04D6"/>
    <w:rsid w:val="009D07CA"/>
    <w:rsid w:val="009D1779"/>
    <w:rsid w:val="009D1993"/>
    <w:rsid w:val="009D1A64"/>
    <w:rsid w:val="009D2061"/>
    <w:rsid w:val="009D22AD"/>
    <w:rsid w:val="009D2427"/>
    <w:rsid w:val="009D33A8"/>
    <w:rsid w:val="009D3795"/>
    <w:rsid w:val="009D396A"/>
    <w:rsid w:val="009D3997"/>
    <w:rsid w:val="009D3A21"/>
    <w:rsid w:val="009D3D41"/>
    <w:rsid w:val="009D4200"/>
    <w:rsid w:val="009D4C16"/>
    <w:rsid w:val="009D50B9"/>
    <w:rsid w:val="009D5B91"/>
    <w:rsid w:val="009D5D42"/>
    <w:rsid w:val="009D5D6B"/>
    <w:rsid w:val="009D623B"/>
    <w:rsid w:val="009D62D1"/>
    <w:rsid w:val="009D63CF"/>
    <w:rsid w:val="009D641E"/>
    <w:rsid w:val="009D6475"/>
    <w:rsid w:val="009D6803"/>
    <w:rsid w:val="009D6B64"/>
    <w:rsid w:val="009D6E5A"/>
    <w:rsid w:val="009D6E78"/>
    <w:rsid w:val="009D6E85"/>
    <w:rsid w:val="009D725B"/>
    <w:rsid w:val="009D7263"/>
    <w:rsid w:val="009D7286"/>
    <w:rsid w:val="009D72F1"/>
    <w:rsid w:val="009D7880"/>
    <w:rsid w:val="009D792E"/>
    <w:rsid w:val="009D7E36"/>
    <w:rsid w:val="009E037A"/>
    <w:rsid w:val="009E060B"/>
    <w:rsid w:val="009E07BB"/>
    <w:rsid w:val="009E0A17"/>
    <w:rsid w:val="009E0A9B"/>
    <w:rsid w:val="009E0BF1"/>
    <w:rsid w:val="009E0DFE"/>
    <w:rsid w:val="009E1111"/>
    <w:rsid w:val="009E12A6"/>
    <w:rsid w:val="009E1380"/>
    <w:rsid w:val="009E16A0"/>
    <w:rsid w:val="009E179F"/>
    <w:rsid w:val="009E191D"/>
    <w:rsid w:val="009E1ABB"/>
    <w:rsid w:val="009E1CAE"/>
    <w:rsid w:val="009E2299"/>
    <w:rsid w:val="009E236D"/>
    <w:rsid w:val="009E248F"/>
    <w:rsid w:val="009E29E5"/>
    <w:rsid w:val="009E2E55"/>
    <w:rsid w:val="009E31F6"/>
    <w:rsid w:val="009E3259"/>
    <w:rsid w:val="009E35B8"/>
    <w:rsid w:val="009E35C2"/>
    <w:rsid w:val="009E3992"/>
    <w:rsid w:val="009E3A39"/>
    <w:rsid w:val="009E3FE2"/>
    <w:rsid w:val="009E405B"/>
    <w:rsid w:val="009E44F1"/>
    <w:rsid w:val="009E4555"/>
    <w:rsid w:val="009E49F7"/>
    <w:rsid w:val="009E4A40"/>
    <w:rsid w:val="009E4B36"/>
    <w:rsid w:val="009E4C07"/>
    <w:rsid w:val="009E4ED1"/>
    <w:rsid w:val="009E52C3"/>
    <w:rsid w:val="009E57FE"/>
    <w:rsid w:val="009E5EC2"/>
    <w:rsid w:val="009E602E"/>
    <w:rsid w:val="009E62D9"/>
    <w:rsid w:val="009E6303"/>
    <w:rsid w:val="009E64F3"/>
    <w:rsid w:val="009E65BA"/>
    <w:rsid w:val="009E69DA"/>
    <w:rsid w:val="009E6A9F"/>
    <w:rsid w:val="009E6B44"/>
    <w:rsid w:val="009E7254"/>
    <w:rsid w:val="009E766E"/>
    <w:rsid w:val="009E777F"/>
    <w:rsid w:val="009E7E62"/>
    <w:rsid w:val="009F036F"/>
    <w:rsid w:val="009F03B1"/>
    <w:rsid w:val="009F05C7"/>
    <w:rsid w:val="009F066F"/>
    <w:rsid w:val="009F0974"/>
    <w:rsid w:val="009F0C91"/>
    <w:rsid w:val="009F12A6"/>
    <w:rsid w:val="009F208E"/>
    <w:rsid w:val="009F209B"/>
    <w:rsid w:val="009F280F"/>
    <w:rsid w:val="009F2A62"/>
    <w:rsid w:val="009F3536"/>
    <w:rsid w:val="009F3885"/>
    <w:rsid w:val="009F3B09"/>
    <w:rsid w:val="009F3B8D"/>
    <w:rsid w:val="009F3BF0"/>
    <w:rsid w:val="009F3FB8"/>
    <w:rsid w:val="009F4026"/>
    <w:rsid w:val="009F4554"/>
    <w:rsid w:val="009F49BA"/>
    <w:rsid w:val="009F4DAB"/>
    <w:rsid w:val="009F4EE4"/>
    <w:rsid w:val="009F50B9"/>
    <w:rsid w:val="009F54CB"/>
    <w:rsid w:val="009F5519"/>
    <w:rsid w:val="009F558F"/>
    <w:rsid w:val="009F566B"/>
    <w:rsid w:val="009F5885"/>
    <w:rsid w:val="009F5A09"/>
    <w:rsid w:val="009F5D3B"/>
    <w:rsid w:val="009F5F1D"/>
    <w:rsid w:val="009F6092"/>
    <w:rsid w:val="009F6120"/>
    <w:rsid w:val="009F6207"/>
    <w:rsid w:val="009F620E"/>
    <w:rsid w:val="009F631B"/>
    <w:rsid w:val="009F6381"/>
    <w:rsid w:val="009F644B"/>
    <w:rsid w:val="009F67AB"/>
    <w:rsid w:val="009F685B"/>
    <w:rsid w:val="009F6965"/>
    <w:rsid w:val="009F70F8"/>
    <w:rsid w:val="009F7168"/>
    <w:rsid w:val="009F721A"/>
    <w:rsid w:val="009F72A5"/>
    <w:rsid w:val="009F72E2"/>
    <w:rsid w:val="009F7CA6"/>
    <w:rsid w:val="009F7EA6"/>
    <w:rsid w:val="009F7EAA"/>
    <w:rsid w:val="009F7F96"/>
    <w:rsid w:val="00A005EF"/>
    <w:rsid w:val="00A009A4"/>
    <w:rsid w:val="00A00B00"/>
    <w:rsid w:val="00A00C2F"/>
    <w:rsid w:val="00A00D76"/>
    <w:rsid w:val="00A00EB0"/>
    <w:rsid w:val="00A01099"/>
    <w:rsid w:val="00A01184"/>
    <w:rsid w:val="00A01449"/>
    <w:rsid w:val="00A01461"/>
    <w:rsid w:val="00A01769"/>
    <w:rsid w:val="00A01F4E"/>
    <w:rsid w:val="00A020A7"/>
    <w:rsid w:val="00A02118"/>
    <w:rsid w:val="00A027B4"/>
    <w:rsid w:val="00A02BB5"/>
    <w:rsid w:val="00A03648"/>
    <w:rsid w:val="00A037C2"/>
    <w:rsid w:val="00A03823"/>
    <w:rsid w:val="00A03834"/>
    <w:rsid w:val="00A039D5"/>
    <w:rsid w:val="00A03B3B"/>
    <w:rsid w:val="00A03B87"/>
    <w:rsid w:val="00A03D43"/>
    <w:rsid w:val="00A03DD2"/>
    <w:rsid w:val="00A03E8F"/>
    <w:rsid w:val="00A03EB8"/>
    <w:rsid w:val="00A04380"/>
    <w:rsid w:val="00A04537"/>
    <w:rsid w:val="00A04786"/>
    <w:rsid w:val="00A0494E"/>
    <w:rsid w:val="00A04A03"/>
    <w:rsid w:val="00A0532B"/>
    <w:rsid w:val="00A05472"/>
    <w:rsid w:val="00A0588A"/>
    <w:rsid w:val="00A05A25"/>
    <w:rsid w:val="00A05C32"/>
    <w:rsid w:val="00A05FF9"/>
    <w:rsid w:val="00A0604A"/>
    <w:rsid w:val="00A06245"/>
    <w:rsid w:val="00A0653F"/>
    <w:rsid w:val="00A066E4"/>
    <w:rsid w:val="00A06A04"/>
    <w:rsid w:val="00A07142"/>
    <w:rsid w:val="00A0744D"/>
    <w:rsid w:val="00A07620"/>
    <w:rsid w:val="00A078FE"/>
    <w:rsid w:val="00A07E59"/>
    <w:rsid w:val="00A100CA"/>
    <w:rsid w:val="00A100EF"/>
    <w:rsid w:val="00A1026C"/>
    <w:rsid w:val="00A10B38"/>
    <w:rsid w:val="00A10CD9"/>
    <w:rsid w:val="00A11144"/>
    <w:rsid w:val="00A11653"/>
    <w:rsid w:val="00A116A3"/>
    <w:rsid w:val="00A11A76"/>
    <w:rsid w:val="00A11CD0"/>
    <w:rsid w:val="00A11E0C"/>
    <w:rsid w:val="00A11EE4"/>
    <w:rsid w:val="00A11FB2"/>
    <w:rsid w:val="00A124D6"/>
    <w:rsid w:val="00A12D83"/>
    <w:rsid w:val="00A13163"/>
    <w:rsid w:val="00A13515"/>
    <w:rsid w:val="00A136D3"/>
    <w:rsid w:val="00A1376D"/>
    <w:rsid w:val="00A13948"/>
    <w:rsid w:val="00A13B55"/>
    <w:rsid w:val="00A13C2B"/>
    <w:rsid w:val="00A1474D"/>
    <w:rsid w:val="00A1479A"/>
    <w:rsid w:val="00A14975"/>
    <w:rsid w:val="00A1505A"/>
    <w:rsid w:val="00A1506E"/>
    <w:rsid w:val="00A15186"/>
    <w:rsid w:val="00A1555B"/>
    <w:rsid w:val="00A155C5"/>
    <w:rsid w:val="00A155DC"/>
    <w:rsid w:val="00A156ED"/>
    <w:rsid w:val="00A15D1D"/>
    <w:rsid w:val="00A16007"/>
    <w:rsid w:val="00A1628C"/>
    <w:rsid w:val="00A162A0"/>
    <w:rsid w:val="00A162ED"/>
    <w:rsid w:val="00A162EF"/>
    <w:rsid w:val="00A166AB"/>
    <w:rsid w:val="00A166D3"/>
    <w:rsid w:val="00A16828"/>
    <w:rsid w:val="00A1685A"/>
    <w:rsid w:val="00A16AD8"/>
    <w:rsid w:val="00A170DF"/>
    <w:rsid w:val="00A17204"/>
    <w:rsid w:val="00A17428"/>
    <w:rsid w:val="00A17695"/>
    <w:rsid w:val="00A177D7"/>
    <w:rsid w:val="00A178B6"/>
    <w:rsid w:val="00A17A8E"/>
    <w:rsid w:val="00A200C7"/>
    <w:rsid w:val="00A20117"/>
    <w:rsid w:val="00A2021E"/>
    <w:rsid w:val="00A20667"/>
    <w:rsid w:val="00A207F5"/>
    <w:rsid w:val="00A20938"/>
    <w:rsid w:val="00A20BDB"/>
    <w:rsid w:val="00A20C42"/>
    <w:rsid w:val="00A20C52"/>
    <w:rsid w:val="00A2138E"/>
    <w:rsid w:val="00A2154E"/>
    <w:rsid w:val="00A21C95"/>
    <w:rsid w:val="00A21CF3"/>
    <w:rsid w:val="00A21E52"/>
    <w:rsid w:val="00A21ED2"/>
    <w:rsid w:val="00A21ED8"/>
    <w:rsid w:val="00A22785"/>
    <w:rsid w:val="00A22BDB"/>
    <w:rsid w:val="00A22D1C"/>
    <w:rsid w:val="00A22EB4"/>
    <w:rsid w:val="00A232B6"/>
    <w:rsid w:val="00A2374C"/>
    <w:rsid w:val="00A238BD"/>
    <w:rsid w:val="00A23B38"/>
    <w:rsid w:val="00A23F78"/>
    <w:rsid w:val="00A24043"/>
    <w:rsid w:val="00A24419"/>
    <w:rsid w:val="00A2457C"/>
    <w:rsid w:val="00A24687"/>
    <w:rsid w:val="00A24813"/>
    <w:rsid w:val="00A249AE"/>
    <w:rsid w:val="00A24F7F"/>
    <w:rsid w:val="00A250A7"/>
    <w:rsid w:val="00A25149"/>
    <w:rsid w:val="00A2571B"/>
    <w:rsid w:val="00A257E0"/>
    <w:rsid w:val="00A25967"/>
    <w:rsid w:val="00A25BD3"/>
    <w:rsid w:val="00A25EBE"/>
    <w:rsid w:val="00A25FDA"/>
    <w:rsid w:val="00A2662B"/>
    <w:rsid w:val="00A26865"/>
    <w:rsid w:val="00A26CFC"/>
    <w:rsid w:val="00A278A5"/>
    <w:rsid w:val="00A27948"/>
    <w:rsid w:val="00A27AEC"/>
    <w:rsid w:val="00A27E3C"/>
    <w:rsid w:val="00A27F9C"/>
    <w:rsid w:val="00A30505"/>
    <w:rsid w:val="00A30B7E"/>
    <w:rsid w:val="00A3102D"/>
    <w:rsid w:val="00A312EC"/>
    <w:rsid w:val="00A31522"/>
    <w:rsid w:val="00A315FC"/>
    <w:rsid w:val="00A31622"/>
    <w:rsid w:val="00A31A3B"/>
    <w:rsid w:val="00A31DF4"/>
    <w:rsid w:val="00A320DB"/>
    <w:rsid w:val="00A32150"/>
    <w:rsid w:val="00A32270"/>
    <w:rsid w:val="00A32299"/>
    <w:rsid w:val="00A324AD"/>
    <w:rsid w:val="00A32A0F"/>
    <w:rsid w:val="00A32C54"/>
    <w:rsid w:val="00A32E75"/>
    <w:rsid w:val="00A33147"/>
    <w:rsid w:val="00A332FF"/>
    <w:rsid w:val="00A33328"/>
    <w:rsid w:val="00A33B75"/>
    <w:rsid w:val="00A33B8D"/>
    <w:rsid w:val="00A33FC9"/>
    <w:rsid w:val="00A3454D"/>
    <w:rsid w:val="00A34690"/>
    <w:rsid w:val="00A34916"/>
    <w:rsid w:val="00A34F23"/>
    <w:rsid w:val="00A354B9"/>
    <w:rsid w:val="00A35992"/>
    <w:rsid w:val="00A359E7"/>
    <w:rsid w:val="00A35B47"/>
    <w:rsid w:val="00A35C05"/>
    <w:rsid w:val="00A35C06"/>
    <w:rsid w:val="00A35C67"/>
    <w:rsid w:val="00A35D16"/>
    <w:rsid w:val="00A36094"/>
    <w:rsid w:val="00A361D3"/>
    <w:rsid w:val="00A3622F"/>
    <w:rsid w:val="00A3626E"/>
    <w:rsid w:val="00A364FF"/>
    <w:rsid w:val="00A36778"/>
    <w:rsid w:val="00A367E3"/>
    <w:rsid w:val="00A3708A"/>
    <w:rsid w:val="00A373FD"/>
    <w:rsid w:val="00A3763C"/>
    <w:rsid w:val="00A377D6"/>
    <w:rsid w:val="00A37BCD"/>
    <w:rsid w:val="00A37C73"/>
    <w:rsid w:val="00A37E81"/>
    <w:rsid w:val="00A37FC4"/>
    <w:rsid w:val="00A40394"/>
    <w:rsid w:val="00A404B8"/>
    <w:rsid w:val="00A409F7"/>
    <w:rsid w:val="00A40F57"/>
    <w:rsid w:val="00A40F63"/>
    <w:rsid w:val="00A40FE0"/>
    <w:rsid w:val="00A41679"/>
    <w:rsid w:val="00A41689"/>
    <w:rsid w:val="00A417D8"/>
    <w:rsid w:val="00A41D0B"/>
    <w:rsid w:val="00A41EFB"/>
    <w:rsid w:val="00A421EE"/>
    <w:rsid w:val="00A42287"/>
    <w:rsid w:val="00A42592"/>
    <w:rsid w:val="00A429D3"/>
    <w:rsid w:val="00A42F21"/>
    <w:rsid w:val="00A43A39"/>
    <w:rsid w:val="00A43BD9"/>
    <w:rsid w:val="00A43C59"/>
    <w:rsid w:val="00A43C6D"/>
    <w:rsid w:val="00A43EEB"/>
    <w:rsid w:val="00A43FC9"/>
    <w:rsid w:val="00A4475E"/>
    <w:rsid w:val="00A4484E"/>
    <w:rsid w:val="00A448FE"/>
    <w:rsid w:val="00A44AA3"/>
    <w:rsid w:val="00A44FF7"/>
    <w:rsid w:val="00A4586F"/>
    <w:rsid w:val="00A458D7"/>
    <w:rsid w:val="00A45B3C"/>
    <w:rsid w:val="00A4627E"/>
    <w:rsid w:val="00A466D7"/>
    <w:rsid w:val="00A46719"/>
    <w:rsid w:val="00A4687A"/>
    <w:rsid w:val="00A469DA"/>
    <w:rsid w:val="00A46B2E"/>
    <w:rsid w:val="00A46C4C"/>
    <w:rsid w:val="00A46D3C"/>
    <w:rsid w:val="00A4702A"/>
    <w:rsid w:val="00A47083"/>
    <w:rsid w:val="00A470F8"/>
    <w:rsid w:val="00A4711A"/>
    <w:rsid w:val="00A472B8"/>
    <w:rsid w:val="00A47E21"/>
    <w:rsid w:val="00A502A6"/>
    <w:rsid w:val="00A50480"/>
    <w:rsid w:val="00A504AE"/>
    <w:rsid w:val="00A505BD"/>
    <w:rsid w:val="00A506F3"/>
    <w:rsid w:val="00A509D2"/>
    <w:rsid w:val="00A50ECD"/>
    <w:rsid w:val="00A515CB"/>
    <w:rsid w:val="00A518F3"/>
    <w:rsid w:val="00A51F32"/>
    <w:rsid w:val="00A52012"/>
    <w:rsid w:val="00A52590"/>
    <w:rsid w:val="00A52729"/>
    <w:rsid w:val="00A52767"/>
    <w:rsid w:val="00A528AD"/>
    <w:rsid w:val="00A52AB8"/>
    <w:rsid w:val="00A52B22"/>
    <w:rsid w:val="00A53048"/>
    <w:rsid w:val="00A53144"/>
    <w:rsid w:val="00A5360B"/>
    <w:rsid w:val="00A53620"/>
    <w:rsid w:val="00A53675"/>
    <w:rsid w:val="00A5369C"/>
    <w:rsid w:val="00A53948"/>
    <w:rsid w:val="00A53A72"/>
    <w:rsid w:val="00A53B63"/>
    <w:rsid w:val="00A53BC3"/>
    <w:rsid w:val="00A53C50"/>
    <w:rsid w:val="00A53F05"/>
    <w:rsid w:val="00A54C2B"/>
    <w:rsid w:val="00A54D7C"/>
    <w:rsid w:val="00A552CB"/>
    <w:rsid w:val="00A55C6F"/>
    <w:rsid w:val="00A56035"/>
    <w:rsid w:val="00A562B6"/>
    <w:rsid w:val="00A564D7"/>
    <w:rsid w:val="00A56B25"/>
    <w:rsid w:val="00A56B6A"/>
    <w:rsid w:val="00A56D0C"/>
    <w:rsid w:val="00A5701B"/>
    <w:rsid w:val="00A578DC"/>
    <w:rsid w:val="00A57990"/>
    <w:rsid w:val="00A5799B"/>
    <w:rsid w:val="00A579DF"/>
    <w:rsid w:val="00A57B51"/>
    <w:rsid w:val="00A6025B"/>
    <w:rsid w:val="00A606AD"/>
    <w:rsid w:val="00A60CCA"/>
    <w:rsid w:val="00A60E0C"/>
    <w:rsid w:val="00A6126F"/>
    <w:rsid w:val="00A61669"/>
    <w:rsid w:val="00A618FE"/>
    <w:rsid w:val="00A61F33"/>
    <w:rsid w:val="00A6240F"/>
    <w:rsid w:val="00A62B94"/>
    <w:rsid w:val="00A62C61"/>
    <w:rsid w:val="00A62ECC"/>
    <w:rsid w:val="00A635D7"/>
    <w:rsid w:val="00A63E6A"/>
    <w:rsid w:val="00A64021"/>
    <w:rsid w:val="00A640E2"/>
    <w:rsid w:val="00A64220"/>
    <w:rsid w:val="00A6467F"/>
    <w:rsid w:val="00A64772"/>
    <w:rsid w:val="00A64878"/>
    <w:rsid w:val="00A648B7"/>
    <w:rsid w:val="00A6496A"/>
    <w:rsid w:val="00A64CDA"/>
    <w:rsid w:val="00A64D65"/>
    <w:rsid w:val="00A64EA7"/>
    <w:rsid w:val="00A6523C"/>
    <w:rsid w:val="00A652EF"/>
    <w:rsid w:val="00A653C0"/>
    <w:rsid w:val="00A657B7"/>
    <w:rsid w:val="00A65A9B"/>
    <w:rsid w:val="00A65F64"/>
    <w:rsid w:val="00A66370"/>
    <w:rsid w:val="00A6656D"/>
    <w:rsid w:val="00A666FF"/>
    <w:rsid w:val="00A66B4F"/>
    <w:rsid w:val="00A66C09"/>
    <w:rsid w:val="00A66F00"/>
    <w:rsid w:val="00A6725B"/>
    <w:rsid w:val="00A67524"/>
    <w:rsid w:val="00A675B4"/>
    <w:rsid w:val="00A67931"/>
    <w:rsid w:val="00A67CA9"/>
    <w:rsid w:val="00A70379"/>
    <w:rsid w:val="00A70605"/>
    <w:rsid w:val="00A70DF7"/>
    <w:rsid w:val="00A71016"/>
    <w:rsid w:val="00A71024"/>
    <w:rsid w:val="00A71170"/>
    <w:rsid w:val="00A711D7"/>
    <w:rsid w:val="00A713A0"/>
    <w:rsid w:val="00A717EC"/>
    <w:rsid w:val="00A71BBC"/>
    <w:rsid w:val="00A71BC6"/>
    <w:rsid w:val="00A722AA"/>
    <w:rsid w:val="00A7247B"/>
    <w:rsid w:val="00A724CA"/>
    <w:rsid w:val="00A72555"/>
    <w:rsid w:val="00A728A9"/>
    <w:rsid w:val="00A73134"/>
    <w:rsid w:val="00A733E8"/>
    <w:rsid w:val="00A7365A"/>
    <w:rsid w:val="00A73952"/>
    <w:rsid w:val="00A739C2"/>
    <w:rsid w:val="00A739F1"/>
    <w:rsid w:val="00A73A85"/>
    <w:rsid w:val="00A73CC5"/>
    <w:rsid w:val="00A73DF9"/>
    <w:rsid w:val="00A7485A"/>
    <w:rsid w:val="00A748C3"/>
    <w:rsid w:val="00A75269"/>
    <w:rsid w:val="00A76001"/>
    <w:rsid w:val="00A76132"/>
    <w:rsid w:val="00A76235"/>
    <w:rsid w:val="00A76961"/>
    <w:rsid w:val="00A76B67"/>
    <w:rsid w:val="00A76C78"/>
    <w:rsid w:val="00A76CEC"/>
    <w:rsid w:val="00A76D73"/>
    <w:rsid w:val="00A76D9E"/>
    <w:rsid w:val="00A77742"/>
    <w:rsid w:val="00A777B2"/>
    <w:rsid w:val="00A77C08"/>
    <w:rsid w:val="00A77C29"/>
    <w:rsid w:val="00A77D35"/>
    <w:rsid w:val="00A80081"/>
    <w:rsid w:val="00A801B8"/>
    <w:rsid w:val="00A8038B"/>
    <w:rsid w:val="00A804C3"/>
    <w:rsid w:val="00A805D4"/>
    <w:rsid w:val="00A805FD"/>
    <w:rsid w:val="00A80A28"/>
    <w:rsid w:val="00A80C26"/>
    <w:rsid w:val="00A80DB1"/>
    <w:rsid w:val="00A80F50"/>
    <w:rsid w:val="00A80FEB"/>
    <w:rsid w:val="00A812B7"/>
    <w:rsid w:val="00A8148C"/>
    <w:rsid w:val="00A816EC"/>
    <w:rsid w:val="00A81A49"/>
    <w:rsid w:val="00A81B53"/>
    <w:rsid w:val="00A81B8E"/>
    <w:rsid w:val="00A821EA"/>
    <w:rsid w:val="00A8252C"/>
    <w:rsid w:val="00A825D4"/>
    <w:rsid w:val="00A8263E"/>
    <w:rsid w:val="00A8281D"/>
    <w:rsid w:val="00A828F6"/>
    <w:rsid w:val="00A82A41"/>
    <w:rsid w:val="00A82B73"/>
    <w:rsid w:val="00A83751"/>
    <w:rsid w:val="00A83B90"/>
    <w:rsid w:val="00A83D82"/>
    <w:rsid w:val="00A83DEF"/>
    <w:rsid w:val="00A83F43"/>
    <w:rsid w:val="00A8404E"/>
    <w:rsid w:val="00A8431D"/>
    <w:rsid w:val="00A848C9"/>
    <w:rsid w:val="00A84C7A"/>
    <w:rsid w:val="00A84D37"/>
    <w:rsid w:val="00A855D9"/>
    <w:rsid w:val="00A859AB"/>
    <w:rsid w:val="00A86197"/>
    <w:rsid w:val="00A863CB"/>
    <w:rsid w:val="00A865B0"/>
    <w:rsid w:val="00A86A2E"/>
    <w:rsid w:val="00A86B86"/>
    <w:rsid w:val="00A86E8B"/>
    <w:rsid w:val="00A87164"/>
    <w:rsid w:val="00A871A9"/>
    <w:rsid w:val="00A873C6"/>
    <w:rsid w:val="00A874FF"/>
    <w:rsid w:val="00A87768"/>
    <w:rsid w:val="00A905A9"/>
    <w:rsid w:val="00A908DB"/>
    <w:rsid w:val="00A90D38"/>
    <w:rsid w:val="00A910AF"/>
    <w:rsid w:val="00A91184"/>
    <w:rsid w:val="00A91355"/>
    <w:rsid w:val="00A9148A"/>
    <w:rsid w:val="00A918CC"/>
    <w:rsid w:val="00A91A25"/>
    <w:rsid w:val="00A91E64"/>
    <w:rsid w:val="00A92198"/>
    <w:rsid w:val="00A92430"/>
    <w:rsid w:val="00A92659"/>
    <w:rsid w:val="00A9299B"/>
    <w:rsid w:val="00A92C0E"/>
    <w:rsid w:val="00A92DA9"/>
    <w:rsid w:val="00A92E27"/>
    <w:rsid w:val="00A9300B"/>
    <w:rsid w:val="00A93072"/>
    <w:rsid w:val="00A932B7"/>
    <w:rsid w:val="00A93593"/>
    <w:rsid w:val="00A93638"/>
    <w:rsid w:val="00A937B7"/>
    <w:rsid w:val="00A9381B"/>
    <w:rsid w:val="00A938BD"/>
    <w:rsid w:val="00A93953"/>
    <w:rsid w:val="00A9399A"/>
    <w:rsid w:val="00A93C05"/>
    <w:rsid w:val="00A9409E"/>
    <w:rsid w:val="00A941DC"/>
    <w:rsid w:val="00A94362"/>
    <w:rsid w:val="00A94660"/>
    <w:rsid w:val="00A94D3D"/>
    <w:rsid w:val="00A94EEB"/>
    <w:rsid w:val="00A950BD"/>
    <w:rsid w:val="00A95123"/>
    <w:rsid w:val="00A95313"/>
    <w:rsid w:val="00A95459"/>
    <w:rsid w:val="00A954B1"/>
    <w:rsid w:val="00A956BA"/>
    <w:rsid w:val="00A957F6"/>
    <w:rsid w:val="00A95910"/>
    <w:rsid w:val="00A959D8"/>
    <w:rsid w:val="00A95B02"/>
    <w:rsid w:val="00A95EED"/>
    <w:rsid w:val="00A969A9"/>
    <w:rsid w:val="00A96B64"/>
    <w:rsid w:val="00A96EBF"/>
    <w:rsid w:val="00A96FDE"/>
    <w:rsid w:val="00A9711A"/>
    <w:rsid w:val="00A97158"/>
    <w:rsid w:val="00A97455"/>
    <w:rsid w:val="00A9756A"/>
    <w:rsid w:val="00A978E4"/>
    <w:rsid w:val="00A97F9D"/>
    <w:rsid w:val="00AA0B1F"/>
    <w:rsid w:val="00AA0CF8"/>
    <w:rsid w:val="00AA0D34"/>
    <w:rsid w:val="00AA0DE5"/>
    <w:rsid w:val="00AA113D"/>
    <w:rsid w:val="00AA11DF"/>
    <w:rsid w:val="00AA17B1"/>
    <w:rsid w:val="00AA1D8C"/>
    <w:rsid w:val="00AA21DC"/>
    <w:rsid w:val="00AA21F9"/>
    <w:rsid w:val="00AA2360"/>
    <w:rsid w:val="00AA27F4"/>
    <w:rsid w:val="00AA2BB9"/>
    <w:rsid w:val="00AA31EC"/>
    <w:rsid w:val="00AA35A8"/>
    <w:rsid w:val="00AA3B63"/>
    <w:rsid w:val="00AA3D82"/>
    <w:rsid w:val="00AA3EB0"/>
    <w:rsid w:val="00AA4459"/>
    <w:rsid w:val="00AA46DF"/>
    <w:rsid w:val="00AA4798"/>
    <w:rsid w:val="00AA49C7"/>
    <w:rsid w:val="00AA4B95"/>
    <w:rsid w:val="00AA5EEA"/>
    <w:rsid w:val="00AA5FDC"/>
    <w:rsid w:val="00AA613E"/>
    <w:rsid w:val="00AA617C"/>
    <w:rsid w:val="00AA62F9"/>
    <w:rsid w:val="00AA63A0"/>
    <w:rsid w:val="00AA69B3"/>
    <w:rsid w:val="00AA6A8D"/>
    <w:rsid w:val="00AA6BD5"/>
    <w:rsid w:val="00AA6BD8"/>
    <w:rsid w:val="00AA6C7D"/>
    <w:rsid w:val="00AA7356"/>
    <w:rsid w:val="00AA737A"/>
    <w:rsid w:val="00AA75B8"/>
    <w:rsid w:val="00AA7817"/>
    <w:rsid w:val="00AA7D2D"/>
    <w:rsid w:val="00AA7FD6"/>
    <w:rsid w:val="00AB0090"/>
    <w:rsid w:val="00AB02FF"/>
    <w:rsid w:val="00AB0324"/>
    <w:rsid w:val="00AB042A"/>
    <w:rsid w:val="00AB0542"/>
    <w:rsid w:val="00AB0938"/>
    <w:rsid w:val="00AB1021"/>
    <w:rsid w:val="00AB10AD"/>
    <w:rsid w:val="00AB11AD"/>
    <w:rsid w:val="00AB11BC"/>
    <w:rsid w:val="00AB11CE"/>
    <w:rsid w:val="00AB19EF"/>
    <w:rsid w:val="00AB1EA6"/>
    <w:rsid w:val="00AB2166"/>
    <w:rsid w:val="00AB2495"/>
    <w:rsid w:val="00AB2D34"/>
    <w:rsid w:val="00AB3001"/>
    <w:rsid w:val="00AB324B"/>
    <w:rsid w:val="00AB3399"/>
    <w:rsid w:val="00AB3430"/>
    <w:rsid w:val="00AB373F"/>
    <w:rsid w:val="00AB37B9"/>
    <w:rsid w:val="00AB3983"/>
    <w:rsid w:val="00AB3C9A"/>
    <w:rsid w:val="00AB3E3D"/>
    <w:rsid w:val="00AB436A"/>
    <w:rsid w:val="00AB4392"/>
    <w:rsid w:val="00AB49AD"/>
    <w:rsid w:val="00AB4AD1"/>
    <w:rsid w:val="00AB4CC1"/>
    <w:rsid w:val="00AB5145"/>
    <w:rsid w:val="00AB515F"/>
    <w:rsid w:val="00AB5198"/>
    <w:rsid w:val="00AB5586"/>
    <w:rsid w:val="00AB55B3"/>
    <w:rsid w:val="00AB58D8"/>
    <w:rsid w:val="00AB5B53"/>
    <w:rsid w:val="00AB5E07"/>
    <w:rsid w:val="00AB5FEC"/>
    <w:rsid w:val="00AB67F5"/>
    <w:rsid w:val="00AB6A0E"/>
    <w:rsid w:val="00AB6BE6"/>
    <w:rsid w:val="00AB6E88"/>
    <w:rsid w:val="00AB6E9B"/>
    <w:rsid w:val="00AB7260"/>
    <w:rsid w:val="00AB74BE"/>
    <w:rsid w:val="00AB781D"/>
    <w:rsid w:val="00AB7CFA"/>
    <w:rsid w:val="00AB7D2B"/>
    <w:rsid w:val="00AB7DC5"/>
    <w:rsid w:val="00AB7F20"/>
    <w:rsid w:val="00AB7FD4"/>
    <w:rsid w:val="00AC0099"/>
    <w:rsid w:val="00AC01DC"/>
    <w:rsid w:val="00AC046C"/>
    <w:rsid w:val="00AC1035"/>
    <w:rsid w:val="00AC13B7"/>
    <w:rsid w:val="00AC2312"/>
    <w:rsid w:val="00AC23DA"/>
    <w:rsid w:val="00AC2B01"/>
    <w:rsid w:val="00AC2B9F"/>
    <w:rsid w:val="00AC2C4C"/>
    <w:rsid w:val="00AC2D19"/>
    <w:rsid w:val="00AC30D1"/>
    <w:rsid w:val="00AC3387"/>
    <w:rsid w:val="00AC365E"/>
    <w:rsid w:val="00AC3701"/>
    <w:rsid w:val="00AC380E"/>
    <w:rsid w:val="00AC39D6"/>
    <w:rsid w:val="00AC3C65"/>
    <w:rsid w:val="00AC425B"/>
    <w:rsid w:val="00AC43ED"/>
    <w:rsid w:val="00AC47D1"/>
    <w:rsid w:val="00AC489E"/>
    <w:rsid w:val="00AC4AD2"/>
    <w:rsid w:val="00AC535E"/>
    <w:rsid w:val="00AC59BA"/>
    <w:rsid w:val="00AC5B42"/>
    <w:rsid w:val="00AC5B48"/>
    <w:rsid w:val="00AC5D2A"/>
    <w:rsid w:val="00AC5E2C"/>
    <w:rsid w:val="00AC5E99"/>
    <w:rsid w:val="00AC6693"/>
    <w:rsid w:val="00AC6796"/>
    <w:rsid w:val="00AC7536"/>
    <w:rsid w:val="00AC7773"/>
    <w:rsid w:val="00AC7F2C"/>
    <w:rsid w:val="00AD04B8"/>
    <w:rsid w:val="00AD0906"/>
    <w:rsid w:val="00AD0CD2"/>
    <w:rsid w:val="00AD1185"/>
    <w:rsid w:val="00AD1450"/>
    <w:rsid w:val="00AD15E8"/>
    <w:rsid w:val="00AD17ED"/>
    <w:rsid w:val="00AD1B3F"/>
    <w:rsid w:val="00AD1D71"/>
    <w:rsid w:val="00AD1D9B"/>
    <w:rsid w:val="00AD1F16"/>
    <w:rsid w:val="00AD1FF3"/>
    <w:rsid w:val="00AD234A"/>
    <w:rsid w:val="00AD23CB"/>
    <w:rsid w:val="00AD25F6"/>
    <w:rsid w:val="00AD28BC"/>
    <w:rsid w:val="00AD2BF1"/>
    <w:rsid w:val="00AD356D"/>
    <w:rsid w:val="00AD36C1"/>
    <w:rsid w:val="00AD3764"/>
    <w:rsid w:val="00AD39F5"/>
    <w:rsid w:val="00AD3F47"/>
    <w:rsid w:val="00AD41A8"/>
    <w:rsid w:val="00AD42DB"/>
    <w:rsid w:val="00AD495F"/>
    <w:rsid w:val="00AD51B5"/>
    <w:rsid w:val="00AD53B2"/>
    <w:rsid w:val="00AD5589"/>
    <w:rsid w:val="00AD5738"/>
    <w:rsid w:val="00AD5766"/>
    <w:rsid w:val="00AD58BF"/>
    <w:rsid w:val="00AD59DE"/>
    <w:rsid w:val="00AD5BEA"/>
    <w:rsid w:val="00AD5C8B"/>
    <w:rsid w:val="00AD5ECF"/>
    <w:rsid w:val="00AD64DE"/>
    <w:rsid w:val="00AD6502"/>
    <w:rsid w:val="00AD6752"/>
    <w:rsid w:val="00AD6767"/>
    <w:rsid w:val="00AD6BF1"/>
    <w:rsid w:val="00AD6E0E"/>
    <w:rsid w:val="00AD700D"/>
    <w:rsid w:val="00AD7482"/>
    <w:rsid w:val="00AD761C"/>
    <w:rsid w:val="00AD77B8"/>
    <w:rsid w:val="00AD77EA"/>
    <w:rsid w:val="00AD78A0"/>
    <w:rsid w:val="00AD7A87"/>
    <w:rsid w:val="00AD7E97"/>
    <w:rsid w:val="00AE0196"/>
    <w:rsid w:val="00AE0695"/>
    <w:rsid w:val="00AE0A3A"/>
    <w:rsid w:val="00AE0B43"/>
    <w:rsid w:val="00AE0C3E"/>
    <w:rsid w:val="00AE0EA5"/>
    <w:rsid w:val="00AE0EFA"/>
    <w:rsid w:val="00AE1198"/>
    <w:rsid w:val="00AE1497"/>
    <w:rsid w:val="00AE1717"/>
    <w:rsid w:val="00AE17BB"/>
    <w:rsid w:val="00AE1B08"/>
    <w:rsid w:val="00AE2031"/>
    <w:rsid w:val="00AE21CB"/>
    <w:rsid w:val="00AE256C"/>
    <w:rsid w:val="00AE28CE"/>
    <w:rsid w:val="00AE29FE"/>
    <w:rsid w:val="00AE2B80"/>
    <w:rsid w:val="00AE2B9C"/>
    <w:rsid w:val="00AE2E04"/>
    <w:rsid w:val="00AE2F0B"/>
    <w:rsid w:val="00AE3031"/>
    <w:rsid w:val="00AE3107"/>
    <w:rsid w:val="00AE34B6"/>
    <w:rsid w:val="00AE3975"/>
    <w:rsid w:val="00AE39BE"/>
    <w:rsid w:val="00AE3B72"/>
    <w:rsid w:val="00AE3B90"/>
    <w:rsid w:val="00AE3E7E"/>
    <w:rsid w:val="00AE3F7B"/>
    <w:rsid w:val="00AE43C6"/>
    <w:rsid w:val="00AE44C1"/>
    <w:rsid w:val="00AE460B"/>
    <w:rsid w:val="00AE47E6"/>
    <w:rsid w:val="00AE4803"/>
    <w:rsid w:val="00AE4C6D"/>
    <w:rsid w:val="00AE4DB7"/>
    <w:rsid w:val="00AE4FBA"/>
    <w:rsid w:val="00AE5018"/>
    <w:rsid w:val="00AE5493"/>
    <w:rsid w:val="00AE631D"/>
    <w:rsid w:val="00AE65B9"/>
    <w:rsid w:val="00AE6882"/>
    <w:rsid w:val="00AE6A71"/>
    <w:rsid w:val="00AE6AC0"/>
    <w:rsid w:val="00AE6F48"/>
    <w:rsid w:val="00AE744D"/>
    <w:rsid w:val="00AE7462"/>
    <w:rsid w:val="00AE76B3"/>
    <w:rsid w:val="00AE7A4D"/>
    <w:rsid w:val="00AE7A82"/>
    <w:rsid w:val="00AE7B22"/>
    <w:rsid w:val="00AE7CA4"/>
    <w:rsid w:val="00AE7E53"/>
    <w:rsid w:val="00AE7F0A"/>
    <w:rsid w:val="00AF01CA"/>
    <w:rsid w:val="00AF037E"/>
    <w:rsid w:val="00AF05B5"/>
    <w:rsid w:val="00AF07C7"/>
    <w:rsid w:val="00AF0814"/>
    <w:rsid w:val="00AF0AAE"/>
    <w:rsid w:val="00AF0AD9"/>
    <w:rsid w:val="00AF0F66"/>
    <w:rsid w:val="00AF1205"/>
    <w:rsid w:val="00AF1315"/>
    <w:rsid w:val="00AF1387"/>
    <w:rsid w:val="00AF1495"/>
    <w:rsid w:val="00AF1526"/>
    <w:rsid w:val="00AF19BF"/>
    <w:rsid w:val="00AF1F76"/>
    <w:rsid w:val="00AF2380"/>
    <w:rsid w:val="00AF268A"/>
    <w:rsid w:val="00AF271C"/>
    <w:rsid w:val="00AF2DC3"/>
    <w:rsid w:val="00AF307E"/>
    <w:rsid w:val="00AF320B"/>
    <w:rsid w:val="00AF325D"/>
    <w:rsid w:val="00AF3368"/>
    <w:rsid w:val="00AF3405"/>
    <w:rsid w:val="00AF348E"/>
    <w:rsid w:val="00AF3791"/>
    <w:rsid w:val="00AF3956"/>
    <w:rsid w:val="00AF3F9C"/>
    <w:rsid w:val="00AF4505"/>
    <w:rsid w:val="00AF4868"/>
    <w:rsid w:val="00AF49B2"/>
    <w:rsid w:val="00AF4C83"/>
    <w:rsid w:val="00AF4D4B"/>
    <w:rsid w:val="00AF4FBA"/>
    <w:rsid w:val="00AF5055"/>
    <w:rsid w:val="00AF521C"/>
    <w:rsid w:val="00AF533A"/>
    <w:rsid w:val="00AF534E"/>
    <w:rsid w:val="00AF54DC"/>
    <w:rsid w:val="00AF5FC0"/>
    <w:rsid w:val="00AF6004"/>
    <w:rsid w:val="00AF6827"/>
    <w:rsid w:val="00AF69F8"/>
    <w:rsid w:val="00AF6A78"/>
    <w:rsid w:val="00AF6C8D"/>
    <w:rsid w:val="00AF7184"/>
    <w:rsid w:val="00AF7413"/>
    <w:rsid w:val="00AF7638"/>
    <w:rsid w:val="00AF78B7"/>
    <w:rsid w:val="00AF7A1C"/>
    <w:rsid w:val="00AF7D01"/>
    <w:rsid w:val="00AF7DFB"/>
    <w:rsid w:val="00AF7E6E"/>
    <w:rsid w:val="00AF7FF3"/>
    <w:rsid w:val="00B0008F"/>
    <w:rsid w:val="00B005FF"/>
    <w:rsid w:val="00B01104"/>
    <w:rsid w:val="00B0115A"/>
    <w:rsid w:val="00B0181D"/>
    <w:rsid w:val="00B01B1E"/>
    <w:rsid w:val="00B01BFD"/>
    <w:rsid w:val="00B01CCB"/>
    <w:rsid w:val="00B01EB6"/>
    <w:rsid w:val="00B02075"/>
    <w:rsid w:val="00B02253"/>
    <w:rsid w:val="00B024F0"/>
    <w:rsid w:val="00B02C0F"/>
    <w:rsid w:val="00B0302B"/>
    <w:rsid w:val="00B031CB"/>
    <w:rsid w:val="00B032C0"/>
    <w:rsid w:val="00B033E5"/>
    <w:rsid w:val="00B03438"/>
    <w:rsid w:val="00B03614"/>
    <w:rsid w:val="00B03A59"/>
    <w:rsid w:val="00B03A63"/>
    <w:rsid w:val="00B04055"/>
    <w:rsid w:val="00B042A4"/>
    <w:rsid w:val="00B04309"/>
    <w:rsid w:val="00B04581"/>
    <w:rsid w:val="00B0460F"/>
    <w:rsid w:val="00B04A21"/>
    <w:rsid w:val="00B04B36"/>
    <w:rsid w:val="00B04D4C"/>
    <w:rsid w:val="00B04DD9"/>
    <w:rsid w:val="00B051C2"/>
    <w:rsid w:val="00B054A7"/>
    <w:rsid w:val="00B05798"/>
    <w:rsid w:val="00B05DA5"/>
    <w:rsid w:val="00B06981"/>
    <w:rsid w:val="00B06DC1"/>
    <w:rsid w:val="00B071FF"/>
    <w:rsid w:val="00B07279"/>
    <w:rsid w:val="00B07697"/>
    <w:rsid w:val="00B1084C"/>
    <w:rsid w:val="00B10AE0"/>
    <w:rsid w:val="00B10C26"/>
    <w:rsid w:val="00B113ED"/>
    <w:rsid w:val="00B11A72"/>
    <w:rsid w:val="00B11AC4"/>
    <w:rsid w:val="00B1223E"/>
    <w:rsid w:val="00B12483"/>
    <w:rsid w:val="00B12740"/>
    <w:rsid w:val="00B128EF"/>
    <w:rsid w:val="00B129A4"/>
    <w:rsid w:val="00B12A06"/>
    <w:rsid w:val="00B12B17"/>
    <w:rsid w:val="00B12B88"/>
    <w:rsid w:val="00B12C51"/>
    <w:rsid w:val="00B1310C"/>
    <w:rsid w:val="00B134E3"/>
    <w:rsid w:val="00B13632"/>
    <w:rsid w:val="00B136E1"/>
    <w:rsid w:val="00B138D1"/>
    <w:rsid w:val="00B139DB"/>
    <w:rsid w:val="00B13CF6"/>
    <w:rsid w:val="00B13DEB"/>
    <w:rsid w:val="00B14091"/>
    <w:rsid w:val="00B14AE5"/>
    <w:rsid w:val="00B14D53"/>
    <w:rsid w:val="00B14F7F"/>
    <w:rsid w:val="00B151EC"/>
    <w:rsid w:val="00B153A4"/>
    <w:rsid w:val="00B15411"/>
    <w:rsid w:val="00B1557E"/>
    <w:rsid w:val="00B1573A"/>
    <w:rsid w:val="00B160D0"/>
    <w:rsid w:val="00B16563"/>
    <w:rsid w:val="00B1669C"/>
    <w:rsid w:val="00B168C7"/>
    <w:rsid w:val="00B16F16"/>
    <w:rsid w:val="00B16F36"/>
    <w:rsid w:val="00B16F58"/>
    <w:rsid w:val="00B17063"/>
    <w:rsid w:val="00B170DE"/>
    <w:rsid w:val="00B1723A"/>
    <w:rsid w:val="00B17522"/>
    <w:rsid w:val="00B17635"/>
    <w:rsid w:val="00B17944"/>
    <w:rsid w:val="00B17B9D"/>
    <w:rsid w:val="00B17E37"/>
    <w:rsid w:val="00B17F02"/>
    <w:rsid w:val="00B17F53"/>
    <w:rsid w:val="00B20085"/>
    <w:rsid w:val="00B20103"/>
    <w:rsid w:val="00B201A4"/>
    <w:rsid w:val="00B201D1"/>
    <w:rsid w:val="00B202A9"/>
    <w:rsid w:val="00B202DD"/>
    <w:rsid w:val="00B203A1"/>
    <w:rsid w:val="00B204A7"/>
    <w:rsid w:val="00B20805"/>
    <w:rsid w:val="00B20979"/>
    <w:rsid w:val="00B20AA5"/>
    <w:rsid w:val="00B20C28"/>
    <w:rsid w:val="00B20D38"/>
    <w:rsid w:val="00B20E38"/>
    <w:rsid w:val="00B21085"/>
    <w:rsid w:val="00B213A6"/>
    <w:rsid w:val="00B21990"/>
    <w:rsid w:val="00B21C3B"/>
    <w:rsid w:val="00B21DBD"/>
    <w:rsid w:val="00B224CF"/>
    <w:rsid w:val="00B225F0"/>
    <w:rsid w:val="00B226FA"/>
    <w:rsid w:val="00B2272E"/>
    <w:rsid w:val="00B22811"/>
    <w:rsid w:val="00B22A2B"/>
    <w:rsid w:val="00B22F47"/>
    <w:rsid w:val="00B231A4"/>
    <w:rsid w:val="00B23265"/>
    <w:rsid w:val="00B235B0"/>
    <w:rsid w:val="00B235B4"/>
    <w:rsid w:val="00B23723"/>
    <w:rsid w:val="00B23A27"/>
    <w:rsid w:val="00B23A28"/>
    <w:rsid w:val="00B23C84"/>
    <w:rsid w:val="00B23CCF"/>
    <w:rsid w:val="00B23EF1"/>
    <w:rsid w:val="00B23F21"/>
    <w:rsid w:val="00B23FDB"/>
    <w:rsid w:val="00B2444B"/>
    <w:rsid w:val="00B24477"/>
    <w:rsid w:val="00B2454D"/>
    <w:rsid w:val="00B2468A"/>
    <w:rsid w:val="00B24747"/>
    <w:rsid w:val="00B24CB4"/>
    <w:rsid w:val="00B24DF6"/>
    <w:rsid w:val="00B250A9"/>
    <w:rsid w:val="00B256A8"/>
    <w:rsid w:val="00B25879"/>
    <w:rsid w:val="00B258F7"/>
    <w:rsid w:val="00B25C00"/>
    <w:rsid w:val="00B25DFE"/>
    <w:rsid w:val="00B2605D"/>
    <w:rsid w:val="00B260CA"/>
    <w:rsid w:val="00B26138"/>
    <w:rsid w:val="00B262B8"/>
    <w:rsid w:val="00B26351"/>
    <w:rsid w:val="00B2635C"/>
    <w:rsid w:val="00B263D0"/>
    <w:rsid w:val="00B2640F"/>
    <w:rsid w:val="00B26439"/>
    <w:rsid w:val="00B26B1B"/>
    <w:rsid w:val="00B26D29"/>
    <w:rsid w:val="00B2732B"/>
    <w:rsid w:val="00B273E4"/>
    <w:rsid w:val="00B27628"/>
    <w:rsid w:val="00B27748"/>
    <w:rsid w:val="00B27A61"/>
    <w:rsid w:val="00B27CFD"/>
    <w:rsid w:val="00B3026B"/>
    <w:rsid w:val="00B302CD"/>
    <w:rsid w:val="00B3035A"/>
    <w:rsid w:val="00B3044E"/>
    <w:rsid w:val="00B306B5"/>
    <w:rsid w:val="00B30786"/>
    <w:rsid w:val="00B3093B"/>
    <w:rsid w:val="00B3114F"/>
    <w:rsid w:val="00B316B2"/>
    <w:rsid w:val="00B316BE"/>
    <w:rsid w:val="00B317F1"/>
    <w:rsid w:val="00B31875"/>
    <w:rsid w:val="00B3223B"/>
    <w:rsid w:val="00B325DD"/>
    <w:rsid w:val="00B32782"/>
    <w:rsid w:val="00B32A61"/>
    <w:rsid w:val="00B32AF6"/>
    <w:rsid w:val="00B32D5F"/>
    <w:rsid w:val="00B330D9"/>
    <w:rsid w:val="00B331F4"/>
    <w:rsid w:val="00B33381"/>
    <w:rsid w:val="00B33424"/>
    <w:rsid w:val="00B33689"/>
    <w:rsid w:val="00B33981"/>
    <w:rsid w:val="00B33CD8"/>
    <w:rsid w:val="00B33D90"/>
    <w:rsid w:val="00B3426B"/>
    <w:rsid w:val="00B34290"/>
    <w:rsid w:val="00B3429F"/>
    <w:rsid w:val="00B34505"/>
    <w:rsid w:val="00B34517"/>
    <w:rsid w:val="00B34535"/>
    <w:rsid w:val="00B34F59"/>
    <w:rsid w:val="00B34FE2"/>
    <w:rsid w:val="00B35166"/>
    <w:rsid w:val="00B351F4"/>
    <w:rsid w:val="00B352F0"/>
    <w:rsid w:val="00B3531A"/>
    <w:rsid w:val="00B354BE"/>
    <w:rsid w:val="00B355B1"/>
    <w:rsid w:val="00B35666"/>
    <w:rsid w:val="00B357D8"/>
    <w:rsid w:val="00B3592A"/>
    <w:rsid w:val="00B35AD0"/>
    <w:rsid w:val="00B35C15"/>
    <w:rsid w:val="00B35C5C"/>
    <w:rsid w:val="00B35CFA"/>
    <w:rsid w:val="00B35D0C"/>
    <w:rsid w:val="00B35E1B"/>
    <w:rsid w:val="00B360F4"/>
    <w:rsid w:val="00B362CD"/>
    <w:rsid w:val="00B36621"/>
    <w:rsid w:val="00B36766"/>
    <w:rsid w:val="00B36880"/>
    <w:rsid w:val="00B3693E"/>
    <w:rsid w:val="00B36982"/>
    <w:rsid w:val="00B36A00"/>
    <w:rsid w:val="00B36C34"/>
    <w:rsid w:val="00B36DC2"/>
    <w:rsid w:val="00B36EFC"/>
    <w:rsid w:val="00B371F3"/>
    <w:rsid w:val="00B372FB"/>
    <w:rsid w:val="00B373B8"/>
    <w:rsid w:val="00B374C3"/>
    <w:rsid w:val="00B3792B"/>
    <w:rsid w:val="00B37BFC"/>
    <w:rsid w:val="00B37C82"/>
    <w:rsid w:val="00B37CC1"/>
    <w:rsid w:val="00B37E2A"/>
    <w:rsid w:val="00B400C6"/>
    <w:rsid w:val="00B4017D"/>
    <w:rsid w:val="00B40285"/>
    <w:rsid w:val="00B40358"/>
    <w:rsid w:val="00B405F7"/>
    <w:rsid w:val="00B4092B"/>
    <w:rsid w:val="00B40978"/>
    <w:rsid w:val="00B40AAA"/>
    <w:rsid w:val="00B40C38"/>
    <w:rsid w:val="00B40C64"/>
    <w:rsid w:val="00B413A4"/>
    <w:rsid w:val="00B4143D"/>
    <w:rsid w:val="00B41614"/>
    <w:rsid w:val="00B41753"/>
    <w:rsid w:val="00B41E7E"/>
    <w:rsid w:val="00B4250E"/>
    <w:rsid w:val="00B427DB"/>
    <w:rsid w:val="00B42851"/>
    <w:rsid w:val="00B42C37"/>
    <w:rsid w:val="00B42F80"/>
    <w:rsid w:val="00B430B2"/>
    <w:rsid w:val="00B433BF"/>
    <w:rsid w:val="00B435CB"/>
    <w:rsid w:val="00B4421B"/>
    <w:rsid w:val="00B444DF"/>
    <w:rsid w:val="00B44CB5"/>
    <w:rsid w:val="00B44D7B"/>
    <w:rsid w:val="00B45488"/>
    <w:rsid w:val="00B456CA"/>
    <w:rsid w:val="00B45757"/>
    <w:rsid w:val="00B45E65"/>
    <w:rsid w:val="00B45F02"/>
    <w:rsid w:val="00B462FC"/>
    <w:rsid w:val="00B463F6"/>
    <w:rsid w:val="00B46455"/>
    <w:rsid w:val="00B465EC"/>
    <w:rsid w:val="00B4669A"/>
    <w:rsid w:val="00B46718"/>
    <w:rsid w:val="00B46729"/>
    <w:rsid w:val="00B4693C"/>
    <w:rsid w:val="00B46A63"/>
    <w:rsid w:val="00B46D05"/>
    <w:rsid w:val="00B46F95"/>
    <w:rsid w:val="00B47039"/>
    <w:rsid w:val="00B472BA"/>
    <w:rsid w:val="00B473B2"/>
    <w:rsid w:val="00B47429"/>
    <w:rsid w:val="00B47973"/>
    <w:rsid w:val="00B47CB7"/>
    <w:rsid w:val="00B50156"/>
    <w:rsid w:val="00B505C8"/>
    <w:rsid w:val="00B50804"/>
    <w:rsid w:val="00B50A60"/>
    <w:rsid w:val="00B50B1D"/>
    <w:rsid w:val="00B50BAF"/>
    <w:rsid w:val="00B50DB8"/>
    <w:rsid w:val="00B50EC5"/>
    <w:rsid w:val="00B50F78"/>
    <w:rsid w:val="00B51612"/>
    <w:rsid w:val="00B5162F"/>
    <w:rsid w:val="00B51668"/>
    <w:rsid w:val="00B525BD"/>
    <w:rsid w:val="00B52854"/>
    <w:rsid w:val="00B528F8"/>
    <w:rsid w:val="00B52A23"/>
    <w:rsid w:val="00B532AD"/>
    <w:rsid w:val="00B53552"/>
    <w:rsid w:val="00B53654"/>
    <w:rsid w:val="00B53905"/>
    <w:rsid w:val="00B53B9B"/>
    <w:rsid w:val="00B53BC0"/>
    <w:rsid w:val="00B53C10"/>
    <w:rsid w:val="00B53DD4"/>
    <w:rsid w:val="00B5405A"/>
    <w:rsid w:val="00B54218"/>
    <w:rsid w:val="00B5436B"/>
    <w:rsid w:val="00B545B9"/>
    <w:rsid w:val="00B546DB"/>
    <w:rsid w:val="00B546E8"/>
    <w:rsid w:val="00B548EA"/>
    <w:rsid w:val="00B54950"/>
    <w:rsid w:val="00B54B5B"/>
    <w:rsid w:val="00B54DB5"/>
    <w:rsid w:val="00B5534F"/>
    <w:rsid w:val="00B5562E"/>
    <w:rsid w:val="00B55862"/>
    <w:rsid w:val="00B55995"/>
    <w:rsid w:val="00B55AAB"/>
    <w:rsid w:val="00B55C47"/>
    <w:rsid w:val="00B55D65"/>
    <w:rsid w:val="00B55FBC"/>
    <w:rsid w:val="00B562F2"/>
    <w:rsid w:val="00B56305"/>
    <w:rsid w:val="00B56366"/>
    <w:rsid w:val="00B56458"/>
    <w:rsid w:val="00B57000"/>
    <w:rsid w:val="00B57144"/>
    <w:rsid w:val="00B5720E"/>
    <w:rsid w:val="00B57398"/>
    <w:rsid w:val="00B574BB"/>
    <w:rsid w:val="00B5766F"/>
    <w:rsid w:val="00B578A9"/>
    <w:rsid w:val="00B57E11"/>
    <w:rsid w:val="00B6016A"/>
    <w:rsid w:val="00B6026C"/>
    <w:rsid w:val="00B602E7"/>
    <w:rsid w:val="00B6056E"/>
    <w:rsid w:val="00B6059A"/>
    <w:rsid w:val="00B60939"/>
    <w:rsid w:val="00B60AFD"/>
    <w:rsid w:val="00B60D14"/>
    <w:rsid w:val="00B60D89"/>
    <w:rsid w:val="00B60E57"/>
    <w:rsid w:val="00B60FE8"/>
    <w:rsid w:val="00B61254"/>
    <w:rsid w:val="00B614E6"/>
    <w:rsid w:val="00B61724"/>
    <w:rsid w:val="00B61779"/>
    <w:rsid w:val="00B61BC7"/>
    <w:rsid w:val="00B61C33"/>
    <w:rsid w:val="00B61CE8"/>
    <w:rsid w:val="00B62050"/>
    <w:rsid w:val="00B6228D"/>
    <w:rsid w:val="00B62616"/>
    <w:rsid w:val="00B62687"/>
    <w:rsid w:val="00B62715"/>
    <w:rsid w:val="00B62815"/>
    <w:rsid w:val="00B629E5"/>
    <w:rsid w:val="00B62AE3"/>
    <w:rsid w:val="00B62B88"/>
    <w:rsid w:val="00B63156"/>
    <w:rsid w:val="00B633A9"/>
    <w:rsid w:val="00B638D9"/>
    <w:rsid w:val="00B63ACF"/>
    <w:rsid w:val="00B63B33"/>
    <w:rsid w:val="00B63D36"/>
    <w:rsid w:val="00B64467"/>
    <w:rsid w:val="00B644CF"/>
    <w:rsid w:val="00B646C6"/>
    <w:rsid w:val="00B64703"/>
    <w:rsid w:val="00B6484C"/>
    <w:rsid w:val="00B64A41"/>
    <w:rsid w:val="00B64C4D"/>
    <w:rsid w:val="00B64DF1"/>
    <w:rsid w:val="00B6511D"/>
    <w:rsid w:val="00B654DD"/>
    <w:rsid w:val="00B655A7"/>
    <w:rsid w:val="00B655D6"/>
    <w:rsid w:val="00B65611"/>
    <w:rsid w:val="00B657A7"/>
    <w:rsid w:val="00B65963"/>
    <w:rsid w:val="00B65BCB"/>
    <w:rsid w:val="00B65C6A"/>
    <w:rsid w:val="00B65E5A"/>
    <w:rsid w:val="00B65ECB"/>
    <w:rsid w:val="00B66550"/>
    <w:rsid w:val="00B66673"/>
    <w:rsid w:val="00B666AE"/>
    <w:rsid w:val="00B666E9"/>
    <w:rsid w:val="00B66A73"/>
    <w:rsid w:val="00B66E8D"/>
    <w:rsid w:val="00B66FB9"/>
    <w:rsid w:val="00B67147"/>
    <w:rsid w:val="00B671A8"/>
    <w:rsid w:val="00B6767D"/>
    <w:rsid w:val="00B67698"/>
    <w:rsid w:val="00B676D4"/>
    <w:rsid w:val="00B67934"/>
    <w:rsid w:val="00B67ADB"/>
    <w:rsid w:val="00B67BAC"/>
    <w:rsid w:val="00B67C18"/>
    <w:rsid w:val="00B70307"/>
    <w:rsid w:val="00B70417"/>
    <w:rsid w:val="00B706FC"/>
    <w:rsid w:val="00B7071C"/>
    <w:rsid w:val="00B70729"/>
    <w:rsid w:val="00B707A7"/>
    <w:rsid w:val="00B70E8E"/>
    <w:rsid w:val="00B71095"/>
    <w:rsid w:val="00B7121C"/>
    <w:rsid w:val="00B7145D"/>
    <w:rsid w:val="00B718E3"/>
    <w:rsid w:val="00B71BFF"/>
    <w:rsid w:val="00B71E4E"/>
    <w:rsid w:val="00B71ED1"/>
    <w:rsid w:val="00B71ED9"/>
    <w:rsid w:val="00B724CB"/>
    <w:rsid w:val="00B724D9"/>
    <w:rsid w:val="00B7254A"/>
    <w:rsid w:val="00B729F5"/>
    <w:rsid w:val="00B72D06"/>
    <w:rsid w:val="00B72F04"/>
    <w:rsid w:val="00B732EA"/>
    <w:rsid w:val="00B73365"/>
    <w:rsid w:val="00B73699"/>
    <w:rsid w:val="00B738B8"/>
    <w:rsid w:val="00B73912"/>
    <w:rsid w:val="00B73C97"/>
    <w:rsid w:val="00B73F9C"/>
    <w:rsid w:val="00B74195"/>
    <w:rsid w:val="00B747B1"/>
    <w:rsid w:val="00B747F2"/>
    <w:rsid w:val="00B74977"/>
    <w:rsid w:val="00B75555"/>
    <w:rsid w:val="00B75678"/>
    <w:rsid w:val="00B75872"/>
    <w:rsid w:val="00B75A4D"/>
    <w:rsid w:val="00B75A51"/>
    <w:rsid w:val="00B75D35"/>
    <w:rsid w:val="00B76218"/>
    <w:rsid w:val="00B76844"/>
    <w:rsid w:val="00B76C92"/>
    <w:rsid w:val="00B776E2"/>
    <w:rsid w:val="00B77CC0"/>
    <w:rsid w:val="00B77D49"/>
    <w:rsid w:val="00B77DC8"/>
    <w:rsid w:val="00B80766"/>
    <w:rsid w:val="00B80861"/>
    <w:rsid w:val="00B80957"/>
    <w:rsid w:val="00B809CA"/>
    <w:rsid w:val="00B80A14"/>
    <w:rsid w:val="00B80A6E"/>
    <w:rsid w:val="00B80EB2"/>
    <w:rsid w:val="00B80EFD"/>
    <w:rsid w:val="00B8121A"/>
    <w:rsid w:val="00B8139F"/>
    <w:rsid w:val="00B817FC"/>
    <w:rsid w:val="00B818A4"/>
    <w:rsid w:val="00B818D4"/>
    <w:rsid w:val="00B81D16"/>
    <w:rsid w:val="00B81D91"/>
    <w:rsid w:val="00B82973"/>
    <w:rsid w:val="00B82A2E"/>
    <w:rsid w:val="00B83334"/>
    <w:rsid w:val="00B836DC"/>
    <w:rsid w:val="00B83739"/>
    <w:rsid w:val="00B84117"/>
    <w:rsid w:val="00B84257"/>
    <w:rsid w:val="00B845AD"/>
    <w:rsid w:val="00B845C0"/>
    <w:rsid w:val="00B84938"/>
    <w:rsid w:val="00B84C41"/>
    <w:rsid w:val="00B84E4C"/>
    <w:rsid w:val="00B84FA2"/>
    <w:rsid w:val="00B850A5"/>
    <w:rsid w:val="00B851BB"/>
    <w:rsid w:val="00B852AD"/>
    <w:rsid w:val="00B853A3"/>
    <w:rsid w:val="00B857FE"/>
    <w:rsid w:val="00B85842"/>
    <w:rsid w:val="00B858F0"/>
    <w:rsid w:val="00B85AA2"/>
    <w:rsid w:val="00B85AB3"/>
    <w:rsid w:val="00B85BC7"/>
    <w:rsid w:val="00B85DDD"/>
    <w:rsid w:val="00B85F14"/>
    <w:rsid w:val="00B8649C"/>
    <w:rsid w:val="00B8673A"/>
    <w:rsid w:val="00B8695D"/>
    <w:rsid w:val="00B86B95"/>
    <w:rsid w:val="00B8704C"/>
    <w:rsid w:val="00B87164"/>
    <w:rsid w:val="00B873DB"/>
    <w:rsid w:val="00B87517"/>
    <w:rsid w:val="00B8776D"/>
    <w:rsid w:val="00B878F0"/>
    <w:rsid w:val="00B87F0A"/>
    <w:rsid w:val="00B90073"/>
    <w:rsid w:val="00B90392"/>
    <w:rsid w:val="00B90861"/>
    <w:rsid w:val="00B90A27"/>
    <w:rsid w:val="00B90A2A"/>
    <w:rsid w:val="00B90BF3"/>
    <w:rsid w:val="00B90E1A"/>
    <w:rsid w:val="00B911A1"/>
    <w:rsid w:val="00B911C8"/>
    <w:rsid w:val="00B91465"/>
    <w:rsid w:val="00B91535"/>
    <w:rsid w:val="00B916F8"/>
    <w:rsid w:val="00B9174D"/>
    <w:rsid w:val="00B9179C"/>
    <w:rsid w:val="00B91AE7"/>
    <w:rsid w:val="00B91D30"/>
    <w:rsid w:val="00B92585"/>
    <w:rsid w:val="00B92822"/>
    <w:rsid w:val="00B9297A"/>
    <w:rsid w:val="00B92CBE"/>
    <w:rsid w:val="00B92D0B"/>
    <w:rsid w:val="00B92FA2"/>
    <w:rsid w:val="00B932BE"/>
    <w:rsid w:val="00B934DC"/>
    <w:rsid w:val="00B935FA"/>
    <w:rsid w:val="00B93966"/>
    <w:rsid w:val="00B93DAF"/>
    <w:rsid w:val="00B94201"/>
    <w:rsid w:val="00B9447C"/>
    <w:rsid w:val="00B9463F"/>
    <w:rsid w:val="00B946F9"/>
    <w:rsid w:val="00B94945"/>
    <w:rsid w:val="00B94D1D"/>
    <w:rsid w:val="00B94DD6"/>
    <w:rsid w:val="00B94DE4"/>
    <w:rsid w:val="00B94F5A"/>
    <w:rsid w:val="00B95029"/>
    <w:rsid w:val="00B953DA"/>
    <w:rsid w:val="00B954E4"/>
    <w:rsid w:val="00B956B7"/>
    <w:rsid w:val="00B956D8"/>
    <w:rsid w:val="00B95C9B"/>
    <w:rsid w:val="00B95DFA"/>
    <w:rsid w:val="00B961B2"/>
    <w:rsid w:val="00B965C1"/>
    <w:rsid w:val="00B966D5"/>
    <w:rsid w:val="00B96824"/>
    <w:rsid w:val="00B968B8"/>
    <w:rsid w:val="00B96BF8"/>
    <w:rsid w:val="00B97285"/>
    <w:rsid w:val="00BA034E"/>
    <w:rsid w:val="00BA0361"/>
    <w:rsid w:val="00BA04B7"/>
    <w:rsid w:val="00BA0882"/>
    <w:rsid w:val="00BA0958"/>
    <w:rsid w:val="00BA0A28"/>
    <w:rsid w:val="00BA0D63"/>
    <w:rsid w:val="00BA0DE9"/>
    <w:rsid w:val="00BA1063"/>
    <w:rsid w:val="00BA11B7"/>
    <w:rsid w:val="00BA138E"/>
    <w:rsid w:val="00BA1460"/>
    <w:rsid w:val="00BA2854"/>
    <w:rsid w:val="00BA2865"/>
    <w:rsid w:val="00BA2AA1"/>
    <w:rsid w:val="00BA2D60"/>
    <w:rsid w:val="00BA2DB7"/>
    <w:rsid w:val="00BA2E22"/>
    <w:rsid w:val="00BA3041"/>
    <w:rsid w:val="00BA3197"/>
    <w:rsid w:val="00BA322D"/>
    <w:rsid w:val="00BA33D8"/>
    <w:rsid w:val="00BA36B5"/>
    <w:rsid w:val="00BA39BB"/>
    <w:rsid w:val="00BA3B0E"/>
    <w:rsid w:val="00BA41C5"/>
    <w:rsid w:val="00BA4532"/>
    <w:rsid w:val="00BA4575"/>
    <w:rsid w:val="00BA4863"/>
    <w:rsid w:val="00BA486F"/>
    <w:rsid w:val="00BA494F"/>
    <w:rsid w:val="00BA49EC"/>
    <w:rsid w:val="00BA4D29"/>
    <w:rsid w:val="00BA5274"/>
    <w:rsid w:val="00BA5B0E"/>
    <w:rsid w:val="00BA5E45"/>
    <w:rsid w:val="00BA5F3B"/>
    <w:rsid w:val="00BA609A"/>
    <w:rsid w:val="00BA6315"/>
    <w:rsid w:val="00BA63FA"/>
    <w:rsid w:val="00BA6630"/>
    <w:rsid w:val="00BA6702"/>
    <w:rsid w:val="00BA6A95"/>
    <w:rsid w:val="00BA6B6C"/>
    <w:rsid w:val="00BA6E8F"/>
    <w:rsid w:val="00BA6EA9"/>
    <w:rsid w:val="00BA6FF0"/>
    <w:rsid w:val="00BA705B"/>
    <w:rsid w:val="00BA739E"/>
    <w:rsid w:val="00BA74E6"/>
    <w:rsid w:val="00BA76EE"/>
    <w:rsid w:val="00BA791B"/>
    <w:rsid w:val="00BA7B0C"/>
    <w:rsid w:val="00BA7B2E"/>
    <w:rsid w:val="00BB003C"/>
    <w:rsid w:val="00BB00B3"/>
    <w:rsid w:val="00BB0782"/>
    <w:rsid w:val="00BB09E9"/>
    <w:rsid w:val="00BB0BDD"/>
    <w:rsid w:val="00BB0C58"/>
    <w:rsid w:val="00BB0ED1"/>
    <w:rsid w:val="00BB0F2E"/>
    <w:rsid w:val="00BB0F63"/>
    <w:rsid w:val="00BB10DB"/>
    <w:rsid w:val="00BB12A1"/>
    <w:rsid w:val="00BB12E9"/>
    <w:rsid w:val="00BB1487"/>
    <w:rsid w:val="00BB1605"/>
    <w:rsid w:val="00BB16EB"/>
    <w:rsid w:val="00BB176C"/>
    <w:rsid w:val="00BB1F9F"/>
    <w:rsid w:val="00BB23C9"/>
    <w:rsid w:val="00BB243F"/>
    <w:rsid w:val="00BB25BB"/>
    <w:rsid w:val="00BB25F6"/>
    <w:rsid w:val="00BB2925"/>
    <w:rsid w:val="00BB2A73"/>
    <w:rsid w:val="00BB32D3"/>
    <w:rsid w:val="00BB3467"/>
    <w:rsid w:val="00BB3759"/>
    <w:rsid w:val="00BB3810"/>
    <w:rsid w:val="00BB39F1"/>
    <w:rsid w:val="00BB3A45"/>
    <w:rsid w:val="00BB3B39"/>
    <w:rsid w:val="00BB3C21"/>
    <w:rsid w:val="00BB3D28"/>
    <w:rsid w:val="00BB3E9A"/>
    <w:rsid w:val="00BB3F35"/>
    <w:rsid w:val="00BB3F87"/>
    <w:rsid w:val="00BB4349"/>
    <w:rsid w:val="00BB4590"/>
    <w:rsid w:val="00BB4ACC"/>
    <w:rsid w:val="00BB4B4B"/>
    <w:rsid w:val="00BB508F"/>
    <w:rsid w:val="00BB516E"/>
    <w:rsid w:val="00BB52D3"/>
    <w:rsid w:val="00BB557F"/>
    <w:rsid w:val="00BB5BB3"/>
    <w:rsid w:val="00BB5C1B"/>
    <w:rsid w:val="00BB610C"/>
    <w:rsid w:val="00BB61D5"/>
    <w:rsid w:val="00BB62BB"/>
    <w:rsid w:val="00BB6518"/>
    <w:rsid w:val="00BB6B2E"/>
    <w:rsid w:val="00BB703E"/>
    <w:rsid w:val="00BB732D"/>
    <w:rsid w:val="00BB7374"/>
    <w:rsid w:val="00BB73A9"/>
    <w:rsid w:val="00BB7405"/>
    <w:rsid w:val="00BB78DC"/>
    <w:rsid w:val="00BB7AF0"/>
    <w:rsid w:val="00BB7BD7"/>
    <w:rsid w:val="00BB7DA8"/>
    <w:rsid w:val="00BC04BA"/>
    <w:rsid w:val="00BC05C0"/>
    <w:rsid w:val="00BC05C7"/>
    <w:rsid w:val="00BC0E97"/>
    <w:rsid w:val="00BC0F09"/>
    <w:rsid w:val="00BC145D"/>
    <w:rsid w:val="00BC1B7A"/>
    <w:rsid w:val="00BC1C1C"/>
    <w:rsid w:val="00BC2228"/>
    <w:rsid w:val="00BC249B"/>
    <w:rsid w:val="00BC2D50"/>
    <w:rsid w:val="00BC3275"/>
    <w:rsid w:val="00BC34B9"/>
    <w:rsid w:val="00BC350B"/>
    <w:rsid w:val="00BC3631"/>
    <w:rsid w:val="00BC367C"/>
    <w:rsid w:val="00BC3956"/>
    <w:rsid w:val="00BC3B59"/>
    <w:rsid w:val="00BC3DFE"/>
    <w:rsid w:val="00BC3ECE"/>
    <w:rsid w:val="00BC408F"/>
    <w:rsid w:val="00BC4112"/>
    <w:rsid w:val="00BC440E"/>
    <w:rsid w:val="00BC44A9"/>
    <w:rsid w:val="00BC4DDA"/>
    <w:rsid w:val="00BC4FEA"/>
    <w:rsid w:val="00BC502F"/>
    <w:rsid w:val="00BC5250"/>
    <w:rsid w:val="00BC5293"/>
    <w:rsid w:val="00BC55C6"/>
    <w:rsid w:val="00BC591F"/>
    <w:rsid w:val="00BC5DDF"/>
    <w:rsid w:val="00BC600E"/>
    <w:rsid w:val="00BC6619"/>
    <w:rsid w:val="00BC6946"/>
    <w:rsid w:val="00BC6BD9"/>
    <w:rsid w:val="00BC6D1E"/>
    <w:rsid w:val="00BC6DA8"/>
    <w:rsid w:val="00BC73EF"/>
    <w:rsid w:val="00BC74B7"/>
    <w:rsid w:val="00BC77A3"/>
    <w:rsid w:val="00BC7D6D"/>
    <w:rsid w:val="00BD0394"/>
    <w:rsid w:val="00BD03D8"/>
    <w:rsid w:val="00BD03DB"/>
    <w:rsid w:val="00BD0476"/>
    <w:rsid w:val="00BD0583"/>
    <w:rsid w:val="00BD096D"/>
    <w:rsid w:val="00BD0ABE"/>
    <w:rsid w:val="00BD0D11"/>
    <w:rsid w:val="00BD14DD"/>
    <w:rsid w:val="00BD15DE"/>
    <w:rsid w:val="00BD1E65"/>
    <w:rsid w:val="00BD1FB1"/>
    <w:rsid w:val="00BD20D7"/>
    <w:rsid w:val="00BD2108"/>
    <w:rsid w:val="00BD22A3"/>
    <w:rsid w:val="00BD265A"/>
    <w:rsid w:val="00BD2E33"/>
    <w:rsid w:val="00BD2F64"/>
    <w:rsid w:val="00BD3065"/>
    <w:rsid w:val="00BD35D0"/>
    <w:rsid w:val="00BD3690"/>
    <w:rsid w:val="00BD395F"/>
    <w:rsid w:val="00BD3D6F"/>
    <w:rsid w:val="00BD3E76"/>
    <w:rsid w:val="00BD4125"/>
    <w:rsid w:val="00BD41AE"/>
    <w:rsid w:val="00BD4207"/>
    <w:rsid w:val="00BD44C5"/>
    <w:rsid w:val="00BD4628"/>
    <w:rsid w:val="00BD483E"/>
    <w:rsid w:val="00BD487D"/>
    <w:rsid w:val="00BD48F0"/>
    <w:rsid w:val="00BD48FE"/>
    <w:rsid w:val="00BD4AAF"/>
    <w:rsid w:val="00BD4B4F"/>
    <w:rsid w:val="00BD5130"/>
    <w:rsid w:val="00BD557C"/>
    <w:rsid w:val="00BD5D88"/>
    <w:rsid w:val="00BD64EF"/>
    <w:rsid w:val="00BD65AD"/>
    <w:rsid w:val="00BD68A3"/>
    <w:rsid w:val="00BD6938"/>
    <w:rsid w:val="00BD6AC8"/>
    <w:rsid w:val="00BD6CF3"/>
    <w:rsid w:val="00BD6D1E"/>
    <w:rsid w:val="00BD7139"/>
    <w:rsid w:val="00BD73C6"/>
    <w:rsid w:val="00BD7553"/>
    <w:rsid w:val="00BD7805"/>
    <w:rsid w:val="00BD7838"/>
    <w:rsid w:val="00BD7F72"/>
    <w:rsid w:val="00BD7F81"/>
    <w:rsid w:val="00BE0247"/>
    <w:rsid w:val="00BE0368"/>
    <w:rsid w:val="00BE03A8"/>
    <w:rsid w:val="00BE073D"/>
    <w:rsid w:val="00BE0B89"/>
    <w:rsid w:val="00BE0CBA"/>
    <w:rsid w:val="00BE0ECA"/>
    <w:rsid w:val="00BE1783"/>
    <w:rsid w:val="00BE1793"/>
    <w:rsid w:val="00BE1A16"/>
    <w:rsid w:val="00BE1A66"/>
    <w:rsid w:val="00BE1BEE"/>
    <w:rsid w:val="00BE2180"/>
    <w:rsid w:val="00BE21F2"/>
    <w:rsid w:val="00BE225D"/>
    <w:rsid w:val="00BE24E2"/>
    <w:rsid w:val="00BE2795"/>
    <w:rsid w:val="00BE297D"/>
    <w:rsid w:val="00BE2BA9"/>
    <w:rsid w:val="00BE2DB0"/>
    <w:rsid w:val="00BE2EB6"/>
    <w:rsid w:val="00BE32C1"/>
    <w:rsid w:val="00BE3B9B"/>
    <w:rsid w:val="00BE3BBF"/>
    <w:rsid w:val="00BE3EF4"/>
    <w:rsid w:val="00BE4254"/>
    <w:rsid w:val="00BE4275"/>
    <w:rsid w:val="00BE4344"/>
    <w:rsid w:val="00BE45FD"/>
    <w:rsid w:val="00BE4A35"/>
    <w:rsid w:val="00BE535E"/>
    <w:rsid w:val="00BE58DB"/>
    <w:rsid w:val="00BE5CA3"/>
    <w:rsid w:val="00BE5FBD"/>
    <w:rsid w:val="00BE6414"/>
    <w:rsid w:val="00BE67F6"/>
    <w:rsid w:val="00BE6816"/>
    <w:rsid w:val="00BE6BB8"/>
    <w:rsid w:val="00BE6C3A"/>
    <w:rsid w:val="00BE75B1"/>
    <w:rsid w:val="00BE7803"/>
    <w:rsid w:val="00BE7F8F"/>
    <w:rsid w:val="00BF02FA"/>
    <w:rsid w:val="00BF054B"/>
    <w:rsid w:val="00BF0586"/>
    <w:rsid w:val="00BF06AE"/>
    <w:rsid w:val="00BF06B6"/>
    <w:rsid w:val="00BF0984"/>
    <w:rsid w:val="00BF0A09"/>
    <w:rsid w:val="00BF0F95"/>
    <w:rsid w:val="00BF120E"/>
    <w:rsid w:val="00BF16E8"/>
    <w:rsid w:val="00BF16F1"/>
    <w:rsid w:val="00BF1765"/>
    <w:rsid w:val="00BF1802"/>
    <w:rsid w:val="00BF1957"/>
    <w:rsid w:val="00BF1A4E"/>
    <w:rsid w:val="00BF1B0E"/>
    <w:rsid w:val="00BF1C51"/>
    <w:rsid w:val="00BF1D3B"/>
    <w:rsid w:val="00BF1F44"/>
    <w:rsid w:val="00BF20CA"/>
    <w:rsid w:val="00BF2326"/>
    <w:rsid w:val="00BF234C"/>
    <w:rsid w:val="00BF2401"/>
    <w:rsid w:val="00BF2433"/>
    <w:rsid w:val="00BF2AC2"/>
    <w:rsid w:val="00BF2C82"/>
    <w:rsid w:val="00BF2C95"/>
    <w:rsid w:val="00BF2E6E"/>
    <w:rsid w:val="00BF3211"/>
    <w:rsid w:val="00BF325F"/>
    <w:rsid w:val="00BF365D"/>
    <w:rsid w:val="00BF36AA"/>
    <w:rsid w:val="00BF3714"/>
    <w:rsid w:val="00BF3912"/>
    <w:rsid w:val="00BF3CBD"/>
    <w:rsid w:val="00BF3EF6"/>
    <w:rsid w:val="00BF43E1"/>
    <w:rsid w:val="00BF4AD0"/>
    <w:rsid w:val="00BF4D24"/>
    <w:rsid w:val="00BF4D64"/>
    <w:rsid w:val="00BF56C4"/>
    <w:rsid w:val="00BF5A24"/>
    <w:rsid w:val="00BF5BF3"/>
    <w:rsid w:val="00BF60D0"/>
    <w:rsid w:val="00BF61C9"/>
    <w:rsid w:val="00BF63F4"/>
    <w:rsid w:val="00BF6732"/>
    <w:rsid w:val="00BF68CA"/>
    <w:rsid w:val="00BF6B97"/>
    <w:rsid w:val="00BF6C94"/>
    <w:rsid w:val="00BF6E0F"/>
    <w:rsid w:val="00BF7030"/>
    <w:rsid w:val="00BF748B"/>
    <w:rsid w:val="00BF7808"/>
    <w:rsid w:val="00BF7F22"/>
    <w:rsid w:val="00C0005F"/>
    <w:rsid w:val="00C0009D"/>
    <w:rsid w:val="00C00424"/>
    <w:rsid w:val="00C008C1"/>
    <w:rsid w:val="00C009B4"/>
    <w:rsid w:val="00C00BB0"/>
    <w:rsid w:val="00C00C08"/>
    <w:rsid w:val="00C00FD4"/>
    <w:rsid w:val="00C01434"/>
    <w:rsid w:val="00C01463"/>
    <w:rsid w:val="00C014EC"/>
    <w:rsid w:val="00C01582"/>
    <w:rsid w:val="00C016A9"/>
    <w:rsid w:val="00C01A65"/>
    <w:rsid w:val="00C02385"/>
    <w:rsid w:val="00C023D9"/>
    <w:rsid w:val="00C02417"/>
    <w:rsid w:val="00C02913"/>
    <w:rsid w:val="00C029D6"/>
    <w:rsid w:val="00C02B21"/>
    <w:rsid w:val="00C02F23"/>
    <w:rsid w:val="00C02F8A"/>
    <w:rsid w:val="00C03196"/>
    <w:rsid w:val="00C037C4"/>
    <w:rsid w:val="00C03BAF"/>
    <w:rsid w:val="00C03EAA"/>
    <w:rsid w:val="00C04033"/>
    <w:rsid w:val="00C043AE"/>
    <w:rsid w:val="00C0447C"/>
    <w:rsid w:val="00C044B5"/>
    <w:rsid w:val="00C04561"/>
    <w:rsid w:val="00C0465B"/>
    <w:rsid w:val="00C04699"/>
    <w:rsid w:val="00C047A9"/>
    <w:rsid w:val="00C04EC6"/>
    <w:rsid w:val="00C0523E"/>
    <w:rsid w:val="00C0541F"/>
    <w:rsid w:val="00C0594D"/>
    <w:rsid w:val="00C059E0"/>
    <w:rsid w:val="00C05C50"/>
    <w:rsid w:val="00C0600B"/>
    <w:rsid w:val="00C06934"/>
    <w:rsid w:val="00C06AF3"/>
    <w:rsid w:val="00C06B79"/>
    <w:rsid w:val="00C06E22"/>
    <w:rsid w:val="00C0748D"/>
    <w:rsid w:val="00C07551"/>
    <w:rsid w:val="00C07857"/>
    <w:rsid w:val="00C10095"/>
    <w:rsid w:val="00C1013A"/>
    <w:rsid w:val="00C102E1"/>
    <w:rsid w:val="00C103E5"/>
    <w:rsid w:val="00C10A2F"/>
    <w:rsid w:val="00C10CE9"/>
    <w:rsid w:val="00C1100A"/>
    <w:rsid w:val="00C11151"/>
    <w:rsid w:val="00C1124F"/>
    <w:rsid w:val="00C1179F"/>
    <w:rsid w:val="00C11A85"/>
    <w:rsid w:val="00C11B5E"/>
    <w:rsid w:val="00C12158"/>
    <w:rsid w:val="00C121EB"/>
    <w:rsid w:val="00C1224C"/>
    <w:rsid w:val="00C1229A"/>
    <w:rsid w:val="00C12390"/>
    <w:rsid w:val="00C124FE"/>
    <w:rsid w:val="00C12709"/>
    <w:rsid w:val="00C127B9"/>
    <w:rsid w:val="00C127C7"/>
    <w:rsid w:val="00C128FA"/>
    <w:rsid w:val="00C12A4A"/>
    <w:rsid w:val="00C12C14"/>
    <w:rsid w:val="00C12C6F"/>
    <w:rsid w:val="00C12C73"/>
    <w:rsid w:val="00C12C78"/>
    <w:rsid w:val="00C12CEA"/>
    <w:rsid w:val="00C12D36"/>
    <w:rsid w:val="00C1311D"/>
    <w:rsid w:val="00C1341D"/>
    <w:rsid w:val="00C13498"/>
    <w:rsid w:val="00C134F1"/>
    <w:rsid w:val="00C13B46"/>
    <w:rsid w:val="00C13E8F"/>
    <w:rsid w:val="00C14441"/>
    <w:rsid w:val="00C14754"/>
    <w:rsid w:val="00C148C0"/>
    <w:rsid w:val="00C14A7F"/>
    <w:rsid w:val="00C14CC8"/>
    <w:rsid w:val="00C154C1"/>
    <w:rsid w:val="00C15776"/>
    <w:rsid w:val="00C15933"/>
    <w:rsid w:val="00C15B61"/>
    <w:rsid w:val="00C15C79"/>
    <w:rsid w:val="00C15E0A"/>
    <w:rsid w:val="00C15F04"/>
    <w:rsid w:val="00C16109"/>
    <w:rsid w:val="00C16629"/>
    <w:rsid w:val="00C16821"/>
    <w:rsid w:val="00C16FEA"/>
    <w:rsid w:val="00C179B3"/>
    <w:rsid w:val="00C17D83"/>
    <w:rsid w:val="00C17E3F"/>
    <w:rsid w:val="00C17FEB"/>
    <w:rsid w:val="00C200AA"/>
    <w:rsid w:val="00C20B96"/>
    <w:rsid w:val="00C20C76"/>
    <w:rsid w:val="00C2148E"/>
    <w:rsid w:val="00C21494"/>
    <w:rsid w:val="00C2174F"/>
    <w:rsid w:val="00C21CA9"/>
    <w:rsid w:val="00C22079"/>
    <w:rsid w:val="00C22428"/>
    <w:rsid w:val="00C22622"/>
    <w:rsid w:val="00C22730"/>
    <w:rsid w:val="00C22817"/>
    <w:rsid w:val="00C22A7D"/>
    <w:rsid w:val="00C22BF6"/>
    <w:rsid w:val="00C22C80"/>
    <w:rsid w:val="00C22EFF"/>
    <w:rsid w:val="00C23618"/>
    <w:rsid w:val="00C23700"/>
    <w:rsid w:val="00C237ED"/>
    <w:rsid w:val="00C23B48"/>
    <w:rsid w:val="00C23BD1"/>
    <w:rsid w:val="00C23C0D"/>
    <w:rsid w:val="00C23F31"/>
    <w:rsid w:val="00C24216"/>
    <w:rsid w:val="00C24625"/>
    <w:rsid w:val="00C24632"/>
    <w:rsid w:val="00C24882"/>
    <w:rsid w:val="00C2496B"/>
    <w:rsid w:val="00C24A1A"/>
    <w:rsid w:val="00C24A50"/>
    <w:rsid w:val="00C24B89"/>
    <w:rsid w:val="00C24CC8"/>
    <w:rsid w:val="00C24F58"/>
    <w:rsid w:val="00C25418"/>
    <w:rsid w:val="00C2576A"/>
    <w:rsid w:val="00C257EF"/>
    <w:rsid w:val="00C259ED"/>
    <w:rsid w:val="00C25D9C"/>
    <w:rsid w:val="00C25F8B"/>
    <w:rsid w:val="00C2609D"/>
    <w:rsid w:val="00C261BD"/>
    <w:rsid w:val="00C2632F"/>
    <w:rsid w:val="00C26906"/>
    <w:rsid w:val="00C2718F"/>
    <w:rsid w:val="00C2755B"/>
    <w:rsid w:val="00C27615"/>
    <w:rsid w:val="00C2778B"/>
    <w:rsid w:val="00C27B31"/>
    <w:rsid w:val="00C27B7F"/>
    <w:rsid w:val="00C27C5A"/>
    <w:rsid w:val="00C30204"/>
    <w:rsid w:val="00C307B2"/>
    <w:rsid w:val="00C307BB"/>
    <w:rsid w:val="00C3089F"/>
    <w:rsid w:val="00C30E30"/>
    <w:rsid w:val="00C30EC0"/>
    <w:rsid w:val="00C31329"/>
    <w:rsid w:val="00C31649"/>
    <w:rsid w:val="00C31895"/>
    <w:rsid w:val="00C318B0"/>
    <w:rsid w:val="00C318E5"/>
    <w:rsid w:val="00C31C08"/>
    <w:rsid w:val="00C31CC2"/>
    <w:rsid w:val="00C31D0F"/>
    <w:rsid w:val="00C31F6A"/>
    <w:rsid w:val="00C321B3"/>
    <w:rsid w:val="00C32457"/>
    <w:rsid w:val="00C32EF2"/>
    <w:rsid w:val="00C332EC"/>
    <w:rsid w:val="00C33706"/>
    <w:rsid w:val="00C33D2B"/>
    <w:rsid w:val="00C33DDF"/>
    <w:rsid w:val="00C34266"/>
    <w:rsid w:val="00C3434C"/>
    <w:rsid w:val="00C3443A"/>
    <w:rsid w:val="00C34571"/>
    <w:rsid w:val="00C3472B"/>
    <w:rsid w:val="00C3489E"/>
    <w:rsid w:val="00C34E32"/>
    <w:rsid w:val="00C3512A"/>
    <w:rsid w:val="00C35206"/>
    <w:rsid w:val="00C358A6"/>
    <w:rsid w:val="00C35C82"/>
    <w:rsid w:val="00C35C99"/>
    <w:rsid w:val="00C35E41"/>
    <w:rsid w:val="00C36AFB"/>
    <w:rsid w:val="00C36C38"/>
    <w:rsid w:val="00C36D5C"/>
    <w:rsid w:val="00C37112"/>
    <w:rsid w:val="00C371D1"/>
    <w:rsid w:val="00C37430"/>
    <w:rsid w:val="00C374E2"/>
    <w:rsid w:val="00C37D1F"/>
    <w:rsid w:val="00C37DE2"/>
    <w:rsid w:val="00C40180"/>
    <w:rsid w:val="00C402B4"/>
    <w:rsid w:val="00C40385"/>
    <w:rsid w:val="00C4043A"/>
    <w:rsid w:val="00C40736"/>
    <w:rsid w:val="00C40A6B"/>
    <w:rsid w:val="00C40E2E"/>
    <w:rsid w:val="00C41330"/>
    <w:rsid w:val="00C41768"/>
    <w:rsid w:val="00C41BB2"/>
    <w:rsid w:val="00C41E4C"/>
    <w:rsid w:val="00C41EB4"/>
    <w:rsid w:val="00C4219D"/>
    <w:rsid w:val="00C423C8"/>
    <w:rsid w:val="00C428F4"/>
    <w:rsid w:val="00C42DE5"/>
    <w:rsid w:val="00C42F00"/>
    <w:rsid w:val="00C43043"/>
    <w:rsid w:val="00C43190"/>
    <w:rsid w:val="00C43367"/>
    <w:rsid w:val="00C43837"/>
    <w:rsid w:val="00C43AF9"/>
    <w:rsid w:val="00C440E5"/>
    <w:rsid w:val="00C44141"/>
    <w:rsid w:val="00C441ED"/>
    <w:rsid w:val="00C44436"/>
    <w:rsid w:val="00C44855"/>
    <w:rsid w:val="00C4495B"/>
    <w:rsid w:val="00C44CF8"/>
    <w:rsid w:val="00C44E54"/>
    <w:rsid w:val="00C44F14"/>
    <w:rsid w:val="00C45C8E"/>
    <w:rsid w:val="00C45CC3"/>
    <w:rsid w:val="00C46012"/>
    <w:rsid w:val="00C46080"/>
    <w:rsid w:val="00C46301"/>
    <w:rsid w:val="00C46519"/>
    <w:rsid w:val="00C46C4C"/>
    <w:rsid w:val="00C46D54"/>
    <w:rsid w:val="00C46E95"/>
    <w:rsid w:val="00C47066"/>
    <w:rsid w:val="00C471A7"/>
    <w:rsid w:val="00C47241"/>
    <w:rsid w:val="00C47463"/>
    <w:rsid w:val="00C4747E"/>
    <w:rsid w:val="00C475AA"/>
    <w:rsid w:val="00C47791"/>
    <w:rsid w:val="00C47F94"/>
    <w:rsid w:val="00C5016D"/>
    <w:rsid w:val="00C504B7"/>
    <w:rsid w:val="00C504D7"/>
    <w:rsid w:val="00C50C2A"/>
    <w:rsid w:val="00C50FE9"/>
    <w:rsid w:val="00C51105"/>
    <w:rsid w:val="00C5134C"/>
    <w:rsid w:val="00C515F8"/>
    <w:rsid w:val="00C51928"/>
    <w:rsid w:val="00C51AD7"/>
    <w:rsid w:val="00C51BE5"/>
    <w:rsid w:val="00C51F80"/>
    <w:rsid w:val="00C51FB5"/>
    <w:rsid w:val="00C525FD"/>
    <w:rsid w:val="00C526FF"/>
    <w:rsid w:val="00C527C7"/>
    <w:rsid w:val="00C52853"/>
    <w:rsid w:val="00C52B6B"/>
    <w:rsid w:val="00C52BB7"/>
    <w:rsid w:val="00C52F8D"/>
    <w:rsid w:val="00C530EF"/>
    <w:rsid w:val="00C53295"/>
    <w:rsid w:val="00C535FB"/>
    <w:rsid w:val="00C536FE"/>
    <w:rsid w:val="00C538C8"/>
    <w:rsid w:val="00C53BBB"/>
    <w:rsid w:val="00C53C98"/>
    <w:rsid w:val="00C53DDB"/>
    <w:rsid w:val="00C5457B"/>
    <w:rsid w:val="00C54715"/>
    <w:rsid w:val="00C54B20"/>
    <w:rsid w:val="00C54E1A"/>
    <w:rsid w:val="00C54F8C"/>
    <w:rsid w:val="00C551EB"/>
    <w:rsid w:val="00C556A8"/>
    <w:rsid w:val="00C55BC1"/>
    <w:rsid w:val="00C55C06"/>
    <w:rsid w:val="00C55C2D"/>
    <w:rsid w:val="00C565B4"/>
    <w:rsid w:val="00C56986"/>
    <w:rsid w:val="00C569F8"/>
    <w:rsid w:val="00C56A23"/>
    <w:rsid w:val="00C56B98"/>
    <w:rsid w:val="00C56D3B"/>
    <w:rsid w:val="00C56FCF"/>
    <w:rsid w:val="00C57056"/>
    <w:rsid w:val="00C570E1"/>
    <w:rsid w:val="00C570F0"/>
    <w:rsid w:val="00C57152"/>
    <w:rsid w:val="00C572F6"/>
    <w:rsid w:val="00C57768"/>
    <w:rsid w:val="00C577EF"/>
    <w:rsid w:val="00C57A40"/>
    <w:rsid w:val="00C57B6C"/>
    <w:rsid w:val="00C57E80"/>
    <w:rsid w:val="00C57F7D"/>
    <w:rsid w:val="00C600AB"/>
    <w:rsid w:val="00C60588"/>
    <w:rsid w:val="00C606BF"/>
    <w:rsid w:val="00C60B99"/>
    <w:rsid w:val="00C60D99"/>
    <w:rsid w:val="00C60F16"/>
    <w:rsid w:val="00C60F31"/>
    <w:rsid w:val="00C61662"/>
    <w:rsid w:val="00C61686"/>
    <w:rsid w:val="00C617A4"/>
    <w:rsid w:val="00C61A59"/>
    <w:rsid w:val="00C61C72"/>
    <w:rsid w:val="00C62045"/>
    <w:rsid w:val="00C62339"/>
    <w:rsid w:val="00C6234E"/>
    <w:rsid w:val="00C62541"/>
    <w:rsid w:val="00C62578"/>
    <w:rsid w:val="00C6259A"/>
    <w:rsid w:val="00C628A6"/>
    <w:rsid w:val="00C62CAE"/>
    <w:rsid w:val="00C62D1A"/>
    <w:rsid w:val="00C62E13"/>
    <w:rsid w:val="00C62F22"/>
    <w:rsid w:val="00C62F51"/>
    <w:rsid w:val="00C62F71"/>
    <w:rsid w:val="00C63113"/>
    <w:rsid w:val="00C631E4"/>
    <w:rsid w:val="00C63508"/>
    <w:rsid w:val="00C639F2"/>
    <w:rsid w:val="00C63D81"/>
    <w:rsid w:val="00C63E04"/>
    <w:rsid w:val="00C64344"/>
    <w:rsid w:val="00C6440E"/>
    <w:rsid w:val="00C6484C"/>
    <w:rsid w:val="00C64DCE"/>
    <w:rsid w:val="00C64ECE"/>
    <w:rsid w:val="00C65025"/>
    <w:rsid w:val="00C65059"/>
    <w:rsid w:val="00C65108"/>
    <w:rsid w:val="00C65576"/>
    <w:rsid w:val="00C65EB3"/>
    <w:rsid w:val="00C66165"/>
    <w:rsid w:val="00C66292"/>
    <w:rsid w:val="00C6631D"/>
    <w:rsid w:val="00C663D2"/>
    <w:rsid w:val="00C66470"/>
    <w:rsid w:val="00C666A0"/>
    <w:rsid w:val="00C66ABC"/>
    <w:rsid w:val="00C66C3C"/>
    <w:rsid w:val="00C67448"/>
    <w:rsid w:val="00C6745F"/>
    <w:rsid w:val="00C676C8"/>
    <w:rsid w:val="00C6782C"/>
    <w:rsid w:val="00C67CCE"/>
    <w:rsid w:val="00C70016"/>
    <w:rsid w:val="00C7007E"/>
    <w:rsid w:val="00C7060A"/>
    <w:rsid w:val="00C706A6"/>
    <w:rsid w:val="00C70785"/>
    <w:rsid w:val="00C708DF"/>
    <w:rsid w:val="00C70993"/>
    <w:rsid w:val="00C70C56"/>
    <w:rsid w:val="00C70C9B"/>
    <w:rsid w:val="00C70CAC"/>
    <w:rsid w:val="00C70DBA"/>
    <w:rsid w:val="00C70E9F"/>
    <w:rsid w:val="00C71105"/>
    <w:rsid w:val="00C7121C"/>
    <w:rsid w:val="00C712D1"/>
    <w:rsid w:val="00C7149D"/>
    <w:rsid w:val="00C7151A"/>
    <w:rsid w:val="00C716BA"/>
    <w:rsid w:val="00C717E3"/>
    <w:rsid w:val="00C71821"/>
    <w:rsid w:val="00C71940"/>
    <w:rsid w:val="00C71BD2"/>
    <w:rsid w:val="00C71C95"/>
    <w:rsid w:val="00C71F60"/>
    <w:rsid w:val="00C72109"/>
    <w:rsid w:val="00C72241"/>
    <w:rsid w:val="00C726EF"/>
    <w:rsid w:val="00C72B0B"/>
    <w:rsid w:val="00C72E8C"/>
    <w:rsid w:val="00C735DC"/>
    <w:rsid w:val="00C736F5"/>
    <w:rsid w:val="00C73BBB"/>
    <w:rsid w:val="00C73D2F"/>
    <w:rsid w:val="00C73E9E"/>
    <w:rsid w:val="00C74112"/>
    <w:rsid w:val="00C743FC"/>
    <w:rsid w:val="00C74441"/>
    <w:rsid w:val="00C7477A"/>
    <w:rsid w:val="00C7477E"/>
    <w:rsid w:val="00C74C05"/>
    <w:rsid w:val="00C75034"/>
    <w:rsid w:val="00C750C8"/>
    <w:rsid w:val="00C75482"/>
    <w:rsid w:val="00C7560F"/>
    <w:rsid w:val="00C75823"/>
    <w:rsid w:val="00C75A55"/>
    <w:rsid w:val="00C75C50"/>
    <w:rsid w:val="00C75C57"/>
    <w:rsid w:val="00C75F05"/>
    <w:rsid w:val="00C768CA"/>
    <w:rsid w:val="00C76E3F"/>
    <w:rsid w:val="00C76E83"/>
    <w:rsid w:val="00C772FF"/>
    <w:rsid w:val="00C775EE"/>
    <w:rsid w:val="00C77BE2"/>
    <w:rsid w:val="00C77FB6"/>
    <w:rsid w:val="00C77FC6"/>
    <w:rsid w:val="00C8009C"/>
    <w:rsid w:val="00C807CE"/>
    <w:rsid w:val="00C80A0E"/>
    <w:rsid w:val="00C80AC3"/>
    <w:rsid w:val="00C80BAF"/>
    <w:rsid w:val="00C8116A"/>
    <w:rsid w:val="00C8121F"/>
    <w:rsid w:val="00C813B9"/>
    <w:rsid w:val="00C81577"/>
    <w:rsid w:val="00C81681"/>
    <w:rsid w:val="00C8186D"/>
    <w:rsid w:val="00C819AC"/>
    <w:rsid w:val="00C819C4"/>
    <w:rsid w:val="00C81AB1"/>
    <w:rsid w:val="00C8213F"/>
    <w:rsid w:val="00C8217A"/>
    <w:rsid w:val="00C826AC"/>
    <w:rsid w:val="00C829CB"/>
    <w:rsid w:val="00C8303F"/>
    <w:rsid w:val="00C8309B"/>
    <w:rsid w:val="00C8322E"/>
    <w:rsid w:val="00C83363"/>
    <w:rsid w:val="00C83B25"/>
    <w:rsid w:val="00C84545"/>
    <w:rsid w:val="00C84824"/>
    <w:rsid w:val="00C8486B"/>
    <w:rsid w:val="00C84B1A"/>
    <w:rsid w:val="00C84B56"/>
    <w:rsid w:val="00C84C1D"/>
    <w:rsid w:val="00C84ED6"/>
    <w:rsid w:val="00C84F45"/>
    <w:rsid w:val="00C85154"/>
    <w:rsid w:val="00C85374"/>
    <w:rsid w:val="00C856CD"/>
    <w:rsid w:val="00C85704"/>
    <w:rsid w:val="00C85836"/>
    <w:rsid w:val="00C8591A"/>
    <w:rsid w:val="00C8595A"/>
    <w:rsid w:val="00C85A70"/>
    <w:rsid w:val="00C85BF9"/>
    <w:rsid w:val="00C85D4E"/>
    <w:rsid w:val="00C85F12"/>
    <w:rsid w:val="00C85F81"/>
    <w:rsid w:val="00C860BB"/>
    <w:rsid w:val="00C86312"/>
    <w:rsid w:val="00C8682A"/>
    <w:rsid w:val="00C86B56"/>
    <w:rsid w:val="00C86D9A"/>
    <w:rsid w:val="00C86E4F"/>
    <w:rsid w:val="00C87456"/>
    <w:rsid w:val="00C875BD"/>
    <w:rsid w:val="00C875FE"/>
    <w:rsid w:val="00C8765F"/>
    <w:rsid w:val="00C8797A"/>
    <w:rsid w:val="00C87A39"/>
    <w:rsid w:val="00C87BB8"/>
    <w:rsid w:val="00C87BE1"/>
    <w:rsid w:val="00C87C54"/>
    <w:rsid w:val="00C900B8"/>
    <w:rsid w:val="00C90140"/>
    <w:rsid w:val="00C90197"/>
    <w:rsid w:val="00C9029B"/>
    <w:rsid w:val="00C9043E"/>
    <w:rsid w:val="00C90AD0"/>
    <w:rsid w:val="00C90C71"/>
    <w:rsid w:val="00C90E94"/>
    <w:rsid w:val="00C9117C"/>
    <w:rsid w:val="00C911CF"/>
    <w:rsid w:val="00C9121D"/>
    <w:rsid w:val="00C91325"/>
    <w:rsid w:val="00C91449"/>
    <w:rsid w:val="00C91865"/>
    <w:rsid w:val="00C91BAB"/>
    <w:rsid w:val="00C91E5D"/>
    <w:rsid w:val="00C91FD1"/>
    <w:rsid w:val="00C92022"/>
    <w:rsid w:val="00C921A8"/>
    <w:rsid w:val="00C925FD"/>
    <w:rsid w:val="00C9271F"/>
    <w:rsid w:val="00C92B86"/>
    <w:rsid w:val="00C92F63"/>
    <w:rsid w:val="00C931CF"/>
    <w:rsid w:val="00C933BA"/>
    <w:rsid w:val="00C9365F"/>
    <w:rsid w:val="00C936F7"/>
    <w:rsid w:val="00C938CF"/>
    <w:rsid w:val="00C93969"/>
    <w:rsid w:val="00C93A60"/>
    <w:rsid w:val="00C93B3E"/>
    <w:rsid w:val="00C93FAE"/>
    <w:rsid w:val="00C94053"/>
    <w:rsid w:val="00C94102"/>
    <w:rsid w:val="00C9497A"/>
    <w:rsid w:val="00C949BD"/>
    <w:rsid w:val="00C949C6"/>
    <w:rsid w:val="00C94DB5"/>
    <w:rsid w:val="00C951ED"/>
    <w:rsid w:val="00C952D9"/>
    <w:rsid w:val="00C95684"/>
    <w:rsid w:val="00C95C94"/>
    <w:rsid w:val="00C9623D"/>
    <w:rsid w:val="00C9624D"/>
    <w:rsid w:val="00C96729"/>
    <w:rsid w:val="00C96744"/>
    <w:rsid w:val="00C96950"/>
    <w:rsid w:val="00C96987"/>
    <w:rsid w:val="00C969DA"/>
    <w:rsid w:val="00C96C30"/>
    <w:rsid w:val="00C96EBE"/>
    <w:rsid w:val="00C96FA7"/>
    <w:rsid w:val="00C97600"/>
    <w:rsid w:val="00C9786D"/>
    <w:rsid w:val="00C97C13"/>
    <w:rsid w:val="00C97CB1"/>
    <w:rsid w:val="00C97EA7"/>
    <w:rsid w:val="00CA00C7"/>
    <w:rsid w:val="00CA052A"/>
    <w:rsid w:val="00CA0571"/>
    <w:rsid w:val="00CA069C"/>
    <w:rsid w:val="00CA0B93"/>
    <w:rsid w:val="00CA0D1C"/>
    <w:rsid w:val="00CA0E2B"/>
    <w:rsid w:val="00CA0E5F"/>
    <w:rsid w:val="00CA128A"/>
    <w:rsid w:val="00CA204B"/>
    <w:rsid w:val="00CA2191"/>
    <w:rsid w:val="00CA2884"/>
    <w:rsid w:val="00CA2A47"/>
    <w:rsid w:val="00CA2C77"/>
    <w:rsid w:val="00CA2E72"/>
    <w:rsid w:val="00CA3085"/>
    <w:rsid w:val="00CA36CB"/>
    <w:rsid w:val="00CA3B08"/>
    <w:rsid w:val="00CA41CE"/>
    <w:rsid w:val="00CA444F"/>
    <w:rsid w:val="00CA4680"/>
    <w:rsid w:val="00CA4782"/>
    <w:rsid w:val="00CA4C91"/>
    <w:rsid w:val="00CA5245"/>
    <w:rsid w:val="00CA52AA"/>
    <w:rsid w:val="00CA54F0"/>
    <w:rsid w:val="00CA5698"/>
    <w:rsid w:val="00CA5825"/>
    <w:rsid w:val="00CA5F50"/>
    <w:rsid w:val="00CA5F56"/>
    <w:rsid w:val="00CA5FEB"/>
    <w:rsid w:val="00CA6429"/>
    <w:rsid w:val="00CA649D"/>
    <w:rsid w:val="00CA65AF"/>
    <w:rsid w:val="00CA6831"/>
    <w:rsid w:val="00CA6957"/>
    <w:rsid w:val="00CA6B80"/>
    <w:rsid w:val="00CA6C84"/>
    <w:rsid w:val="00CA719A"/>
    <w:rsid w:val="00CA71F4"/>
    <w:rsid w:val="00CA74AF"/>
    <w:rsid w:val="00CA7607"/>
    <w:rsid w:val="00CA7633"/>
    <w:rsid w:val="00CA76FD"/>
    <w:rsid w:val="00CA7816"/>
    <w:rsid w:val="00CA7B09"/>
    <w:rsid w:val="00CA7B56"/>
    <w:rsid w:val="00CA7BBB"/>
    <w:rsid w:val="00CA7C8E"/>
    <w:rsid w:val="00CB02B2"/>
    <w:rsid w:val="00CB0475"/>
    <w:rsid w:val="00CB04C8"/>
    <w:rsid w:val="00CB05A7"/>
    <w:rsid w:val="00CB1093"/>
    <w:rsid w:val="00CB12A5"/>
    <w:rsid w:val="00CB16E1"/>
    <w:rsid w:val="00CB182D"/>
    <w:rsid w:val="00CB1933"/>
    <w:rsid w:val="00CB198A"/>
    <w:rsid w:val="00CB19A3"/>
    <w:rsid w:val="00CB1CAC"/>
    <w:rsid w:val="00CB1DB2"/>
    <w:rsid w:val="00CB1E1D"/>
    <w:rsid w:val="00CB2ACE"/>
    <w:rsid w:val="00CB2AEA"/>
    <w:rsid w:val="00CB2F2A"/>
    <w:rsid w:val="00CB3851"/>
    <w:rsid w:val="00CB3894"/>
    <w:rsid w:val="00CB39CF"/>
    <w:rsid w:val="00CB43A1"/>
    <w:rsid w:val="00CB4614"/>
    <w:rsid w:val="00CB4CD3"/>
    <w:rsid w:val="00CB4F99"/>
    <w:rsid w:val="00CB5058"/>
    <w:rsid w:val="00CB51EA"/>
    <w:rsid w:val="00CB5B1A"/>
    <w:rsid w:val="00CB5B84"/>
    <w:rsid w:val="00CB5E11"/>
    <w:rsid w:val="00CB6531"/>
    <w:rsid w:val="00CB68B0"/>
    <w:rsid w:val="00CB6B22"/>
    <w:rsid w:val="00CB71C8"/>
    <w:rsid w:val="00CB7C0E"/>
    <w:rsid w:val="00CB7F5F"/>
    <w:rsid w:val="00CC080E"/>
    <w:rsid w:val="00CC09DA"/>
    <w:rsid w:val="00CC0C0A"/>
    <w:rsid w:val="00CC0EBE"/>
    <w:rsid w:val="00CC10E5"/>
    <w:rsid w:val="00CC115F"/>
    <w:rsid w:val="00CC1202"/>
    <w:rsid w:val="00CC1260"/>
    <w:rsid w:val="00CC13BE"/>
    <w:rsid w:val="00CC158E"/>
    <w:rsid w:val="00CC1884"/>
    <w:rsid w:val="00CC1B39"/>
    <w:rsid w:val="00CC1BFA"/>
    <w:rsid w:val="00CC1C9E"/>
    <w:rsid w:val="00CC2224"/>
    <w:rsid w:val="00CC250D"/>
    <w:rsid w:val="00CC26BE"/>
    <w:rsid w:val="00CC2784"/>
    <w:rsid w:val="00CC2CD3"/>
    <w:rsid w:val="00CC2E9F"/>
    <w:rsid w:val="00CC33D9"/>
    <w:rsid w:val="00CC34DF"/>
    <w:rsid w:val="00CC35EA"/>
    <w:rsid w:val="00CC37E9"/>
    <w:rsid w:val="00CC3848"/>
    <w:rsid w:val="00CC3B61"/>
    <w:rsid w:val="00CC3B9D"/>
    <w:rsid w:val="00CC3CC9"/>
    <w:rsid w:val="00CC3D32"/>
    <w:rsid w:val="00CC3D71"/>
    <w:rsid w:val="00CC3DF3"/>
    <w:rsid w:val="00CC3E86"/>
    <w:rsid w:val="00CC3F6B"/>
    <w:rsid w:val="00CC42D1"/>
    <w:rsid w:val="00CC4978"/>
    <w:rsid w:val="00CC49CB"/>
    <w:rsid w:val="00CC4A4A"/>
    <w:rsid w:val="00CC4ACD"/>
    <w:rsid w:val="00CC4B39"/>
    <w:rsid w:val="00CC4E6F"/>
    <w:rsid w:val="00CC50B3"/>
    <w:rsid w:val="00CC53B7"/>
    <w:rsid w:val="00CC54EA"/>
    <w:rsid w:val="00CC55AA"/>
    <w:rsid w:val="00CC6052"/>
    <w:rsid w:val="00CC611B"/>
    <w:rsid w:val="00CC647B"/>
    <w:rsid w:val="00CC6C81"/>
    <w:rsid w:val="00CC6D5E"/>
    <w:rsid w:val="00CC73CA"/>
    <w:rsid w:val="00CC745B"/>
    <w:rsid w:val="00CC78AA"/>
    <w:rsid w:val="00CC78C7"/>
    <w:rsid w:val="00CC79F8"/>
    <w:rsid w:val="00CC7B6B"/>
    <w:rsid w:val="00CC7FC5"/>
    <w:rsid w:val="00CD0048"/>
    <w:rsid w:val="00CD01E2"/>
    <w:rsid w:val="00CD0200"/>
    <w:rsid w:val="00CD07FE"/>
    <w:rsid w:val="00CD0971"/>
    <w:rsid w:val="00CD0BB8"/>
    <w:rsid w:val="00CD0D02"/>
    <w:rsid w:val="00CD0F82"/>
    <w:rsid w:val="00CD0FEA"/>
    <w:rsid w:val="00CD11E4"/>
    <w:rsid w:val="00CD11EC"/>
    <w:rsid w:val="00CD12FF"/>
    <w:rsid w:val="00CD149C"/>
    <w:rsid w:val="00CD1537"/>
    <w:rsid w:val="00CD1B9C"/>
    <w:rsid w:val="00CD1CB5"/>
    <w:rsid w:val="00CD1EA6"/>
    <w:rsid w:val="00CD1F36"/>
    <w:rsid w:val="00CD1FDA"/>
    <w:rsid w:val="00CD23A2"/>
    <w:rsid w:val="00CD265C"/>
    <w:rsid w:val="00CD29C9"/>
    <w:rsid w:val="00CD2BE4"/>
    <w:rsid w:val="00CD2E23"/>
    <w:rsid w:val="00CD2EE5"/>
    <w:rsid w:val="00CD3054"/>
    <w:rsid w:val="00CD3144"/>
    <w:rsid w:val="00CD31DB"/>
    <w:rsid w:val="00CD326D"/>
    <w:rsid w:val="00CD34CF"/>
    <w:rsid w:val="00CD37F0"/>
    <w:rsid w:val="00CD3965"/>
    <w:rsid w:val="00CD3AA6"/>
    <w:rsid w:val="00CD3CF3"/>
    <w:rsid w:val="00CD3F77"/>
    <w:rsid w:val="00CD4132"/>
    <w:rsid w:val="00CD4292"/>
    <w:rsid w:val="00CD44AA"/>
    <w:rsid w:val="00CD54B2"/>
    <w:rsid w:val="00CD58AD"/>
    <w:rsid w:val="00CD5BD8"/>
    <w:rsid w:val="00CD5BF5"/>
    <w:rsid w:val="00CD5C38"/>
    <w:rsid w:val="00CD5CE9"/>
    <w:rsid w:val="00CD63DF"/>
    <w:rsid w:val="00CD65F2"/>
    <w:rsid w:val="00CD6877"/>
    <w:rsid w:val="00CD6ADC"/>
    <w:rsid w:val="00CD6CDB"/>
    <w:rsid w:val="00CD7193"/>
    <w:rsid w:val="00CD72CC"/>
    <w:rsid w:val="00CD754B"/>
    <w:rsid w:val="00CD7C79"/>
    <w:rsid w:val="00CD7EDD"/>
    <w:rsid w:val="00CE0369"/>
    <w:rsid w:val="00CE0450"/>
    <w:rsid w:val="00CE0515"/>
    <w:rsid w:val="00CE07D0"/>
    <w:rsid w:val="00CE0A57"/>
    <w:rsid w:val="00CE0BDE"/>
    <w:rsid w:val="00CE0F03"/>
    <w:rsid w:val="00CE11F0"/>
    <w:rsid w:val="00CE126A"/>
    <w:rsid w:val="00CE1562"/>
    <w:rsid w:val="00CE159F"/>
    <w:rsid w:val="00CE1B39"/>
    <w:rsid w:val="00CE2042"/>
    <w:rsid w:val="00CE23CC"/>
    <w:rsid w:val="00CE2791"/>
    <w:rsid w:val="00CE2B83"/>
    <w:rsid w:val="00CE2C7B"/>
    <w:rsid w:val="00CE2D35"/>
    <w:rsid w:val="00CE2F2F"/>
    <w:rsid w:val="00CE3067"/>
    <w:rsid w:val="00CE3248"/>
    <w:rsid w:val="00CE349A"/>
    <w:rsid w:val="00CE34F8"/>
    <w:rsid w:val="00CE37C6"/>
    <w:rsid w:val="00CE37F8"/>
    <w:rsid w:val="00CE3836"/>
    <w:rsid w:val="00CE38C8"/>
    <w:rsid w:val="00CE3AB4"/>
    <w:rsid w:val="00CE3B9F"/>
    <w:rsid w:val="00CE3FCE"/>
    <w:rsid w:val="00CE4001"/>
    <w:rsid w:val="00CE47A9"/>
    <w:rsid w:val="00CE4F74"/>
    <w:rsid w:val="00CE5043"/>
    <w:rsid w:val="00CE51CF"/>
    <w:rsid w:val="00CE524F"/>
    <w:rsid w:val="00CE543C"/>
    <w:rsid w:val="00CE54A3"/>
    <w:rsid w:val="00CE58CC"/>
    <w:rsid w:val="00CE5963"/>
    <w:rsid w:val="00CE5D23"/>
    <w:rsid w:val="00CE5F03"/>
    <w:rsid w:val="00CE6274"/>
    <w:rsid w:val="00CE637D"/>
    <w:rsid w:val="00CE6AB1"/>
    <w:rsid w:val="00CE6EAB"/>
    <w:rsid w:val="00CE70A8"/>
    <w:rsid w:val="00CE72B3"/>
    <w:rsid w:val="00CE7399"/>
    <w:rsid w:val="00CE76DE"/>
    <w:rsid w:val="00CE77B6"/>
    <w:rsid w:val="00CE77E0"/>
    <w:rsid w:val="00CE7984"/>
    <w:rsid w:val="00CE79C1"/>
    <w:rsid w:val="00CE7D51"/>
    <w:rsid w:val="00CF0062"/>
    <w:rsid w:val="00CF030E"/>
    <w:rsid w:val="00CF06BC"/>
    <w:rsid w:val="00CF079C"/>
    <w:rsid w:val="00CF0990"/>
    <w:rsid w:val="00CF0DF8"/>
    <w:rsid w:val="00CF10CF"/>
    <w:rsid w:val="00CF164D"/>
    <w:rsid w:val="00CF17BC"/>
    <w:rsid w:val="00CF1864"/>
    <w:rsid w:val="00CF1A51"/>
    <w:rsid w:val="00CF1D18"/>
    <w:rsid w:val="00CF21F3"/>
    <w:rsid w:val="00CF23F3"/>
    <w:rsid w:val="00CF2B8D"/>
    <w:rsid w:val="00CF3447"/>
    <w:rsid w:val="00CF383B"/>
    <w:rsid w:val="00CF3A1B"/>
    <w:rsid w:val="00CF3BFF"/>
    <w:rsid w:val="00CF3DFD"/>
    <w:rsid w:val="00CF456B"/>
    <w:rsid w:val="00CF486D"/>
    <w:rsid w:val="00CF4990"/>
    <w:rsid w:val="00CF5004"/>
    <w:rsid w:val="00CF529A"/>
    <w:rsid w:val="00CF53F4"/>
    <w:rsid w:val="00CF5473"/>
    <w:rsid w:val="00CF558E"/>
    <w:rsid w:val="00CF5891"/>
    <w:rsid w:val="00CF59A5"/>
    <w:rsid w:val="00CF5A22"/>
    <w:rsid w:val="00CF5AA5"/>
    <w:rsid w:val="00CF5CB9"/>
    <w:rsid w:val="00CF5EC0"/>
    <w:rsid w:val="00CF6371"/>
    <w:rsid w:val="00CF656B"/>
    <w:rsid w:val="00CF65C5"/>
    <w:rsid w:val="00CF6852"/>
    <w:rsid w:val="00CF6AFD"/>
    <w:rsid w:val="00CF6B43"/>
    <w:rsid w:val="00CF6BDB"/>
    <w:rsid w:val="00CF6C15"/>
    <w:rsid w:val="00CF6D9D"/>
    <w:rsid w:val="00CF7027"/>
    <w:rsid w:val="00CF70A4"/>
    <w:rsid w:val="00CF74B4"/>
    <w:rsid w:val="00CF7A3F"/>
    <w:rsid w:val="00CF7EE2"/>
    <w:rsid w:val="00D00098"/>
    <w:rsid w:val="00D0041F"/>
    <w:rsid w:val="00D00482"/>
    <w:rsid w:val="00D005EE"/>
    <w:rsid w:val="00D007AF"/>
    <w:rsid w:val="00D008AF"/>
    <w:rsid w:val="00D00A30"/>
    <w:rsid w:val="00D00A42"/>
    <w:rsid w:val="00D00D12"/>
    <w:rsid w:val="00D0109A"/>
    <w:rsid w:val="00D0157C"/>
    <w:rsid w:val="00D01615"/>
    <w:rsid w:val="00D016A8"/>
    <w:rsid w:val="00D0170E"/>
    <w:rsid w:val="00D01A27"/>
    <w:rsid w:val="00D020FC"/>
    <w:rsid w:val="00D0223C"/>
    <w:rsid w:val="00D02386"/>
    <w:rsid w:val="00D0262E"/>
    <w:rsid w:val="00D032CD"/>
    <w:rsid w:val="00D0349C"/>
    <w:rsid w:val="00D034CE"/>
    <w:rsid w:val="00D03513"/>
    <w:rsid w:val="00D0357C"/>
    <w:rsid w:val="00D03679"/>
    <w:rsid w:val="00D0384D"/>
    <w:rsid w:val="00D039DA"/>
    <w:rsid w:val="00D03F97"/>
    <w:rsid w:val="00D049C4"/>
    <w:rsid w:val="00D04DBA"/>
    <w:rsid w:val="00D04F4A"/>
    <w:rsid w:val="00D051B1"/>
    <w:rsid w:val="00D056B9"/>
    <w:rsid w:val="00D059F9"/>
    <w:rsid w:val="00D05B5F"/>
    <w:rsid w:val="00D05C85"/>
    <w:rsid w:val="00D05D4D"/>
    <w:rsid w:val="00D05E3D"/>
    <w:rsid w:val="00D06139"/>
    <w:rsid w:val="00D0708C"/>
    <w:rsid w:val="00D073B7"/>
    <w:rsid w:val="00D07482"/>
    <w:rsid w:val="00D0756D"/>
    <w:rsid w:val="00D07CBD"/>
    <w:rsid w:val="00D07D57"/>
    <w:rsid w:val="00D07F4D"/>
    <w:rsid w:val="00D10015"/>
    <w:rsid w:val="00D10775"/>
    <w:rsid w:val="00D10A18"/>
    <w:rsid w:val="00D10CDA"/>
    <w:rsid w:val="00D10EB1"/>
    <w:rsid w:val="00D110BD"/>
    <w:rsid w:val="00D11622"/>
    <w:rsid w:val="00D11B3C"/>
    <w:rsid w:val="00D11E32"/>
    <w:rsid w:val="00D11EED"/>
    <w:rsid w:val="00D1260F"/>
    <w:rsid w:val="00D12930"/>
    <w:rsid w:val="00D129AC"/>
    <w:rsid w:val="00D12A83"/>
    <w:rsid w:val="00D12B2E"/>
    <w:rsid w:val="00D12EC3"/>
    <w:rsid w:val="00D13675"/>
    <w:rsid w:val="00D13831"/>
    <w:rsid w:val="00D13BF0"/>
    <w:rsid w:val="00D13CE7"/>
    <w:rsid w:val="00D1411C"/>
    <w:rsid w:val="00D141E1"/>
    <w:rsid w:val="00D14387"/>
    <w:rsid w:val="00D145C0"/>
    <w:rsid w:val="00D14650"/>
    <w:rsid w:val="00D14FAC"/>
    <w:rsid w:val="00D15314"/>
    <w:rsid w:val="00D15B48"/>
    <w:rsid w:val="00D15F68"/>
    <w:rsid w:val="00D165B7"/>
    <w:rsid w:val="00D166B3"/>
    <w:rsid w:val="00D16774"/>
    <w:rsid w:val="00D16D65"/>
    <w:rsid w:val="00D170D1"/>
    <w:rsid w:val="00D170DB"/>
    <w:rsid w:val="00D1731D"/>
    <w:rsid w:val="00D1761B"/>
    <w:rsid w:val="00D176C5"/>
    <w:rsid w:val="00D176DB"/>
    <w:rsid w:val="00D17783"/>
    <w:rsid w:val="00D177E7"/>
    <w:rsid w:val="00D1781B"/>
    <w:rsid w:val="00D179DB"/>
    <w:rsid w:val="00D17BD3"/>
    <w:rsid w:val="00D17D6C"/>
    <w:rsid w:val="00D20109"/>
    <w:rsid w:val="00D205F8"/>
    <w:rsid w:val="00D2069E"/>
    <w:rsid w:val="00D206C2"/>
    <w:rsid w:val="00D20711"/>
    <w:rsid w:val="00D2076D"/>
    <w:rsid w:val="00D2095C"/>
    <w:rsid w:val="00D20B18"/>
    <w:rsid w:val="00D2131A"/>
    <w:rsid w:val="00D2155B"/>
    <w:rsid w:val="00D2162C"/>
    <w:rsid w:val="00D218A7"/>
    <w:rsid w:val="00D21A98"/>
    <w:rsid w:val="00D22120"/>
    <w:rsid w:val="00D226C4"/>
    <w:rsid w:val="00D22FCA"/>
    <w:rsid w:val="00D231BA"/>
    <w:rsid w:val="00D231CD"/>
    <w:rsid w:val="00D232B1"/>
    <w:rsid w:val="00D233B3"/>
    <w:rsid w:val="00D239A2"/>
    <w:rsid w:val="00D23A27"/>
    <w:rsid w:val="00D23A53"/>
    <w:rsid w:val="00D23A68"/>
    <w:rsid w:val="00D23D11"/>
    <w:rsid w:val="00D23E2E"/>
    <w:rsid w:val="00D23EE2"/>
    <w:rsid w:val="00D23F43"/>
    <w:rsid w:val="00D23FAC"/>
    <w:rsid w:val="00D24117"/>
    <w:rsid w:val="00D2449A"/>
    <w:rsid w:val="00D244B6"/>
    <w:rsid w:val="00D24581"/>
    <w:rsid w:val="00D24C8F"/>
    <w:rsid w:val="00D24F52"/>
    <w:rsid w:val="00D25522"/>
    <w:rsid w:val="00D259AB"/>
    <w:rsid w:val="00D2623D"/>
    <w:rsid w:val="00D26820"/>
    <w:rsid w:val="00D269E6"/>
    <w:rsid w:val="00D26ABF"/>
    <w:rsid w:val="00D26F7C"/>
    <w:rsid w:val="00D2700B"/>
    <w:rsid w:val="00D27029"/>
    <w:rsid w:val="00D272B4"/>
    <w:rsid w:val="00D2754D"/>
    <w:rsid w:val="00D2774F"/>
    <w:rsid w:val="00D27B27"/>
    <w:rsid w:val="00D3034E"/>
    <w:rsid w:val="00D3053A"/>
    <w:rsid w:val="00D3072D"/>
    <w:rsid w:val="00D308CC"/>
    <w:rsid w:val="00D309D0"/>
    <w:rsid w:val="00D30D5B"/>
    <w:rsid w:val="00D30E05"/>
    <w:rsid w:val="00D3124B"/>
    <w:rsid w:val="00D312DE"/>
    <w:rsid w:val="00D315BD"/>
    <w:rsid w:val="00D3190C"/>
    <w:rsid w:val="00D31B38"/>
    <w:rsid w:val="00D31C73"/>
    <w:rsid w:val="00D31CB3"/>
    <w:rsid w:val="00D31EC6"/>
    <w:rsid w:val="00D323AA"/>
    <w:rsid w:val="00D32570"/>
    <w:rsid w:val="00D3276D"/>
    <w:rsid w:val="00D327A0"/>
    <w:rsid w:val="00D327ED"/>
    <w:rsid w:val="00D32D0E"/>
    <w:rsid w:val="00D32F5A"/>
    <w:rsid w:val="00D32FF7"/>
    <w:rsid w:val="00D33839"/>
    <w:rsid w:val="00D33963"/>
    <w:rsid w:val="00D339E1"/>
    <w:rsid w:val="00D33A4E"/>
    <w:rsid w:val="00D33ADF"/>
    <w:rsid w:val="00D33BE9"/>
    <w:rsid w:val="00D33F93"/>
    <w:rsid w:val="00D34080"/>
    <w:rsid w:val="00D3447D"/>
    <w:rsid w:val="00D34905"/>
    <w:rsid w:val="00D349DA"/>
    <w:rsid w:val="00D34C4F"/>
    <w:rsid w:val="00D3550D"/>
    <w:rsid w:val="00D357FF"/>
    <w:rsid w:val="00D35A0E"/>
    <w:rsid w:val="00D35D1D"/>
    <w:rsid w:val="00D35E90"/>
    <w:rsid w:val="00D35F6A"/>
    <w:rsid w:val="00D368F9"/>
    <w:rsid w:val="00D36BD6"/>
    <w:rsid w:val="00D36E08"/>
    <w:rsid w:val="00D36F71"/>
    <w:rsid w:val="00D370E1"/>
    <w:rsid w:val="00D3710E"/>
    <w:rsid w:val="00D374EC"/>
    <w:rsid w:val="00D37627"/>
    <w:rsid w:val="00D3797A"/>
    <w:rsid w:val="00D37B95"/>
    <w:rsid w:val="00D37BE1"/>
    <w:rsid w:val="00D37F64"/>
    <w:rsid w:val="00D40346"/>
    <w:rsid w:val="00D40A0C"/>
    <w:rsid w:val="00D40B20"/>
    <w:rsid w:val="00D40C71"/>
    <w:rsid w:val="00D40D19"/>
    <w:rsid w:val="00D40D2C"/>
    <w:rsid w:val="00D40DF7"/>
    <w:rsid w:val="00D40E8C"/>
    <w:rsid w:val="00D40FC6"/>
    <w:rsid w:val="00D41005"/>
    <w:rsid w:val="00D417F9"/>
    <w:rsid w:val="00D41B26"/>
    <w:rsid w:val="00D41B3E"/>
    <w:rsid w:val="00D42010"/>
    <w:rsid w:val="00D4202D"/>
    <w:rsid w:val="00D421F5"/>
    <w:rsid w:val="00D422DA"/>
    <w:rsid w:val="00D424B8"/>
    <w:rsid w:val="00D424C7"/>
    <w:rsid w:val="00D42517"/>
    <w:rsid w:val="00D428B5"/>
    <w:rsid w:val="00D42C1D"/>
    <w:rsid w:val="00D42E3C"/>
    <w:rsid w:val="00D42E44"/>
    <w:rsid w:val="00D43086"/>
    <w:rsid w:val="00D437A6"/>
    <w:rsid w:val="00D437F7"/>
    <w:rsid w:val="00D43A89"/>
    <w:rsid w:val="00D43B2A"/>
    <w:rsid w:val="00D43CF1"/>
    <w:rsid w:val="00D43D83"/>
    <w:rsid w:val="00D43D9A"/>
    <w:rsid w:val="00D4422E"/>
    <w:rsid w:val="00D44275"/>
    <w:rsid w:val="00D44395"/>
    <w:rsid w:val="00D44407"/>
    <w:rsid w:val="00D4475C"/>
    <w:rsid w:val="00D447E3"/>
    <w:rsid w:val="00D44868"/>
    <w:rsid w:val="00D44F95"/>
    <w:rsid w:val="00D451BA"/>
    <w:rsid w:val="00D4525F"/>
    <w:rsid w:val="00D45416"/>
    <w:rsid w:val="00D45705"/>
    <w:rsid w:val="00D45E7C"/>
    <w:rsid w:val="00D46176"/>
    <w:rsid w:val="00D46207"/>
    <w:rsid w:val="00D469A7"/>
    <w:rsid w:val="00D46A4A"/>
    <w:rsid w:val="00D46A51"/>
    <w:rsid w:val="00D46D2C"/>
    <w:rsid w:val="00D46F91"/>
    <w:rsid w:val="00D46FE3"/>
    <w:rsid w:val="00D474A5"/>
    <w:rsid w:val="00D47575"/>
    <w:rsid w:val="00D47930"/>
    <w:rsid w:val="00D47942"/>
    <w:rsid w:val="00D4796F"/>
    <w:rsid w:val="00D47C3D"/>
    <w:rsid w:val="00D47FD1"/>
    <w:rsid w:val="00D500AB"/>
    <w:rsid w:val="00D503B5"/>
    <w:rsid w:val="00D506DB"/>
    <w:rsid w:val="00D506F0"/>
    <w:rsid w:val="00D50769"/>
    <w:rsid w:val="00D50822"/>
    <w:rsid w:val="00D511DC"/>
    <w:rsid w:val="00D513BB"/>
    <w:rsid w:val="00D51B2B"/>
    <w:rsid w:val="00D51C6A"/>
    <w:rsid w:val="00D51FDC"/>
    <w:rsid w:val="00D520CC"/>
    <w:rsid w:val="00D523B3"/>
    <w:rsid w:val="00D5243B"/>
    <w:rsid w:val="00D52615"/>
    <w:rsid w:val="00D5306F"/>
    <w:rsid w:val="00D53228"/>
    <w:rsid w:val="00D533EC"/>
    <w:rsid w:val="00D53458"/>
    <w:rsid w:val="00D53479"/>
    <w:rsid w:val="00D5388A"/>
    <w:rsid w:val="00D5392E"/>
    <w:rsid w:val="00D53D17"/>
    <w:rsid w:val="00D54244"/>
    <w:rsid w:val="00D543AD"/>
    <w:rsid w:val="00D5447E"/>
    <w:rsid w:val="00D54652"/>
    <w:rsid w:val="00D54A75"/>
    <w:rsid w:val="00D54CFA"/>
    <w:rsid w:val="00D55193"/>
    <w:rsid w:val="00D55406"/>
    <w:rsid w:val="00D554E1"/>
    <w:rsid w:val="00D557A4"/>
    <w:rsid w:val="00D55B2D"/>
    <w:rsid w:val="00D55C7D"/>
    <w:rsid w:val="00D55C9E"/>
    <w:rsid w:val="00D55E13"/>
    <w:rsid w:val="00D55FB2"/>
    <w:rsid w:val="00D56150"/>
    <w:rsid w:val="00D564C4"/>
    <w:rsid w:val="00D565E6"/>
    <w:rsid w:val="00D5677C"/>
    <w:rsid w:val="00D56945"/>
    <w:rsid w:val="00D569C5"/>
    <w:rsid w:val="00D56A43"/>
    <w:rsid w:val="00D56A95"/>
    <w:rsid w:val="00D570D6"/>
    <w:rsid w:val="00D57706"/>
    <w:rsid w:val="00D57B69"/>
    <w:rsid w:val="00D57C3A"/>
    <w:rsid w:val="00D57CE7"/>
    <w:rsid w:val="00D57E54"/>
    <w:rsid w:val="00D57EA0"/>
    <w:rsid w:val="00D57F12"/>
    <w:rsid w:val="00D57F6F"/>
    <w:rsid w:val="00D60063"/>
    <w:rsid w:val="00D605A7"/>
    <w:rsid w:val="00D6076E"/>
    <w:rsid w:val="00D609BD"/>
    <w:rsid w:val="00D60BA3"/>
    <w:rsid w:val="00D60BE3"/>
    <w:rsid w:val="00D60E85"/>
    <w:rsid w:val="00D61667"/>
    <w:rsid w:val="00D6193E"/>
    <w:rsid w:val="00D61D2D"/>
    <w:rsid w:val="00D61DDB"/>
    <w:rsid w:val="00D61F60"/>
    <w:rsid w:val="00D6241E"/>
    <w:rsid w:val="00D626F0"/>
    <w:rsid w:val="00D62B2D"/>
    <w:rsid w:val="00D62EC9"/>
    <w:rsid w:val="00D63455"/>
    <w:rsid w:val="00D63B01"/>
    <w:rsid w:val="00D63C35"/>
    <w:rsid w:val="00D64560"/>
    <w:rsid w:val="00D6463F"/>
    <w:rsid w:val="00D648B0"/>
    <w:rsid w:val="00D648D8"/>
    <w:rsid w:val="00D64B56"/>
    <w:rsid w:val="00D64C9D"/>
    <w:rsid w:val="00D65063"/>
    <w:rsid w:val="00D65212"/>
    <w:rsid w:val="00D65309"/>
    <w:rsid w:val="00D6553A"/>
    <w:rsid w:val="00D65594"/>
    <w:rsid w:val="00D6573E"/>
    <w:rsid w:val="00D65791"/>
    <w:rsid w:val="00D6590C"/>
    <w:rsid w:val="00D66064"/>
    <w:rsid w:val="00D660A7"/>
    <w:rsid w:val="00D6641A"/>
    <w:rsid w:val="00D66462"/>
    <w:rsid w:val="00D668DA"/>
    <w:rsid w:val="00D66A58"/>
    <w:rsid w:val="00D66F34"/>
    <w:rsid w:val="00D66F79"/>
    <w:rsid w:val="00D67241"/>
    <w:rsid w:val="00D6740E"/>
    <w:rsid w:val="00D700DD"/>
    <w:rsid w:val="00D701F3"/>
    <w:rsid w:val="00D7022A"/>
    <w:rsid w:val="00D70659"/>
    <w:rsid w:val="00D70891"/>
    <w:rsid w:val="00D7099E"/>
    <w:rsid w:val="00D70B62"/>
    <w:rsid w:val="00D70F16"/>
    <w:rsid w:val="00D71671"/>
    <w:rsid w:val="00D7176E"/>
    <w:rsid w:val="00D71D22"/>
    <w:rsid w:val="00D71E1E"/>
    <w:rsid w:val="00D71E49"/>
    <w:rsid w:val="00D71FEE"/>
    <w:rsid w:val="00D72467"/>
    <w:rsid w:val="00D724AD"/>
    <w:rsid w:val="00D725C8"/>
    <w:rsid w:val="00D72617"/>
    <w:rsid w:val="00D726AA"/>
    <w:rsid w:val="00D728EF"/>
    <w:rsid w:val="00D72A74"/>
    <w:rsid w:val="00D72C89"/>
    <w:rsid w:val="00D72DC2"/>
    <w:rsid w:val="00D72F57"/>
    <w:rsid w:val="00D72FAA"/>
    <w:rsid w:val="00D73588"/>
    <w:rsid w:val="00D736C3"/>
    <w:rsid w:val="00D738D1"/>
    <w:rsid w:val="00D73B12"/>
    <w:rsid w:val="00D73DF5"/>
    <w:rsid w:val="00D740B9"/>
    <w:rsid w:val="00D74763"/>
    <w:rsid w:val="00D74A26"/>
    <w:rsid w:val="00D74A8B"/>
    <w:rsid w:val="00D75449"/>
    <w:rsid w:val="00D75941"/>
    <w:rsid w:val="00D7596A"/>
    <w:rsid w:val="00D75A39"/>
    <w:rsid w:val="00D75C34"/>
    <w:rsid w:val="00D76A44"/>
    <w:rsid w:val="00D76FC4"/>
    <w:rsid w:val="00D77369"/>
    <w:rsid w:val="00D77662"/>
    <w:rsid w:val="00D77E33"/>
    <w:rsid w:val="00D77F63"/>
    <w:rsid w:val="00D8059D"/>
    <w:rsid w:val="00D80638"/>
    <w:rsid w:val="00D809BB"/>
    <w:rsid w:val="00D815EF"/>
    <w:rsid w:val="00D8163C"/>
    <w:rsid w:val="00D8174C"/>
    <w:rsid w:val="00D81949"/>
    <w:rsid w:val="00D81AFB"/>
    <w:rsid w:val="00D81F26"/>
    <w:rsid w:val="00D822E2"/>
    <w:rsid w:val="00D824F4"/>
    <w:rsid w:val="00D82528"/>
    <w:rsid w:val="00D8256D"/>
    <w:rsid w:val="00D825E3"/>
    <w:rsid w:val="00D8272D"/>
    <w:rsid w:val="00D82784"/>
    <w:rsid w:val="00D82826"/>
    <w:rsid w:val="00D82CE6"/>
    <w:rsid w:val="00D83064"/>
    <w:rsid w:val="00D830E4"/>
    <w:rsid w:val="00D83176"/>
    <w:rsid w:val="00D835A7"/>
    <w:rsid w:val="00D83614"/>
    <w:rsid w:val="00D84022"/>
    <w:rsid w:val="00D84043"/>
    <w:rsid w:val="00D8409C"/>
    <w:rsid w:val="00D840B1"/>
    <w:rsid w:val="00D84181"/>
    <w:rsid w:val="00D84259"/>
    <w:rsid w:val="00D842D9"/>
    <w:rsid w:val="00D842EB"/>
    <w:rsid w:val="00D843F2"/>
    <w:rsid w:val="00D8455B"/>
    <w:rsid w:val="00D84796"/>
    <w:rsid w:val="00D849E7"/>
    <w:rsid w:val="00D84B17"/>
    <w:rsid w:val="00D84D8F"/>
    <w:rsid w:val="00D851A7"/>
    <w:rsid w:val="00D85594"/>
    <w:rsid w:val="00D857D3"/>
    <w:rsid w:val="00D857ED"/>
    <w:rsid w:val="00D85960"/>
    <w:rsid w:val="00D859AD"/>
    <w:rsid w:val="00D859B0"/>
    <w:rsid w:val="00D859B3"/>
    <w:rsid w:val="00D859B7"/>
    <w:rsid w:val="00D85C61"/>
    <w:rsid w:val="00D86231"/>
    <w:rsid w:val="00D86638"/>
    <w:rsid w:val="00D869AC"/>
    <w:rsid w:val="00D86BD1"/>
    <w:rsid w:val="00D86C87"/>
    <w:rsid w:val="00D86D87"/>
    <w:rsid w:val="00D86E20"/>
    <w:rsid w:val="00D86E56"/>
    <w:rsid w:val="00D870F9"/>
    <w:rsid w:val="00D87144"/>
    <w:rsid w:val="00D871EF"/>
    <w:rsid w:val="00D87233"/>
    <w:rsid w:val="00D876E2"/>
    <w:rsid w:val="00D878C5"/>
    <w:rsid w:val="00D87E43"/>
    <w:rsid w:val="00D87F65"/>
    <w:rsid w:val="00D9005B"/>
    <w:rsid w:val="00D90268"/>
    <w:rsid w:val="00D90307"/>
    <w:rsid w:val="00D903DC"/>
    <w:rsid w:val="00D90476"/>
    <w:rsid w:val="00D9051E"/>
    <w:rsid w:val="00D911C7"/>
    <w:rsid w:val="00D912AB"/>
    <w:rsid w:val="00D9141A"/>
    <w:rsid w:val="00D915B8"/>
    <w:rsid w:val="00D91923"/>
    <w:rsid w:val="00D91E7D"/>
    <w:rsid w:val="00D92290"/>
    <w:rsid w:val="00D924D6"/>
    <w:rsid w:val="00D9251E"/>
    <w:rsid w:val="00D9285C"/>
    <w:rsid w:val="00D92937"/>
    <w:rsid w:val="00D92ABD"/>
    <w:rsid w:val="00D92D9D"/>
    <w:rsid w:val="00D92F6C"/>
    <w:rsid w:val="00D9320A"/>
    <w:rsid w:val="00D93240"/>
    <w:rsid w:val="00D93264"/>
    <w:rsid w:val="00D93336"/>
    <w:rsid w:val="00D93753"/>
    <w:rsid w:val="00D93860"/>
    <w:rsid w:val="00D93ADF"/>
    <w:rsid w:val="00D93D22"/>
    <w:rsid w:val="00D9401A"/>
    <w:rsid w:val="00D940FF"/>
    <w:rsid w:val="00D94378"/>
    <w:rsid w:val="00D94434"/>
    <w:rsid w:val="00D9496C"/>
    <w:rsid w:val="00D94983"/>
    <w:rsid w:val="00D94A44"/>
    <w:rsid w:val="00D94D8C"/>
    <w:rsid w:val="00D94EBD"/>
    <w:rsid w:val="00D95011"/>
    <w:rsid w:val="00D95541"/>
    <w:rsid w:val="00D95A9E"/>
    <w:rsid w:val="00D95E3A"/>
    <w:rsid w:val="00D960F2"/>
    <w:rsid w:val="00D961C9"/>
    <w:rsid w:val="00D96681"/>
    <w:rsid w:val="00D966BB"/>
    <w:rsid w:val="00D96ABE"/>
    <w:rsid w:val="00D96BBC"/>
    <w:rsid w:val="00D97218"/>
    <w:rsid w:val="00D97B0E"/>
    <w:rsid w:val="00DA0423"/>
    <w:rsid w:val="00DA0521"/>
    <w:rsid w:val="00DA0C4F"/>
    <w:rsid w:val="00DA0DAB"/>
    <w:rsid w:val="00DA0F50"/>
    <w:rsid w:val="00DA135C"/>
    <w:rsid w:val="00DA164C"/>
    <w:rsid w:val="00DA185D"/>
    <w:rsid w:val="00DA1949"/>
    <w:rsid w:val="00DA1FE7"/>
    <w:rsid w:val="00DA2112"/>
    <w:rsid w:val="00DA2161"/>
    <w:rsid w:val="00DA23C0"/>
    <w:rsid w:val="00DA2477"/>
    <w:rsid w:val="00DA258C"/>
    <w:rsid w:val="00DA2A39"/>
    <w:rsid w:val="00DA2A43"/>
    <w:rsid w:val="00DA2AB8"/>
    <w:rsid w:val="00DA2CE2"/>
    <w:rsid w:val="00DA3167"/>
    <w:rsid w:val="00DA317D"/>
    <w:rsid w:val="00DA3384"/>
    <w:rsid w:val="00DA3497"/>
    <w:rsid w:val="00DA3888"/>
    <w:rsid w:val="00DA3E2E"/>
    <w:rsid w:val="00DA40A8"/>
    <w:rsid w:val="00DA41B2"/>
    <w:rsid w:val="00DA4906"/>
    <w:rsid w:val="00DA4B6D"/>
    <w:rsid w:val="00DA4B76"/>
    <w:rsid w:val="00DA4C2A"/>
    <w:rsid w:val="00DA4D91"/>
    <w:rsid w:val="00DA4DC3"/>
    <w:rsid w:val="00DA4E16"/>
    <w:rsid w:val="00DA5038"/>
    <w:rsid w:val="00DA54E5"/>
    <w:rsid w:val="00DA5793"/>
    <w:rsid w:val="00DA5C8E"/>
    <w:rsid w:val="00DA5D39"/>
    <w:rsid w:val="00DA5DCB"/>
    <w:rsid w:val="00DA5FCB"/>
    <w:rsid w:val="00DA605A"/>
    <w:rsid w:val="00DA631D"/>
    <w:rsid w:val="00DA67B1"/>
    <w:rsid w:val="00DA6D50"/>
    <w:rsid w:val="00DA711E"/>
    <w:rsid w:val="00DA7213"/>
    <w:rsid w:val="00DA7373"/>
    <w:rsid w:val="00DA7616"/>
    <w:rsid w:val="00DA77A5"/>
    <w:rsid w:val="00DA78BE"/>
    <w:rsid w:val="00DB0214"/>
    <w:rsid w:val="00DB026B"/>
    <w:rsid w:val="00DB02C6"/>
    <w:rsid w:val="00DB04D9"/>
    <w:rsid w:val="00DB0A8D"/>
    <w:rsid w:val="00DB0AD2"/>
    <w:rsid w:val="00DB0E36"/>
    <w:rsid w:val="00DB0FDC"/>
    <w:rsid w:val="00DB139B"/>
    <w:rsid w:val="00DB1489"/>
    <w:rsid w:val="00DB1664"/>
    <w:rsid w:val="00DB1684"/>
    <w:rsid w:val="00DB171D"/>
    <w:rsid w:val="00DB17BA"/>
    <w:rsid w:val="00DB1D28"/>
    <w:rsid w:val="00DB1E41"/>
    <w:rsid w:val="00DB222F"/>
    <w:rsid w:val="00DB2723"/>
    <w:rsid w:val="00DB2788"/>
    <w:rsid w:val="00DB2842"/>
    <w:rsid w:val="00DB2A22"/>
    <w:rsid w:val="00DB2BF2"/>
    <w:rsid w:val="00DB2F2C"/>
    <w:rsid w:val="00DB33CA"/>
    <w:rsid w:val="00DB3449"/>
    <w:rsid w:val="00DB34D9"/>
    <w:rsid w:val="00DB3507"/>
    <w:rsid w:val="00DB362B"/>
    <w:rsid w:val="00DB36F9"/>
    <w:rsid w:val="00DB38F8"/>
    <w:rsid w:val="00DB3A42"/>
    <w:rsid w:val="00DB3DBF"/>
    <w:rsid w:val="00DB3FF4"/>
    <w:rsid w:val="00DB4095"/>
    <w:rsid w:val="00DB43AC"/>
    <w:rsid w:val="00DB4551"/>
    <w:rsid w:val="00DB4744"/>
    <w:rsid w:val="00DB4760"/>
    <w:rsid w:val="00DB484F"/>
    <w:rsid w:val="00DB4898"/>
    <w:rsid w:val="00DB4BB3"/>
    <w:rsid w:val="00DB4F58"/>
    <w:rsid w:val="00DB500B"/>
    <w:rsid w:val="00DB56FD"/>
    <w:rsid w:val="00DB592A"/>
    <w:rsid w:val="00DB5A0B"/>
    <w:rsid w:val="00DB5AE5"/>
    <w:rsid w:val="00DB5E86"/>
    <w:rsid w:val="00DB63E1"/>
    <w:rsid w:val="00DB690A"/>
    <w:rsid w:val="00DB6D17"/>
    <w:rsid w:val="00DB6E70"/>
    <w:rsid w:val="00DB751E"/>
    <w:rsid w:val="00DB7A2A"/>
    <w:rsid w:val="00DC00D8"/>
    <w:rsid w:val="00DC0265"/>
    <w:rsid w:val="00DC04F6"/>
    <w:rsid w:val="00DC0529"/>
    <w:rsid w:val="00DC0690"/>
    <w:rsid w:val="00DC0DED"/>
    <w:rsid w:val="00DC0F4F"/>
    <w:rsid w:val="00DC141B"/>
    <w:rsid w:val="00DC1429"/>
    <w:rsid w:val="00DC14F8"/>
    <w:rsid w:val="00DC16EE"/>
    <w:rsid w:val="00DC1995"/>
    <w:rsid w:val="00DC1D65"/>
    <w:rsid w:val="00DC2850"/>
    <w:rsid w:val="00DC2F2E"/>
    <w:rsid w:val="00DC3159"/>
    <w:rsid w:val="00DC3282"/>
    <w:rsid w:val="00DC39D8"/>
    <w:rsid w:val="00DC3C57"/>
    <w:rsid w:val="00DC3D3E"/>
    <w:rsid w:val="00DC44A3"/>
    <w:rsid w:val="00DC46BF"/>
    <w:rsid w:val="00DC4A14"/>
    <w:rsid w:val="00DC4B6A"/>
    <w:rsid w:val="00DC5466"/>
    <w:rsid w:val="00DC5501"/>
    <w:rsid w:val="00DC5640"/>
    <w:rsid w:val="00DC5A88"/>
    <w:rsid w:val="00DC5C64"/>
    <w:rsid w:val="00DC5DAC"/>
    <w:rsid w:val="00DC5DE4"/>
    <w:rsid w:val="00DC6425"/>
    <w:rsid w:val="00DC6B6F"/>
    <w:rsid w:val="00DC6C31"/>
    <w:rsid w:val="00DC6C3D"/>
    <w:rsid w:val="00DC6C97"/>
    <w:rsid w:val="00DC6DF4"/>
    <w:rsid w:val="00DC6F65"/>
    <w:rsid w:val="00DC6FA9"/>
    <w:rsid w:val="00DC7154"/>
    <w:rsid w:val="00DC7565"/>
    <w:rsid w:val="00DC7603"/>
    <w:rsid w:val="00DC7793"/>
    <w:rsid w:val="00DC785E"/>
    <w:rsid w:val="00DC78F4"/>
    <w:rsid w:val="00DC7B44"/>
    <w:rsid w:val="00DC7E26"/>
    <w:rsid w:val="00DC7E8A"/>
    <w:rsid w:val="00DC7F37"/>
    <w:rsid w:val="00DD025F"/>
    <w:rsid w:val="00DD0402"/>
    <w:rsid w:val="00DD040E"/>
    <w:rsid w:val="00DD0B9F"/>
    <w:rsid w:val="00DD0C7B"/>
    <w:rsid w:val="00DD0F78"/>
    <w:rsid w:val="00DD0FAD"/>
    <w:rsid w:val="00DD136B"/>
    <w:rsid w:val="00DD15F9"/>
    <w:rsid w:val="00DD19E2"/>
    <w:rsid w:val="00DD1B63"/>
    <w:rsid w:val="00DD232F"/>
    <w:rsid w:val="00DD23B3"/>
    <w:rsid w:val="00DD240B"/>
    <w:rsid w:val="00DD24E9"/>
    <w:rsid w:val="00DD273C"/>
    <w:rsid w:val="00DD28F7"/>
    <w:rsid w:val="00DD2FED"/>
    <w:rsid w:val="00DD30C9"/>
    <w:rsid w:val="00DD323B"/>
    <w:rsid w:val="00DD325E"/>
    <w:rsid w:val="00DD3E0C"/>
    <w:rsid w:val="00DD3E70"/>
    <w:rsid w:val="00DD3F28"/>
    <w:rsid w:val="00DD4446"/>
    <w:rsid w:val="00DD4537"/>
    <w:rsid w:val="00DD454B"/>
    <w:rsid w:val="00DD466D"/>
    <w:rsid w:val="00DD4786"/>
    <w:rsid w:val="00DD4E15"/>
    <w:rsid w:val="00DD4F27"/>
    <w:rsid w:val="00DD4FB1"/>
    <w:rsid w:val="00DD5019"/>
    <w:rsid w:val="00DD5241"/>
    <w:rsid w:val="00DD5711"/>
    <w:rsid w:val="00DD5836"/>
    <w:rsid w:val="00DD5A8D"/>
    <w:rsid w:val="00DD629E"/>
    <w:rsid w:val="00DD660D"/>
    <w:rsid w:val="00DD6852"/>
    <w:rsid w:val="00DD69B1"/>
    <w:rsid w:val="00DD6AA5"/>
    <w:rsid w:val="00DD6AEF"/>
    <w:rsid w:val="00DD6B40"/>
    <w:rsid w:val="00DD6B6A"/>
    <w:rsid w:val="00DD6D80"/>
    <w:rsid w:val="00DD6F30"/>
    <w:rsid w:val="00DD7017"/>
    <w:rsid w:val="00DD7165"/>
    <w:rsid w:val="00DD76B8"/>
    <w:rsid w:val="00DD79F9"/>
    <w:rsid w:val="00DD7BB7"/>
    <w:rsid w:val="00DD7BF7"/>
    <w:rsid w:val="00DD7FB1"/>
    <w:rsid w:val="00DE0263"/>
    <w:rsid w:val="00DE02FA"/>
    <w:rsid w:val="00DE063B"/>
    <w:rsid w:val="00DE0D26"/>
    <w:rsid w:val="00DE0F17"/>
    <w:rsid w:val="00DE111D"/>
    <w:rsid w:val="00DE180A"/>
    <w:rsid w:val="00DE1C1C"/>
    <w:rsid w:val="00DE1F8A"/>
    <w:rsid w:val="00DE20A6"/>
    <w:rsid w:val="00DE20F6"/>
    <w:rsid w:val="00DE2304"/>
    <w:rsid w:val="00DE2376"/>
    <w:rsid w:val="00DE2396"/>
    <w:rsid w:val="00DE24C9"/>
    <w:rsid w:val="00DE2667"/>
    <w:rsid w:val="00DE2811"/>
    <w:rsid w:val="00DE2BF9"/>
    <w:rsid w:val="00DE303C"/>
    <w:rsid w:val="00DE30F6"/>
    <w:rsid w:val="00DE3138"/>
    <w:rsid w:val="00DE37F8"/>
    <w:rsid w:val="00DE38C4"/>
    <w:rsid w:val="00DE3921"/>
    <w:rsid w:val="00DE3FD3"/>
    <w:rsid w:val="00DE4273"/>
    <w:rsid w:val="00DE478C"/>
    <w:rsid w:val="00DE47C2"/>
    <w:rsid w:val="00DE4F3C"/>
    <w:rsid w:val="00DE4FCB"/>
    <w:rsid w:val="00DE5077"/>
    <w:rsid w:val="00DE5153"/>
    <w:rsid w:val="00DE5434"/>
    <w:rsid w:val="00DE5726"/>
    <w:rsid w:val="00DE5AF9"/>
    <w:rsid w:val="00DE5D07"/>
    <w:rsid w:val="00DE5DEB"/>
    <w:rsid w:val="00DE5E85"/>
    <w:rsid w:val="00DE630B"/>
    <w:rsid w:val="00DE6C44"/>
    <w:rsid w:val="00DE6CDE"/>
    <w:rsid w:val="00DE72A7"/>
    <w:rsid w:val="00DE7832"/>
    <w:rsid w:val="00DE78A9"/>
    <w:rsid w:val="00DE7A4F"/>
    <w:rsid w:val="00DE7BE3"/>
    <w:rsid w:val="00DE7D67"/>
    <w:rsid w:val="00DF0085"/>
    <w:rsid w:val="00DF0476"/>
    <w:rsid w:val="00DF0867"/>
    <w:rsid w:val="00DF0B6A"/>
    <w:rsid w:val="00DF0C0F"/>
    <w:rsid w:val="00DF0F8C"/>
    <w:rsid w:val="00DF1169"/>
    <w:rsid w:val="00DF1322"/>
    <w:rsid w:val="00DF156F"/>
    <w:rsid w:val="00DF1607"/>
    <w:rsid w:val="00DF18FC"/>
    <w:rsid w:val="00DF1914"/>
    <w:rsid w:val="00DF1CC4"/>
    <w:rsid w:val="00DF1DA8"/>
    <w:rsid w:val="00DF1F3F"/>
    <w:rsid w:val="00DF2201"/>
    <w:rsid w:val="00DF2F52"/>
    <w:rsid w:val="00DF3643"/>
    <w:rsid w:val="00DF378D"/>
    <w:rsid w:val="00DF3816"/>
    <w:rsid w:val="00DF3863"/>
    <w:rsid w:val="00DF3AE4"/>
    <w:rsid w:val="00DF3D7C"/>
    <w:rsid w:val="00DF414B"/>
    <w:rsid w:val="00DF421D"/>
    <w:rsid w:val="00DF4237"/>
    <w:rsid w:val="00DF425E"/>
    <w:rsid w:val="00DF43C3"/>
    <w:rsid w:val="00DF4604"/>
    <w:rsid w:val="00DF47FD"/>
    <w:rsid w:val="00DF4F5D"/>
    <w:rsid w:val="00DF52CB"/>
    <w:rsid w:val="00DF5735"/>
    <w:rsid w:val="00DF58EB"/>
    <w:rsid w:val="00DF5C3E"/>
    <w:rsid w:val="00DF5C4E"/>
    <w:rsid w:val="00DF5D2B"/>
    <w:rsid w:val="00DF5E80"/>
    <w:rsid w:val="00DF5E9E"/>
    <w:rsid w:val="00DF5FC8"/>
    <w:rsid w:val="00DF5FE8"/>
    <w:rsid w:val="00DF6326"/>
    <w:rsid w:val="00DF6341"/>
    <w:rsid w:val="00DF6878"/>
    <w:rsid w:val="00DF6A91"/>
    <w:rsid w:val="00DF6AB2"/>
    <w:rsid w:val="00DF6FE4"/>
    <w:rsid w:val="00DF72E6"/>
    <w:rsid w:val="00DF73A0"/>
    <w:rsid w:val="00DF7646"/>
    <w:rsid w:val="00DF7766"/>
    <w:rsid w:val="00E00112"/>
    <w:rsid w:val="00E00228"/>
    <w:rsid w:val="00E00392"/>
    <w:rsid w:val="00E0039C"/>
    <w:rsid w:val="00E00847"/>
    <w:rsid w:val="00E00A82"/>
    <w:rsid w:val="00E00E8E"/>
    <w:rsid w:val="00E00F31"/>
    <w:rsid w:val="00E01057"/>
    <w:rsid w:val="00E011C5"/>
    <w:rsid w:val="00E0120A"/>
    <w:rsid w:val="00E0129A"/>
    <w:rsid w:val="00E01644"/>
    <w:rsid w:val="00E016D5"/>
    <w:rsid w:val="00E020D6"/>
    <w:rsid w:val="00E02239"/>
    <w:rsid w:val="00E02254"/>
    <w:rsid w:val="00E0245C"/>
    <w:rsid w:val="00E02637"/>
    <w:rsid w:val="00E0274D"/>
    <w:rsid w:val="00E028DA"/>
    <w:rsid w:val="00E028E1"/>
    <w:rsid w:val="00E02978"/>
    <w:rsid w:val="00E02C49"/>
    <w:rsid w:val="00E02F1D"/>
    <w:rsid w:val="00E02F2A"/>
    <w:rsid w:val="00E03124"/>
    <w:rsid w:val="00E0363E"/>
    <w:rsid w:val="00E03647"/>
    <w:rsid w:val="00E03988"/>
    <w:rsid w:val="00E041D4"/>
    <w:rsid w:val="00E046FD"/>
    <w:rsid w:val="00E04789"/>
    <w:rsid w:val="00E0481C"/>
    <w:rsid w:val="00E04964"/>
    <w:rsid w:val="00E049BB"/>
    <w:rsid w:val="00E04B37"/>
    <w:rsid w:val="00E04B3B"/>
    <w:rsid w:val="00E04CCB"/>
    <w:rsid w:val="00E04CCE"/>
    <w:rsid w:val="00E04F82"/>
    <w:rsid w:val="00E05201"/>
    <w:rsid w:val="00E05296"/>
    <w:rsid w:val="00E0531C"/>
    <w:rsid w:val="00E0551C"/>
    <w:rsid w:val="00E055A4"/>
    <w:rsid w:val="00E05630"/>
    <w:rsid w:val="00E05A9D"/>
    <w:rsid w:val="00E061FA"/>
    <w:rsid w:val="00E06317"/>
    <w:rsid w:val="00E0636B"/>
    <w:rsid w:val="00E0655A"/>
    <w:rsid w:val="00E065CD"/>
    <w:rsid w:val="00E06606"/>
    <w:rsid w:val="00E06688"/>
    <w:rsid w:val="00E06B16"/>
    <w:rsid w:val="00E06BC9"/>
    <w:rsid w:val="00E06DBB"/>
    <w:rsid w:val="00E0732F"/>
    <w:rsid w:val="00E073E8"/>
    <w:rsid w:val="00E0748B"/>
    <w:rsid w:val="00E075F0"/>
    <w:rsid w:val="00E07F90"/>
    <w:rsid w:val="00E10129"/>
    <w:rsid w:val="00E10149"/>
    <w:rsid w:val="00E109B5"/>
    <w:rsid w:val="00E10ABC"/>
    <w:rsid w:val="00E10B57"/>
    <w:rsid w:val="00E10BFA"/>
    <w:rsid w:val="00E10C6B"/>
    <w:rsid w:val="00E111F3"/>
    <w:rsid w:val="00E11340"/>
    <w:rsid w:val="00E114B7"/>
    <w:rsid w:val="00E11579"/>
    <w:rsid w:val="00E11901"/>
    <w:rsid w:val="00E11DB5"/>
    <w:rsid w:val="00E1207C"/>
    <w:rsid w:val="00E12181"/>
    <w:rsid w:val="00E1223E"/>
    <w:rsid w:val="00E1227C"/>
    <w:rsid w:val="00E122A1"/>
    <w:rsid w:val="00E127AE"/>
    <w:rsid w:val="00E12A4C"/>
    <w:rsid w:val="00E12AF7"/>
    <w:rsid w:val="00E12DE6"/>
    <w:rsid w:val="00E12DF0"/>
    <w:rsid w:val="00E12DF4"/>
    <w:rsid w:val="00E13453"/>
    <w:rsid w:val="00E1363B"/>
    <w:rsid w:val="00E13A31"/>
    <w:rsid w:val="00E13AC1"/>
    <w:rsid w:val="00E13D85"/>
    <w:rsid w:val="00E13EE7"/>
    <w:rsid w:val="00E13F58"/>
    <w:rsid w:val="00E14C03"/>
    <w:rsid w:val="00E14D37"/>
    <w:rsid w:val="00E1511B"/>
    <w:rsid w:val="00E152BB"/>
    <w:rsid w:val="00E152FF"/>
    <w:rsid w:val="00E15BD3"/>
    <w:rsid w:val="00E15E17"/>
    <w:rsid w:val="00E15E63"/>
    <w:rsid w:val="00E1605E"/>
    <w:rsid w:val="00E1613D"/>
    <w:rsid w:val="00E162B9"/>
    <w:rsid w:val="00E16372"/>
    <w:rsid w:val="00E16AD8"/>
    <w:rsid w:val="00E17122"/>
    <w:rsid w:val="00E1716E"/>
    <w:rsid w:val="00E1722B"/>
    <w:rsid w:val="00E17792"/>
    <w:rsid w:val="00E179D7"/>
    <w:rsid w:val="00E17F4E"/>
    <w:rsid w:val="00E17FFA"/>
    <w:rsid w:val="00E200E8"/>
    <w:rsid w:val="00E202FC"/>
    <w:rsid w:val="00E20480"/>
    <w:rsid w:val="00E20E4D"/>
    <w:rsid w:val="00E20ED6"/>
    <w:rsid w:val="00E2103C"/>
    <w:rsid w:val="00E211E1"/>
    <w:rsid w:val="00E21289"/>
    <w:rsid w:val="00E21358"/>
    <w:rsid w:val="00E2249B"/>
    <w:rsid w:val="00E22509"/>
    <w:rsid w:val="00E22A0D"/>
    <w:rsid w:val="00E22AAF"/>
    <w:rsid w:val="00E22BD6"/>
    <w:rsid w:val="00E23640"/>
    <w:rsid w:val="00E23A4C"/>
    <w:rsid w:val="00E23A58"/>
    <w:rsid w:val="00E23A98"/>
    <w:rsid w:val="00E24113"/>
    <w:rsid w:val="00E24131"/>
    <w:rsid w:val="00E244F6"/>
    <w:rsid w:val="00E24851"/>
    <w:rsid w:val="00E2486A"/>
    <w:rsid w:val="00E24FE5"/>
    <w:rsid w:val="00E2501C"/>
    <w:rsid w:val="00E2513F"/>
    <w:rsid w:val="00E258DB"/>
    <w:rsid w:val="00E25A7C"/>
    <w:rsid w:val="00E25B01"/>
    <w:rsid w:val="00E26249"/>
    <w:rsid w:val="00E262D1"/>
    <w:rsid w:val="00E26410"/>
    <w:rsid w:val="00E264C1"/>
    <w:rsid w:val="00E2657D"/>
    <w:rsid w:val="00E26598"/>
    <w:rsid w:val="00E268B5"/>
    <w:rsid w:val="00E2771E"/>
    <w:rsid w:val="00E27882"/>
    <w:rsid w:val="00E27C54"/>
    <w:rsid w:val="00E27DDC"/>
    <w:rsid w:val="00E30015"/>
    <w:rsid w:val="00E3031C"/>
    <w:rsid w:val="00E304B0"/>
    <w:rsid w:val="00E306C3"/>
    <w:rsid w:val="00E30AB3"/>
    <w:rsid w:val="00E30C6E"/>
    <w:rsid w:val="00E30E7F"/>
    <w:rsid w:val="00E30EC0"/>
    <w:rsid w:val="00E311EF"/>
    <w:rsid w:val="00E3144F"/>
    <w:rsid w:val="00E31794"/>
    <w:rsid w:val="00E31BB0"/>
    <w:rsid w:val="00E31BEB"/>
    <w:rsid w:val="00E32180"/>
    <w:rsid w:val="00E326F4"/>
    <w:rsid w:val="00E326F8"/>
    <w:rsid w:val="00E33058"/>
    <w:rsid w:val="00E33221"/>
    <w:rsid w:val="00E3344B"/>
    <w:rsid w:val="00E33574"/>
    <w:rsid w:val="00E33769"/>
    <w:rsid w:val="00E33DBF"/>
    <w:rsid w:val="00E33E8D"/>
    <w:rsid w:val="00E34307"/>
    <w:rsid w:val="00E344F6"/>
    <w:rsid w:val="00E345A3"/>
    <w:rsid w:val="00E34888"/>
    <w:rsid w:val="00E34948"/>
    <w:rsid w:val="00E34C6F"/>
    <w:rsid w:val="00E34E58"/>
    <w:rsid w:val="00E34EA1"/>
    <w:rsid w:val="00E34EAE"/>
    <w:rsid w:val="00E352D2"/>
    <w:rsid w:val="00E356CA"/>
    <w:rsid w:val="00E35FCD"/>
    <w:rsid w:val="00E3600C"/>
    <w:rsid w:val="00E36604"/>
    <w:rsid w:val="00E36BA1"/>
    <w:rsid w:val="00E3752D"/>
    <w:rsid w:val="00E37569"/>
    <w:rsid w:val="00E37956"/>
    <w:rsid w:val="00E37B39"/>
    <w:rsid w:val="00E37DC9"/>
    <w:rsid w:val="00E37E96"/>
    <w:rsid w:val="00E37FBB"/>
    <w:rsid w:val="00E4016C"/>
    <w:rsid w:val="00E401B2"/>
    <w:rsid w:val="00E40568"/>
    <w:rsid w:val="00E407F6"/>
    <w:rsid w:val="00E408DB"/>
    <w:rsid w:val="00E40935"/>
    <w:rsid w:val="00E409B2"/>
    <w:rsid w:val="00E40A41"/>
    <w:rsid w:val="00E40C13"/>
    <w:rsid w:val="00E40E9A"/>
    <w:rsid w:val="00E40ED6"/>
    <w:rsid w:val="00E41082"/>
    <w:rsid w:val="00E41485"/>
    <w:rsid w:val="00E415AF"/>
    <w:rsid w:val="00E41AF1"/>
    <w:rsid w:val="00E41C1F"/>
    <w:rsid w:val="00E41C28"/>
    <w:rsid w:val="00E41D66"/>
    <w:rsid w:val="00E41E30"/>
    <w:rsid w:val="00E42016"/>
    <w:rsid w:val="00E42284"/>
    <w:rsid w:val="00E426AB"/>
    <w:rsid w:val="00E427FB"/>
    <w:rsid w:val="00E42E87"/>
    <w:rsid w:val="00E42F73"/>
    <w:rsid w:val="00E432D1"/>
    <w:rsid w:val="00E43597"/>
    <w:rsid w:val="00E437EB"/>
    <w:rsid w:val="00E43A40"/>
    <w:rsid w:val="00E43D70"/>
    <w:rsid w:val="00E441A8"/>
    <w:rsid w:val="00E44604"/>
    <w:rsid w:val="00E4469B"/>
    <w:rsid w:val="00E4470D"/>
    <w:rsid w:val="00E449E0"/>
    <w:rsid w:val="00E44A36"/>
    <w:rsid w:val="00E44FBB"/>
    <w:rsid w:val="00E4506D"/>
    <w:rsid w:val="00E45733"/>
    <w:rsid w:val="00E457EF"/>
    <w:rsid w:val="00E45C94"/>
    <w:rsid w:val="00E46160"/>
    <w:rsid w:val="00E466C4"/>
    <w:rsid w:val="00E466F3"/>
    <w:rsid w:val="00E46856"/>
    <w:rsid w:val="00E46C7E"/>
    <w:rsid w:val="00E472E9"/>
    <w:rsid w:val="00E47460"/>
    <w:rsid w:val="00E47531"/>
    <w:rsid w:val="00E47B2C"/>
    <w:rsid w:val="00E47C59"/>
    <w:rsid w:val="00E47E74"/>
    <w:rsid w:val="00E500F1"/>
    <w:rsid w:val="00E5073F"/>
    <w:rsid w:val="00E50816"/>
    <w:rsid w:val="00E508C7"/>
    <w:rsid w:val="00E50A0A"/>
    <w:rsid w:val="00E50A23"/>
    <w:rsid w:val="00E50C8F"/>
    <w:rsid w:val="00E50DB8"/>
    <w:rsid w:val="00E51194"/>
    <w:rsid w:val="00E514DD"/>
    <w:rsid w:val="00E51560"/>
    <w:rsid w:val="00E51659"/>
    <w:rsid w:val="00E5181D"/>
    <w:rsid w:val="00E51821"/>
    <w:rsid w:val="00E51860"/>
    <w:rsid w:val="00E519CA"/>
    <w:rsid w:val="00E51A9C"/>
    <w:rsid w:val="00E51F12"/>
    <w:rsid w:val="00E5207F"/>
    <w:rsid w:val="00E52173"/>
    <w:rsid w:val="00E52683"/>
    <w:rsid w:val="00E52BBD"/>
    <w:rsid w:val="00E52D0C"/>
    <w:rsid w:val="00E52DCC"/>
    <w:rsid w:val="00E52DD2"/>
    <w:rsid w:val="00E52E28"/>
    <w:rsid w:val="00E530E7"/>
    <w:rsid w:val="00E5338C"/>
    <w:rsid w:val="00E53AAC"/>
    <w:rsid w:val="00E53F29"/>
    <w:rsid w:val="00E53FC8"/>
    <w:rsid w:val="00E54347"/>
    <w:rsid w:val="00E54395"/>
    <w:rsid w:val="00E54BAD"/>
    <w:rsid w:val="00E54C87"/>
    <w:rsid w:val="00E54CD4"/>
    <w:rsid w:val="00E54E09"/>
    <w:rsid w:val="00E54FA3"/>
    <w:rsid w:val="00E550C2"/>
    <w:rsid w:val="00E55424"/>
    <w:rsid w:val="00E5567D"/>
    <w:rsid w:val="00E55763"/>
    <w:rsid w:val="00E55915"/>
    <w:rsid w:val="00E55BB5"/>
    <w:rsid w:val="00E55D9E"/>
    <w:rsid w:val="00E56019"/>
    <w:rsid w:val="00E56304"/>
    <w:rsid w:val="00E5643E"/>
    <w:rsid w:val="00E564E1"/>
    <w:rsid w:val="00E565E1"/>
    <w:rsid w:val="00E566E8"/>
    <w:rsid w:val="00E56802"/>
    <w:rsid w:val="00E56925"/>
    <w:rsid w:val="00E56EEE"/>
    <w:rsid w:val="00E571E0"/>
    <w:rsid w:val="00E571F1"/>
    <w:rsid w:val="00E573EB"/>
    <w:rsid w:val="00E578C1"/>
    <w:rsid w:val="00E57A69"/>
    <w:rsid w:val="00E603D4"/>
    <w:rsid w:val="00E608C2"/>
    <w:rsid w:val="00E60D0F"/>
    <w:rsid w:val="00E60DD2"/>
    <w:rsid w:val="00E60F02"/>
    <w:rsid w:val="00E60F41"/>
    <w:rsid w:val="00E611DF"/>
    <w:rsid w:val="00E61572"/>
    <w:rsid w:val="00E615E7"/>
    <w:rsid w:val="00E61DCB"/>
    <w:rsid w:val="00E61EBC"/>
    <w:rsid w:val="00E61F65"/>
    <w:rsid w:val="00E6214E"/>
    <w:rsid w:val="00E62367"/>
    <w:rsid w:val="00E6276D"/>
    <w:rsid w:val="00E62798"/>
    <w:rsid w:val="00E628CE"/>
    <w:rsid w:val="00E62B38"/>
    <w:rsid w:val="00E62C38"/>
    <w:rsid w:val="00E62C82"/>
    <w:rsid w:val="00E62EB7"/>
    <w:rsid w:val="00E6320B"/>
    <w:rsid w:val="00E63211"/>
    <w:rsid w:val="00E633BB"/>
    <w:rsid w:val="00E6342C"/>
    <w:rsid w:val="00E6344C"/>
    <w:rsid w:val="00E63BDA"/>
    <w:rsid w:val="00E63D3F"/>
    <w:rsid w:val="00E640D1"/>
    <w:rsid w:val="00E642B6"/>
    <w:rsid w:val="00E64C8F"/>
    <w:rsid w:val="00E64F15"/>
    <w:rsid w:val="00E650C0"/>
    <w:rsid w:val="00E65134"/>
    <w:rsid w:val="00E656D9"/>
    <w:rsid w:val="00E65732"/>
    <w:rsid w:val="00E65822"/>
    <w:rsid w:val="00E65CDB"/>
    <w:rsid w:val="00E65E79"/>
    <w:rsid w:val="00E661F4"/>
    <w:rsid w:val="00E662D0"/>
    <w:rsid w:val="00E668B0"/>
    <w:rsid w:val="00E669DA"/>
    <w:rsid w:val="00E66BA2"/>
    <w:rsid w:val="00E66E0C"/>
    <w:rsid w:val="00E66F05"/>
    <w:rsid w:val="00E66F1C"/>
    <w:rsid w:val="00E66F75"/>
    <w:rsid w:val="00E67179"/>
    <w:rsid w:val="00E67416"/>
    <w:rsid w:val="00E6746F"/>
    <w:rsid w:val="00E70195"/>
    <w:rsid w:val="00E70C0E"/>
    <w:rsid w:val="00E70CD9"/>
    <w:rsid w:val="00E70D32"/>
    <w:rsid w:val="00E70EE8"/>
    <w:rsid w:val="00E71407"/>
    <w:rsid w:val="00E7144D"/>
    <w:rsid w:val="00E71494"/>
    <w:rsid w:val="00E7167D"/>
    <w:rsid w:val="00E71858"/>
    <w:rsid w:val="00E7185D"/>
    <w:rsid w:val="00E718B6"/>
    <w:rsid w:val="00E71941"/>
    <w:rsid w:val="00E7222F"/>
    <w:rsid w:val="00E723BA"/>
    <w:rsid w:val="00E7241B"/>
    <w:rsid w:val="00E72684"/>
    <w:rsid w:val="00E7273F"/>
    <w:rsid w:val="00E729F0"/>
    <w:rsid w:val="00E72AA6"/>
    <w:rsid w:val="00E73058"/>
    <w:rsid w:val="00E73096"/>
    <w:rsid w:val="00E733C6"/>
    <w:rsid w:val="00E73462"/>
    <w:rsid w:val="00E73581"/>
    <w:rsid w:val="00E73E53"/>
    <w:rsid w:val="00E74129"/>
    <w:rsid w:val="00E7439C"/>
    <w:rsid w:val="00E7462C"/>
    <w:rsid w:val="00E746D2"/>
    <w:rsid w:val="00E74B11"/>
    <w:rsid w:val="00E74EC1"/>
    <w:rsid w:val="00E7566D"/>
    <w:rsid w:val="00E75708"/>
    <w:rsid w:val="00E75A4E"/>
    <w:rsid w:val="00E75DEF"/>
    <w:rsid w:val="00E760FE"/>
    <w:rsid w:val="00E7670C"/>
    <w:rsid w:val="00E76978"/>
    <w:rsid w:val="00E769AE"/>
    <w:rsid w:val="00E76DC1"/>
    <w:rsid w:val="00E77989"/>
    <w:rsid w:val="00E77FE0"/>
    <w:rsid w:val="00E80258"/>
    <w:rsid w:val="00E80635"/>
    <w:rsid w:val="00E80EED"/>
    <w:rsid w:val="00E80F95"/>
    <w:rsid w:val="00E80FF0"/>
    <w:rsid w:val="00E81474"/>
    <w:rsid w:val="00E81571"/>
    <w:rsid w:val="00E8164B"/>
    <w:rsid w:val="00E81762"/>
    <w:rsid w:val="00E81B78"/>
    <w:rsid w:val="00E81C80"/>
    <w:rsid w:val="00E81DBB"/>
    <w:rsid w:val="00E81DC2"/>
    <w:rsid w:val="00E820B0"/>
    <w:rsid w:val="00E82880"/>
    <w:rsid w:val="00E828EF"/>
    <w:rsid w:val="00E82C85"/>
    <w:rsid w:val="00E82CAB"/>
    <w:rsid w:val="00E82EFC"/>
    <w:rsid w:val="00E832B6"/>
    <w:rsid w:val="00E833F7"/>
    <w:rsid w:val="00E83BDF"/>
    <w:rsid w:val="00E83BF0"/>
    <w:rsid w:val="00E83E8E"/>
    <w:rsid w:val="00E83EAF"/>
    <w:rsid w:val="00E83F94"/>
    <w:rsid w:val="00E83FEF"/>
    <w:rsid w:val="00E84125"/>
    <w:rsid w:val="00E841D3"/>
    <w:rsid w:val="00E842CB"/>
    <w:rsid w:val="00E8470D"/>
    <w:rsid w:val="00E84776"/>
    <w:rsid w:val="00E8499A"/>
    <w:rsid w:val="00E849CA"/>
    <w:rsid w:val="00E84BF5"/>
    <w:rsid w:val="00E84C94"/>
    <w:rsid w:val="00E84F3A"/>
    <w:rsid w:val="00E85221"/>
    <w:rsid w:val="00E854D9"/>
    <w:rsid w:val="00E85690"/>
    <w:rsid w:val="00E858D9"/>
    <w:rsid w:val="00E85C6C"/>
    <w:rsid w:val="00E85D3E"/>
    <w:rsid w:val="00E85D4E"/>
    <w:rsid w:val="00E85E20"/>
    <w:rsid w:val="00E861A9"/>
    <w:rsid w:val="00E866E0"/>
    <w:rsid w:val="00E86E9B"/>
    <w:rsid w:val="00E86EF9"/>
    <w:rsid w:val="00E86FCC"/>
    <w:rsid w:val="00E872B2"/>
    <w:rsid w:val="00E87970"/>
    <w:rsid w:val="00E87A1D"/>
    <w:rsid w:val="00E902A1"/>
    <w:rsid w:val="00E90305"/>
    <w:rsid w:val="00E903DF"/>
    <w:rsid w:val="00E90464"/>
    <w:rsid w:val="00E90767"/>
    <w:rsid w:val="00E90949"/>
    <w:rsid w:val="00E9094A"/>
    <w:rsid w:val="00E90998"/>
    <w:rsid w:val="00E90D47"/>
    <w:rsid w:val="00E91070"/>
    <w:rsid w:val="00E91685"/>
    <w:rsid w:val="00E91D35"/>
    <w:rsid w:val="00E91D98"/>
    <w:rsid w:val="00E91EB9"/>
    <w:rsid w:val="00E91FB5"/>
    <w:rsid w:val="00E920A7"/>
    <w:rsid w:val="00E922E6"/>
    <w:rsid w:val="00E92489"/>
    <w:rsid w:val="00E9251A"/>
    <w:rsid w:val="00E926A5"/>
    <w:rsid w:val="00E92DD5"/>
    <w:rsid w:val="00E93074"/>
    <w:rsid w:val="00E9310C"/>
    <w:rsid w:val="00E93779"/>
    <w:rsid w:val="00E93B08"/>
    <w:rsid w:val="00E93CE5"/>
    <w:rsid w:val="00E93E11"/>
    <w:rsid w:val="00E943AD"/>
    <w:rsid w:val="00E94426"/>
    <w:rsid w:val="00E94A2E"/>
    <w:rsid w:val="00E94AF2"/>
    <w:rsid w:val="00E9500D"/>
    <w:rsid w:val="00E9508A"/>
    <w:rsid w:val="00E95094"/>
    <w:rsid w:val="00E95293"/>
    <w:rsid w:val="00E95443"/>
    <w:rsid w:val="00E95C2C"/>
    <w:rsid w:val="00E9608D"/>
    <w:rsid w:val="00E962CC"/>
    <w:rsid w:val="00E96507"/>
    <w:rsid w:val="00E96E65"/>
    <w:rsid w:val="00E9703A"/>
    <w:rsid w:val="00E974B5"/>
    <w:rsid w:val="00E9775A"/>
    <w:rsid w:val="00E97802"/>
    <w:rsid w:val="00E97814"/>
    <w:rsid w:val="00E97834"/>
    <w:rsid w:val="00E97AB5"/>
    <w:rsid w:val="00E97ABC"/>
    <w:rsid w:val="00E97AD6"/>
    <w:rsid w:val="00E97AE8"/>
    <w:rsid w:val="00E97E83"/>
    <w:rsid w:val="00EA008E"/>
    <w:rsid w:val="00EA00F2"/>
    <w:rsid w:val="00EA02BA"/>
    <w:rsid w:val="00EA0571"/>
    <w:rsid w:val="00EA0668"/>
    <w:rsid w:val="00EA06FE"/>
    <w:rsid w:val="00EA071F"/>
    <w:rsid w:val="00EA0931"/>
    <w:rsid w:val="00EA0A89"/>
    <w:rsid w:val="00EA103A"/>
    <w:rsid w:val="00EA1374"/>
    <w:rsid w:val="00EA1688"/>
    <w:rsid w:val="00EA16B4"/>
    <w:rsid w:val="00EA17C3"/>
    <w:rsid w:val="00EA1860"/>
    <w:rsid w:val="00EA1D83"/>
    <w:rsid w:val="00EA1DF4"/>
    <w:rsid w:val="00EA1EA8"/>
    <w:rsid w:val="00EA2302"/>
    <w:rsid w:val="00EA276D"/>
    <w:rsid w:val="00EA27A9"/>
    <w:rsid w:val="00EA281D"/>
    <w:rsid w:val="00EA289D"/>
    <w:rsid w:val="00EA2A22"/>
    <w:rsid w:val="00EA2BB7"/>
    <w:rsid w:val="00EA2CAA"/>
    <w:rsid w:val="00EA2CAB"/>
    <w:rsid w:val="00EA35DA"/>
    <w:rsid w:val="00EA365A"/>
    <w:rsid w:val="00EA3864"/>
    <w:rsid w:val="00EA3BF1"/>
    <w:rsid w:val="00EA3D1E"/>
    <w:rsid w:val="00EA3D4E"/>
    <w:rsid w:val="00EA3F7C"/>
    <w:rsid w:val="00EA4087"/>
    <w:rsid w:val="00EA45CC"/>
    <w:rsid w:val="00EA4C32"/>
    <w:rsid w:val="00EA4D20"/>
    <w:rsid w:val="00EA5146"/>
    <w:rsid w:val="00EA52B6"/>
    <w:rsid w:val="00EA53A5"/>
    <w:rsid w:val="00EA550F"/>
    <w:rsid w:val="00EA55EF"/>
    <w:rsid w:val="00EA5C9B"/>
    <w:rsid w:val="00EA5CFA"/>
    <w:rsid w:val="00EA5D33"/>
    <w:rsid w:val="00EA5F8D"/>
    <w:rsid w:val="00EA6196"/>
    <w:rsid w:val="00EA61EA"/>
    <w:rsid w:val="00EA6374"/>
    <w:rsid w:val="00EA63E3"/>
    <w:rsid w:val="00EA6545"/>
    <w:rsid w:val="00EA6629"/>
    <w:rsid w:val="00EA6896"/>
    <w:rsid w:val="00EA699A"/>
    <w:rsid w:val="00EA6B1E"/>
    <w:rsid w:val="00EA7470"/>
    <w:rsid w:val="00EA7A35"/>
    <w:rsid w:val="00EA7F1C"/>
    <w:rsid w:val="00EB03E6"/>
    <w:rsid w:val="00EB04DD"/>
    <w:rsid w:val="00EB0EDB"/>
    <w:rsid w:val="00EB15B6"/>
    <w:rsid w:val="00EB18B1"/>
    <w:rsid w:val="00EB19CC"/>
    <w:rsid w:val="00EB1BBA"/>
    <w:rsid w:val="00EB22A8"/>
    <w:rsid w:val="00EB2395"/>
    <w:rsid w:val="00EB25D9"/>
    <w:rsid w:val="00EB2932"/>
    <w:rsid w:val="00EB2D18"/>
    <w:rsid w:val="00EB2D3E"/>
    <w:rsid w:val="00EB34CD"/>
    <w:rsid w:val="00EB3511"/>
    <w:rsid w:val="00EB3A54"/>
    <w:rsid w:val="00EB3D06"/>
    <w:rsid w:val="00EB4640"/>
    <w:rsid w:val="00EB4685"/>
    <w:rsid w:val="00EB4817"/>
    <w:rsid w:val="00EB4916"/>
    <w:rsid w:val="00EB4AEC"/>
    <w:rsid w:val="00EB4FD3"/>
    <w:rsid w:val="00EB531A"/>
    <w:rsid w:val="00EB554D"/>
    <w:rsid w:val="00EB556D"/>
    <w:rsid w:val="00EB56ED"/>
    <w:rsid w:val="00EB572D"/>
    <w:rsid w:val="00EB57D9"/>
    <w:rsid w:val="00EB5B19"/>
    <w:rsid w:val="00EB5CD6"/>
    <w:rsid w:val="00EB5D93"/>
    <w:rsid w:val="00EB5F19"/>
    <w:rsid w:val="00EB60B1"/>
    <w:rsid w:val="00EB721B"/>
    <w:rsid w:val="00EB770A"/>
    <w:rsid w:val="00EB77FA"/>
    <w:rsid w:val="00EB7D0E"/>
    <w:rsid w:val="00EB7D93"/>
    <w:rsid w:val="00EC0044"/>
    <w:rsid w:val="00EC0065"/>
    <w:rsid w:val="00EC00C9"/>
    <w:rsid w:val="00EC0238"/>
    <w:rsid w:val="00EC033D"/>
    <w:rsid w:val="00EC0436"/>
    <w:rsid w:val="00EC046B"/>
    <w:rsid w:val="00EC0803"/>
    <w:rsid w:val="00EC0D07"/>
    <w:rsid w:val="00EC0DD9"/>
    <w:rsid w:val="00EC0E30"/>
    <w:rsid w:val="00EC110A"/>
    <w:rsid w:val="00EC113D"/>
    <w:rsid w:val="00EC1257"/>
    <w:rsid w:val="00EC199C"/>
    <w:rsid w:val="00EC2649"/>
    <w:rsid w:val="00EC27B9"/>
    <w:rsid w:val="00EC2ABB"/>
    <w:rsid w:val="00EC2C7D"/>
    <w:rsid w:val="00EC2E90"/>
    <w:rsid w:val="00EC31ED"/>
    <w:rsid w:val="00EC329E"/>
    <w:rsid w:val="00EC3849"/>
    <w:rsid w:val="00EC3ABD"/>
    <w:rsid w:val="00EC3F6F"/>
    <w:rsid w:val="00EC419E"/>
    <w:rsid w:val="00EC42C8"/>
    <w:rsid w:val="00EC433B"/>
    <w:rsid w:val="00EC45C2"/>
    <w:rsid w:val="00EC466F"/>
    <w:rsid w:val="00EC4B41"/>
    <w:rsid w:val="00EC4C3D"/>
    <w:rsid w:val="00EC4F0F"/>
    <w:rsid w:val="00EC5407"/>
    <w:rsid w:val="00EC5836"/>
    <w:rsid w:val="00EC5858"/>
    <w:rsid w:val="00EC5889"/>
    <w:rsid w:val="00EC5AD1"/>
    <w:rsid w:val="00EC5F54"/>
    <w:rsid w:val="00EC688C"/>
    <w:rsid w:val="00EC6B10"/>
    <w:rsid w:val="00EC6BE5"/>
    <w:rsid w:val="00EC6EB0"/>
    <w:rsid w:val="00EC718D"/>
    <w:rsid w:val="00EC7349"/>
    <w:rsid w:val="00EC765D"/>
    <w:rsid w:val="00EC78C9"/>
    <w:rsid w:val="00ED09B7"/>
    <w:rsid w:val="00ED0A53"/>
    <w:rsid w:val="00ED0A9F"/>
    <w:rsid w:val="00ED0AA9"/>
    <w:rsid w:val="00ED0CBB"/>
    <w:rsid w:val="00ED0F43"/>
    <w:rsid w:val="00ED0FA2"/>
    <w:rsid w:val="00ED1028"/>
    <w:rsid w:val="00ED12E3"/>
    <w:rsid w:val="00ED134A"/>
    <w:rsid w:val="00ED1534"/>
    <w:rsid w:val="00ED1723"/>
    <w:rsid w:val="00ED181A"/>
    <w:rsid w:val="00ED18CF"/>
    <w:rsid w:val="00ED1CA2"/>
    <w:rsid w:val="00ED1DEB"/>
    <w:rsid w:val="00ED1E08"/>
    <w:rsid w:val="00ED21BB"/>
    <w:rsid w:val="00ED24D6"/>
    <w:rsid w:val="00ED2637"/>
    <w:rsid w:val="00ED28E7"/>
    <w:rsid w:val="00ED2A93"/>
    <w:rsid w:val="00ED2B6C"/>
    <w:rsid w:val="00ED2D3F"/>
    <w:rsid w:val="00ED30CF"/>
    <w:rsid w:val="00ED375A"/>
    <w:rsid w:val="00ED4409"/>
    <w:rsid w:val="00ED4417"/>
    <w:rsid w:val="00ED49B9"/>
    <w:rsid w:val="00ED4B04"/>
    <w:rsid w:val="00ED4BE6"/>
    <w:rsid w:val="00ED4C7D"/>
    <w:rsid w:val="00ED4F52"/>
    <w:rsid w:val="00ED5103"/>
    <w:rsid w:val="00ED510D"/>
    <w:rsid w:val="00ED5720"/>
    <w:rsid w:val="00ED57EA"/>
    <w:rsid w:val="00ED59E7"/>
    <w:rsid w:val="00ED5A80"/>
    <w:rsid w:val="00ED5A91"/>
    <w:rsid w:val="00ED5AA3"/>
    <w:rsid w:val="00ED5BA8"/>
    <w:rsid w:val="00ED5BBF"/>
    <w:rsid w:val="00ED5BD4"/>
    <w:rsid w:val="00ED5C71"/>
    <w:rsid w:val="00ED62A7"/>
    <w:rsid w:val="00ED62B8"/>
    <w:rsid w:val="00ED69EC"/>
    <w:rsid w:val="00ED6C79"/>
    <w:rsid w:val="00ED6D8D"/>
    <w:rsid w:val="00ED6E5E"/>
    <w:rsid w:val="00ED70EA"/>
    <w:rsid w:val="00ED7256"/>
    <w:rsid w:val="00ED7488"/>
    <w:rsid w:val="00ED7A5E"/>
    <w:rsid w:val="00ED7C91"/>
    <w:rsid w:val="00ED7D2B"/>
    <w:rsid w:val="00EE04CE"/>
    <w:rsid w:val="00EE07D3"/>
    <w:rsid w:val="00EE0864"/>
    <w:rsid w:val="00EE0F34"/>
    <w:rsid w:val="00EE0F63"/>
    <w:rsid w:val="00EE0FA7"/>
    <w:rsid w:val="00EE108D"/>
    <w:rsid w:val="00EE1996"/>
    <w:rsid w:val="00EE1ABC"/>
    <w:rsid w:val="00EE1C01"/>
    <w:rsid w:val="00EE1E14"/>
    <w:rsid w:val="00EE1EBC"/>
    <w:rsid w:val="00EE2055"/>
    <w:rsid w:val="00EE22AF"/>
    <w:rsid w:val="00EE2CD3"/>
    <w:rsid w:val="00EE2CFA"/>
    <w:rsid w:val="00EE2D70"/>
    <w:rsid w:val="00EE2E26"/>
    <w:rsid w:val="00EE2F90"/>
    <w:rsid w:val="00EE300D"/>
    <w:rsid w:val="00EE33B0"/>
    <w:rsid w:val="00EE3825"/>
    <w:rsid w:val="00EE3E2B"/>
    <w:rsid w:val="00EE3F6D"/>
    <w:rsid w:val="00EE4092"/>
    <w:rsid w:val="00EE4149"/>
    <w:rsid w:val="00EE4230"/>
    <w:rsid w:val="00EE4675"/>
    <w:rsid w:val="00EE4DB4"/>
    <w:rsid w:val="00EE50C1"/>
    <w:rsid w:val="00EE5220"/>
    <w:rsid w:val="00EE56FF"/>
    <w:rsid w:val="00EE5B36"/>
    <w:rsid w:val="00EE5BBA"/>
    <w:rsid w:val="00EE5D53"/>
    <w:rsid w:val="00EE5E9D"/>
    <w:rsid w:val="00EE5ECC"/>
    <w:rsid w:val="00EE5F5F"/>
    <w:rsid w:val="00EE6A21"/>
    <w:rsid w:val="00EE6C67"/>
    <w:rsid w:val="00EE6E3D"/>
    <w:rsid w:val="00EE70D0"/>
    <w:rsid w:val="00EE7647"/>
    <w:rsid w:val="00EE7903"/>
    <w:rsid w:val="00EE7ACC"/>
    <w:rsid w:val="00EE7BD8"/>
    <w:rsid w:val="00EE7F3E"/>
    <w:rsid w:val="00EE7FF6"/>
    <w:rsid w:val="00EF0114"/>
    <w:rsid w:val="00EF0128"/>
    <w:rsid w:val="00EF0171"/>
    <w:rsid w:val="00EF03ED"/>
    <w:rsid w:val="00EF0687"/>
    <w:rsid w:val="00EF0785"/>
    <w:rsid w:val="00EF0797"/>
    <w:rsid w:val="00EF08D5"/>
    <w:rsid w:val="00EF0936"/>
    <w:rsid w:val="00EF0B20"/>
    <w:rsid w:val="00EF0EB3"/>
    <w:rsid w:val="00EF0F90"/>
    <w:rsid w:val="00EF124D"/>
    <w:rsid w:val="00EF1347"/>
    <w:rsid w:val="00EF17A4"/>
    <w:rsid w:val="00EF1A99"/>
    <w:rsid w:val="00EF1B25"/>
    <w:rsid w:val="00EF1DA0"/>
    <w:rsid w:val="00EF213B"/>
    <w:rsid w:val="00EF2D1C"/>
    <w:rsid w:val="00EF2ED1"/>
    <w:rsid w:val="00EF30DA"/>
    <w:rsid w:val="00EF32F0"/>
    <w:rsid w:val="00EF33EF"/>
    <w:rsid w:val="00EF3C3D"/>
    <w:rsid w:val="00EF3CD1"/>
    <w:rsid w:val="00EF3FF2"/>
    <w:rsid w:val="00EF44CF"/>
    <w:rsid w:val="00EF4747"/>
    <w:rsid w:val="00EF47CB"/>
    <w:rsid w:val="00EF4842"/>
    <w:rsid w:val="00EF4BF8"/>
    <w:rsid w:val="00EF5412"/>
    <w:rsid w:val="00EF5521"/>
    <w:rsid w:val="00EF5526"/>
    <w:rsid w:val="00EF5934"/>
    <w:rsid w:val="00EF5A32"/>
    <w:rsid w:val="00EF5A89"/>
    <w:rsid w:val="00EF5B55"/>
    <w:rsid w:val="00EF5C65"/>
    <w:rsid w:val="00EF5E2C"/>
    <w:rsid w:val="00EF6390"/>
    <w:rsid w:val="00EF63D6"/>
    <w:rsid w:val="00EF6858"/>
    <w:rsid w:val="00EF6DCE"/>
    <w:rsid w:val="00EF6E85"/>
    <w:rsid w:val="00EF7297"/>
    <w:rsid w:val="00EF74E3"/>
    <w:rsid w:val="00EF7704"/>
    <w:rsid w:val="00EF7D4E"/>
    <w:rsid w:val="00F0039C"/>
    <w:rsid w:val="00F003D1"/>
    <w:rsid w:val="00F00750"/>
    <w:rsid w:val="00F00754"/>
    <w:rsid w:val="00F008EC"/>
    <w:rsid w:val="00F00BBA"/>
    <w:rsid w:val="00F01119"/>
    <w:rsid w:val="00F01C8B"/>
    <w:rsid w:val="00F01FD2"/>
    <w:rsid w:val="00F021AF"/>
    <w:rsid w:val="00F02253"/>
    <w:rsid w:val="00F022C9"/>
    <w:rsid w:val="00F02930"/>
    <w:rsid w:val="00F02958"/>
    <w:rsid w:val="00F02A80"/>
    <w:rsid w:val="00F02C8F"/>
    <w:rsid w:val="00F03C2E"/>
    <w:rsid w:val="00F03FF5"/>
    <w:rsid w:val="00F0474B"/>
    <w:rsid w:val="00F04991"/>
    <w:rsid w:val="00F04A66"/>
    <w:rsid w:val="00F04B4B"/>
    <w:rsid w:val="00F04B63"/>
    <w:rsid w:val="00F04DDD"/>
    <w:rsid w:val="00F0516C"/>
    <w:rsid w:val="00F05370"/>
    <w:rsid w:val="00F057F8"/>
    <w:rsid w:val="00F05A30"/>
    <w:rsid w:val="00F05E5E"/>
    <w:rsid w:val="00F05FD3"/>
    <w:rsid w:val="00F066F0"/>
    <w:rsid w:val="00F067A2"/>
    <w:rsid w:val="00F068AB"/>
    <w:rsid w:val="00F06EB8"/>
    <w:rsid w:val="00F06FDF"/>
    <w:rsid w:val="00F07250"/>
    <w:rsid w:val="00F072E3"/>
    <w:rsid w:val="00F07753"/>
    <w:rsid w:val="00F07B83"/>
    <w:rsid w:val="00F07B9E"/>
    <w:rsid w:val="00F07D59"/>
    <w:rsid w:val="00F07DDE"/>
    <w:rsid w:val="00F07F5A"/>
    <w:rsid w:val="00F10AB6"/>
    <w:rsid w:val="00F10C17"/>
    <w:rsid w:val="00F10E54"/>
    <w:rsid w:val="00F1102F"/>
    <w:rsid w:val="00F1103E"/>
    <w:rsid w:val="00F1116F"/>
    <w:rsid w:val="00F115BD"/>
    <w:rsid w:val="00F115FD"/>
    <w:rsid w:val="00F1171C"/>
    <w:rsid w:val="00F11906"/>
    <w:rsid w:val="00F125C5"/>
    <w:rsid w:val="00F125F5"/>
    <w:rsid w:val="00F1263A"/>
    <w:rsid w:val="00F126EE"/>
    <w:rsid w:val="00F1276A"/>
    <w:rsid w:val="00F12D3C"/>
    <w:rsid w:val="00F12ED7"/>
    <w:rsid w:val="00F132EE"/>
    <w:rsid w:val="00F134E0"/>
    <w:rsid w:val="00F13581"/>
    <w:rsid w:val="00F1387C"/>
    <w:rsid w:val="00F13897"/>
    <w:rsid w:val="00F139C5"/>
    <w:rsid w:val="00F13B73"/>
    <w:rsid w:val="00F13E4D"/>
    <w:rsid w:val="00F13FCA"/>
    <w:rsid w:val="00F14256"/>
    <w:rsid w:val="00F14377"/>
    <w:rsid w:val="00F14649"/>
    <w:rsid w:val="00F14A63"/>
    <w:rsid w:val="00F14DD6"/>
    <w:rsid w:val="00F15325"/>
    <w:rsid w:val="00F154C7"/>
    <w:rsid w:val="00F15A74"/>
    <w:rsid w:val="00F15B72"/>
    <w:rsid w:val="00F15B77"/>
    <w:rsid w:val="00F15DF8"/>
    <w:rsid w:val="00F16ED8"/>
    <w:rsid w:val="00F17495"/>
    <w:rsid w:val="00F1779E"/>
    <w:rsid w:val="00F17B7F"/>
    <w:rsid w:val="00F17DFC"/>
    <w:rsid w:val="00F17F79"/>
    <w:rsid w:val="00F20131"/>
    <w:rsid w:val="00F201E8"/>
    <w:rsid w:val="00F2035D"/>
    <w:rsid w:val="00F2052E"/>
    <w:rsid w:val="00F20576"/>
    <w:rsid w:val="00F205B2"/>
    <w:rsid w:val="00F20A07"/>
    <w:rsid w:val="00F20C09"/>
    <w:rsid w:val="00F20E06"/>
    <w:rsid w:val="00F21144"/>
    <w:rsid w:val="00F21236"/>
    <w:rsid w:val="00F2123C"/>
    <w:rsid w:val="00F21288"/>
    <w:rsid w:val="00F2140E"/>
    <w:rsid w:val="00F21486"/>
    <w:rsid w:val="00F2189D"/>
    <w:rsid w:val="00F21B0F"/>
    <w:rsid w:val="00F21B5C"/>
    <w:rsid w:val="00F21CB7"/>
    <w:rsid w:val="00F223AF"/>
    <w:rsid w:val="00F22494"/>
    <w:rsid w:val="00F227B6"/>
    <w:rsid w:val="00F22A39"/>
    <w:rsid w:val="00F22FDC"/>
    <w:rsid w:val="00F23743"/>
    <w:rsid w:val="00F239DF"/>
    <w:rsid w:val="00F23B54"/>
    <w:rsid w:val="00F23CBC"/>
    <w:rsid w:val="00F23FBD"/>
    <w:rsid w:val="00F244EF"/>
    <w:rsid w:val="00F24555"/>
    <w:rsid w:val="00F24837"/>
    <w:rsid w:val="00F2489B"/>
    <w:rsid w:val="00F249DA"/>
    <w:rsid w:val="00F24A18"/>
    <w:rsid w:val="00F24F7A"/>
    <w:rsid w:val="00F25293"/>
    <w:rsid w:val="00F25568"/>
    <w:rsid w:val="00F2575F"/>
    <w:rsid w:val="00F259E0"/>
    <w:rsid w:val="00F25A43"/>
    <w:rsid w:val="00F26192"/>
    <w:rsid w:val="00F2637D"/>
    <w:rsid w:val="00F26529"/>
    <w:rsid w:val="00F2655E"/>
    <w:rsid w:val="00F26579"/>
    <w:rsid w:val="00F2680B"/>
    <w:rsid w:val="00F2684B"/>
    <w:rsid w:val="00F2690D"/>
    <w:rsid w:val="00F26A84"/>
    <w:rsid w:val="00F26C11"/>
    <w:rsid w:val="00F26CC5"/>
    <w:rsid w:val="00F27095"/>
    <w:rsid w:val="00F2711D"/>
    <w:rsid w:val="00F271DF"/>
    <w:rsid w:val="00F271FF"/>
    <w:rsid w:val="00F27223"/>
    <w:rsid w:val="00F27565"/>
    <w:rsid w:val="00F2774F"/>
    <w:rsid w:val="00F277D7"/>
    <w:rsid w:val="00F27AC6"/>
    <w:rsid w:val="00F27B4F"/>
    <w:rsid w:val="00F27CDC"/>
    <w:rsid w:val="00F30302"/>
    <w:rsid w:val="00F304A4"/>
    <w:rsid w:val="00F3053D"/>
    <w:rsid w:val="00F310D4"/>
    <w:rsid w:val="00F311A5"/>
    <w:rsid w:val="00F317CA"/>
    <w:rsid w:val="00F31AD8"/>
    <w:rsid w:val="00F31C11"/>
    <w:rsid w:val="00F31D09"/>
    <w:rsid w:val="00F31D5A"/>
    <w:rsid w:val="00F31D66"/>
    <w:rsid w:val="00F3210F"/>
    <w:rsid w:val="00F321DC"/>
    <w:rsid w:val="00F3230F"/>
    <w:rsid w:val="00F32420"/>
    <w:rsid w:val="00F325CC"/>
    <w:rsid w:val="00F3275F"/>
    <w:rsid w:val="00F32940"/>
    <w:rsid w:val="00F32AFA"/>
    <w:rsid w:val="00F3367A"/>
    <w:rsid w:val="00F33975"/>
    <w:rsid w:val="00F33D24"/>
    <w:rsid w:val="00F33DE9"/>
    <w:rsid w:val="00F33E43"/>
    <w:rsid w:val="00F3419E"/>
    <w:rsid w:val="00F342B7"/>
    <w:rsid w:val="00F34949"/>
    <w:rsid w:val="00F34CAD"/>
    <w:rsid w:val="00F34CB6"/>
    <w:rsid w:val="00F3557C"/>
    <w:rsid w:val="00F356E7"/>
    <w:rsid w:val="00F35856"/>
    <w:rsid w:val="00F35BBE"/>
    <w:rsid w:val="00F35D95"/>
    <w:rsid w:val="00F35E6D"/>
    <w:rsid w:val="00F35F2D"/>
    <w:rsid w:val="00F3619A"/>
    <w:rsid w:val="00F36C7F"/>
    <w:rsid w:val="00F36F24"/>
    <w:rsid w:val="00F36F40"/>
    <w:rsid w:val="00F36F85"/>
    <w:rsid w:val="00F36FF3"/>
    <w:rsid w:val="00F37557"/>
    <w:rsid w:val="00F37806"/>
    <w:rsid w:val="00F37A43"/>
    <w:rsid w:val="00F37A8C"/>
    <w:rsid w:val="00F37DAF"/>
    <w:rsid w:val="00F37EE7"/>
    <w:rsid w:val="00F409E2"/>
    <w:rsid w:val="00F40AAA"/>
    <w:rsid w:val="00F40BA7"/>
    <w:rsid w:val="00F40F9D"/>
    <w:rsid w:val="00F415E9"/>
    <w:rsid w:val="00F416CA"/>
    <w:rsid w:val="00F41ACD"/>
    <w:rsid w:val="00F41CC2"/>
    <w:rsid w:val="00F41F76"/>
    <w:rsid w:val="00F42506"/>
    <w:rsid w:val="00F42854"/>
    <w:rsid w:val="00F42AEB"/>
    <w:rsid w:val="00F4302A"/>
    <w:rsid w:val="00F4336E"/>
    <w:rsid w:val="00F4338F"/>
    <w:rsid w:val="00F433F2"/>
    <w:rsid w:val="00F43649"/>
    <w:rsid w:val="00F437C8"/>
    <w:rsid w:val="00F4385D"/>
    <w:rsid w:val="00F44372"/>
    <w:rsid w:val="00F44561"/>
    <w:rsid w:val="00F44668"/>
    <w:rsid w:val="00F44768"/>
    <w:rsid w:val="00F44D42"/>
    <w:rsid w:val="00F44D5A"/>
    <w:rsid w:val="00F44DDE"/>
    <w:rsid w:val="00F450FC"/>
    <w:rsid w:val="00F4511F"/>
    <w:rsid w:val="00F4558C"/>
    <w:rsid w:val="00F45626"/>
    <w:rsid w:val="00F45969"/>
    <w:rsid w:val="00F45E5D"/>
    <w:rsid w:val="00F45FF6"/>
    <w:rsid w:val="00F46CB6"/>
    <w:rsid w:val="00F46D02"/>
    <w:rsid w:val="00F46F71"/>
    <w:rsid w:val="00F4756D"/>
    <w:rsid w:val="00F47BAD"/>
    <w:rsid w:val="00F47BFE"/>
    <w:rsid w:val="00F47DE8"/>
    <w:rsid w:val="00F5048A"/>
    <w:rsid w:val="00F50518"/>
    <w:rsid w:val="00F5086C"/>
    <w:rsid w:val="00F50A06"/>
    <w:rsid w:val="00F50ED5"/>
    <w:rsid w:val="00F51416"/>
    <w:rsid w:val="00F51440"/>
    <w:rsid w:val="00F51ABB"/>
    <w:rsid w:val="00F51C82"/>
    <w:rsid w:val="00F522ED"/>
    <w:rsid w:val="00F52762"/>
    <w:rsid w:val="00F5298A"/>
    <w:rsid w:val="00F52A6C"/>
    <w:rsid w:val="00F52A7E"/>
    <w:rsid w:val="00F52AE1"/>
    <w:rsid w:val="00F52FCF"/>
    <w:rsid w:val="00F5304D"/>
    <w:rsid w:val="00F53353"/>
    <w:rsid w:val="00F536AE"/>
    <w:rsid w:val="00F538D4"/>
    <w:rsid w:val="00F53B95"/>
    <w:rsid w:val="00F5414C"/>
    <w:rsid w:val="00F542C1"/>
    <w:rsid w:val="00F54392"/>
    <w:rsid w:val="00F5489E"/>
    <w:rsid w:val="00F5499A"/>
    <w:rsid w:val="00F550E3"/>
    <w:rsid w:val="00F551BC"/>
    <w:rsid w:val="00F55514"/>
    <w:rsid w:val="00F55BB8"/>
    <w:rsid w:val="00F55C48"/>
    <w:rsid w:val="00F55D9F"/>
    <w:rsid w:val="00F55E73"/>
    <w:rsid w:val="00F55EDA"/>
    <w:rsid w:val="00F5680D"/>
    <w:rsid w:val="00F56813"/>
    <w:rsid w:val="00F5689D"/>
    <w:rsid w:val="00F56960"/>
    <w:rsid w:val="00F56BB5"/>
    <w:rsid w:val="00F56C80"/>
    <w:rsid w:val="00F571BD"/>
    <w:rsid w:val="00F571DB"/>
    <w:rsid w:val="00F57312"/>
    <w:rsid w:val="00F57712"/>
    <w:rsid w:val="00F57803"/>
    <w:rsid w:val="00F579B4"/>
    <w:rsid w:val="00F57A95"/>
    <w:rsid w:val="00F57AF9"/>
    <w:rsid w:val="00F60092"/>
    <w:rsid w:val="00F60096"/>
    <w:rsid w:val="00F60471"/>
    <w:rsid w:val="00F60635"/>
    <w:rsid w:val="00F60B37"/>
    <w:rsid w:val="00F615AB"/>
    <w:rsid w:val="00F618A3"/>
    <w:rsid w:val="00F61B68"/>
    <w:rsid w:val="00F61C18"/>
    <w:rsid w:val="00F62270"/>
    <w:rsid w:val="00F625A8"/>
    <w:rsid w:val="00F62673"/>
    <w:rsid w:val="00F62C52"/>
    <w:rsid w:val="00F632A8"/>
    <w:rsid w:val="00F6351C"/>
    <w:rsid w:val="00F637B4"/>
    <w:rsid w:val="00F63AD9"/>
    <w:rsid w:val="00F63B47"/>
    <w:rsid w:val="00F63E3B"/>
    <w:rsid w:val="00F6404B"/>
    <w:rsid w:val="00F648CF"/>
    <w:rsid w:val="00F64CFF"/>
    <w:rsid w:val="00F651E2"/>
    <w:rsid w:val="00F65314"/>
    <w:rsid w:val="00F65751"/>
    <w:rsid w:val="00F6587F"/>
    <w:rsid w:val="00F65D98"/>
    <w:rsid w:val="00F65F4B"/>
    <w:rsid w:val="00F660A6"/>
    <w:rsid w:val="00F661B2"/>
    <w:rsid w:val="00F6632A"/>
    <w:rsid w:val="00F66397"/>
    <w:rsid w:val="00F668FE"/>
    <w:rsid w:val="00F669E3"/>
    <w:rsid w:val="00F66A59"/>
    <w:rsid w:val="00F66BB6"/>
    <w:rsid w:val="00F66C28"/>
    <w:rsid w:val="00F66D8E"/>
    <w:rsid w:val="00F67178"/>
    <w:rsid w:val="00F675C9"/>
    <w:rsid w:val="00F67662"/>
    <w:rsid w:val="00F67A69"/>
    <w:rsid w:val="00F67B2F"/>
    <w:rsid w:val="00F67E5E"/>
    <w:rsid w:val="00F67FA3"/>
    <w:rsid w:val="00F700EA"/>
    <w:rsid w:val="00F70119"/>
    <w:rsid w:val="00F7056E"/>
    <w:rsid w:val="00F707A5"/>
    <w:rsid w:val="00F70A29"/>
    <w:rsid w:val="00F70BFF"/>
    <w:rsid w:val="00F70C9D"/>
    <w:rsid w:val="00F71260"/>
    <w:rsid w:val="00F712FF"/>
    <w:rsid w:val="00F71356"/>
    <w:rsid w:val="00F7176D"/>
    <w:rsid w:val="00F7183A"/>
    <w:rsid w:val="00F720AF"/>
    <w:rsid w:val="00F72124"/>
    <w:rsid w:val="00F723D2"/>
    <w:rsid w:val="00F72558"/>
    <w:rsid w:val="00F729FD"/>
    <w:rsid w:val="00F72A64"/>
    <w:rsid w:val="00F72DA9"/>
    <w:rsid w:val="00F72EA4"/>
    <w:rsid w:val="00F72EC2"/>
    <w:rsid w:val="00F72EDA"/>
    <w:rsid w:val="00F7316A"/>
    <w:rsid w:val="00F731A5"/>
    <w:rsid w:val="00F73271"/>
    <w:rsid w:val="00F73473"/>
    <w:rsid w:val="00F739FC"/>
    <w:rsid w:val="00F73B0C"/>
    <w:rsid w:val="00F73C54"/>
    <w:rsid w:val="00F73CA5"/>
    <w:rsid w:val="00F73E08"/>
    <w:rsid w:val="00F74662"/>
    <w:rsid w:val="00F74810"/>
    <w:rsid w:val="00F74920"/>
    <w:rsid w:val="00F74BE5"/>
    <w:rsid w:val="00F74CD9"/>
    <w:rsid w:val="00F75095"/>
    <w:rsid w:val="00F7525F"/>
    <w:rsid w:val="00F75701"/>
    <w:rsid w:val="00F759A0"/>
    <w:rsid w:val="00F759FC"/>
    <w:rsid w:val="00F75CBD"/>
    <w:rsid w:val="00F75D04"/>
    <w:rsid w:val="00F7609A"/>
    <w:rsid w:val="00F7675B"/>
    <w:rsid w:val="00F767F7"/>
    <w:rsid w:val="00F76E55"/>
    <w:rsid w:val="00F77591"/>
    <w:rsid w:val="00F77687"/>
    <w:rsid w:val="00F77A38"/>
    <w:rsid w:val="00F77AD1"/>
    <w:rsid w:val="00F77C23"/>
    <w:rsid w:val="00F80065"/>
    <w:rsid w:val="00F8007E"/>
    <w:rsid w:val="00F80144"/>
    <w:rsid w:val="00F8031E"/>
    <w:rsid w:val="00F805CF"/>
    <w:rsid w:val="00F809D8"/>
    <w:rsid w:val="00F80A7B"/>
    <w:rsid w:val="00F80A97"/>
    <w:rsid w:val="00F80B8A"/>
    <w:rsid w:val="00F80E5D"/>
    <w:rsid w:val="00F80E74"/>
    <w:rsid w:val="00F80EC0"/>
    <w:rsid w:val="00F810D9"/>
    <w:rsid w:val="00F8120F"/>
    <w:rsid w:val="00F812B6"/>
    <w:rsid w:val="00F816CF"/>
    <w:rsid w:val="00F816D5"/>
    <w:rsid w:val="00F8191A"/>
    <w:rsid w:val="00F819C2"/>
    <w:rsid w:val="00F819CB"/>
    <w:rsid w:val="00F81BBA"/>
    <w:rsid w:val="00F81E61"/>
    <w:rsid w:val="00F81E78"/>
    <w:rsid w:val="00F81F41"/>
    <w:rsid w:val="00F8201F"/>
    <w:rsid w:val="00F82187"/>
    <w:rsid w:val="00F82298"/>
    <w:rsid w:val="00F822E4"/>
    <w:rsid w:val="00F8239D"/>
    <w:rsid w:val="00F8252F"/>
    <w:rsid w:val="00F82A7A"/>
    <w:rsid w:val="00F830E0"/>
    <w:rsid w:val="00F836BC"/>
    <w:rsid w:val="00F83916"/>
    <w:rsid w:val="00F839A8"/>
    <w:rsid w:val="00F8406B"/>
    <w:rsid w:val="00F845D2"/>
    <w:rsid w:val="00F8468E"/>
    <w:rsid w:val="00F8477A"/>
    <w:rsid w:val="00F84A3A"/>
    <w:rsid w:val="00F84CB8"/>
    <w:rsid w:val="00F85150"/>
    <w:rsid w:val="00F851CE"/>
    <w:rsid w:val="00F858D7"/>
    <w:rsid w:val="00F85B20"/>
    <w:rsid w:val="00F85D99"/>
    <w:rsid w:val="00F860ED"/>
    <w:rsid w:val="00F8676E"/>
    <w:rsid w:val="00F86B64"/>
    <w:rsid w:val="00F86CCC"/>
    <w:rsid w:val="00F86D87"/>
    <w:rsid w:val="00F86EBC"/>
    <w:rsid w:val="00F8713C"/>
    <w:rsid w:val="00F871A9"/>
    <w:rsid w:val="00F8737C"/>
    <w:rsid w:val="00F876D1"/>
    <w:rsid w:val="00F87CA4"/>
    <w:rsid w:val="00F901A7"/>
    <w:rsid w:val="00F901CA"/>
    <w:rsid w:val="00F90307"/>
    <w:rsid w:val="00F9063D"/>
    <w:rsid w:val="00F90B78"/>
    <w:rsid w:val="00F90BB3"/>
    <w:rsid w:val="00F90EC2"/>
    <w:rsid w:val="00F91219"/>
    <w:rsid w:val="00F9154C"/>
    <w:rsid w:val="00F91A6A"/>
    <w:rsid w:val="00F92153"/>
    <w:rsid w:val="00F92444"/>
    <w:rsid w:val="00F926B0"/>
    <w:rsid w:val="00F92965"/>
    <w:rsid w:val="00F929CB"/>
    <w:rsid w:val="00F92C1E"/>
    <w:rsid w:val="00F93041"/>
    <w:rsid w:val="00F9318C"/>
    <w:rsid w:val="00F932B1"/>
    <w:rsid w:val="00F9393E"/>
    <w:rsid w:val="00F93A26"/>
    <w:rsid w:val="00F93B0B"/>
    <w:rsid w:val="00F93EF7"/>
    <w:rsid w:val="00F941E7"/>
    <w:rsid w:val="00F94404"/>
    <w:rsid w:val="00F947D5"/>
    <w:rsid w:val="00F94AF3"/>
    <w:rsid w:val="00F94FE1"/>
    <w:rsid w:val="00F95089"/>
    <w:rsid w:val="00F95093"/>
    <w:rsid w:val="00F952E4"/>
    <w:rsid w:val="00F9577A"/>
    <w:rsid w:val="00F9579D"/>
    <w:rsid w:val="00F958FF"/>
    <w:rsid w:val="00F95B4A"/>
    <w:rsid w:val="00F96342"/>
    <w:rsid w:val="00F96431"/>
    <w:rsid w:val="00F96556"/>
    <w:rsid w:val="00F9655A"/>
    <w:rsid w:val="00F965FE"/>
    <w:rsid w:val="00F967AF"/>
    <w:rsid w:val="00F96A3E"/>
    <w:rsid w:val="00F96D9F"/>
    <w:rsid w:val="00F96F3B"/>
    <w:rsid w:val="00F96FD0"/>
    <w:rsid w:val="00F971ED"/>
    <w:rsid w:val="00F976C1"/>
    <w:rsid w:val="00F97A78"/>
    <w:rsid w:val="00F97AA0"/>
    <w:rsid w:val="00FA0253"/>
    <w:rsid w:val="00FA0821"/>
    <w:rsid w:val="00FA0B20"/>
    <w:rsid w:val="00FA0C42"/>
    <w:rsid w:val="00FA0C6E"/>
    <w:rsid w:val="00FA0D92"/>
    <w:rsid w:val="00FA0EE5"/>
    <w:rsid w:val="00FA107A"/>
    <w:rsid w:val="00FA1385"/>
    <w:rsid w:val="00FA174B"/>
    <w:rsid w:val="00FA183D"/>
    <w:rsid w:val="00FA24E7"/>
    <w:rsid w:val="00FA2609"/>
    <w:rsid w:val="00FA2B4F"/>
    <w:rsid w:val="00FA2C56"/>
    <w:rsid w:val="00FA2D5E"/>
    <w:rsid w:val="00FA2D92"/>
    <w:rsid w:val="00FA2FE7"/>
    <w:rsid w:val="00FA307C"/>
    <w:rsid w:val="00FA3802"/>
    <w:rsid w:val="00FA3D34"/>
    <w:rsid w:val="00FA4A06"/>
    <w:rsid w:val="00FA4AEC"/>
    <w:rsid w:val="00FA4BBC"/>
    <w:rsid w:val="00FA4D21"/>
    <w:rsid w:val="00FA4DC3"/>
    <w:rsid w:val="00FA5219"/>
    <w:rsid w:val="00FA53C2"/>
    <w:rsid w:val="00FA5532"/>
    <w:rsid w:val="00FA5621"/>
    <w:rsid w:val="00FA563E"/>
    <w:rsid w:val="00FA5EE6"/>
    <w:rsid w:val="00FA5FCB"/>
    <w:rsid w:val="00FA656B"/>
    <w:rsid w:val="00FA6765"/>
    <w:rsid w:val="00FA67F7"/>
    <w:rsid w:val="00FA6845"/>
    <w:rsid w:val="00FA6B73"/>
    <w:rsid w:val="00FA6F29"/>
    <w:rsid w:val="00FA6F40"/>
    <w:rsid w:val="00FA71E0"/>
    <w:rsid w:val="00FA7531"/>
    <w:rsid w:val="00FA7750"/>
    <w:rsid w:val="00FA78F2"/>
    <w:rsid w:val="00FA7956"/>
    <w:rsid w:val="00FA79B2"/>
    <w:rsid w:val="00FA7A35"/>
    <w:rsid w:val="00FA7EC4"/>
    <w:rsid w:val="00FB024B"/>
    <w:rsid w:val="00FB05F3"/>
    <w:rsid w:val="00FB0692"/>
    <w:rsid w:val="00FB0824"/>
    <w:rsid w:val="00FB0D88"/>
    <w:rsid w:val="00FB113D"/>
    <w:rsid w:val="00FB124F"/>
    <w:rsid w:val="00FB131E"/>
    <w:rsid w:val="00FB17B8"/>
    <w:rsid w:val="00FB1C83"/>
    <w:rsid w:val="00FB1EE5"/>
    <w:rsid w:val="00FB1F08"/>
    <w:rsid w:val="00FB2128"/>
    <w:rsid w:val="00FB22F2"/>
    <w:rsid w:val="00FB22FF"/>
    <w:rsid w:val="00FB263B"/>
    <w:rsid w:val="00FB2FCB"/>
    <w:rsid w:val="00FB302F"/>
    <w:rsid w:val="00FB35E4"/>
    <w:rsid w:val="00FB3A03"/>
    <w:rsid w:val="00FB3A62"/>
    <w:rsid w:val="00FB3EBC"/>
    <w:rsid w:val="00FB3F66"/>
    <w:rsid w:val="00FB434F"/>
    <w:rsid w:val="00FB43EE"/>
    <w:rsid w:val="00FB457E"/>
    <w:rsid w:val="00FB460C"/>
    <w:rsid w:val="00FB4789"/>
    <w:rsid w:val="00FB4C9C"/>
    <w:rsid w:val="00FB4DD1"/>
    <w:rsid w:val="00FB4F56"/>
    <w:rsid w:val="00FB525A"/>
    <w:rsid w:val="00FB5389"/>
    <w:rsid w:val="00FB5484"/>
    <w:rsid w:val="00FB57E0"/>
    <w:rsid w:val="00FB609B"/>
    <w:rsid w:val="00FB6169"/>
    <w:rsid w:val="00FB6207"/>
    <w:rsid w:val="00FB63AD"/>
    <w:rsid w:val="00FB66A6"/>
    <w:rsid w:val="00FB66B5"/>
    <w:rsid w:val="00FB6758"/>
    <w:rsid w:val="00FB67FC"/>
    <w:rsid w:val="00FB70D8"/>
    <w:rsid w:val="00FB7492"/>
    <w:rsid w:val="00FB749C"/>
    <w:rsid w:val="00FB767B"/>
    <w:rsid w:val="00FB7A23"/>
    <w:rsid w:val="00FB7C55"/>
    <w:rsid w:val="00FB7DC3"/>
    <w:rsid w:val="00FC05BB"/>
    <w:rsid w:val="00FC0815"/>
    <w:rsid w:val="00FC0854"/>
    <w:rsid w:val="00FC093F"/>
    <w:rsid w:val="00FC0C23"/>
    <w:rsid w:val="00FC0D00"/>
    <w:rsid w:val="00FC0F7A"/>
    <w:rsid w:val="00FC1074"/>
    <w:rsid w:val="00FC1692"/>
    <w:rsid w:val="00FC170A"/>
    <w:rsid w:val="00FC1733"/>
    <w:rsid w:val="00FC1884"/>
    <w:rsid w:val="00FC1903"/>
    <w:rsid w:val="00FC190A"/>
    <w:rsid w:val="00FC195B"/>
    <w:rsid w:val="00FC2267"/>
    <w:rsid w:val="00FC2792"/>
    <w:rsid w:val="00FC29C4"/>
    <w:rsid w:val="00FC29F9"/>
    <w:rsid w:val="00FC2CC1"/>
    <w:rsid w:val="00FC3046"/>
    <w:rsid w:val="00FC313F"/>
    <w:rsid w:val="00FC344A"/>
    <w:rsid w:val="00FC371D"/>
    <w:rsid w:val="00FC396A"/>
    <w:rsid w:val="00FC39AE"/>
    <w:rsid w:val="00FC3CE9"/>
    <w:rsid w:val="00FC3D3C"/>
    <w:rsid w:val="00FC3D80"/>
    <w:rsid w:val="00FC41F9"/>
    <w:rsid w:val="00FC4B35"/>
    <w:rsid w:val="00FC4B98"/>
    <w:rsid w:val="00FC4D88"/>
    <w:rsid w:val="00FC4DE7"/>
    <w:rsid w:val="00FC5205"/>
    <w:rsid w:val="00FC58C8"/>
    <w:rsid w:val="00FC58ED"/>
    <w:rsid w:val="00FC5F0B"/>
    <w:rsid w:val="00FC5FBD"/>
    <w:rsid w:val="00FC65F5"/>
    <w:rsid w:val="00FC6833"/>
    <w:rsid w:val="00FC68DB"/>
    <w:rsid w:val="00FC6B22"/>
    <w:rsid w:val="00FC6B48"/>
    <w:rsid w:val="00FC6E01"/>
    <w:rsid w:val="00FC6E27"/>
    <w:rsid w:val="00FC6EBF"/>
    <w:rsid w:val="00FC71FB"/>
    <w:rsid w:val="00FC7F2E"/>
    <w:rsid w:val="00FC7F65"/>
    <w:rsid w:val="00FC7FFA"/>
    <w:rsid w:val="00FD0EEA"/>
    <w:rsid w:val="00FD1011"/>
    <w:rsid w:val="00FD1236"/>
    <w:rsid w:val="00FD12B3"/>
    <w:rsid w:val="00FD13CE"/>
    <w:rsid w:val="00FD1969"/>
    <w:rsid w:val="00FD19FA"/>
    <w:rsid w:val="00FD1DB6"/>
    <w:rsid w:val="00FD1FD4"/>
    <w:rsid w:val="00FD2100"/>
    <w:rsid w:val="00FD2488"/>
    <w:rsid w:val="00FD24A4"/>
    <w:rsid w:val="00FD273F"/>
    <w:rsid w:val="00FD2A3D"/>
    <w:rsid w:val="00FD2AB2"/>
    <w:rsid w:val="00FD2C4E"/>
    <w:rsid w:val="00FD35BE"/>
    <w:rsid w:val="00FD368D"/>
    <w:rsid w:val="00FD3894"/>
    <w:rsid w:val="00FD38F2"/>
    <w:rsid w:val="00FD3A92"/>
    <w:rsid w:val="00FD3E4A"/>
    <w:rsid w:val="00FD3E9F"/>
    <w:rsid w:val="00FD4260"/>
    <w:rsid w:val="00FD436C"/>
    <w:rsid w:val="00FD446D"/>
    <w:rsid w:val="00FD454B"/>
    <w:rsid w:val="00FD45BC"/>
    <w:rsid w:val="00FD45F6"/>
    <w:rsid w:val="00FD4DC6"/>
    <w:rsid w:val="00FD4F2C"/>
    <w:rsid w:val="00FD5018"/>
    <w:rsid w:val="00FD5030"/>
    <w:rsid w:val="00FD50C1"/>
    <w:rsid w:val="00FD5362"/>
    <w:rsid w:val="00FD5842"/>
    <w:rsid w:val="00FD5A54"/>
    <w:rsid w:val="00FD5ED0"/>
    <w:rsid w:val="00FD61CB"/>
    <w:rsid w:val="00FD6394"/>
    <w:rsid w:val="00FD6984"/>
    <w:rsid w:val="00FD6994"/>
    <w:rsid w:val="00FD6B63"/>
    <w:rsid w:val="00FD6C3E"/>
    <w:rsid w:val="00FD6DB0"/>
    <w:rsid w:val="00FD6E76"/>
    <w:rsid w:val="00FD6FD6"/>
    <w:rsid w:val="00FD70D0"/>
    <w:rsid w:val="00FD732D"/>
    <w:rsid w:val="00FD764F"/>
    <w:rsid w:val="00FD7DFF"/>
    <w:rsid w:val="00FE01C5"/>
    <w:rsid w:val="00FE08FE"/>
    <w:rsid w:val="00FE0B29"/>
    <w:rsid w:val="00FE0E6C"/>
    <w:rsid w:val="00FE1099"/>
    <w:rsid w:val="00FE1374"/>
    <w:rsid w:val="00FE15EB"/>
    <w:rsid w:val="00FE1947"/>
    <w:rsid w:val="00FE1AFC"/>
    <w:rsid w:val="00FE1CDC"/>
    <w:rsid w:val="00FE20B3"/>
    <w:rsid w:val="00FE2308"/>
    <w:rsid w:val="00FE284C"/>
    <w:rsid w:val="00FE289A"/>
    <w:rsid w:val="00FE3070"/>
    <w:rsid w:val="00FE3279"/>
    <w:rsid w:val="00FE3374"/>
    <w:rsid w:val="00FE361E"/>
    <w:rsid w:val="00FE37D7"/>
    <w:rsid w:val="00FE38E8"/>
    <w:rsid w:val="00FE392A"/>
    <w:rsid w:val="00FE3F16"/>
    <w:rsid w:val="00FE40B3"/>
    <w:rsid w:val="00FE42A6"/>
    <w:rsid w:val="00FE443D"/>
    <w:rsid w:val="00FE45A6"/>
    <w:rsid w:val="00FE46BC"/>
    <w:rsid w:val="00FE4860"/>
    <w:rsid w:val="00FE5064"/>
    <w:rsid w:val="00FE5832"/>
    <w:rsid w:val="00FE5B31"/>
    <w:rsid w:val="00FE5C96"/>
    <w:rsid w:val="00FE638A"/>
    <w:rsid w:val="00FE6445"/>
    <w:rsid w:val="00FE64F6"/>
    <w:rsid w:val="00FE68CC"/>
    <w:rsid w:val="00FE6991"/>
    <w:rsid w:val="00FE6A21"/>
    <w:rsid w:val="00FE6B79"/>
    <w:rsid w:val="00FE70C3"/>
    <w:rsid w:val="00FE70C8"/>
    <w:rsid w:val="00FE76D9"/>
    <w:rsid w:val="00FE7C2F"/>
    <w:rsid w:val="00FE7DC3"/>
    <w:rsid w:val="00FE7EDC"/>
    <w:rsid w:val="00FF06FB"/>
    <w:rsid w:val="00FF0B29"/>
    <w:rsid w:val="00FF0BC2"/>
    <w:rsid w:val="00FF0CFF"/>
    <w:rsid w:val="00FF0E18"/>
    <w:rsid w:val="00FF100E"/>
    <w:rsid w:val="00FF10B8"/>
    <w:rsid w:val="00FF1347"/>
    <w:rsid w:val="00FF17AB"/>
    <w:rsid w:val="00FF1A8B"/>
    <w:rsid w:val="00FF1FEB"/>
    <w:rsid w:val="00FF28CC"/>
    <w:rsid w:val="00FF28F8"/>
    <w:rsid w:val="00FF2AD9"/>
    <w:rsid w:val="00FF2B2D"/>
    <w:rsid w:val="00FF2C22"/>
    <w:rsid w:val="00FF2CAD"/>
    <w:rsid w:val="00FF2FC7"/>
    <w:rsid w:val="00FF30BB"/>
    <w:rsid w:val="00FF3122"/>
    <w:rsid w:val="00FF359F"/>
    <w:rsid w:val="00FF3793"/>
    <w:rsid w:val="00FF37BE"/>
    <w:rsid w:val="00FF3962"/>
    <w:rsid w:val="00FF3B08"/>
    <w:rsid w:val="00FF3DCF"/>
    <w:rsid w:val="00FF3EE9"/>
    <w:rsid w:val="00FF40AF"/>
    <w:rsid w:val="00FF417E"/>
    <w:rsid w:val="00FF470D"/>
    <w:rsid w:val="00FF4880"/>
    <w:rsid w:val="00FF48B0"/>
    <w:rsid w:val="00FF492C"/>
    <w:rsid w:val="00FF4992"/>
    <w:rsid w:val="00FF4A21"/>
    <w:rsid w:val="00FF4EF9"/>
    <w:rsid w:val="00FF4FA9"/>
    <w:rsid w:val="00FF503A"/>
    <w:rsid w:val="00FF54F3"/>
    <w:rsid w:val="00FF55D4"/>
    <w:rsid w:val="00FF5AA3"/>
    <w:rsid w:val="00FF5AD8"/>
    <w:rsid w:val="00FF5C9F"/>
    <w:rsid w:val="00FF5EEE"/>
    <w:rsid w:val="00FF6037"/>
    <w:rsid w:val="00FF633B"/>
    <w:rsid w:val="00FF70C9"/>
    <w:rsid w:val="00FF73E1"/>
    <w:rsid w:val="00FF75AF"/>
    <w:rsid w:val="00FF7685"/>
    <w:rsid w:val="00FF76C7"/>
    <w:rsid w:val="00FF7DFE"/>
    <w:rsid w:val="031B9671"/>
    <w:rsid w:val="032B84BD"/>
    <w:rsid w:val="0AE93359"/>
    <w:rsid w:val="15E94EA1"/>
    <w:rsid w:val="19D6CD08"/>
    <w:rsid w:val="1A3F11B2"/>
    <w:rsid w:val="1AC17E5A"/>
    <w:rsid w:val="24576EC5"/>
    <w:rsid w:val="346B0508"/>
    <w:rsid w:val="3FA79023"/>
    <w:rsid w:val="48A34077"/>
    <w:rsid w:val="498E5468"/>
    <w:rsid w:val="4D9B2B4C"/>
    <w:rsid w:val="4F3B5720"/>
    <w:rsid w:val="503E64FE"/>
    <w:rsid w:val="56015437"/>
    <w:rsid w:val="56661154"/>
    <w:rsid w:val="58213C66"/>
    <w:rsid w:val="5F59A0D2"/>
    <w:rsid w:val="66B49B18"/>
    <w:rsid w:val="66FE1DC0"/>
    <w:rsid w:val="70100594"/>
    <w:rsid w:val="7064748C"/>
    <w:rsid w:val="715C3CB5"/>
    <w:rsid w:val="7639749C"/>
    <w:rsid w:val="78BFB944"/>
    <w:rsid w:val="7E88466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516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c,Not B.."/>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c Char"/>
    <w:link w:val="Caption"/>
    <w:uiPriority w:val="99"/>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PHE Table Grid"/>
    <w:basedOn w:val="TableNormal"/>
    <w:uiPriority w:val="39"/>
    <w:rsid w:val="004B3DDB"/>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5A5162"/>
    <w:pPr>
      <w:numPr>
        <w:ilvl w:val="1"/>
        <w:numId w:val="7"/>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5A516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paragraph" w:customStyle="1" w:styleId="TabFigNotes">
    <w:name w:val="TabFigNotes"/>
    <w:basedOn w:val="Normal"/>
    <w:qFormat/>
    <w:rsid w:val="004F4622"/>
    <w:pPr>
      <w:spacing w:after="240"/>
      <w:contextualSpacing/>
      <w:jc w:val="left"/>
    </w:pPr>
    <w:rPr>
      <w:rFonts w:asciiTheme="minorHAnsi" w:eastAsiaTheme="minorHAnsi" w:hAnsiTheme="minorHAnsi" w:cstheme="minorBidi"/>
      <w:sz w:val="16"/>
      <w:szCs w:val="22"/>
      <w:lang w:eastAsia="en-US"/>
    </w:rPr>
  </w:style>
  <w:style w:type="character" w:styleId="FootnoteReference">
    <w:name w:val="footnote reference"/>
    <w:basedOn w:val="DefaultParagraphFont"/>
    <w:unhideWhenUsed/>
    <w:rsid w:val="00704C1F"/>
    <w:rPr>
      <w:vertAlign w:val="superscript"/>
    </w:rPr>
  </w:style>
  <w:style w:type="character" w:styleId="UnresolvedMention">
    <w:name w:val="Unresolved Mention"/>
    <w:basedOn w:val="DefaultParagraphFont"/>
    <w:uiPriority w:val="99"/>
    <w:semiHidden/>
    <w:unhideWhenUsed/>
    <w:rsid w:val="00AA7D2D"/>
    <w:rPr>
      <w:color w:val="605E5C"/>
      <w:shd w:val="clear" w:color="auto" w:fill="E1DFDD"/>
    </w:rPr>
  </w:style>
  <w:style w:type="paragraph" w:styleId="FootnoteText">
    <w:name w:val="footnote text"/>
    <w:aliases w:val="Footnote Text Char1,Footnote Text Char Char,Footnote Text Char2,Footnote Text Char Char1"/>
    <w:basedOn w:val="Normal"/>
    <w:link w:val="FootnoteTextChar"/>
    <w:unhideWhenUsed/>
    <w:rsid w:val="0028495A"/>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28495A"/>
    <w:rPr>
      <w:rFonts w:ascii="Calibri" w:hAnsi="Calibri" w:cs="Arial"/>
    </w:rPr>
  </w:style>
  <w:style w:type="table" w:customStyle="1" w:styleId="PBACTableStyle">
    <w:name w:val="PBAC Table Style"/>
    <w:basedOn w:val="TableGrid1"/>
    <w:uiPriority w:val="99"/>
    <w:rsid w:val="008611C1"/>
    <w:pPr>
      <w:widowControl w:val="0"/>
      <w:spacing w:before="120"/>
      <w:contextualSpacing/>
      <w:jc w:val="center"/>
    </w:pPr>
    <w:rPr>
      <w:rFonts w:ascii="Arial Narrow" w:eastAsiaTheme="minorHAnsi" w:hAnsi="Arial Narrow" w:cstheme="minorBidi"/>
      <w:color w:val="000000" w:themeColor="text1"/>
      <w:lang w:val="en-US" w:eastAsia="ja-JP"/>
    </w:rPr>
    <w:tblPr/>
    <w:tblStylePr w:type="firstRow">
      <w:pPr>
        <w:wordWrap/>
        <w:spacing w:beforeLines="0" w:before="0" w:beforeAutospacing="0" w:afterLines="0" w:after="0" w:afterAutospacing="0" w:line="240" w:lineRule="auto"/>
        <w:ind w:leftChars="0" w:left="0" w:rightChars="0" w:right="57" w:firstLineChars="0" w:firstLine="0"/>
        <w:jc w:val="center"/>
      </w:pPr>
      <w:rPr>
        <w:rFonts w:ascii="Yu Mincho" w:hAnsi="Yu Mincho"/>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Yu Mincho" w:hAnsi="Yu Mincho"/>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Yu Mincho" w:hAnsi="Yu Mincho"/>
        <w:i/>
        <w:iCs/>
        <w:sz w:val="20"/>
      </w:rPr>
    </w:tblStylePr>
  </w:style>
  <w:style w:type="table" w:styleId="TableGrid1">
    <w:name w:val="Table Grid 1"/>
    <w:basedOn w:val="TableNormal"/>
    <w:semiHidden/>
    <w:unhideWhenUsed/>
    <w:rsid w:val="008611C1"/>
    <w:pPr>
      <w:jc w:val="both"/>
    </w:pPr>
    <w:tblPr/>
    <w:tblStylePr w:type="lastRow">
      <w:rPr>
        <w:i/>
        <w:iCs/>
      </w:rPr>
    </w:tblStylePr>
    <w:tblStylePr w:type="lastCol">
      <w:rPr>
        <w:i/>
        <w:iCs/>
      </w:rPr>
    </w:tblStylePr>
  </w:style>
  <w:style w:type="table" w:customStyle="1" w:styleId="AZTable">
    <w:name w:val="AZ Table"/>
    <w:basedOn w:val="TableNormal"/>
    <w:uiPriority w:val="99"/>
    <w:rsid w:val="008B0552"/>
    <w:rPr>
      <w:rFonts w:ascii="Arial Narrow" w:eastAsiaTheme="minorHAnsi" w:hAnsi="Arial Narrow" w:cstheme="minorBidi"/>
      <w:szCs w:val="22"/>
      <w:lang w:eastAsia="en-US"/>
    </w:rPr>
    <w:tblPr/>
    <w:tblStylePr w:type="firstRow">
      <w:pPr>
        <w:jc w:val="left"/>
      </w:pPr>
      <w:rPr>
        <w:rFonts w:ascii="Yu Mincho" w:hAnsi="Yu Mincho"/>
        <w:b/>
        <w:sz w:val="22"/>
      </w:rPr>
    </w:tblStylePr>
  </w:style>
  <w:style w:type="paragraph" w:customStyle="1" w:styleId="TableText1">
    <w:name w:val="Table Text 1"/>
    <w:basedOn w:val="Normal"/>
    <w:qFormat/>
    <w:rsid w:val="00085ACE"/>
    <w:pPr>
      <w:spacing w:after="240"/>
      <w:jc w:val="left"/>
    </w:pPr>
    <w:rPr>
      <w:rFonts w:ascii="Arial Narrow" w:eastAsiaTheme="minorHAnsi" w:hAnsi="Arial Narrow" w:cstheme="minorBidi"/>
      <w:sz w:val="20"/>
      <w:szCs w:val="20"/>
      <w:lang w:eastAsia="en-US"/>
    </w:rPr>
  </w:style>
  <w:style w:type="paragraph" w:customStyle="1" w:styleId="TableFootnoteLetter">
    <w:name w:val="Table Footnote Letter"/>
    <w:basedOn w:val="Normal"/>
    <w:uiPriority w:val="13"/>
    <w:rsid w:val="00F65751"/>
    <w:pPr>
      <w:keepLines/>
      <w:numPr>
        <w:numId w:val="9"/>
      </w:numPr>
      <w:spacing w:before="40" w:after="40"/>
      <w:jc w:val="left"/>
    </w:pPr>
    <w:rPr>
      <w:rFonts w:ascii="Times New Roman" w:hAnsi="Times New Roman" w:cs="Times New Roman"/>
      <w:sz w:val="20"/>
      <w:szCs w:val="20"/>
      <w:lang w:val="en-US" w:eastAsia="en-US"/>
    </w:rPr>
  </w:style>
  <w:style w:type="paragraph" w:customStyle="1" w:styleId="TableHeading0">
    <w:name w:val="Table Heading"/>
    <w:basedOn w:val="TableText0"/>
    <w:link w:val="TableHeadingChar"/>
    <w:qFormat/>
    <w:rsid w:val="00CD1537"/>
    <w:pPr>
      <w:spacing w:before="20" w:after="20" w:line="276" w:lineRule="auto"/>
    </w:pPr>
    <w:rPr>
      <w:rFonts w:cs="Arial"/>
      <w:b/>
      <w:bCs w:val="0"/>
      <w:szCs w:val="20"/>
      <w:lang w:bidi="en-US"/>
    </w:rPr>
  </w:style>
  <w:style w:type="character" w:customStyle="1" w:styleId="TableHeadingChar">
    <w:name w:val="Table Heading Char"/>
    <w:link w:val="TableHeading0"/>
    <w:rsid w:val="00CD1537"/>
    <w:rPr>
      <w:rFonts w:ascii="Arial Narrow" w:eastAsiaTheme="majorEastAsia" w:hAnsi="Arial Narrow" w:cs="Arial"/>
      <w:b/>
      <w:lang w:bidi="en-US"/>
    </w:rPr>
  </w:style>
  <w:style w:type="paragraph" w:customStyle="1" w:styleId="TableCenter">
    <w:name w:val="Table Center"/>
    <w:basedOn w:val="Normal"/>
    <w:link w:val="TableCenterChar"/>
    <w:uiPriority w:val="12"/>
    <w:qFormat/>
    <w:rsid w:val="009D2061"/>
    <w:pPr>
      <w:spacing w:before="40" w:after="40"/>
      <w:jc w:val="center"/>
    </w:pPr>
    <w:rPr>
      <w:rFonts w:ascii="Times New Roman" w:hAnsi="Times New Roman" w:cs="Times New Roman"/>
      <w:sz w:val="20"/>
      <w:lang w:val="en-US" w:eastAsia="en-US"/>
    </w:rPr>
  </w:style>
  <w:style w:type="paragraph" w:customStyle="1" w:styleId="TableHead">
    <w:name w:val="Table Head"/>
    <w:basedOn w:val="Normal"/>
    <w:uiPriority w:val="11"/>
    <w:qFormat/>
    <w:rsid w:val="009D2061"/>
    <w:pPr>
      <w:spacing w:before="40" w:after="40"/>
      <w:jc w:val="center"/>
    </w:pPr>
    <w:rPr>
      <w:rFonts w:ascii="Times New Roman" w:hAnsi="Times New Roman" w:cs="Times New Roman"/>
      <w:b/>
      <w:sz w:val="20"/>
      <w:szCs w:val="48"/>
      <w:lang w:val="en-GB" w:eastAsia="en-US"/>
    </w:rPr>
  </w:style>
  <w:style w:type="paragraph" w:customStyle="1" w:styleId="TableLeft">
    <w:name w:val="Table Left"/>
    <w:basedOn w:val="Normal"/>
    <w:link w:val="TableLeftChar"/>
    <w:uiPriority w:val="12"/>
    <w:qFormat/>
    <w:rsid w:val="009D2061"/>
    <w:pPr>
      <w:spacing w:before="40" w:after="40" w:line="276" w:lineRule="auto"/>
      <w:jc w:val="left"/>
    </w:pPr>
    <w:rPr>
      <w:rFonts w:ascii="Times New Roman" w:hAnsi="Times New Roman"/>
      <w:bCs/>
      <w:kern w:val="32"/>
      <w:sz w:val="20"/>
      <w:lang w:val="en-GB" w:eastAsia="en-US"/>
    </w:rPr>
  </w:style>
  <w:style w:type="character" w:customStyle="1" w:styleId="TableLeftChar">
    <w:name w:val="Table Left Char"/>
    <w:basedOn w:val="DefaultParagraphFont"/>
    <w:link w:val="TableLeft"/>
    <w:uiPriority w:val="12"/>
    <w:rsid w:val="009D2061"/>
    <w:rPr>
      <w:rFonts w:cs="Arial"/>
      <w:bCs/>
      <w:kern w:val="32"/>
      <w:szCs w:val="24"/>
      <w:lang w:val="en-GB" w:eastAsia="en-US"/>
    </w:rPr>
  </w:style>
  <w:style w:type="character" w:customStyle="1" w:styleId="TableCenterChar">
    <w:name w:val="Table Center Char"/>
    <w:basedOn w:val="DefaultParagraphFont"/>
    <w:link w:val="TableCenter"/>
    <w:uiPriority w:val="12"/>
    <w:rsid w:val="009D2061"/>
    <w:rPr>
      <w:szCs w:val="24"/>
      <w:lang w:val="en-US" w:eastAsia="en-US"/>
    </w:rPr>
  </w:style>
  <w:style w:type="character" w:styleId="PlaceholderText">
    <w:name w:val="Placeholder Text"/>
    <w:basedOn w:val="DefaultParagraphFont"/>
    <w:uiPriority w:val="99"/>
    <w:semiHidden/>
    <w:rsid w:val="00AE6A71"/>
    <w:rPr>
      <w:color w:val="666666"/>
    </w:rPr>
  </w:style>
  <w:style w:type="paragraph" w:customStyle="1" w:styleId="PBACTabletext">
    <w:name w:val="PBAC Table text"/>
    <w:link w:val="PBACTabletextChar"/>
    <w:qFormat/>
    <w:rsid w:val="00977126"/>
    <w:pPr>
      <w:keepNext/>
      <w:keepLines/>
      <w:suppressLineNumbers/>
      <w:spacing w:after="8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977126"/>
    <w:rPr>
      <w:rFonts w:ascii="Arial Narrow" w:hAnsi="Arial Narrow" w:cs="Arial"/>
      <w:szCs w:val="24"/>
      <w:lang w:eastAsia="en-GB"/>
    </w:rPr>
  </w:style>
  <w:style w:type="character" w:customStyle="1" w:styleId="Heading1Char">
    <w:name w:val="Heading 1 Char"/>
    <w:basedOn w:val="DefaultParagraphFont"/>
    <w:link w:val="Heading1"/>
    <w:uiPriority w:val="1"/>
    <w:rsid w:val="00333CF9"/>
    <w:rPr>
      <w:rFonts w:ascii="Calibri" w:hAnsi="Calibri" w:cs="Arial"/>
      <w:b/>
      <w:caps/>
      <w:sz w:val="32"/>
      <w:szCs w:val="24"/>
    </w:rPr>
  </w:style>
  <w:style w:type="character" w:customStyle="1" w:styleId="Heading3Char">
    <w:name w:val="Heading 3 Char"/>
    <w:basedOn w:val="DefaultParagraphFont"/>
    <w:link w:val="Heading3"/>
    <w:rsid w:val="00333CF9"/>
    <w:rPr>
      <w:rFonts w:ascii="Calibri" w:hAnsi="Calibri" w:cs="Arial"/>
      <w:sz w:val="24"/>
      <w:szCs w:val="24"/>
      <w:u w:val="single"/>
    </w:rPr>
  </w:style>
  <w:style w:type="character" w:customStyle="1" w:styleId="Heading4Char">
    <w:name w:val="Heading 4 Char"/>
    <w:basedOn w:val="DefaultParagraphFont"/>
    <w:link w:val="Heading4"/>
    <w:rsid w:val="00333CF9"/>
    <w:rPr>
      <w:rFonts w:ascii="Calibri" w:hAnsi="Calibri" w:cs="Arial"/>
      <w:b/>
      <w:bCs/>
      <w:i/>
      <w:sz w:val="26"/>
      <w:szCs w:val="28"/>
    </w:rPr>
  </w:style>
  <w:style w:type="character" w:customStyle="1" w:styleId="Heading5Char">
    <w:name w:val="Heading 5 Char"/>
    <w:basedOn w:val="DefaultParagraphFont"/>
    <w:link w:val="Heading5"/>
    <w:rsid w:val="00333CF9"/>
    <w:rPr>
      <w:rFonts w:ascii="Calibri" w:hAnsi="Calibri" w:cs="Arial"/>
      <w:b/>
      <w:bCs/>
      <w:iCs/>
      <w:sz w:val="26"/>
      <w:szCs w:val="26"/>
    </w:rPr>
  </w:style>
  <w:style w:type="character" w:customStyle="1" w:styleId="Heading6Char">
    <w:name w:val="Heading 6 Char"/>
    <w:basedOn w:val="DefaultParagraphFont"/>
    <w:link w:val="Heading6"/>
    <w:rsid w:val="00333CF9"/>
    <w:rPr>
      <w:rFonts w:ascii="Calibri" w:hAnsi="Calibri" w:cs="Arial"/>
      <w:b/>
      <w:bCs/>
      <w:i/>
      <w:sz w:val="24"/>
      <w:szCs w:val="24"/>
    </w:rPr>
  </w:style>
  <w:style w:type="paragraph" w:customStyle="1" w:styleId="msonormal0">
    <w:name w:val="msonormal"/>
    <w:basedOn w:val="Normal"/>
    <w:uiPriority w:val="99"/>
    <w:rsid w:val="00333CF9"/>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333CF9"/>
    <w:rPr>
      <w:rFonts w:ascii="Calibri" w:hAnsi="Calibri" w:cs="Arial"/>
      <w:sz w:val="24"/>
      <w:szCs w:val="24"/>
    </w:rPr>
  </w:style>
  <w:style w:type="table" w:customStyle="1" w:styleId="PlainTable211">
    <w:name w:val="Plain Table 211"/>
    <w:basedOn w:val="TableNormal"/>
    <w:uiPriority w:val="42"/>
    <w:rsid w:val="00333CF9"/>
    <w:rPr>
      <w:rFonts w:ascii="Calibri" w:eastAsia="Calibri" w:hAnsi="Calibri"/>
      <w:sz w:val="22"/>
      <w:szCs w:val="22"/>
      <w:lang w:eastAsia="en-US"/>
    </w:rPr>
    <w:tblPr>
      <w:tblStyleRowBandSize w:val="1"/>
      <w:tblStyleColBandSize w:val="1"/>
    </w:tblPr>
    <w:tcPr>
      <w:tcBorders>
        <w:top w:val="single" w:sz="4" w:space="0" w:color="7F7F7F" w:themeColor="text1" w:themeTint="80"/>
        <w:bottom w:val="single" w:sz="4" w:space="0" w:color="7F7F7F" w:themeColor="text1" w:themeTint="80"/>
        <w:right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2Vert">
      <w:tblPr/>
      <w:tcPr>
        <w:tcBorders>
          <w:left w:val="single" w:sz="4" w:space="0" w:color="7F7F7F" w:themeColor="text1" w:themeTint="80"/>
          <w:right w:val="single" w:sz="4" w:space="0" w:color="7F7F7F" w:themeColor="text1" w:themeTint="80"/>
        </w:tcBorders>
      </w:tcPr>
    </w:tblStylePr>
  </w:style>
  <w:style w:type="table" w:customStyle="1" w:styleId="HTATableshaded">
    <w:name w:val="HTA Table shaded"/>
    <w:basedOn w:val="TableNormal"/>
    <w:rsid w:val="00333CF9"/>
    <w:pPr>
      <w:spacing w:before="40" w:after="20"/>
    </w:pPr>
    <w:rPr>
      <w:rFonts w:ascii="Calibri" w:hAnsi="Calibri"/>
      <w:sz w:val="18"/>
      <w:szCs w:val="18"/>
      <w14:ligatures w14:val="standardContextual"/>
    </w:rPr>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3">
    <w:name w:val="Table Grid3"/>
    <w:basedOn w:val="TableNormal"/>
    <w:next w:val="TableGrid"/>
    <w:uiPriority w:val="59"/>
    <w:rsid w:val="0041701F"/>
    <w:rPr>
      <w:rFonts w:asciiTheme="minorHAnsi" w:eastAsiaTheme="minorEastAsia" w:hAnsiTheme="minorHAnsi" w:cstheme="minorBidi"/>
      <w:sz w:val="22"/>
      <w:szCs w:val="22"/>
      <w:lang w:eastAsia="zh-CN"/>
    </w:rPr>
    <w:tblPr/>
  </w:style>
  <w:style w:type="paragraph" w:customStyle="1" w:styleId="EndNoteBibliographyTitle">
    <w:name w:val="EndNote Bibliography Title"/>
    <w:basedOn w:val="Normal"/>
    <w:link w:val="EndNoteBibliographyTitleChar"/>
    <w:rsid w:val="00E268B5"/>
    <w:pPr>
      <w:jc w:val="center"/>
    </w:pPr>
    <w:rPr>
      <w:rFonts w:ascii="Arial Narrow" w:hAnsi="Arial Narrow"/>
      <w:noProof/>
      <w:sz w:val="18"/>
    </w:rPr>
  </w:style>
  <w:style w:type="character" w:customStyle="1" w:styleId="EndNoteBibliographyTitleChar">
    <w:name w:val="EndNote Bibliography Title Char"/>
    <w:basedOn w:val="3-BodyTextChar"/>
    <w:link w:val="EndNoteBibliographyTitle"/>
    <w:rsid w:val="00E268B5"/>
    <w:rPr>
      <w:rFonts w:ascii="Arial Narrow" w:eastAsiaTheme="minorHAnsi" w:hAnsi="Arial Narrow" w:cs="Arial"/>
      <w:noProof/>
      <w:snapToGrid/>
      <w:sz w:val="18"/>
      <w:szCs w:val="24"/>
    </w:rPr>
  </w:style>
  <w:style w:type="paragraph" w:customStyle="1" w:styleId="EndNoteBibliography">
    <w:name w:val="EndNote Bibliography"/>
    <w:basedOn w:val="Normal"/>
    <w:link w:val="EndNoteBibliographyChar"/>
    <w:rsid w:val="00E268B5"/>
    <w:rPr>
      <w:rFonts w:ascii="Arial Narrow" w:hAnsi="Arial Narrow"/>
      <w:noProof/>
      <w:sz w:val="18"/>
    </w:rPr>
  </w:style>
  <w:style w:type="character" w:customStyle="1" w:styleId="EndNoteBibliographyChar">
    <w:name w:val="EndNote Bibliography Char"/>
    <w:basedOn w:val="3-BodyTextChar"/>
    <w:link w:val="EndNoteBibliography"/>
    <w:rsid w:val="00E268B5"/>
    <w:rPr>
      <w:rFonts w:ascii="Arial Narrow" w:eastAsiaTheme="minorHAnsi" w:hAnsi="Arial Narrow" w:cs="Arial"/>
      <w:noProof/>
      <w:snapToGrid/>
      <w:sz w:val="18"/>
      <w:szCs w:val="24"/>
    </w:rPr>
  </w:style>
  <w:style w:type="character" w:styleId="Strong">
    <w:name w:val="Strong"/>
    <w:basedOn w:val="DefaultParagraphFont"/>
    <w:uiPriority w:val="22"/>
    <w:qFormat/>
    <w:rsid w:val="00CA2191"/>
    <w:rPr>
      <w:b/>
      <w:bCs/>
    </w:rPr>
  </w:style>
  <w:style w:type="paragraph" w:customStyle="1" w:styleId="3-SubsectionHeading">
    <w:name w:val="3-Subsection Heading"/>
    <w:basedOn w:val="Heading2"/>
    <w:next w:val="Normal"/>
    <w:link w:val="3-SubsectionHeadingChar"/>
    <w:qFormat/>
    <w:rsid w:val="00E10BFA"/>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E10BFA"/>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Table">
    <w:name w:val="Table"/>
    <w:basedOn w:val="Normal"/>
    <w:link w:val="TableChar"/>
    <w:qFormat/>
    <w:rsid w:val="004522CD"/>
    <w:pPr>
      <w:spacing w:after="240"/>
      <w:jc w:val="left"/>
    </w:pPr>
    <w:rPr>
      <w:rFonts w:ascii="Arial" w:hAnsi="Arial" w:cs="Times New Roman"/>
      <w:sz w:val="20"/>
      <w:szCs w:val="20"/>
      <w:lang w:val="en-GB" w:eastAsia="en-US"/>
    </w:rPr>
  </w:style>
  <w:style w:type="character" w:customStyle="1" w:styleId="TableChar">
    <w:name w:val="Table Char"/>
    <w:link w:val="Table"/>
    <w:rsid w:val="004522CD"/>
    <w:rPr>
      <w:rFonts w:ascii="Arial" w:hAnsi="Arial"/>
      <w:lang w:val="en-GB" w:eastAsia="en-US"/>
    </w:rPr>
  </w:style>
  <w:style w:type="table" w:customStyle="1" w:styleId="AZTable1">
    <w:name w:val="AZ Table1"/>
    <w:basedOn w:val="TableNormal"/>
    <w:uiPriority w:val="99"/>
    <w:rsid w:val="00136F95"/>
    <w:rPr>
      <w:rFonts w:ascii="Arial Narrow" w:eastAsiaTheme="minorHAnsi" w:hAnsi="Arial Narrow"/>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Yu Mincho" w:hAnsi="Yu Mincho"/>
        <w:b/>
        <w:sz w:val="22"/>
      </w:rPr>
      <w:tblPr/>
      <w:tcPr>
        <w:shd w:val="clear" w:color="auto" w:fill="F2F2F2"/>
      </w:tcPr>
    </w:tblStylePr>
  </w:style>
  <w:style w:type="character" w:styleId="Mention">
    <w:name w:val="Mention"/>
    <w:basedOn w:val="DefaultParagraphFont"/>
    <w:uiPriority w:val="99"/>
    <w:unhideWhenUsed/>
    <w:rsid w:val="006926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3712906">
      <w:bodyDiv w:val="1"/>
      <w:marLeft w:val="0"/>
      <w:marRight w:val="0"/>
      <w:marTop w:val="0"/>
      <w:marBottom w:val="0"/>
      <w:divBdr>
        <w:top w:val="none" w:sz="0" w:space="0" w:color="auto"/>
        <w:left w:val="none" w:sz="0" w:space="0" w:color="auto"/>
        <w:bottom w:val="none" w:sz="0" w:space="0" w:color="auto"/>
        <w:right w:val="none" w:sz="0" w:space="0" w:color="auto"/>
      </w:divBdr>
    </w:div>
    <w:div w:id="213079121">
      <w:bodyDiv w:val="1"/>
      <w:marLeft w:val="0"/>
      <w:marRight w:val="0"/>
      <w:marTop w:val="0"/>
      <w:marBottom w:val="0"/>
      <w:divBdr>
        <w:top w:val="none" w:sz="0" w:space="0" w:color="auto"/>
        <w:left w:val="none" w:sz="0" w:space="0" w:color="auto"/>
        <w:bottom w:val="none" w:sz="0" w:space="0" w:color="auto"/>
        <w:right w:val="none" w:sz="0" w:space="0" w:color="auto"/>
      </w:divBdr>
    </w:div>
    <w:div w:id="26327421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1590737">
      <w:bodyDiv w:val="1"/>
      <w:marLeft w:val="0"/>
      <w:marRight w:val="0"/>
      <w:marTop w:val="0"/>
      <w:marBottom w:val="0"/>
      <w:divBdr>
        <w:top w:val="none" w:sz="0" w:space="0" w:color="auto"/>
        <w:left w:val="none" w:sz="0" w:space="0" w:color="auto"/>
        <w:bottom w:val="none" w:sz="0" w:space="0" w:color="auto"/>
        <w:right w:val="none" w:sz="0" w:space="0" w:color="auto"/>
      </w:divBdr>
    </w:div>
    <w:div w:id="353580903">
      <w:bodyDiv w:val="1"/>
      <w:marLeft w:val="0"/>
      <w:marRight w:val="0"/>
      <w:marTop w:val="0"/>
      <w:marBottom w:val="0"/>
      <w:divBdr>
        <w:top w:val="none" w:sz="0" w:space="0" w:color="auto"/>
        <w:left w:val="none" w:sz="0" w:space="0" w:color="auto"/>
        <w:bottom w:val="none" w:sz="0" w:space="0" w:color="auto"/>
        <w:right w:val="none" w:sz="0" w:space="0" w:color="auto"/>
      </w:divBdr>
      <w:divsChild>
        <w:div w:id="1476097903">
          <w:marLeft w:val="360"/>
          <w:marRight w:val="0"/>
          <w:marTop w:val="0"/>
          <w:marBottom w:val="0"/>
          <w:divBdr>
            <w:top w:val="none" w:sz="0" w:space="0" w:color="auto"/>
            <w:left w:val="none" w:sz="0" w:space="0" w:color="auto"/>
            <w:bottom w:val="none" w:sz="0" w:space="0" w:color="auto"/>
            <w:right w:val="none" w:sz="0" w:space="0" w:color="auto"/>
          </w:divBdr>
        </w:div>
      </w:divsChild>
    </w:div>
    <w:div w:id="386299405">
      <w:bodyDiv w:val="1"/>
      <w:marLeft w:val="0"/>
      <w:marRight w:val="0"/>
      <w:marTop w:val="0"/>
      <w:marBottom w:val="0"/>
      <w:divBdr>
        <w:top w:val="none" w:sz="0" w:space="0" w:color="auto"/>
        <w:left w:val="none" w:sz="0" w:space="0" w:color="auto"/>
        <w:bottom w:val="none" w:sz="0" w:space="0" w:color="auto"/>
        <w:right w:val="none" w:sz="0" w:space="0" w:color="auto"/>
      </w:divBdr>
    </w:div>
    <w:div w:id="389840099">
      <w:bodyDiv w:val="1"/>
      <w:marLeft w:val="0"/>
      <w:marRight w:val="0"/>
      <w:marTop w:val="0"/>
      <w:marBottom w:val="0"/>
      <w:divBdr>
        <w:top w:val="none" w:sz="0" w:space="0" w:color="auto"/>
        <w:left w:val="none" w:sz="0" w:space="0" w:color="auto"/>
        <w:bottom w:val="none" w:sz="0" w:space="0" w:color="auto"/>
        <w:right w:val="none" w:sz="0" w:space="0" w:color="auto"/>
      </w:divBdr>
    </w:div>
    <w:div w:id="533545981">
      <w:bodyDiv w:val="1"/>
      <w:marLeft w:val="0"/>
      <w:marRight w:val="0"/>
      <w:marTop w:val="0"/>
      <w:marBottom w:val="0"/>
      <w:divBdr>
        <w:top w:val="none" w:sz="0" w:space="0" w:color="auto"/>
        <w:left w:val="none" w:sz="0" w:space="0" w:color="auto"/>
        <w:bottom w:val="none" w:sz="0" w:space="0" w:color="auto"/>
        <w:right w:val="none" w:sz="0" w:space="0" w:color="auto"/>
      </w:divBdr>
    </w:div>
    <w:div w:id="533620178">
      <w:bodyDiv w:val="1"/>
      <w:marLeft w:val="0"/>
      <w:marRight w:val="0"/>
      <w:marTop w:val="0"/>
      <w:marBottom w:val="0"/>
      <w:divBdr>
        <w:top w:val="none" w:sz="0" w:space="0" w:color="auto"/>
        <w:left w:val="none" w:sz="0" w:space="0" w:color="auto"/>
        <w:bottom w:val="none" w:sz="0" w:space="0" w:color="auto"/>
        <w:right w:val="none" w:sz="0" w:space="0" w:color="auto"/>
      </w:divBdr>
    </w:div>
    <w:div w:id="541787221">
      <w:bodyDiv w:val="1"/>
      <w:marLeft w:val="0"/>
      <w:marRight w:val="0"/>
      <w:marTop w:val="0"/>
      <w:marBottom w:val="0"/>
      <w:divBdr>
        <w:top w:val="none" w:sz="0" w:space="0" w:color="auto"/>
        <w:left w:val="none" w:sz="0" w:space="0" w:color="auto"/>
        <w:bottom w:val="none" w:sz="0" w:space="0" w:color="auto"/>
        <w:right w:val="none" w:sz="0" w:space="0" w:color="auto"/>
      </w:divBdr>
    </w:div>
    <w:div w:id="556939391">
      <w:bodyDiv w:val="1"/>
      <w:marLeft w:val="0"/>
      <w:marRight w:val="0"/>
      <w:marTop w:val="0"/>
      <w:marBottom w:val="0"/>
      <w:divBdr>
        <w:top w:val="none" w:sz="0" w:space="0" w:color="auto"/>
        <w:left w:val="none" w:sz="0" w:space="0" w:color="auto"/>
        <w:bottom w:val="none" w:sz="0" w:space="0" w:color="auto"/>
        <w:right w:val="none" w:sz="0" w:space="0" w:color="auto"/>
      </w:divBdr>
    </w:div>
    <w:div w:id="661395403">
      <w:bodyDiv w:val="1"/>
      <w:marLeft w:val="0"/>
      <w:marRight w:val="0"/>
      <w:marTop w:val="0"/>
      <w:marBottom w:val="0"/>
      <w:divBdr>
        <w:top w:val="none" w:sz="0" w:space="0" w:color="auto"/>
        <w:left w:val="none" w:sz="0" w:space="0" w:color="auto"/>
        <w:bottom w:val="none" w:sz="0" w:space="0" w:color="auto"/>
        <w:right w:val="none" w:sz="0" w:space="0" w:color="auto"/>
      </w:divBdr>
    </w:div>
    <w:div w:id="763452347">
      <w:bodyDiv w:val="1"/>
      <w:marLeft w:val="0"/>
      <w:marRight w:val="0"/>
      <w:marTop w:val="0"/>
      <w:marBottom w:val="0"/>
      <w:divBdr>
        <w:top w:val="none" w:sz="0" w:space="0" w:color="auto"/>
        <w:left w:val="none" w:sz="0" w:space="0" w:color="auto"/>
        <w:bottom w:val="none" w:sz="0" w:space="0" w:color="auto"/>
        <w:right w:val="none" w:sz="0" w:space="0" w:color="auto"/>
      </w:divBdr>
    </w:div>
    <w:div w:id="78835163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2794752">
      <w:bodyDiv w:val="1"/>
      <w:marLeft w:val="0"/>
      <w:marRight w:val="0"/>
      <w:marTop w:val="0"/>
      <w:marBottom w:val="0"/>
      <w:divBdr>
        <w:top w:val="none" w:sz="0" w:space="0" w:color="auto"/>
        <w:left w:val="none" w:sz="0" w:space="0" w:color="auto"/>
        <w:bottom w:val="none" w:sz="0" w:space="0" w:color="auto"/>
        <w:right w:val="none" w:sz="0" w:space="0" w:color="auto"/>
      </w:divBdr>
    </w:div>
    <w:div w:id="886331326">
      <w:bodyDiv w:val="1"/>
      <w:marLeft w:val="0"/>
      <w:marRight w:val="0"/>
      <w:marTop w:val="0"/>
      <w:marBottom w:val="0"/>
      <w:divBdr>
        <w:top w:val="none" w:sz="0" w:space="0" w:color="auto"/>
        <w:left w:val="none" w:sz="0" w:space="0" w:color="auto"/>
        <w:bottom w:val="none" w:sz="0" w:space="0" w:color="auto"/>
        <w:right w:val="none" w:sz="0" w:space="0" w:color="auto"/>
      </w:divBdr>
    </w:div>
    <w:div w:id="974603458">
      <w:bodyDiv w:val="1"/>
      <w:marLeft w:val="0"/>
      <w:marRight w:val="0"/>
      <w:marTop w:val="0"/>
      <w:marBottom w:val="0"/>
      <w:divBdr>
        <w:top w:val="none" w:sz="0" w:space="0" w:color="auto"/>
        <w:left w:val="none" w:sz="0" w:space="0" w:color="auto"/>
        <w:bottom w:val="none" w:sz="0" w:space="0" w:color="auto"/>
        <w:right w:val="none" w:sz="0" w:space="0" w:color="auto"/>
      </w:divBdr>
    </w:div>
    <w:div w:id="1015350208">
      <w:bodyDiv w:val="1"/>
      <w:marLeft w:val="0"/>
      <w:marRight w:val="0"/>
      <w:marTop w:val="0"/>
      <w:marBottom w:val="0"/>
      <w:divBdr>
        <w:top w:val="none" w:sz="0" w:space="0" w:color="auto"/>
        <w:left w:val="none" w:sz="0" w:space="0" w:color="auto"/>
        <w:bottom w:val="none" w:sz="0" w:space="0" w:color="auto"/>
        <w:right w:val="none" w:sz="0" w:space="0" w:color="auto"/>
      </w:divBdr>
    </w:div>
    <w:div w:id="1060249528">
      <w:bodyDiv w:val="1"/>
      <w:marLeft w:val="0"/>
      <w:marRight w:val="0"/>
      <w:marTop w:val="0"/>
      <w:marBottom w:val="0"/>
      <w:divBdr>
        <w:top w:val="none" w:sz="0" w:space="0" w:color="auto"/>
        <w:left w:val="none" w:sz="0" w:space="0" w:color="auto"/>
        <w:bottom w:val="none" w:sz="0" w:space="0" w:color="auto"/>
        <w:right w:val="none" w:sz="0" w:space="0" w:color="auto"/>
      </w:divBdr>
    </w:div>
    <w:div w:id="1063218719">
      <w:bodyDiv w:val="1"/>
      <w:marLeft w:val="0"/>
      <w:marRight w:val="0"/>
      <w:marTop w:val="0"/>
      <w:marBottom w:val="0"/>
      <w:divBdr>
        <w:top w:val="none" w:sz="0" w:space="0" w:color="auto"/>
        <w:left w:val="none" w:sz="0" w:space="0" w:color="auto"/>
        <w:bottom w:val="none" w:sz="0" w:space="0" w:color="auto"/>
        <w:right w:val="none" w:sz="0" w:space="0" w:color="auto"/>
      </w:divBdr>
    </w:div>
    <w:div w:id="1114520184">
      <w:bodyDiv w:val="1"/>
      <w:marLeft w:val="0"/>
      <w:marRight w:val="0"/>
      <w:marTop w:val="0"/>
      <w:marBottom w:val="0"/>
      <w:divBdr>
        <w:top w:val="none" w:sz="0" w:space="0" w:color="auto"/>
        <w:left w:val="none" w:sz="0" w:space="0" w:color="auto"/>
        <w:bottom w:val="none" w:sz="0" w:space="0" w:color="auto"/>
        <w:right w:val="none" w:sz="0" w:space="0" w:color="auto"/>
      </w:divBdr>
    </w:div>
    <w:div w:id="1125151357">
      <w:bodyDiv w:val="1"/>
      <w:marLeft w:val="0"/>
      <w:marRight w:val="0"/>
      <w:marTop w:val="0"/>
      <w:marBottom w:val="0"/>
      <w:divBdr>
        <w:top w:val="none" w:sz="0" w:space="0" w:color="auto"/>
        <w:left w:val="none" w:sz="0" w:space="0" w:color="auto"/>
        <w:bottom w:val="none" w:sz="0" w:space="0" w:color="auto"/>
        <w:right w:val="none" w:sz="0" w:space="0" w:color="auto"/>
      </w:divBdr>
    </w:div>
    <w:div w:id="1144733230">
      <w:bodyDiv w:val="1"/>
      <w:marLeft w:val="0"/>
      <w:marRight w:val="0"/>
      <w:marTop w:val="0"/>
      <w:marBottom w:val="0"/>
      <w:divBdr>
        <w:top w:val="none" w:sz="0" w:space="0" w:color="auto"/>
        <w:left w:val="none" w:sz="0" w:space="0" w:color="auto"/>
        <w:bottom w:val="none" w:sz="0" w:space="0" w:color="auto"/>
        <w:right w:val="none" w:sz="0" w:space="0" w:color="auto"/>
      </w:divBdr>
    </w:div>
    <w:div w:id="116951722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5404289">
      <w:bodyDiv w:val="1"/>
      <w:marLeft w:val="0"/>
      <w:marRight w:val="0"/>
      <w:marTop w:val="0"/>
      <w:marBottom w:val="0"/>
      <w:divBdr>
        <w:top w:val="none" w:sz="0" w:space="0" w:color="auto"/>
        <w:left w:val="none" w:sz="0" w:space="0" w:color="auto"/>
        <w:bottom w:val="none" w:sz="0" w:space="0" w:color="auto"/>
        <w:right w:val="none" w:sz="0" w:space="0" w:color="auto"/>
      </w:divBdr>
    </w:div>
    <w:div w:id="1275752920">
      <w:bodyDiv w:val="1"/>
      <w:marLeft w:val="0"/>
      <w:marRight w:val="0"/>
      <w:marTop w:val="0"/>
      <w:marBottom w:val="0"/>
      <w:divBdr>
        <w:top w:val="none" w:sz="0" w:space="0" w:color="auto"/>
        <w:left w:val="none" w:sz="0" w:space="0" w:color="auto"/>
        <w:bottom w:val="none" w:sz="0" w:space="0" w:color="auto"/>
        <w:right w:val="none" w:sz="0" w:space="0" w:color="auto"/>
      </w:divBdr>
    </w:div>
    <w:div w:id="1326788428">
      <w:bodyDiv w:val="1"/>
      <w:marLeft w:val="0"/>
      <w:marRight w:val="0"/>
      <w:marTop w:val="0"/>
      <w:marBottom w:val="0"/>
      <w:divBdr>
        <w:top w:val="none" w:sz="0" w:space="0" w:color="auto"/>
        <w:left w:val="none" w:sz="0" w:space="0" w:color="auto"/>
        <w:bottom w:val="none" w:sz="0" w:space="0" w:color="auto"/>
        <w:right w:val="none" w:sz="0" w:space="0" w:color="auto"/>
      </w:divBdr>
    </w:div>
    <w:div w:id="1413745857">
      <w:bodyDiv w:val="1"/>
      <w:marLeft w:val="0"/>
      <w:marRight w:val="0"/>
      <w:marTop w:val="0"/>
      <w:marBottom w:val="0"/>
      <w:divBdr>
        <w:top w:val="none" w:sz="0" w:space="0" w:color="auto"/>
        <w:left w:val="none" w:sz="0" w:space="0" w:color="auto"/>
        <w:bottom w:val="none" w:sz="0" w:space="0" w:color="auto"/>
        <w:right w:val="none" w:sz="0" w:space="0" w:color="auto"/>
      </w:divBdr>
    </w:div>
    <w:div w:id="1548833255">
      <w:bodyDiv w:val="1"/>
      <w:marLeft w:val="0"/>
      <w:marRight w:val="0"/>
      <w:marTop w:val="0"/>
      <w:marBottom w:val="0"/>
      <w:divBdr>
        <w:top w:val="none" w:sz="0" w:space="0" w:color="auto"/>
        <w:left w:val="none" w:sz="0" w:space="0" w:color="auto"/>
        <w:bottom w:val="none" w:sz="0" w:space="0" w:color="auto"/>
        <w:right w:val="none" w:sz="0" w:space="0" w:color="auto"/>
      </w:divBdr>
    </w:div>
    <w:div w:id="1650553950">
      <w:bodyDiv w:val="1"/>
      <w:marLeft w:val="0"/>
      <w:marRight w:val="0"/>
      <w:marTop w:val="0"/>
      <w:marBottom w:val="0"/>
      <w:divBdr>
        <w:top w:val="none" w:sz="0" w:space="0" w:color="auto"/>
        <w:left w:val="none" w:sz="0" w:space="0" w:color="auto"/>
        <w:bottom w:val="none" w:sz="0" w:space="0" w:color="auto"/>
        <w:right w:val="none" w:sz="0" w:space="0" w:color="auto"/>
      </w:divBdr>
    </w:div>
    <w:div w:id="1710254134">
      <w:bodyDiv w:val="1"/>
      <w:marLeft w:val="0"/>
      <w:marRight w:val="0"/>
      <w:marTop w:val="0"/>
      <w:marBottom w:val="0"/>
      <w:divBdr>
        <w:top w:val="none" w:sz="0" w:space="0" w:color="auto"/>
        <w:left w:val="none" w:sz="0" w:space="0" w:color="auto"/>
        <w:bottom w:val="none" w:sz="0" w:space="0" w:color="auto"/>
        <w:right w:val="none" w:sz="0" w:space="0" w:color="auto"/>
      </w:divBdr>
    </w:div>
    <w:div w:id="1719238406">
      <w:bodyDiv w:val="1"/>
      <w:marLeft w:val="0"/>
      <w:marRight w:val="0"/>
      <w:marTop w:val="0"/>
      <w:marBottom w:val="0"/>
      <w:divBdr>
        <w:top w:val="none" w:sz="0" w:space="0" w:color="auto"/>
        <w:left w:val="none" w:sz="0" w:space="0" w:color="auto"/>
        <w:bottom w:val="none" w:sz="0" w:space="0" w:color="auto"/>
        <w:right w:val="none" w:sz="0" w:space="0" w:color="auto"/>
      </w:divBdr>
    </w:div>
    <w:div w:id="1806502423">
      <w:bodyDiv w:val="1"/>
      <w:marLeft w:val="0"/>
      <w:marRight w:val="0"/>
      <w:marTop w:val="0"/>
      <w:marBottom w:val="0"/>
      <w:divBdr>
        <w:top w:val="none" w:sz="0" w:space="0" w:color="auto"/>
        <w:left w:val="none" w:sz="0" w:space="0" w:color="auto"/>
        <w:bottom w:val="none" w:sz="0" w:space="0" w:color="auto"/>
        <w:right w:val="none" w:sz="0" w:space="0" w:color="auto"/>
      </w:divBdr>
    </w:div>
    <w:div w:id="18719867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5601827">
      <w:bodyDiv w:val="1"/>
      <w:marLeft w:val="0"/>
      <w:marRight w:val="0"/>
      <w:marTop w:val="0"/>
      <w:marBottom w:val="0"/>
      <w:divBdr>
        <w:top w:val="none" w:sz="0" w:space="0" w:color="auto"/>
        <w:left w:val="none" w:sz="0" w:space="0" w:color="auto"/>
        <w:bottom w:val="none" w:sz="0" w:space="0" w:color="auto"/>
        <w:right w:val="none" w:sz="0" w:space="0" w:color="auto"/>
      </w:divBdr>
    </w:div>
    <w:div w:id="2087414211">
      <w:bodyDiv w:val="1"/>
      <w:marLeft w:val="0"/>
      <w:marRight w:val="0"/>
      <w:marTop w:val="0"/>
      <w:marBottom w:val="0"/>
      <w:divBdr>
        <w:top w:val="none" w:sz="0" w:space="0" w:color="auto"/>
        <w:left w:val="none" w:sz="0" w:space="0" w:color="auto"/>
        <w:bottom w:val="none" w:sz="0" w:space="0" w:color="auto"/>
        <w:right w:val="none" w:sz="0" w:space="0" w:color="auto"/>
      </w:divBdr>
    </w:div>
    <w:div w:id="2097163427">
      <w:bodyDiv w:val="1"/>
      <w:marLeft w:val="0"/>
      <w:marRight w:val="0"/>
      <w:marTop w:val="0"/>
      <w:marBottom w:val="0"/>
      <w:divBdr>
        <w:top w:val="none" w:sz="0" w:space="0" w:color="auto"/>
        <w:left w:val="none" w:sz="0" w:space="0" w:color="auto"/>
        <w:bottom w:val="none" w:sz="0" w:space="0" w:color="auto"/>
        <w:right w:val="none" w:sz="0" w:space="0" w:color="auto"/>
      </w:divBdr>
      <w:divsChild>
        <w:div w:id="103003687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6EEDA261-1899-40DD-958F-AA7985DE36C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10CBD9AF-1ED6-4B5A-A04E-7E1716D036E4}">
  <ds:schemaRefs>
    <ds:schemaRef ds:uri="http://schemas.microsoft.com/sharepoint/v3/contenttype/forms"/>
  </ds:schemaRefs>
</ds:datastoreItem>
</file>

<file path=customXml/itemProps4.xml><?xml version="1.0" encoding="utf-8"?>
<ds:datastoreItem xmlns:ds="http://schemas.openxmlformats.org/officeDocument/2006/customXml" ds:itemID="{1E6C5524-8628-4A8B-83DB-092B58AE8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21066</Words>
  <Characters>120080</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2026-02-19T23:29:00Z</dcterms:created>
  <dcterms:modified xsi:type="dcterms:W3CDTF">2026-03-04T22:54:00Z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44816d75,1bb459db,b981306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6f62efb2,5581a956,40052bc4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2026-02-04T23:12:12Z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d42450ee-7783-445c-b990-fe3d0340260d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