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0DAB" w14:textId="1A317C7A" w:rsidR="00332F7A" w:rsidRPr="004A6040" w:rsidRDefault="00594E66" w:rsidP="00A12328">
      <w:pPr>
        <w:pStyle w:val="1-MainHeading"/>
      </w:pPr>
      <w:bookmarkStart w:id="0" w:name="_Toc198720625"/>
      <w:r>
        <w:t>6.07</w:t>
      </w:r>
      <w:r w:rsidR="00163F66">
        <w:tab/>
      </w:r>
      <w:bookmarkStart w:id="1" w:name="_Toc22897637"/>
      <w:r w:rsidR="00332F7A">
        <w:t>OSIMERTINIB,</w:t>
      </w:r>
      <w:r w:rsidR="00332F7A">
        <w:br/>
      </w:r>
      <w:r w:rsidR="00C1372F">
        <w:t>T</w:t>
      </w:r>
      <w:r w:rsidR="00332F7A">
        <w:t>ablet</w:t>
      </w:r>
      <w:r w:rsidR="00C1372F">
        <w:t xml:space="preserve"> </w:t>
      </w:r>
      <w:r w:rsidR="00332F7A">
        <w:t>40 mg,</w:t>
      </w:r>
      <w:r w:rsidR="00332F7A">
        <w:br/>
      </w:r>
      <w:r w:rsidR="00C1372F">
        <w:t>Tablet</w:t>
      </w:r>
      <w:r w:rsidR="00332F7A">
        <w:t xml:space="preserve"> 80 mg,</w:t>
      </w:r>
      <w:r w:rsidR="00332F7A">
        <w:br/>
        <w:t>Tagrisso</w:t>
      </w:r>
      <w:r w:rsidR="00332F7A" w:rsidRPr="004A6040">
        <w:rPr>
          <w:vertAlign w:val="superscript"/>
        </w:rPr>
        <w:t>®</w:t>
      </w:r>
      <w:r w:rsidR="00332F7A" w:rsidRPr="004A6040">
        <w:t>,</w:t>
      </w:r>
      <w:r w:rsidR="00332F7A" w:rsidRPr="004A6040">
        <w:br/>
      </w:r>
      <w:r w:rsidR="00B63A4A">
        <w:t>ASTRAZENECA PTY LTD</w:t>
      </w:r>
      <w:bookmarkEnd w:id="0"/>
      <w:r w:rsidR="00332F7A">
        <w:t xml:space="preserve"> </w:t>
      </w:r>
    </w:p>
    <w:p w14:paraId="11C00795" w14:textId="3DFB6D23" w:rsidR="00B50DB8" w:rsidRPr="00516A5F" w:rsidRDefault="00B50DB8" w:rsidP="00A12328">
      <w:pPr>
        <w:pStyle w:val="2-SectionHeading"/>
      </w:pPr>
      <w:bookmarkStart w:id="2" w:name="_Toc198720627"/>
      <w:bookmarkEnd w:id="1"/>
      <w:r w:rsidRPr="00516A5F">
        <w:t xml:space="preserve">Purpose of </w:t>
      </w:r>
      <w:r w:rsidR="00CD7193" w:rsidRPr="00516A5F">
        <w:t>s</w:t>
      </w:r>
      <w:r w:rsidR="00BB3A45" w:rsidRPr="00516A5F">
        <w:t>ubmission</w:t>
      </w:r>
      <w:bookmarkEnd w:id="2"/>
    </w:p>
    <w:p w14:paraId="62BF6D08" w14:textId="3EA124C1" w:rsidR="00327047" w:rsidRPr="00A84A7E" w:rsidRDefault="00327047" w:rsidP="00A12328">
      <w:pPr>
        <w:pStyle w:val="3-BodyText"/>
      </w:pPr>
      <w:r>
        <w:t xml:space="preserve">The Category 2 submission </w:t>
      </w:r>
      <w:r w:rsidRPr="004E18E9">
        <w:t>requested</w:t>
      </w:r>
      <w:r w:rsidR="003D2788">
        <w:t xml:space="preserve"> an</w:t>
      </w:r>
      <w:r w:rsidRPr="004E18E9">
        <w:t xml:space="preserve"> Authority Required listing for </w:t>
      </w:r>
      <w:r>
        <w:t>osimertinib</w:t>
      </w:r>
      <w:r w:rsidRPr="004E18E9">
        <w:t xml:space="preserve"> </w:t>
      </w:r>
      <w:r>
        <w:t xml:space="preserve">as monotherapy </w:t>
      </w:r>
      <w:r w:rsidRPr="004E18E9">
        <w:t>for the treatment of</w:t>
      </w:r>
      <w:r w:rsidR="00412D96">
        <w:t xml:space="preserve"> patients with</w:t>
      </w:r>
      <w:r w:rsidRPr="004E18E9">
        <w:t xml:space="preserve"> </w:t>
      </w:r>
      <w:r>
        <w:t xml:space="preserve">unresectable locally advanced (Stage III) epidermal growth factor receptor </w:t>
      </w:r>
      <w:r w:rsidRPr="007F667F">
        <w:rPr>
          <w:i/>
        </w:rPr>
        <w:t>(EGFR)</w:t>
      </w:r>
      <w:r>
        <w:t xml:space="preserve"> pathogenic variant positive non-small cell lung cancer (NSCLC) whose disease has not progressed during or following platinum-based chemoradiation therapy (CRT)</w:t>
      </w:r>
      <w:r w:rsidRPr="00C527C7">
        <w:t>.</w:t>
      </w:r>
      <w:r w:rsidRPr="00C527C7">
        <w:rPr>
          <w:color w:val="0066FF"/>
        </w:rPr>
        <w:t xml:space="preserve"> </w:t>
      </w:r>
    </w:p>
    <w:p w14:paraId="4B0C2892" w14:textId="0C65B5EC" w:rsidR="00A84A7E" w:rsidRPr="0043454D" w:rsidRDefault="00E35720" w:rsidP="00A12328">
      <w:pPr>
        <w:pStyle w:val="3-BodyText"/>
      </w:pPr>
      <w:bookmarkStart w:id="3" w:name="_Ref198042316"/>
      <w:r w:rsidRPr="0043454D">
        <w:t xml:space="preserve">While the submission did not specify the type of </w:t>
      </w:r>
      <w:r w:rsidR="00C45A6D" w:rsidRPr="00C45A6D">
        <w:rPr>
          <w:i/>
        </w:rPr>
        <w:t>EGFR</w:t>
      </w:r>
      <w:r w:rsidRPr="0043454D">
        <w:t xml:space="preserve"> pathogenic variant in the wording of the request, only patients with tumours harbouring the two common </w:t>
      </w:r>
      <w:r w:rsidR="00C45A6D" w:rsidRPr="00C45A6D">
        <w:rPr>
          <w:i/>
        </w:rPr>
        <w:t>EGFR</w:t>
      </w:r>
      <w:r w:rsidRPr="0043454D">
        <w:t xml:space="preserve"> variants (exon 19 deletions or exon 21 L858R substitution, either alone or in combination with other </w:t>
      </w:r>
      <w:r w:rsidR="00C45A6D" w:rsidRPr="00C45A6D">
        <w:rPr>
          <w:i/>
        </w:rPr>
        <w:t>EGFR</w:t>
      </w:r>
      <w:r w:rsidRPr="0043454D">
        <w:t xml:space="preserve"> pathogenic variants) were included in the pivotal trial.</w:t>
      </w:r>
      <w:bookmarkEnd w:id="3"/>
    </w:p>
    <w:p w14:paraId="393803DB" w14:textId="234241BF" w:rsidR="00327047" w:rsidRDefault="00327047" w:rsidP="00A12328">
      <w:pPr>
        <w:pStyle w:val="3-BodyText"/>
      </w:pPr>
      <w:r w:rsidRPr="005750C5">
        <w:t xml:space="preserve">Listing was requested on the basis of a </w:t>
      </w:r>
      <w:r>
        <w:t>cost-effectiveness</w:t>
      </w:r>
      <w:r w:rsidRPr="005750C5">
        <w:t xml:space="preserve"> analysis versus</w:t>
      </w:r>
      <w:r>
        <w:t xml:space="preserve"> placebo (standard of care</w:t>
      </w:r>
      <w:r w:rsidR="001F7A83">
        <w:t xml:space="preserve"> [SoC]</w:t>
      </w:r>
      <w:r>
        <w:t>), based on the results of the LAURA trial</w:t>
      </w:r>
      <w:r w:rsidR="0064662A">
        <w:t xml:space="preserve"> (</w:t>
      </w:r>
      <w:r w:rsidR="0064662A">
        <w:fldChar w:fldCharType="begin"/>
      </w:r>
      <w:r w:rsidR="0064662A">
        <w:instrText xml:space="preserve"> REF _Ref198210780 \h </w:instrText>
      </w:r>
      <w:r w:rsidR="0064662A">
        <w:fldChar w:fldCharType="separate"/>
      </w:r>
      <w:r w:rsidR="009F3D59">
        <w:t xml:space="preserve">Table </w:t>
      </w:r>
      <w:r w:rsidR="009F3D59">
        <w:rPr>
          <w:noProof/>
        </w:rPr>
        <w:t>1</w:t>
      </w:r>
      <w:r w:rsidR="0064662A">
        <w:fldChar w:fldCharType="end"/>
      </w:r>
      <w:r w:rsidR="0064662A">
        <w:t>)</w:t>
      </w:r>
      <w:r>
        <w:t>.</w:t>
      </w:r>
    </w:p>
    <w:p w14:paraId="34F8A840" w14:textId="3F18ABFE" w:rsidR="00327047" w:rsidRPr="004A6040" w:rsidRDefault="00327047" w:rsidP="00A12328">
      <w:pPr>
        <w:pStyle w:val="TableFigureHeading"/>
        <w:rPr>
          <w:rStyle w:val="CommentReference"/>
          <w:b/>
        </w:rPr>
      </w:pPr>
      <w:bookmarkStart w:id="4" w:name="_Ref198210780"/>
      <w:r>
        <w:t xml:space="preserve">Table </w:t>
      </w:r>
      <w:r w:rsidR="002E1944">
        <w:fldChar w:fldCharType="begin"/>
      </w:r>
      <w:r w:rsidR="002E1944">
        <w:instrText xml:space="preserve"> SEQ Table \* ARABIC </w:instrText>
      </w:r>
      <w:r w:rsidR="002E1944">
        <w:fldChar w:fldCharType="separate"/>
      </w:r>
      <w:r w:rsidR="009F3D59">
        <w:rPr>
          <w:noProof/>
        </w:rPr>
        <w:t>1</w:t>
      </w:r>
      <w:r w:rsidR="002E1944">
        <w:rPr>
          <w:noProof/>
        </w:rPr>
        <w:fldChar w:fldCharType="end"/>
      </w:r>
      <w:bookmarkEnd w:id="4"/>
      <w:r>
        <w:t>:</w:t>
      </w:r>
      <w:r w:rsidRPr="004A6040">
        <w:rPr>
          <w:rStyle w:val="CommentReference"/>
          <w:b/>
        </w:rPr>
        <w:t xml:space="preserve"> Key components of the clinical issue addressed by the submission (as stated in the submission)</w:t>
      </w:r>
    </w:p>
    <w:tbl>
      <w:tblPr>
        <w:tblStyle w:val="PBAClayout"/>
        <w:tblW w:w="5000" w:type="pct"/>
        <w:tblLook w:val="04A0" w:firstRow="1" w:lastRow="0" w:firstColumn="1" w:lastColumn="0" w:noHBand="0" w:noVBand="1"/>
        <w:tblCaption w:val="Table 1"/>
        <w:tblDescription w:val="Key components of the clinical issue addressed by the submission "/>
      </w:tblPr>
      <w:tblGrid>
        <w:gridCol w:w="1666"/>
        <w:gridCol w:w="7351"/>
      </w:tblGrid>
      <w:tr w:rsidR="00327047" w:rsidRPr="00691913" w14:paraId="39F160D4" w14:textId="77777777" w:rsidTr="00327047">
        <w:tc>
          <w:tcPr>
            <w:tcW w:w="924" w:type="pct"/>
          </w:tcPr>
          <w:p w14:paraId="425B61DD" w14:textId="77777777" w:rsidR="00327047" w:rsidRPr="00C42502" w:rsidRDefault="00327047" w:rsidP="00A12328">
            <w:pPr>
              <w:pStyle w:val="In-tableHeading"/>
              <w:rPr>
                <w:szCs w:val="20"/>
                <w:lang w:val="en-AU"/>
              </w:rPr>
            </w:pPr>
            <w:r w:rsidRPr="00C42502">
              <w:rPr>
                <w:lang w:val="en-AU"/>
              </w:rPr>
              <w:t>Component</w:t>
            </w:r>
          </w:p>
        </w:tc>
        <w:tc>
          <w:tcPr>
            <w:tcW w:w="4076" w:type="pct"/>
          </w:tcPr>
          <w:p w14:paraId="46C6211E" w14:textId="77777777" w:rsidR="00327047" w:rsidRPr="00C42502" w:rsidRDefault="00327047" w:rsidP="00A12328">
            <w:pPr>
              <w:pStyle w:val="In-tableHeading"/>
              <w:rPr>
                <w:lang w:val="en-AU"/>
              </w:rPr>
            </w:pPr>
            <w:r w:rsidRPr="00C42502">
              <w:rPr>
                <w:lang w:val="en-AU"/>
              </w:rPr>
              <w:t>Description</w:t>
            </w:r>
          </w:p>
        </w:tc>
      </w:tr>
      <w:tr w:rsidR="00327047" w:rsidRPr="00691913" w14:paraId="71C4EE60" w14:textId="77777777" w:rsidTr="00327047">
        <w:tc>
          <w:tcPr>
            <w:tcW w:w="924" w:type="pct"/>
          </w:tcPr>
          <w:p w14:paraId="7C1C7230" w14:textId="77777777" w:rsidR="00327047" w:rsidRPr="00691913" w:rsidRDefault="00327047" w:rsidP="00A12328">
            <w:pPr>
              <w:pStyle w:val="TableText0"/>
            </w:pPr>
            <w:r w:rsidRPr="00691913">
              <w:t>Population</w:t>
            </w:r>
          </w:p>
        </w:tc>
        <w:tc>
          <w:tcPr>
            <w:tcW w:w="4076" w:type="pct"/>
            <w:vAlign w:val="top"/>
          </w:tcPr>
          <w:p w14:paraId="6A559F16" w14:textId="77777777" w:rsidR="00327047" w:rsidRPr="001E1E86" w:rsidRDefault="00327047" w:rsidP="00A12328">
            <w:pPr>
              <w:pStyle w:val="TableText0"/>
              <w:rPr>
                <w:szCs w:val="20"/>
              </w:rPr>
            </w:pPr>
            <w:r w:rsidRPr="009B5390">
              <w:t xml:space="preserve">Unresectable locally advanced (Stage III) </w:t>
            </w:r>
            <w:r w:rsidR="00C45A6D" w:rsidRPr="00C45A6D">
              <w:rPr>
                <w:i/>
              </w:rPr>
              <w:t>EGFR</w:t>
            </w:r>
            <w:r w:rsidRPr="009B5390">
              <w:t xml:space="preserve"> pathogenic variant positive NSCLC patients whose disease has not progressed during or following platinum-based chemoradiation therapy (CRT) </w:t>
            </w:r>
          </w:p>
        </w:tc>
      </w:tr>
      <w:tr w:rsidR="00327047" w:rsidRPr="00691913" w14:paraId="3C8A5EC4" w14:textId="77777777" w:rsidTr="00327047">
        <w:tc>
          <w:tcPr>
            <w:tcW w:w="924" w:type="pct"/>
          </w:tcPr>
          <w:p w14:paraId="2AF9BB7B" w14:textId="77777777" w:rsidR="00327047" w:rsidRPr="00691913" w:rsidRDefault="00327047" w:rsidP="00A12328">
            <w:pPr>
              <w:pStyle w:val="TableText0"/>
            </w:pPr>
            <w:r w:rsidRPr="00691913">
              <w:t>Intervention</w:t>
            </w:r>
          </w:p>
        </w:tc>
        <w:tc>
          <w:tcPr>
            <w:tcW w:w="4076" w:type="pct"/>
            <w:vAlign w:val="top"/>
          </w:tcPr>
          <w:p w14:paraId="499A3905" w14:textId="77777777" w:rsidR="00327047" w:rsidRPr="00691913" w:rsidRDefault="00327047" w:rsidP="00A12328">
            <w:pPr>
              <w:pStyle w:val="TableText0"/>
            </w:pPr>
            <w:r w:rsidRPr="009B5390">
              <w:t>Osimertinib 80 mg once daily</w:t>
            </w:r>
          </w:p>
        </w:tc>
      </w:tr>
      <w:tr w:rsidR="00327047" w:rsidRPr="00691913" w14:paraId="0BE3607B" w14:textId="77777777" w:rsidTr="00327047">
        <w:tc>
          <w:tcPr>
            <w:tcW w:w="924" w:type="pct"/>
          </w:tcPr>
          <w:p w14:paraId="236258E6" w14:textId="77777777" w:rsidR="00327047" w:rsidRPr="00344344" w:rsidRDefault="00327047" w:rsidP="00A12328">
            <w:pPr>
              <w:pStyle w:val="TableText0"/>
            </w:pPr>
            <w:r w:rsidRPr="00344344">
              <w:t>Comparator</w:t>
            </w:r>
          </w:p>
        </w:tc>
        <w:tc>
          <w:tcPr>
            <w:tcW w:w="4076" w:type="pct"/>
            <w:vAlign w:val="top"/>
          </w:tcPr>
          <w:p w14:paraId="0EF94547" w14:textId="77777777" w:rsidR="00327047" w:rsidRPr="00344344" w:rsidRDefault="00327047" w:rsidP="00A12328">
            <w:pPr>
              <w:pStyle w:val="TableText0"/>
            </w:pPr>
            <w:r w:rsidRPr="009B5390">
              <w:t>Placebo</w:t>
            </w:r>
          </w:p>
        </w:tc>
      </w:tr>
      <w:tr w:rsidR="00327047" w:rsidRPr="00691913" w14:paraId="10F297DD" w14:textId="77777777" w:rsidTr="00327047">
        <w:tc>
          <w:tcPr>
            <w:tcW w:w="924" w:type="pct"/>
          </w:tcPr>
          <w:p w14:paraId="2CF8FE31" w14:textId="77777777" w:rsidR="00327047" w:rsidRPr="00691913" w:rsidRDefault="00327047" w:rsidP="00A12328">
            <w:pPr>
              <w:pStyle w:val="TableText0"/>
            </w:pPr>
            <w:r w:rsidRPr="00691913">
              <w:t>Outcomes</w:t>
            </w:r>
          </w:p>
        </w:tc>
        <w:tc>
          <w:tcPr>
            <w:tcW w:w="4076" w:type="pct"/>
            <w:vAlign w:val="top"/>
          </w:tcPr>
          <w:p w14:paraId="673C576B" w14:textId="77777777" w:rsidR="00327047" w:rsidRPr="001E1E86" w:rsidRDefault="00327047" w:rsidP="00A12328">
            <w:pPr>
              <w:pStyle w:val="TableText0"/>
              <w:rPr>
                <w:rFonts w:eastAsia="Times New Roman" w:cs="Arial"/>
                <w:bCs w:val="0"/>
                <w:snapToGrid w:val="0"/>
                <w:color w:val="0066FF"/>
                <w:szCs w:val="20"/>
              </w:rPr>
            </w:pPr>
            <w:r w:rsidRPr="009B5390">
              <w:t>PFS (primary outcome), OS, ORR, DoR, depth of response, DCR, post-progression outcomes, HRQoL and safety</w:t>
            </w:r>
          </w:p>
        </w:tc>
      </w:tr>
      <w:tr w:rsidR="00327047" w:rsidRPr="00691913" w14:paraId="7D4934D7" w14:textId="77777777" w:rsidTr="00327047">
        <w:tc>
          <w:tcPr>
            <w:tcW w:w="924" w:type="pct"/>
          </w:tcPr>
          <w:p w14:paraId="45B8B3A7" w14:textId="77777777" w:rsidR="00327047" w:rsidRPr="00691913" w:rsidRDefault="00327047" w:rsidP="00A12328">
            <w:pPr>
              <w:pStyle w:val="TableText0"/>
            </w:pPr>
            <w:r w:rsidRPr="00691913">
              <w:t>Clinical claim</w:t>
            </w:r>
          </w:p>
        </w:tc>
        <w:tc>
          <w:tcPr>
            <w:tcW w:w="4076" w:type="pct"/>
            <w:vAlign w:val="top"/>
          </w:tcPr>
          <w:p w14:paraId="59D0FA9D" w14:textId="77777777" w:rsidR="00327047" w:rsidRDefault="00327047" w:rsidP="00A12328">
            <w:pPr>
              <w:pStyle w:val="TableText0"/>
            </w:pPr>
            <w:r w:rsidRPr="009B5390">
              <w:t xml:space="preserve">In patients with unresectable locally advanced (Stage III) </w:t>
            </w:r>
            <w:r w:rsidRPr="00B406EE">
              <w:rPr>
                <w:i/>
              </w:rPr>
              <w:t>EGFR</w:t>
            </w:r>
            <w:r>
              <w:t xml:space="preserve"> pathogenic variant</w:t>
            </w:r>
            <w:r w:rsidRPr="009B5390">
              <w:t xml:space="preserve"> NSCLC who have not progressed during or following platinum-based chemoradiation therapy, osimertinib compared to placebo is:</w:t>
            </w:r>
          </w:p>
          <w:p w14:paraId="412B36EC" w14:textId="77777777" w:rsidR="00327047" w:rsidRPr="007F667F" w:rsidRDefault="00327047" w:rsidP="00A12328">
            <w:pPr>
              <w:pStyle w:val="ListParagraph"/>
              <w:spacing w:after="0"/>
              <w:ind w:left="714" w:hanging="357"/>
              <w:rPr>
                <w:rFonts w:ascii="Arial Narrow" w:hAnsi="Arial Narrow"/>
                <w:sz w:val="20"/>
                <w:szCs w:val="20"/>
              </w:rPr>
            </w:pPr>
            <w:r w:rsidRPr="007F667F">
              <w:rPr>
                <w:rFonts w:ascii="Arial Narrow" w:hAnsi="Arial Narrow"/>
                <w:sz w:val="20"/>
                <w:szCs w:val="20"/>
              </w:rPr>
              <w:t xml:space="preserve">Superior in terms of effectiveness compared to placebo (added to standard of care) and </w:t>
            </w:r>
          </w:p>
          <w:p w14:paraId="31E6C610" w14:textId="77777777" w:rsidR="00327047" w:rsidRPr="001E1E86" w:rsidRDefault="00327047" w:rsidP="00A12328">
            <w:pPr>
              <w:pStyle w:val="ListParagraph"/>
              <w:spacing w:after="0"/>
              <w:ind w:left="714" w:hanging="357"/>
            </w:pPr>
            <w:r w:rsidRPr="007F667F">
              <w:rPr>
                <w:rFonts w:ascii="Arial Narrow" w:hAnsi="Arial Narrow"/>
                <w:sz w:val="20"/>
                <w:szCs w:val="20"/>
              </w:rPr>
              <w:t>Has an inferior but manageable safety profile.</w:t>
            </w:r>
          </w:p>
        </w:tc>
      </w:tr>
    </w:tbl>
    <w:p w14:paraId="7C7D24EC" w14:textId="77777777" w:rsidR="00327047" w:rsidRDefault="00327047" w:rsidP="00A12328">
      <w:pPr>
        <w:pStyle w:val="TableFigureFooter"/>
        <w:spacing w:after="0"/>
      </w:pPr>
      <w:r>
        <w:t xml:space="preserve">Source: Table 1-1, p14 </w:t>
      </w:r>
      <w:r w:rsidRPr="00D13A3E">
        <w:t xml:space="preserve">of the </w:t>
      </w:r>
      <w:r>
        <w:t>submission.</w:t>
      </w:r>
    </w:p>
    <w:p w14:paraId="258E6B25" w14:textId="0EEB4990" w:rsidR="00327047" w:rsidRPr="001C2EC2" w:rsidRDefault="00327047" w:rsidP="00A12328">
      <w:pPr>
        <w:pStyle w:val="FooterTableFigure"/>
      </w:pPr>
      <w:r>
        <w:t>CRT=</w:t>
      </w:r>
      <w:r w:rsidRPr="00DE57D3">
        <w:t>Chemoradiation therapy</w:t>
      </w:r>
      <w:r>
        <w:t>;</w:t>
      </w:r>
      <w:r w:rsidRPr="00DE57D3">
        <w:t xml:space="preserve"> </w:t>
      </w:r>
      <w:r>
        <w:t xml:space="preserve">DCR=disease control rate; DoR=duration of response; </w:t>
      </w:r>
      <w:r w:rsidRPr="00766F0C">
        <w:rPr>
          <w:i/>
        </w:rPr>
        <w:t>EGFR</w:t>
      </w:r>
      <w:r>
        <w:t>=Epidermal growth factor receptor; HRQoL= health-related quality of life; NSCLC=non-small cell lung cancer; PFS=</w:t>
      </w:r>
      <w:r w:rsidRPr="00DE57D3">
        <w:t>Progression-free survival</w:t>
      </w:r>
      <w:r>
        <w:t>; ORR=objective response rate; OS=overall survival</w:t>
      </w:r>
    </w:p>
    <w:p w14:paraId="6B4AB6C2" w14:textId="7F01D731" w:rsidR="005C25FF" w:rsidRPr="00407F2D" w:rsidRDefault="005C25FF" w:rsidP="00A12328">
      <w:pPr>
        <w:pStyle w:val="2-SectionHeading"/>
      </w:pPr>
      <w:bookmarkStart w:id="5" w:name="_Toc198720628"/>
      <w:r w:rsidRPr="00407F2D">
        <w:t>Background</w:t>
      </w:r>
      <w:bookmarkEnd w:id="5"/>
    </w:p>
    <w:p w14:paraId="2C521D6D" w14:textId="78CF03EE" w:rsidR="005C25FF" w:rsidRPr="004151CF" w:rsidRDefault="005C25FF" w:rsidP="00A12328">
      <w:pPr>
        <w:pStyle w:val="4-SubsectionHeading"/>
      </w:pPr>
      <w:bookmarkStart w:id="6" w:name="_Toc22897638"/>
      <w:bookmarkStart w:id="7" w:name="_Toc198720629"/>
      <w:r w:rsidRPr="004151CF">
        <w:t>Registration status</w:t>
      </w:r>
      <w:bookmarkEnd w:id="6"/>
      <w:bookmarkEnd w:id="7"/>
    </w:p>
    <w:p w14:paraId="511ACCB3" w14:textId="26C51485" w:rsidR="00327047" w:rsidRDefault="00327047" w:rsidP="00A12328">
      <w:pPr>
        <w:pStyle w:val="3-BodyText"/>
      </w:pPr>
      <w:bookmarkStart w:id="8" w:name="_Toc22897639"/>
      <w:r w:rsidRPr="00245C4F">
        <w:t xml:space="preserve">Osimertinib </w:t>
      </w:r>
      <w:r w:rsidR="00C05163">
        <w:t>monotherapy</w:t>
      </w:r>
      <w:r w:rsidRPr="00245C4F">
        <w:t xml:space="preserve"> w</w:t>
      </w:r>
      <w:r w:rsidRPr="004E18E9">
        <w:t xml:space="preserve">as registered </w:t>
      </w:r>
      <w:r w:rsidR="0029177A">
        <w:t xml:space="preserve">with the Therapeutic Goods Administration (TGA) </w:t>
      </w:r>
      <w:r w:rsidRPr="004E18E9">
        <w:t xml:space="preserve">on </w:t>
      </w:r>
      <w:r>
        <w:t>November 28, 2024,</w:t>
      </w:r>
      <w:r w:rsidRPr="004E18E9">
        <w:t xml:space="preserve"> for </w:t>
      </w:r>
      <w:r w:rsidRPr="00245C4F">
        <w:t xml:space="preserve">‘the treatment of patients with locally advanced, unresectable (stage III) NSCLC whose tumours have activating </w:t>
      </w:r>
      <w:r w:rsidR="00C45A6D" w:rsidRPr="00C45A6D">
        <w:rPr>
          <w:i/>
        </w:rPr>
        <w:t>EGFR</w:t>
      </w:r>
      <w:r w:rsidRPr="00245C4F">
        <w:t xml:space="preserve"> mutations and </w:t>
      </w:r>
      <w:r w:rsidRPr="00245C4F">
        <w:lastRenderedPageBreak/>
        <w:t>whose disease has not progressed during or following platinum-based chemoradiation therapy.’</w:t>
      </w:r>
      <w:r>
        <w:t xml:space="preserve"> </w:t>
      </w:r>
    </w:p>
    <w:p w14:paraId="0C2BD30F" w14:textId="77777777" w:rsidR="00327047" w:rsidRPr="00621ADA" w:rsidRDefault="00327047" w:rsidP="00A12328">
      <w:pPr>
        <w:pStyle w:val="4-SubsectionHeading"/>
      </w:pPr>
      <w:bookmarkStart w:id="9" w:name="_Toc197514178"/>
      <w:bookmarkStart w:id="10" w:name="_Toc198720630"/>
      <w:r w:rsidRPr="00621ADA">
        <w:t>Previous PBAC consideration</w:t>
      </w:r>
      <w:bookmarkEnd w:id="9"/>
      <w:bookmarkEnd w:id="10"/>
    </w:p>
    <w:p w14:paraId="084CACBC" w14:textId="39FADC4B" w:rsidR="00327047" w:rsidRDefault="00327047" w:rsidP="00A12328">
      <w:pPr>
        <w:pStyle w:val="3-BodyText"/>
      </w:pPr>
      <w:r w:rsidRPr="00245C4F">
        <w:t xml:space="preserve">This </w:t>
      </w:r>
      <w:r>
        <w:t>wa</w:t>
      </w:r>
      <w:r w:rsidRPr="00245C4F">
        <w:t xml:space="preserve">s the first submission for osimertinib for the treatment of patients with unresectable locally advanced (Stage III) NSCLC with an </w:t>
      </w:r>
      <w:r w:rsidRPr="00CE7B73">
        <w:rPr>
          <w:i/>
        </w:rPr>
        <w:t>EGFR</w:t>
      </w:r>
      <w:r w:rsidRPr="00245C4F">
        <w:t xml:space="preserve"> pathogenic variant whose disease has not progressed during or following platinum-based CRT.</w:t>
      </w:r>
      <w:r w:rsidR="002B736C">
        <w:t xml:space="preserve"> </w:t>
      </w:r>
      <w:r w:rsidRPr="00245C4F">
        <w:t xml:space="preserve">Osimertinib is </w:t>
      </w:r>
      <w:r w:rsidR="008249CC">
        <w:t>currently</w:t>
      </w:r>
      <w:r w:rsidRPr="00245C4F">
        <w:t xml:space="preserve"> listed on the PBS as adjuvant therapy in </w:t>
      </w:r>
      <w:r w:rsidRPr="007352A6">
        <w:rPr>
          <w:i/>
        </w:rPr>
        <w:t>EGFR</w:t>
      </w:r>
      <w:r w:rsidRPr="00245C4F">
        <w:t xml:space="preserve"> pathogenic variant positive patients with resected Stage IB to IIIA NSCLC and for the first- and second-line treatment of advanced stage (IIIB to IV) </w:t>
      </w:r>
      <w:r w:rsidRPr="007352A6">
        <w:rPr>
          <w:i/>
        </w:rPr>
        <w:t>EGFR</w:t>
      </w:r>
      <w:r w:rsidRPr="00245C4F">
        <w:t xml:space="preserve"> pathogenic variant positive NSCLC. </w:t>
      </w:r>
      <w:r w:rsidRPr="007352A6">
        <w:rPr>
          <w:i/>
        </w:rPr>
        <w:t>EGFR</w:t>
      </w:r>
      <w:r w:rsidRPr="00245C4F">
        <w:t xml:space="preserve"> variant testing is required to determine osimertinib eligibility (</w:t>
      </w:r>
      <w:r w:rsidR="000D701A">
        <w:t>o</w:t>
      </w:r>
      <w:r w:rsidRPr="00245C4F">
        <w:t xml:space="preserve">simertinib PI]). </w:t>
      </w:r>
      <w:r w:rsidRPr="007352A6">
        <w:rPr>
          <w:i/>
        </w:rPr>
        <w:t>EGFR</w:t>
      </w:r>
      <w:r w:rsidRPr="00245C4F">
        <w:t xml:space="preserve"> variant testing in NSCLC is available under the MBS (item numbers 73437 and 73438) irrespective of the stage of NSCLC. </w:t>
      </w:r>
    </w:p>
    <w:p w14:paraId="151FA1D5" w14:textId="0163E5A0" w:rsidR="00816080" w:rsidRDefault="0003210E" w:rsidP="00A12328">
      <w:pPr>
        <w:pStyle w:val="3-BodyText"/>
      </w:pPr>
      <w:r>
        <w:t>Osimertinib for</w:t>
      </w:r>
      <w:r w:rsidR="00A019B6">
        <w:t xml:space="preserve"> the first line treatment of Stage IIIB (locally advanced) or Stage IV (metastatic) </w:t>
      </w:r>
      <w:r w:rsidR="0077121C" w:rsidRPr="007352A6">
        <w:rPr>
          <w:i/>
        </w:rPr>
        <w:t>EGFR</w:t>
      </w:r>
      <w:r w:rsidR="0077121C" w:rsidRPr="00245C4F">
        <w:t xml:space="preserve"> pathogenic variant positive </w:t>
      </w:r>
      <w:r w:rsidR="009734B8">
        <w:t xml:space="preserve">NSCLC </w:t>
      </w:r>
      <w:r w:rsidR="009734B8" w:rsidRPr="009734B8">
        <w:t>in combination with pemetrexed and platinum-based chemotherapy</w:t>
      </w:r>
      <w:r w:rsidR="00A759EB" w:rsidRPr="00A759EB">
        <w:t xml:space="preserve"> </w:t>
      </w:r>
      <w:r w:rsidR="00A759EB">
        <w:t>was also considered at the May 2025 PBAC meeting</w:t>
      </w:r>
      <w:r w:rsidR="009734B8">
        <w:t>.</w:t>
      </w:r>
      <w:r w:rsidR="00443F1D">
        <w:t xml:space="preserve"> The </w:t>
      </w:r>
      <w:r w:rsidR="00CB5918">
        <w:t>PBAC did not recommend osimertinib for this</w:t>
      </w:r>
      <w:r w:rsidR="00BD5E0C">
        <w:t xml:space="preserve"> </w:t>
      </w:r>
      <w:r w:rsidR="00A17622">
        <w:t>listing but</w:t>
      </w:r>
      <w:r w:rsidR="00BD5E0C">
        <w:t xml:space="preserve"> considered that the outstanding issues</w:t>
      </w:r>
      <w:r w:rsidR="007E3973">
        <w:t xml:space="preserve"> in the submission</w:t>
      </w:r>
      <w:r w:rsidR="00BD5E0C">
        <w:t xml:space="preserve"> could be addressed in an early re-entry submission</w:t>
      </w:r>
      <w:r w:rsidR="008504B9">
        <w:rPr>
          <w:rStyle w:val="FootnoteReference"/>
        </w:rPr>
        <w:footnoteReference w:id="2"/>
      </w:r>
      <w:r w:rsidR="00BD5E0C">
        <w:t xml:space="preserve">. </w:t>
      </w:r>
    </w:p>
    <w:p w14:paraId="7EEE0871" w14:textId="670D265C" w:rsidR="00C81397" w:rsidRDefault="00C81397" w:rsidP="00A12328">
      <w:pPr>
        <w:pStyle w:val="3-BodyText"/>
        <w:numPr>
          <w:ilvl w:val="0"/>
          <w:numId w:val="0"/>
        </w:numPr>
        <w:ind w:left="720"/>
      </w:pPr>
      <w:r w:rsidRPr="00C33D30">
        <w:rPr>
          <w:i/>
        </w:rPr>
        <w:t>For more detail on PBAC’s view, see section 7 PBAC outcome.</w:t>
      </w:r>
    </w:p>
    <w:p w14:paraId="3FA52481" w14:textId="6173F565" w:rsidR="00216E64" w:rsidRDefault="00B50DB8" w:rsidP="00A12328">
      <w:pPr>
        <w:pStyle w:val="2-SectionHeading"/>
      </w:pPr>
      <w:bookmarkStart w:id="11" w:name="_Toc107902078"/>
      <w:bookmarkStart w:id="12" w:name="_Toc198720631"/>
      <w:bookmarkEnd w:id="8"/>
      <w:bookmarkEnd w:id="11"/>
      <w:r w:rsidRPr="00407F2D">
        <w:t>Requested listing</w:t>
      </w:r>
      <w:bookmarkEnd w:id="12"/>
    </w:p>
    <w:p w14:paraId="042B4C72" w14:textId="788516F9" w:rsidR="001B7A65" w:rsidRDefault="002826B8" w:rsidP="00A12328">
      <w:pPr>
        <w:pStyle w:val="3-BodyText"/>
      </w:pPr>
      <w:r w:rsidRPr="00911028">
        <w:t xml:space="preserve">The requested listing is presented below.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689"/>
        <w:gridCol w:w="2062"/>
        <w:gridCol w:w="812"/>
        <w:gridCol w:w="811"/>
        <w:gridCol w:w="812"/>
        <w:gridCol w:w="1881"/>
      </w:tblGrid>
      <w:tr w:rsidR="00985F78" w:rsidRPr="00C42502" w14:paraId="4CF680F9" w14:textId="77777777" w:rsidTr="00985F78">
        <w:trPr>
          <w:cantSplit/>
          <w:trHeight w:val="20"/>
        </w:trPr>
        <w:tc>
          <w:tcPr>
            <w:tcW w:w="2689" w:type="dxa"/>
            <w:vAlign w:val="center"/>
          </w:tcPr>
          <w:p w14:paraId="4E3A23A0" w14:textId="77777777" w:rsidR="00985F78" w:rsidRPr="001428E9" w:rsidRDefault="00985F78" w:rsidP="00A12328">
            <w:pPr>
              <w:keepLines/>
              <w:rPr>
                <w:rFonts w:ascii="Arial Narrow" w:hAnsi="Arial Narrow"/>
                <w:b/>
                <w:bCs/>
                <w:sz w:val="20"/>
                <w:szCs w:val="20"/>
              </w:rPr>
            </w:pPr>
            <w:r w:rsidRPr="001428E9">
              <w:rPr>
                <w:rFonts w:ascii="Arial Narrow" w:hAnsi="Arial Narrow"/>
                <w:b/>
                <w:bCs/>
                <w:sz w:val="20"/>
                <w:szCs w:val="20"/>
              </w:rPr>
              <w:t>MEDICINAL PRODUCT</w:t>
            </w:r>
          </w:p>
          <w:p w14:paraId="27757FF4" w14:textId="77777777" w:rsidR="00985F78" w:rsidRPr="001428E9" w:rsidRDefault="00985F78" w:rsidP="00A12328">
            <w:pPr>
              <w:keepLines/>
              <w:rPr>
                <w:rFonts w:ascii="Arial Narrow" w:hAnsi="Arial Narrow"/>
                <w:b/>
                <w:sz w:val="20"/>
                <w:szCs w:val="20"/>
              </w:rPr>
            </w:pPr>
            <w:r w:rsidRPr="001428E9">
              <w:rPr>
                <w:rFonts w:ascii="Arial Narrow" w:hAnsi="Arial Narrow"/>
                <w:b/>
                <w:bCs/>
                <w:sz w:val="20"/>
                <w:szCs w:val="20"/>
              </w:rPr>
              <w:t>medicinal product pack</w:t>
            </w:r>
          </w:p>
        </w:tc>
        <w:tc>
          <w:tcPr>
            <w:tcW w:w="2062" w:type="dxa"/>
            <w:vAlign w:val="center"/>
          </w:tcPr>
          <w:p w14:paraId="61BA6A69" w14:textId="77777777" w:rsidR="00985F78" w:rsidRPr="00C61A59" w:rsidRDefault="00985F78" w:rsidP="00A12328">
            <w:pPr>
              <w:pStyle w:val="TableText0"/>
              <w:rPr>
                <w:b/>
                <w:bCs w:val="0"/>
                <w:szCs w:val="20"/>
              </w:rPr>
            </w:pPr>
            <w:r w:rsidRPr="00C61A59">
              <w:rPr>
                <w:b/>
                <w:bCs w:val="0"/>
                <w:snapToGrid w:val="0"/>
              </w:rPr>
              <w:t xml:space="preserve">Dispensed Price for Max. Qty </w:t>
            </w:r>
          </w:p>
        </w:tc>
        <w:tc>
          <w:tcPr>
            <w:tcW w:w="812" w:type="dxa"/>
            <w:vAlign w:val="center"/>
          </w:tcPr>
          <w:p w14:paraId="479135E1" w14:textId="77777777" w:rsidR="00985F78" w:rsidRPr="001428E9" w:rsidRDefault="00985F78" w:rsidP="00A12328">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28CCDC9F" w14:textId="77777777" w:rsidR="00985F78" w:rsidRPr="001428E9" w:rsidRDefault="00985F78" w:rsidP="00A12328">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5638781B" w14:textId="77777777" w:rsidR="00985F78" w:rsidRPr="001428E9" w:rsidRDefault="00985F78" w:rsidP="00A12328">
            <w:pPr>
              <w:keepLines/>
              <w:jc w:val="center"/>
              <w:rPr>
                <w:rFonts w:ascii="Arial Narrow" w:hAnsi="Arial Narrow"/>
                <w:b/>
                <w:sz w:val="20"/>
                <w:szCs w:val="20"/>
              </w:rPr>
            </w:pPr>
            <w:r w:rsidRPr="001428E9">
              <w:rPr>
                <w:rFonts w:ascii="Arial Narrow" w:hAnsi="Arial Narrow"/>
                <w:b/>
                <w:sz w:val="20"/>
                <w:szCs w:val="20"/>
              </w:rPr>
              <w:t>№.of</w:t>
            </w:r>
          </w:p>
          <w:p w14:paraId="4F64946D" w14:textId="77777777" w:rsidR="00985F78" w:rsidRPr="001428E9" w:rsidRDefault="00985F78" w:rsidP="00A12328">
            <w:pPr>
              <w:keepLines/>
              <w:jc w:val="center"/>
              <w:rPr>
                <w:rFonts w:ascii="Arial Narrow" w:hAnsi="Arial Narrow"/>
                <w:b/>
                <w:sz w:val="20"/>
                <w:szCs w:val="20"/>
              </w:rPr>
            </w:pPr>
            <w:r w:rsidRPr="001428E9">
              <w:rPr>
                <w:rFonts w:ascii="Arial Narrow" w:hAnsi="Arial Narrow"/>
                <w:b/>
                <w:sz w:val="20"/>
                <w:szCs w:val="20"/>
              </w:rPr>
              <w:t>Rpts</w:t>
            </w:r>
          </w:p>
        </w:tc>
        <w:tc>
          <w:tcPr>
            <w:tcW w:w="1881" w:type="dxa"/>
            <w:vAlign w:val="center"/>
          </w:tcPr>
          <w:p w14:paraId="609EF3A9" w14:textId="77777777" w:rsidR="00985F78" w:rsidRPr="00C42502" w:rsidRDefault="00985F78" w:rsidP="00A12328">
            <w:pPr>
              <w:keepLines/>
              <w:rPr>
                <w:rFonts w:ascii="Arial Narrow" w:hAnsi="Arial Narrow"/>
                <w:b/>
                <w:sz w:val="20"/>
                <w:szCs w:val="20"/>
              </w:rPr>
            </w:pPr>
            <w:r w:rsidRPr="001428E9">
              <w:rPr>
                <w:rFonts w:ascii="Arial Narrow" w:hAnsi="Arial Narrow"/>
                <w:b/>
                <w:sz w:val="20"/>
                <w:szCs w:val="20"/>
              </w:rPr>
              <w:t>Available brands</w:t>
            </w:r>
          </w:p>
        </w:tc>
      </w:tr>
      <w:tr w:rsidR="00985F78" w:rsidRPr="001428E9" w14:paraId="56AC6D65" w14:textId="77777777" w:rsidTr="00985F78">
        <w:trPr>
          <w:cantSplit/>
          <w:trHeight w:val="20"/>
        </w:trPr>
        <w:tc>
          <w:tcPr>
            <w:tcW w:w="9067" w:type="dxa"/>
            <w:gridSpan w:val="6"/>
            <w:vAlign w:val="center"/>
          </w:tcPr>
          <w:p w14:paraId="27BE9D7C" w14:textId="77777777" w:rsidR="00985F78" w:rsidRPr="001428E9" w:rsidRDefault="00985F78" w:rsidP="00A12328">
            <w:pPr>
              <w:pStyle w:val="TableText0"/>
              <w:rPr>
                <w:rFonts w:cs="Arial"/>
                <w:szCs w:val="20"/>
              </w:rPr>
            </w:pPr>
            <w:r>
              <w:t>OSIMERTINIB</w:t>
            </w:r>
            <w:r w:rsidRPr="003A4C14">
              <w:rPr>
                <w:rFonts w:cs="Arial"/>
                <w:color w:val="0066FF"/>
                <w:szCs w:val="20"/>
              </w:rPr>
              <w:t xml:space="preserve"> </w:t>
            </w:r>
          </w:p>
        </w:tc>
      </w:tr>
      <w:tr w:rsidR="00985F78" w:rsidRPr="003A4C14" w14:paraId="511356B1" w14:textId="77777777" w:rsidTr="00985F78">
        <w:trPr>
          <w:cantSplit/>
          <w:trHeight w:val="20"/>
        </w:trPr>
        <w:tc>
          <w:tcPr>
            <w:tcW w:w="2689" w:type="dxa"/>
            <w:vAlign w:val="center"/>
          </w:tcPr>
          <w:p w14:paraId="2FEDA33E" w14:textId="77777777" w:rsidR="00985F78" w:rsidRPr="003A4C14" w:rsidRDefault="00985F78" w:rsidP="00A12328">
            <w:pPr>
              <w:keepLines/>
              <w:rPr>
                <w:rFonts w:ascii="Arial Narrow" w:hAnsi="Arial Narrow"/>
                <w:color w:val="0066FF"/>
                <w:sz w:val="20"/>
                <w:szCs w:val="20"/>
              </w:rPr>
            </w:pPr>
            <w:r w:rsidRPr="00EA666F">
              <w:rPr>
                <w:rFonts w:ascii="Arial Narrow" w:eastAsiaTheme="majorEastAsia" w:hAnsi="Arial Narrow" w:cstheme="majorBidi"/>
                <w:bCs/>
                <w:sz w:val="20"/>
              </w:rPr>
              <w:t>Osimertinib 80 mg tablet, 30</w:t>
            </w:r>
          </w:p>
        </w:tc>
        <w:tc>
          <w:tcPr>
            <w:tcW w:w="2062" w:type="dxa"/>
          </w:tcPr>
          <w:p w14:paraId="4A9C5C69" w14:textId="77777777" w:rsidR="00985F78" w:rsidRDefault="00985F78" w:rsidP="00A12328">
            <w:pPr>
              <w:pStyle w:val="TableText0"/>
              <w:jc w:val="center"/>
            </w:pPr>
            <w:r w:rsidRPr="008704AB">
              <w:t>$7582.10 published</w:t>
            </w:r>
            <w:r>
              <w:t xml:space="preserve"> price</w:t>
            </w:r>
          </w:p>
          <w:p w14:paraId="6B920EA5" w14:textId="13697DFD" w:rsidR="00985F78" w:rsidRPr="001428E9" w:rsidRDefault="00985F78" w:rsidP="00A12328">
            <w:pPr>
              <w:pStyle w:val="TableText0"/>
              <w:jc w:val="center"/>
              <w:rPr>
                <w:szCs w:val="20"/>
              </w:rPr>
            </w:pPr>
            <w:r>
              <w:t>$</w:t>
            </w:r>
            <w:r w:rsidR="00B50819" w:rsidRPr="00B50819">
              <w:rPr>
                <w:color w:val="000000"/>
                <w:spacing w:val="53"/>
                <w:shd w:val="solid" w:color="000000" w:fill="000000"/>
                <w:fitText w:val="330" w:id="-628958976"/>
                <w14:textFill>
                  <w14:solidFill>
                    <w14:srgbClr w14:val="000000">
                      <w14:alpha w14:val="100000"/>
                    </w14:srgbClr>
                  </w14:solidFill>
                </w14:textFill>
              </w:rPr>
              <w:t>|||</w:t>
            </w:r>
            <w:r w:rsidR="00B50819" w:rsidRPr="00B50819">
              <w:rPr>
                <w:color w:val="000000"/>
                <w:spacing w:val="1"/>
                <w:shd w:val="solid" w:color="000000" w:fill="000000"/>
                <w:fitText w:val="330" w:id="-628958976"/>
                <w14:textFill>
                  <w14:solidFill>
                    <w14:srgbClr w14:val="000000">
                      <w14:alpha w14:val="100000"/>
                    </w14:srgbClr>
                  </w14:solidFill>
                </w14:textFill>
              </w:rPr>
              <w:t>|</w:t>
            </w:r>
            <w:r>
              <w:t xml:space="preserve"> effective price</w:t>
            </w:r>
          </w:p>
        </w:tc>
        <w:tc>
          <w:tcPr>
            <w:tcW w:w="812" w:type="dxa"/>
            <w:vAlign w:val="center"/>
          </w:tcPr>
          <w:p w14:paraId="5D48BC5C" w14:textId="77777777" w:rsidR="00985F78" w:rsidRPr="001428E9" w:rsidRDefault="00985F78" w:rsidP="00A12328">
            <w:pPr>
              <w:keepLines/>
              <w:jc w:val="center"/>
              <w:rPr>
                <w:rFonts w:ascii="Arial Narrow" w:hAnsi="Arial Narrow"/>
                <w:sz w:val="20"/>
                <w:szCs w:val="20"/>
              </w:rPr>
            </w:pPr>
            <w:r w:rsidRPr="0024148F">
              <w:rPr>
                <w:rFonts w:ascii="Arial Narrow" w:hAnsi="Arial Narrow"/>
                <w:sz w:val="20"/>
              </w:rPr>
              <w:t>1</w:t>
            </w:r>
          </w:p>
        </w:tc>
        <w:tc>
          <w:tcPr>
            <w:tcW w:w="811" w:type="dxa"/>
            <w:vAlign w:val="center"/>
          </w:tcPr>
          <w:p w14:paraId="4A6F0F54" w14:textId="77777777" w:rsidR="00985F78" w:rsidRPr="001428E9" w:rsidRDefault="00985F78" w:rsidP="00A12328">
            <w:pPr>
              <w:keepLines/>
              <w:jc w:val="center"/>
              <w:rPr>
                <w:rFonts w:ascii="Arial Narrow" w:hAnsi="Arial Narrow"/>
                <w:sz w:val="20"/>
                <w:szCs w:val="20"/>
              </w:rPr>
            </w:pPr>
            <w:r w:rsidRPr="0024148F">
              <w:rPr>
                <w:rFonts w:ascii="Arial Narrow" w:hAnsi="Arial Narrow"/>
                <w:sz w:val="20"/>
              </w:rPr>
              <w:t>30</w:t>
            </w:r>
          </w:p>
        </w:tc>
        <w:tc>
          <w:tcPr>
            <w:tcW w:w="812" w:type="dxa"/>
            <w:vAlign w:val="center"/>
          </w:tcPr>
          <w:p w14:paraId="21ABF7AA" w14:textId="77777777" w:rsidR="00985F78" w:rsidRPr="001428E9" w:rsidRDefault="00985F78" w:rsidP="00A12328">
            <w:pPr>
              <w:keepLines/>
              <w:jc w:val="center"/>
              <w:rPr>
                <w:rFonts w:ascii="Arial Narrow" w:hAnsi="Arial Narrow"/>
                <w:sz w:val="20"/>
                <w:szCs w:val="20"/>
              </w:rPr>
            </w:pPr>
            <w:r w:rsidRPr="0024148F">
              <w:rPr>
                <w:rFonts w:ascii="Arial Narrow" w:hAnsi="Arial Narrow"/>
                <w:sz w:val="20"/>
              </w:rPr>
              <w:t>5</w:t>
            </w:r>
          </w:p>
        </w:tc>
        <w:tc>
          <w:tcPr>
            <w:tcW w:w="1881" w:type="dxa"/>
            <w:vAlign w:val="center"/>
          </w:tcPr>
          <w:p w14:paraId="5D48E8AF" w14:textId="77777777" w:rsidR="00985F78" w:rsidRPr="003A4C14" w:rsidRDefault="00985F78" w:rsidP="00A12328">
            <w:pPr>
              <w:keepLines/>
              <w:rPr>
                <w:rFonts w:ascii="Arial Narrow" w:hAnsi="Arial Narrow"/>
                <w:color w:val="0066FF"/>
                <w:sz w:val="20"/>
                <w:szCs w:val="20"/>
              </w:rPr>
            </w:pPr>
            <w:r w:rsidRPr="0024148F">
              <w:rPr>
                <w:rFonts w:ascii="Arial Narrow" w:hAnsi="Arial Narrow"/>
                <w:sz w:val="20"/>
                <w:szCs w:val="20"/>
              </w:rPr>
              <w:t>Tagrisso</w:t>
            </w:r>
          </w:p>
        </w:tc>
      </w:tr>
      <w:tr w:rsidR="00985F78" w:rsidRPr="003A4C14" w14:paraId="76C38201" w14:textId="77777777" w:rsidTr="00985F78">
        <w:trPr>
          <w:cantSplit/>
          <w:trHeight w:val="20"/>
        </w:trPr>
        <w:tc>
          <w:tcPr>
            <w:tcW w:w="2689" w:type="dxa"/>
            <w:vAlign w:val="center"/>
          </w:tcPr>
          <w:p w14:paraId="6DF1AB53" w14:textId="77777777" w:rsidR="00985F78" w:rsidRPr="003A4C14" w:rsidRDefault="00985F78" w:rsidP="00A12328">
            <w:pPr>
              <w:keepLines/>
              <w:rPr>
                <w:rFonts w:ascii="Arial Narrow" w:hAnsi="Arial Narrow"/>
                <w:color w:val="0066FF"/>
                <w:sz w:val="20"/>
                <w:szCs w:val="20"/>
              </w:rPr>
            </w:pPr>
            <w:r w:rsidRPr="0024148F">
              <w:rPr>
                <w:rFonts w:ascii="Arial Narrow" w:hAnsi="Arial Narrow"/>
                <w:sz w:val="20"/>
                <w:szCs w:val="20"/>
              </w:rPr>
              <w:t>Osimertinib 40 mg tablet, 30</w:t>
            </w:r>
          </w:p>
        </w:tc>
        <w:tc>
          <w:tcPr>
            <w:tcW w:w="2062" w:type="dxa"/>
          </w:tcPr>
          <w:p w14:paraId="6B4685FC" w14:textId="77777777" w:rsidR="00985F78" w:rsidRPr="0024148F" w:rsidRDefault="00985F78" w:rsidP="00A12328">
            <w:pPr>
              <w:pStyle w:val="TableText0"/>
              <w:keepLines/>
              <w:jc w:val="center"/>
            </w:pPr>
            <w:r w:rsidRPr="008704AB">
              <w:t>$7582.10 published</w:t>
            </w:r>
            <w:r w:rsidRPr="0024148F">
              <w:t xml:space="preserve"> price</w:t>
            </w:r>
          </w:p>
          <w:p w14:paraId="0B8F180D" w14:textId="7C8335F0" w:rsidR="00985F78" w:rsidRPr="001428E9" w:rsidRDefault="00985F78" w:rsidP="00A12328">
            <w:pPr>
              <w:pStyle w:val="TableText0"/>
              <w:jc w:val="center"/>
              <w:rPr>
                <w:szCs w:val="20"/>
              </w:rPr>
            </w:pPr>
            <w:r w:rsidRPr="0024148F">
              <w:t>$</w:t>
            </w:r>
            <w:r w:rsidR="00B50819" w:rsidRPr="00B50819">
              <w:rPr>
                <w:color w:val="000000"/>
                <w:spacing w:val="53"/>
                <w:shd w:val="solid" w:color="000000" w:fill="000000"/>
                <w:fitText w:val="330" w:id="-628958975"/>
                <w14:textFill>
                  <w14:solidFill>
                    <w14:srgbClr w14:val="000000">
                      <w14:alpha w14:val="100000"/>
                    </w14:srgbClr>
                  </w14:solidFill>
                </w14:textFill>
              </w:rPr>
              <w:t>|||</w:t>
            </w:r>
            <w:r w:rsidR="00B50819" w:rsidRPr="00B50819">
              <w:rPr>
                <w:color w:val="000000"/>
                <w:spacing w:val="1"/>
                <w:shd w:val="solid" w:color="000000" w:fill="000000"/>
                <w:fitText w:val="330" w:id="-628958975"/>
                <w14:textFill>
                  <w14:solidFill>
                    <w14:srgbClr w14:val="000000">
                      <w14:alpha w14:val="100000"/>
                    </w14:srgbClr>
                  </w14:solidFill>
                </w14:textFill>
              </w:rPr>
              <w:t>|</w:t>
            </w:r>
            <w:r w:rsidRPr="0024148F">
              <w:t xml:space="preserve"> effective price</w:t>
            </w:r>
          </w:p>
        </w:tc>
        <w:tc>
          <w:tcPr>
            <w:tcW w:w="812" w:type="dxa"/>
            <w:vAlign w:val="center"/>
          </w:tcPr>
          <w:p w14:paraId="0B9A55CF" w14:textId="77777777" w:rsidR="00985F78" w:rsidRPr="001428E9" w:rsidRDefault="00985F78" w:rsidP="00A12328">
            <w:pPr>
              <w:keepLines/>
              <w:jc w:val="center"/>
              <w:rPr>
                <w:rFonts w:ascii="Arial Narrow" w:hAnsi="Arial Narrow"/>
                <w:sz w:val="20"/>
                <w:szCs w:val="20"/>
              </w:rPr>
            </w:pPr>
            <w:r w:rsidRPr="0024148F">
              <w:rPr>
                <w:rFonts w:ascii="Arial Narrow" w:hAnsi="Arial Narrow"/>
                <w:sz w:val="20"/>
              </w:rPr>
              <w:t>1</w:t>
            </w:r>
          </w:p>
        </w:tc>
        <w:tc>
          <w:tcPr>
            <w:tcW w:w="811" w:type="dxa"/>
            <w:vAlign w:val="center"/>
          </w:tcPr>
          <w:p w14:paraId="3ADAAAAF" w14:textId="77777777" w:rsidR="00985F78" w:rsidRPr="001428E9" w:rsidRDefault="00985F78" w:rsidP="00A12328">
            <w:pPr>
              <w:keepLines/>
              <w:jc w:val="center"/>
              <w:rPr>
                <w:rFonts w:ascii="Arial Narrow" w:hAnsi="Arial Narrow"/>
                <w:sz w:val="20"/>
                <w:szCs w:val="20"/>
              </w:rPr>
            </w:pPr>
            <w:r w:rsidRPr="0024148F">
              <w:rPr>
                <w:rFonts w:ascii="Arial Narrow" w:hAnsi="Arial Narrow"/>
                <w:sz w:val="20"/>
              </w:rPr>
              <w:t>30</w:t>
            </w:r>
          </w:p>
        </w:tc>
        <w:tc>
          <w:tcPr>
            <w:tcW w:w="812" w:type="dxa"/>
            <w:vAlign w:val="center"/>
          </w:tcPr>
          <w:p w14:paraId="71D2D629" w14:textId="77777777" w:rsidR="00985F78" w:rsidRPr="001428E9" w:rsidRDefault="00985F78" w:rsidP="00A12328">
            <w:pPr>
              <w:keepLines/>
              <w:jc w:val="center"/>
              <w:rPr>
                <w:rFonts w:ascii="Arial Narrow" w:hAnsi="Arial Narrow"/>
                <w:sz w:val="20"/>
                <w:szCs w:val="20"/>
              </w:rPr>
            </w:pPr>
            <w:r w:rsidRPr="0024148F">
              <w:rPr>
                <w:rFonts w:ascii="Arial Narrow" w:hAnsi="Arial Narrow"/>
                <w:sz w:val="20"/>
              </w:rPr>
              <w:t>5</w:t>
            </w:r>
          </w:p>
        </w:tc>
        <w:tc>
          <w:tcPr>
            <w:tcW w:w="1881" w:type="dxa"/>
            <w:vAlign w:val="center"/>
          </w:tcPr>
          <w:p w14:paraId="406ED3E3" w14:textId="77777777" w:rsidR="00985F78" w:rsidRPr="003A4C14" w:rsidRDefault="00985F78" w:rsidP="00A12328">
            <w:pPr>
              <w:keepLines/>
              <w:rPr>
                <w:rFonts w:ascii="Arial Narrow" w:hAnsi="Arial Narrow"/>
                <w:color w:val="0066FF"/>
                <w:sz w:val="20"/>
                <w:szCs w:val="20"/>
              </w:rPr>
            </w:pPr>
            <w:r w:rsidRPr="0024148F">
              <w:rPr>
                <w:rFonts w:ascii="Arial Narrow" w:hAnsi="Arial Narrow"/>
                <w:sz w:val="20"/>
                <w:szCs w:val="20"/>
              </w:rPr>
              <w:t>Tagrisso</w:t>
            </w:r>
          </w:p>
        </w:tc>
      </w:tr>
      <w:tr w:rsidR="00E232D1" w:rsidRPr="00046D64" w14:paraId="0A86092A"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tcPr>
          <w:p w14:paraId="5F3B8C66" w14:textId="77777777" w:rsidR="00E232D1" w:rsidRPr="00046D64" w:rsidRDefault="00E232D1" w:rsidP="00A12328">
            <w:pPr>
              <w:pStyle w:val="TableText0"/>
              <w:keepNext w:val="0"/>
            </w:pPr>
            <w:r w:rsidRPr="00046D64">
              <w:rPr>
                <w:b/>
              </w:rPr>
              <w:t xml:space="preserve">Category / Program: </w:t>
            </w:r>
            <w:r>
              <w:t>General Schedule</w:t>
            </w:r>
          </w:p>
        </w:tc>
      </w:tr>
      <w:tr w:rsidR="00E232D1" w:rsidRPr="00046D64" w14:paraId="2FC26AB2"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tcPr>
          <w:p w14:paraId="531A3725" w14:textId="77777777" w:rsidR="00E232D1" w:rsidRPr="00046D64" w:rsidRDefault="00E232D1" w:rsidP="00A12328">
            <w:pPr>
              <w:pStyle w:val="TableText0"/>
              <w:keepNext w:val="0"/>
              <w:rPr>
                <w:b/>
              </w:rPr>
            </w:pPr>
            <w:r w:rsidRPr="00046D64">
              <w:rPr>
                <w:b/>
              </w:rPr>
              <w:t xml:space="preserve">Prescriber type: </w:t>
            </w:r>
            <w:r w:rsidRPr="00BF4C48">
              <w:rPr>
                <w:shd w:val="clear" w:color="auto" w:fill="FFFFFF" w:themeFill="background1"/>
              </w:rPr>
              <w:fldChar w:fldCharType="begin">
                <w:ffData>
                  <w:name w:val=""/>
                  <w:enabled/>
                  <w:calcOnExit w:val="0"/>
                  <w:checkBox>
                    <w:sizeAuto/>
                    <w:default w:val="1"/>
                  </w:checkBox>
                </w:ffData>
              </w:fldChar>
            </w:r>
            <w:r w:rsidRPr="00BF4C48">
              <w:rPr>
                <w:shd w:val="clear" w:color="auto" w:fill="FFFFFF" w:themeFill="background1"/>
              </w:rPr>
              <w:instrText xml:space="preserve"> FORMCHECKBOX </w:instrText>
            </w:r>
            <w:r w:rsidRPr="00BF4C48">
              <w:rPr>
                <w:shd w:val="clear" w:color="auto" w:fill="FFFFFF" w:themeFill="background1"/>
              </w:rPr>
            </w:r>
            <w:r w:rsidRPr="00BF4C48">
              <w:rPr>
                <w:shd w:val="clear" w:color="auto" w:fill="FFFFFF" w:themeFill="background1"/>
              </w:rPr>
              <w:fldChar w:fldCharType="separate"/>
            </w:r>
            <w:r w:rsidRPr="00BF4C48">
              <w:rPr>
                <w:shd w:val="clear" w:color="auto" w:fill="FFFFFF" w:themeFill="background1"/>
              </w:rPr>
              <w:fldChar w:fldCharType="end"/>
            </w:r>
            <w:r w:rsidRPr="00BF4C48">
              <w:rPr>
                <w:shd w:val="clear" w:color="auto" w:fill="FFFFFF" w:themeFill="background1"/>
              </w:rPr>
              <w:t>Medical</w:t>
            </w:r>
            <w:r w:rsidRPr="00046D64">
              <w:t xml:space="preserve"> Practitioners</w:t>
            </w:r>
          </w:p>
        </w:tc>
      </w:tr>
      <w:tr w:rsidR="00E232D1" w:rsidRPr="00046D64" w14:paraId="747ACC34"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tcPr>
          <w:p w14:paraId="508409DA" w14:textId="77777777" w:rsidR="00E232D1" w:rsidRPr="00046D64" w:rsidRDefault="00E232D1" w:rsidP="00A12328">
            <w:pPr>
              <w:pStyle w:val="TableText0"/>
              <w:keepNext w:val="0"/>
              <w:rPr>
                <w:rFonts w:eastAsia="Times New Roman"/>
              </w:rPr>
            </w:pPr>
            <w:r w:rsidRPr="00046D64">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046D64">
              <w:rPr>
                <w:rFonts w:eastAsia="Times New Roman"/>
              </w:rPr>
              <w:t>Authority Required (telephone/online PBS Authorities system)</w:t>
            </w:r>
          </w:p>
        </w:tc>
      </w:tr>
      <w:tr w:rsidR="00E232D1" w:rsidRPr="00046D64" w14:paraId="5916D1D8"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5F8E931" w14:textId="77777777" w:rsidR="00E232D1" w:rsidRPr="00046D64" w:rsidRDefault="00E232D1" w:rsidP="00A12328">
            <w:pPr>
              <w:pStyle w:val="TableText0"/>
              <w:keepNext w:val="0"/>
              <w:rPr>
                <w:b/>
              </w:rPr>
            </w:pPr>
            <w:r w:rsidRPr="00046D64">
              <w:rPr>
                <w:b/>
              </w:rPr>
              <w:t xml:space="preserve">Severity: </w:t>
            </w:r>
            <w:r w:rsidRPr="00BF4C48">
              <w:rPr>
                <w:bCs w:val="0"/>
              </w:rPr>
              <w:t>Unresectable</w:t>
            </w:r>
            <w:r>
              <w:rPr>
                <w:bCs w:val="0"/>
              </w:rPr>
              <w:t xml:space="preserve"> Stage III</w:t>
            </w:r>
          </w:p>
        </w:tc>
      </w:tr>
      <w:tr w:rsidR="00E232D1" w:rsidRPr="00046D64" w14:paraId="6BFBAEA2"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B7D2B87" w14:textId="77777777" w:rsidR="00E232D1" w:rsidRPr="00046D64" w:rsidRDefault="00E232D1" w:rsidP="00A12328">
            <w:pPr>
              <w:pStyle w:val="TableText0"/>
              <w:keepNext w:val="0"/>
              <w:rPr>
                <w:b/>
              </w:rPr>
            </w:pPr>
            <w:r w:rsidRPr="00046D64">
              <w:rPr>
                <w:b/>
              </w:rPr>
              <w:t xml:space="preserve">Condition: </w:t>
            </w:r>
            <w:r w:rsidRPr="00617523">
              <w:rPr>
                <w:bCs w:val="0"/>
              </w:rPr>
              <w:t>N</w:t>
            </w:r>
            <w:r>
              <w:rPr>
                <w:rFonts w:cs="Arial"/>
                <w:lang w:bidi="en-US"/>
              </w:rPr>
              <w:t>on-small cell lung cancer (NSCLC)</w:t>
            </w:r>
          </w:p>
        </w:tc>
      </w:tr>
      <w:tr w:rsidR="00E232D1" w:rsidRPr="00046D64" w14:paraId="6A9FAEF8"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1677FD4" w14:textId="77777777" w:rsidR="00E232D1" w:rsidRPr="00046D64" w:rsidRDefault="00E232D1" w:rsidP="00A12328">
            <w:pPr>
              <w:pStyle w:val="TableText0"/>
              <w:keepNext w:val="0"/>
            </w:pPr>
            <w:r w:rsidRPr="00046D64">
              <w:rPr>
                <w:b/>
              </w:rPr>
              <w:t>Indication:</w:t>
            </w:r>
            <w:r w:rsidRPr="00046D64">
              <w:t xml:space="preserve"> </w:t>
            </w:r>
            <w:r>
              <w:rPr>
                <w:rFonts w:cs="Arial"/>
                <w:lang w:bidi="en-US"/>
              </w:rPr>
              <w:t>Unresectable locally advanced (Stage III) non-small cell lung cancer (NSCLC)</w:t>
            </w:r>
          </w:p>
        </w:tc>
      </w:tr>
      <w:tr w:rsidR="00E232D1" w:rsidRPr="00046D64" w14:paraId="5B773460"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B0860D3" w14:textId="77777777" w:rsidR="00E232D1" w:rsidRPr="00046D64" w:rsidRDefault="00E232D1" w:rsidP="00A12328">
            <w:pPr>
              <w:pStyle w:val="TableText0"/>
              <w:keepNext w:val="0"/>
            </w:pPr>
            <w:r w:rsidRPr="00046D64">
              <w:rPr>
                <w:b/>
              </w:rPr>
              <w:t>Treatment Phase:</w:t>
            </w:r>
            <w:r w:rsidRPr="00046D64">
              <w:t xml:space="preserve"> </w:t>
            </w:r>
            <w:r w:rsidRPr="00BF4C48">
              <w:t>I</w:t>
            </w:r>
            <w:r w:rsidRPr="00BF4C48">
              <w:rPr>
                <w:bCs w:val="0"/>
              </w:rPr>
              <w:t>nitial</w:t>
            </w:r>
            <w:r>
              <w:rPr>
                <w:bCs w:val="0"/>
              </w:rPr>
              <w:t xml:space="preserve"> treatment</w:t>
            </w:r>
          </w:p>
        </w:tc>
      </w:tr>
      <w:tr w:rsidR="00E232D1" w:rsidRPr="00046D64" w14:paraId="1E4CAE82"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72129C9" w14:textId="77777777" w:rsidR="00E232D1" w:rsidRPr="00046D64" w:rsidRDefault="00E232D1" w:rsidP="00A12328">
            <w:pPr>
              <w:pStyle w:val="TableText0"/>
              <w:keepNext w:val="0"/>
            </w:pPr>
            <w:r w:rsidRPr="00046D64">
              <w:rPr>
                <w:b/>
              </w:rPr>
              <w:t>Clinical criteria:</w:t>
            </w:r>
          </w:p>
        </w:tc>
      </w:tr>
      <w:tr w:rsidR="00E232D1" w:rsidRPr="00046D64" w14:paraId="31A5158D"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ECF6453" w14:textId="77777777" w:rsidR="00E232D1" w:rsidRPr="00BF4C48" w:rsidRDefault="00E232D1" w:rsidP="00A12328">
            <w:pPr>
              <w:pStyle w:val="TableText0"/>
              <w:keepNext w:val="0"/>
            </w:pPr>
            <w:r w:rsidRPr="00BF4C48">
              <w:lastRenderedPageBreak/>
              <w:t>Patient must have received platinum-based chemoradiation therapy (CRT)</w:t>
            </w:r>
          </w:p>
          <w:p w14:paraId="7548BFB5" w14:textId="77777777" w:rsidR="00E232D1" w:rsidRPr="00BF4C48" w:rsidRDefault="00E232D1" w:rsidP="00A12328">
            <w:pPr>
              <w:pStyle w:val="TableText0"/>
              <w:keepNext w:val="0"/>
              <w:rPr>
                <w:b/>
              </w:rPr>
            </w:pPr>
            <w:r w:rsidRPr="00BF4C48">
              <w:rPr>
                <w:b/>
              </w:rPr>
              <w:t>AND</w:t>
            </w:r>
          </w:p>
          <w:p w14:paraId="02EF70D4" w14:textId="77777777" w:rsidR="00E232D1" w:rsidRPr="00BF4C48" w:rsidRDefault="00E232D1" w:rsidP="00A12328">
            <w:pPr>
              <w:pStyle w:val="TableText0"/>
              <w:keepNext w:val="0"/>
            </w:pPr>
            <w:r w:rsidRPr="00BF4C48">
              <w:t>The condition must not have progressed during or following platinum-based CRT</w:t>
            </w:r>
          </w:p>
          <w:p w14:paraId="36C8220C" w14:textId="77777777" w:rsidR="00E232D1" w:rsidRPr="00BF4C48" w:rsidRDefault="00E232D1" w:rsidP="00A12328">
            <w:pPr>
              <w:pStyle w:val="TableText0"/>
              <w:keepNext w:val="0"/>
              <w:rPr>
                <w:b/>
              </w:rPr>
            </w:pPr>
            <w:r w:rsidRPr="00BF4C48">
              <w:rPr>
                <w:b/>
              </w:rPr>
              <w:t>AND</w:t>
            </w:r>
          </w:p>
          <w:p w14:paraId="36CF0692" w14:textId="77777777" w:rsidR="00E232D1" w:rsidRPr="00BF4C48" w:rsidRDefault="00E232D1" w:rsidP="00A12328">
            <w:pPr>
              <w:pStyle w:val="TableText0"/>
              <w:keepNext w:val="0"/>
            </w:pPr>
            <w:r w:rsidRPr="00BF4C48">
              <w:t xml:space="preserve">Patient must have a WHO performance status of 2 or less, </w:t>
            </w:r>
          </w:p>
          <w:p w14:paraId="3F3BE236" w14:textId="77777777" w:rsidR="00E232D1" w:rsidRPr="00BF4C48" w:rsidRDefault="00E232D1" w:rsidP="00A12328">
            <w:pPr>
              <w:pStyle w:val="TableText0"/>
              <w:keepNext w:val="0"/>
              <w:rPr>
                <w:b/>
              </w:rPr>
            </w:pPr>
            <w:r w:rsidRPr="00BF4C48">
              <w:rPr>
                <w:b/>
              </w:rPr>
              <w:t>AND</w:t>
            </w:r>
          </w:p>
          <w:p w14:paraId="7761FCEB" w14:textId="77777777" w:rsidR="00E232D1" w:rsidRPr="00BF4C48" w:rsidRDefault="00E232D1" w:rsidP="00A12328">
            <w:pPr>
              <w:pStyle w:val="TableText0"/>
              <w:keepNext w:val="0"/>
            </w:pPr>
            <w:r w:rsidRPr="00BF4C48">
              <w:t>Patient must not have previously received PBS-subsidised treatment with this drug for this condition,</w:t>
            </w:r>
          </w:p>
          <w:p w14:paraId="0530B245" w14:textId="77777777" w:rsidR="00E232D1" w:rsidRPr="00BF4C48" w:rsidRDefault="00E232D1" w:rsidP="00A12328">
            <w:pPr>
              <w:pStyle w:val="TableText0"/>
              <w:keepNext w:val="0"/>
              <w:rPr>
                <w:b/>
              </w:rPr>
            </w:pPr>
            <w:r w:rsidRPr="00BF4C48">
              <w:rPr>
                <w:b/>
              </w:rPr>
              <w:t>AND</w:t>
            </w:r>
          </w:p>
          <w:p w14:paraId="3833ADF3" w14:textId="77777777" w:rsidR="00E232D1" w:rsidRPr="00046D64" w:rsidRDefault="00E232D1" w:rsidP="00A12328">
            <w:pPr>
              <w:pStyle w:val="TableText0"/>
              <w:keepNext w:val="0"/>
            </w:pPr>
            <w:r w:rsidRPr="00BF4C48">
              <w:t>The treatment must be the sole PBS-subsidised systemic anti-cancer therapy for this condition.</w:t>
            </w:r>
          </w:p>
        </w:tc>
      </w:tr>
      <w:tr w:rsidR="00E232D1" w:rsidRPr="00046D64" w14:paraId="0491C87A"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53886A2" w14:textId="77777777" w:rsidR="00E232D1" w:rsidRPr="00046D64" w:rsidRDefault="00E232D1" w:rsidP="00A12328">
            <w:pPr>
              <w:pStyle w:val="TableText0"/>
              <w:keepNext w:val="0"/>
            </w:pPr>
            <w:r w:rsidRPr="00046D64">
              <w:rPr>
                <w:b/>
              </w:rPr>
              <w:t>Population criteria:</w:t>
            </w:r>
          </w:p>
        </w:tc>
      </w:tr>
      <w:tr w:rsidR="00E232D1" w:rsidRPr="00046D64" w14:paraId="6CA58C3A"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7C498B4" w14:textId="77777777" w:rsidR="00E232D1" w:rsidRPr="0024148F" w:rsidRDefault="00E232D1" w:rsidP="00A12328">
            <w:pPr>
              <w:pStyle w:val="TableText0"/>
              <w:keepNext w:val="0"/>
            </w:pPr>
            <w:r w:rsidRPr="0024148F">
              <w:t>Patient must have evidence in tumour material of an activating epidermal growth factor receptor (</w:t>
            </w:r>
            <w:r w:rsidR="00C45A6D" w:rsidRPr="00C45A6D">
              <w:rPr>
                <w:i/>
              </w:rPr>
              <w:t>EGFR</w:t>
            </w:r>
            <w:r w:rsidRPr="0024148F">
              <w:t xml:space="preserve">) gene mutation known to confer sensitivity to treatment with </w:t>
            </w:r>
            <w:r w:rsidR="00C45A6D" w:rsidRPr="00C45A6D">
              <w:rPr>
                <w:i/>
              </w:rPr>
              <w:t>EGFR</w:t>
            </w:r>
            <w:r w:rsidRPr="0024148F">
              <w:t xml:space="preserve"> tyrosine kinase inhibitors.</w:t>
            </w:r>
          </w:p>
          <w:p w14:paraId="7C232DEB" w14:textId="77777777" w:rsidR="00E232D1" w:rsidRPr="00C61A59" w:rsidRDefault="00E232D1" w:rsidP="00A12328">
            <w:pPr>
              <w:pStyle w:val="TableText0"/>
              <w:keepNext w:val="0"/>
              <w:rPr>
                <w:color w:val="0066FF"/>
              </w:rPr>
            </w:pPr>
            <w:r w:rsidRPr="0024148F">
              <w:t>PBS-subsidised treatment with this drug is restricted to one line of therapy at any disease staging for NSCLC (i.e. if therapy has been prescribed for early disease, subsidy under locally advanced or metastatic disease is no longer available).</w:t>
            </w:r>
          </w:p>
        </w:tc>
      </w:tr>
      <w:tr w:rsidR="00E232D1" w:rsidRPr="00046D64" w14:paraId="427AC018" w14:textId="77777777" w:rsidTr="00985F78">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60170A7" w14:textId="77777777" w:rsidR="00E232D1" w:rsidRDefault="00E232D1" w:rsidP="00A12328">
            <w:pPr>
              <w:pStyle w:val="TableText0"/>
              <w:keepNext w:val="0"/>
              <w:rPr>
                <w:bCs w:val="0"/>
                <w:color w:val="0066FF"/>
              </w:rPr>
            </w:pPr>
            <w:r w:rsidRPr="00046D64">
              <w:rPr>
                <w:b/>
              </w:rPr>
              <w:t xml:space="preserve">Administrative Advice: </w:t>
            </w:r>
          </w:p>
          <w:p w14:paraId="204B7995" w14:textId="77777777" w:rsidR="00E232D1" w:rsidRPr="0024148F" w:rsidRDefault="00E232D1" w:rsidP="00A12328">
            <w:pPr>
              <w:pStyle w:val="TableText0"/>
              <w:keepNext w:val="0"/>
              <w:rPr>
                <w:bCs w:val="0"/>
              </w:rPr>
            </w:pPr>
            <w:r w:rsidRPr="0024148F">
              <w:rPr>
                <w:bCs w:val="0"/>
              </w:rPr>
              <w:t>No increase in the maximum quantity or number of units may be authorised</w:t>
            </w:r>
          </w:p>
          <w:p w14:paraId="0A84047A" w14:textId="77777777" w:rsidR="00E232D1" w:rsidRPr="0024148F" w:rsidRDefault="00E232D1" w:rsidP="00A12328">
            <w:pPr>
              <w:pStyle w:val="TableText0"/>
              <w:keepNext w:val="0"/>
              <w:rPr>
                <w:bCs w:val="0"/>
              </w:rPr>
            </w:pPr>
            <w:r w:rsidRPr="0024148F">
              <w:rPr>
                <w:bCs w:val="0"/>
              </w:rPr>
              <w:t>No increase in the maximum number of repeats may be authorised</w:t>
            </w:r>
          </w:p>
          <w:p w14:paraId="05AC6A68" w14:textId="77777777" w:rsidR="00E232D1" w:rsidRPr="00046D64" w:rsidRDefault="00E232D1" w:rsidP="00A12328">
            <w:pPr>
              <w:pStyle w:val="TableText0"/>
              <w:keepNext w:val="0"/>
            </w:pPr>
            <w:r w:rsidRPr="0024148F">
              <w:rPr>
                <w:bCs w:val="0"/>
              </w:rPr>
              <w:t>Special Pricing Arrangements apply</w:t>
            </w:r>
          </w:p>
        </w:tc>
      </w:tr>
    </w:tbl>
    <w:p w14:paraId="7A2827EA" w14:textId="77777777" w:rsidR="00E232D1" w:rsidRDefault="00E232D1" w:rsidP="00A123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E232D1" w:rsidRPr="00046D64" w14:paraId="455A15AD" w14:textId="77777777">
        <w:trPr>
          <w:cantSplit/>
          <w:trHeight w:val="20"/>
        </w:trPr>
        <w:tc>
          <w:tcPr>
            <w:tcW w:w="5000" w:type="pct"/>
          </w:tcPr>
          <w:p w14:paraId="71903BFC" w14:textId="77777777" w:rsidR="00E232D1" w:rsidRPr="00046D64" w:rsidRDefault="00E232D1" w:rsidP="00A12328">
            <w:pPr>
              <w:pStyle w:val="TableText0"/>
              <w:keepLines/>
            </w:pPr>
            <w:r w:rsidRPr="00046D64">
              <w:rPr>
                <w:b/>
              </w:rPr>
              <w:t xml:space="preserve">Category / Program: </w:t>
            </w:r>
            <w:r>
              <w:t>General Schedule</w:t>
            </w:r>
          </w:p>
        </w:tc>
      </w:tr>
      <w:tr w:rsidR="00E232D1" w:rsidRPr="00046D64" w14:paraId="5BA887EA" w14:textId="77777777">
        <w:trPr>
          <w:cantSplit/>
          <w:trHeight w:val="20"/>
        </w:trPr>
        <w:tc>
          <w:tcPr>
            <w:tcW w:w="5000" w:type="pct"/>
          </w:tcPr>
          <w:p w14:paraId="2BFE73AD" w14:textId="77777777" w:rsidR="00E232D1" w:rsidRPr="00046D64" w:rsidRDefault="00E232D1" w:rsidP="00A12328">
            <w:pPr>
              <w:pStyle w:val="TableText0"/>
              <w:keepLines/>
              <w:rPr>
                <w:b/>
              </w:rPr>
            </w:pPr>
            <w:r w:rsidRPr="00046D64">
              <w:rPr>
                <w:b/>
              </w:rPr>
              <w:t>Prescriber type</w:t>
            </w:r>
            <w:r w:rsidRPr="00BF4C48">
              <w:rPr>
                <w:b/>
                <w:shd w:val="clear" w:color="auto" w:fill="FFFFFF" w:themeFill="background1"/>
              </w:rPr>
              <w:t xml:space="preserve">: </w:t>
            </w:r>
            <w:r w:rsidRPr="00BF4C48">
              <w:rPr>
                <w:shd w:val="clear" w:color="auto" w:fill="FFFFFF" w:themeFill="background1"/>
              </w:rPr>
              <w:fldChar w:fldCharType="begin">
                <w:ffData>
                  <w:name w:val=""/>
                  <w:enabled/>
                  <w:calcOnExit w:val="0"/>
                  <w:checkBox>
                    <w:sizeAuto/>
                    <w:default w:val="1"/>
                  </w:checkBox>
                </w:ffData>
              </w:fldChar>
            </w:r>
            <w:r w:rsidRPr="00BF4C48">
              <w:rPr>
                <w:shd w:val="clear" w:color="auto" w:fill="FFFFFF" w:themeFill="background1"/>
              </w:rPr>
              <w:instrText xml:space="preserve"> FORMCHECKBOX </w:instrText>
            </w:r>
            <w:r w:rsidRPr="00BF4C48">
              <w:rPr>
                <w:shd w:val="clear" w:color="auto" w:fill="FFFFFF" w:themeFill="background1"/>
              </w:rPr>
            </w:r>
            <w:r w:rsidRPr="00BF4C48">
              <w:rPr>
                <w:shd w:val="clear" w:color="auto" w:fill="FFFFFF" w:themeFill="background1"/>
              </w:rPr>
              <w:fldChar w:fldCharType="separate"/>
            </w:r>
            <w:r w:rsidRPr="00BF4C48">
              <w:rPr>
                <w:shd w:val="clear" w:color="auto" w:fill="FFFFFF" w:themeFill="background1"/>
              </w:rPr>
              <w:fldChar w:fldCharType="end"/>
            </w:r>
            <w:r w:rsidRPr="00BF4C48">
              <w:rPr>
                <w:shd w:val="clear" w:color="auto" w:fill="FFFFFF" w:themeFill="background1"/>
              </w:rPr>
              <w:t>Medical</w:t>
            </w:r>
            <w:r w:rsidRPr="00046D64">
              <w:t xml:space="preserve"> Practitioners </w:t>
            </w:r>
          </w:p>
        </w:tc>
      </w:tr>
      <w:tr w:rsidR="00E232D1" w:rsidRPr="00046D64" w14:paraId="38E8E27B" w14:textId="77777777">
        <w:trPr>
          <w:cantSplit/>
          <w:trHeight w:val="20"/>
        </w:trPr>
        <w:tc>
          <w:tcPr>
            <w:tcW w:w="5000" w:type="pct"/>
          </w:tcPr>
          <w:p w14:paraId="6B731491" w14:textId="77777777" w:rsidR="00E232D1" w:rsidRPr="00046D64" w:rsidRDefault="00E232D1" w:rsidP="00A12328">
            <w:pPr>
              <w:pStyle w:val="TableText0"/>
              <w:keepLines/>
              <w:rPr>
                <w:rFonts w:eastAsia="Times New Roman"/>
              </w:rPr>
            </w:pPr>
            <w:r w:rsidRPr="00046D64">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046D64">
              <w:rPr>
                <w:rFonts w:eastAsia="Times New Roman"/>
              </w:rPr>
              <w:t xml:space="preserve">Authority Required (telephone/online PBS Authorities system) </w:t>
            </w:r>
          </w:p>
        </w:tc>
      </w:tr>
      <w:tr w:rsidR="00E232D1" w:rsidRPr="00046D64" w14:paraId="559103F9" w14:textId="77777777">
        <w:trPr>
          <w:cantSplit/>
          <w:trHeight w:val="20"/>
        </w:trPr>
        <w:tc>
          <w:tcPr>
            <w:tcW w:w="5000" w:type="pct"/>
            <w:vAlign w:val="center"/>
          </w:tcPr>
          <w:p w14:paraId="5945606C" w14:textId="77777777" w:rsidR="00E232D1" w:rsidRPr="00046D64" w:rsidRDefault="00E232D1" w:rsidP="00A12328">
            <w:pPr>
              <w:pStyle w:val="TableText0"/>
              <w:keepLines/>
              <w:rPr>
                <w:b/>
              </w:rPr>
            </w:pPr>
            <w:r w:rsidRPr="00046D64">
              <w:rPr>
                <w:b/>
              </w:rPr>
              <w:t xml:space="preserve">Severity: </w:t>
            </w:r>
            <w:r w:rsidRPr="00BF4C48">
              <w:rPr>
                <w:bCs w:val="0"/>
              </w:rPr>
              <w:t>Unresectable</w:t>
            </w:r>
            <w:r>
              <w:rPr>
                <w:bCs w:val="0"/>
              </w:rPr>
              <w:t xml:space="preserve"> Stage III</w:t>
            </w:r>
          </w:p>
        </w:tc>
      </w:tr>
      <w:tr w:rsidR="00E232D1" w:rsidRPr="00046D64" w14:paraId="699A128A" w14:textId="77777777">
        <w:trPr>
          <w:cantSplit/>
          <w:trHeight w:val="20"/>
        </w:trPr>
        <w:tc>
          <w:tcPr>
            <w:tcW w:w="5000" w:type="pct"/>
            <w:vAlign w:val="center"/>
          </w:tcPr>
          <w:p w14:paraId="37524126" w14:textId="77777777" w:rsidR="00E232D1" w:rsidRPr="00046D64" w:rsidRDefault="00E232D1" w:rsidP="00A12328">
            <w:pPr>
              <w:pStyle w:val="TableText0"/>
              <w:keepLines/>
              <w:rPr>
                <w:b/>
              </w:rPr>
            </w:pPr>
            <w:r w:rsidRPr="00046D64">
              <w:rPr>
                <w:b/>
              </w:rPr>
              <w:t xml:space="preserve">Condition: </w:t>
            </w:r>
            <w:r w:rsidRPr="009F720D">
              <w:t>N</w:t>
            </w:r>
            <w:r>
              <w:rPr>
                <w:rFonts w:cs="Arial"/>
                <w:lang w:bidi="en-US"/>
              </w:rPr>
              <w:t>on-small cell lung cancer (NSCLC)</w:t>
            </w:r>
          </w:p>
        </w:tc>
      </w:tr>
      <w:tr w:rsidR="00E232D1" w:rsidRPr="00046D64" w14:paraId="08D741AF" w14:textId="77777777">
        <w:trPr>
          <w:cantSplit/>
          <w:trHeight w:val="20"/>
        </w:trPr>
        <w:tc>
          <w:tcPr>
            <w:tcW w:w="5000" w:type="pct"/>
            <w:vAlign w:val="center"/>
            <w:hideMark/>
          </w:tcPr>
          <w:p w14:paraId="56C619C3" w14:textId="77777777" w:rsidR="00E232D1" w:rsidRPr="00046D64" w:rsidRDefault="00E232D1" w:rsidP="00A12328">
            <w:pPr>
              <w:pStyle w:val="TableText0"/>
              <w:keepLines/>
            </w:pPr>
            <w:r w:rsidRPr="00046D64">
              <w:rPr>
                <w:b/>
              </w:rPr>
              <w:t>Indication:</w:t>
            </w:r>
            <w:r w:rsidRPr="00046D64">
              <w:t xml:space="preserve"> </w:t>
            </w:r>
            <w:r>
              <w:rPr>
                <w:rFonts w:cs="Arial"/>
                <w:lang w:bidi="en-US"/>
              </w:rPr>
              <w:t>Unresectable locally advanced (Stage III) non-small cell lung cancer (NSCLC)</w:t>
            </w:r>
          </w:p>
        </w:tc>
      </w:tr>
      <w:tr w:rsidR="00E232D1" w:rsidRPr="00046D64" w14:paraId="1951B28E" w14:textId="77777777">
        <w:trPr>
          <w:cantSplit/>
          <w:trHeight w:val="20"/>
        </w:trPr>
        <w:tc>
          <w:tcPr>
            <w:tcW w:w="5000" w:type="pct"/>
            <w:vAlign w:val="center"/>
            <w:hideMark/>
          </w:tcPr>
          <w:p w14:paraId="44FF8302" w14:textId="77777777" w:rsidR="00E232D1" w:rsidRPr="00046D64" w:rsidRDefault="00E232D1" w:rsidP="00A12328">
            <w:pPr>
              <w:pStyle w:val="TableText0"/>
              <w:keepLines/>
            </w:pPr>
            <w:r w:rsidRPr="00046D64">
              <w:rPr>
                <w:b/>
              </w:rPr>
              <w:t>Treatment Phase:</w:t>
            </w:r>
            <w:r>
              <w:t xml:space="preserve"> Continuing treatment</w:t>
            </w:r>
          </w:p>
        </w:tc>
      </w:tr>
      <w:tr w:rsidR="00E232D1" w:rsidRPr="00046D64" w14:paraId="01B6A2CC" w14:textId="77777777">
        <w:trPr>
          <w:cantSplit/>
          <w:trHeight w:val="20"/>
        </w:trPr>
        <w:tc>
          <w:tcPr>
            <w:tcW w:w="5000" w:type="pct"/>
            <w:vAlign w:val="center"/>
            <w:hideMark/>
          </w:tcPr>
          <w:p w14:paraId="6E3BA85B" w14:textId="77777777" w:rsidR="00E232D1" w:rsidRPr="00046D64" w:rsidRDefault="00E232D1" w:rsidP="00A12328">
            <w:pPr>
              <w:pStyle w:val="TableText0"/>
              <w:keepLines/>
            </w:pPr>
            <w:r w:rsidRPr="00046D64">
              <w:rPr>
                <w:b/>
              </w:rPr>
              <w:t>Clinical criteria:</w:t>
            </w:r>
          </w:p>
        </w:tc>
      </w:tr>
      <w:tr w:rsidR="00E232D1" w:rsidRPr="00046D64" w14:paraId="50C7148C" w14:textId="77777777">
        <w:trPr>
          <w:cantSplit/>
          <w:trHeight w:val="20"/>
        </w:trPr>
        <w:tc>
          <w:tcPr>
            <w:tcW w:w="5000" w:type="pct"/>
            <w:vAlign w:val="center"/>
            <w:hideMark/>
          </w:tcPr>
          <w:p w14:paraId="569029C6" w14:textId="77777777" w:rsidR="00E232D1" w:rsidRDefault="00E232D1" w:rsidP="00A12328">
            <w:pPr>
              <w:pStyle w:val="TableText0"/>
              <w:keepLines/>
            </w:pPr>
            <w:r>
              <w:t>Patient must have previously received PBS-subsidised treatment with this drug for this condition,</w:t>
            </w:r>
          </w:p>
          <w:p w14:paraId="739F7D93" w14:textId="77777777" w:rsidR="00E232D1" w:rsidRPr="00C36902" w:rsidRDefault="00E232D1" w:rsidP="00A12328">
            <w:pPr>
              <w:pStyle w:val="TableText0"/>
              <w:keepLines/>
              <w:rPr>
                <w:b/>
              </w:rPr>
            </w:pPr>
            <w:r w:rsidRPr="00C36902">
              <w:rPr>
                <w:b/>
              </w:rPr>
              <w:t>AND</w:t>
            </w:r>
          </w:p>
          <w:p w14:paraId="48A16FC8" w14:textId="77777777" w:rsidR="00E232D1" w:rsidRDefault="00E232D1" w:rsidP="00A12328">
            <w:pPr>
              <w:pStyle w:val="TableText0"/>
              <w:keepLines/>
            </w:pPr>
            <w:r>
              <w:t>Patient must not have developed disease progression while being treated with this drug for this condition,</w:t>
            </w:r>
          </w:p>
          <w:p w14:paraId="744A1D66" w14:textId="77777777" w:rsidR="00E232D1" w:rsidRPr="00C36902" w:rsidRDefault="00E232D1" w:rsidP="00A12328">
            <w:pPr>
              <w:pStyle w:val="TableText0"/>
              <w:keepLines/>
              <w:rPr>
                <w:b/>
              </w:rPr>
            </w:pPr>
            <w:r w:rsidRPr="00C36902">
              <w:rPr>
                <w:b/>
              </w:rPr>
              <w:t>AND</w:t>
            </w:r>
          </w:p>
          <w:p w14:paraId="5A56D8C6" w14:textId="77777777" w:rsidR="00E232D1" w:rsidRPr="00046D64" w:rsidRDefault="00E232D1" w:rsidP="00A12328">
            <w:pPr>
              <w:pStyle w:val="TableText0"/>
              <w:keepLines/>
            </w:pPr>
            <w:r>
              <w:t>The treatment must be the sole PBS-subsidised systemic anti-cancer therapy for this condition.</w:t>
            </w:r>
          </w:p>
        </w:tc>
      </w:tr>
      <w:tr w:rsidR="00E232D1" w:rsidRPr="00046D64" w14:paraId="4E04FC50" w14:textId="77777777">
        <w:trPr>
          <w:cantSplit/>
          <w:trHeight w:val="20"/>
        </w:trPr>
        <w:tc>
          <w:tcPr>
            <w:tcW w:w="5000" w:type="pct"/>
            <w:vAlign w:val="center"/>
            <w:hideMark/>
          </w:tcPr>
          <w:p w14:paraId="006C18ED" w14:textId="77777777" w:rsidR="00E232D1" w:rsidRPr="00046D64" w:rsidRDefault="00E232D1" w:rsidP="00A12328">
            <w:pPr>
              <w:pStyle w:val="TableText0"/>
              <w:keepLines/>
            </w:pPr>
            <w:r w:rsidRPr="00046D64">
              <w:rPr>
                <w:b/>
              </w:rPr>
              <w:t>Population criteria:</w:t>
            </w:r>
          </w:p>
        </w:tc>
      </w:tr>
      <w:tr w:rsidR="00E232D1" w:rsidRPr="00046D64" w14:paraId="15038B2C" w14:textId="77777777">
        <w:trPr>
          <w:cantSplit/>
          <w:trHeight w:val="20"/>
        </w:trPr>
        <w:tc>
          <w:tcPr>
            <w:tcW w:w="5000" w:type="pct"/>
            <w:vAlign w:val="center"/>
          </w:tcPr>
          <w:p w14:paraId="30505617" w14:textId="77777777" w:rsidR="00E232D1" w:rsidRPr="0024148F" w:rsidRDefault="00E232D1" w:rsidP="00A12328">
            <w:pPr>
              <w:pStyle w:val="TableText0"/>
              <w:keepLines/>
            </w:pPr>
            <w:r w:rsidRPr="0024148F">
              <w:t>PBS-subsidised treatment with this drug is restricted to one line of therapy at any disease staging for NSCLC (i.e. if therapy has been prescribed for early disease, subsidy under locally advanced or metastatic disease is no longer available).</w:t>
            </w:r>
          </w:p>
        </w:tc>
      </w:tr>
      <w:tr w:rsidR="00E232D1" w:rsidRPr="00046D64" w14:paraId="384D0314" w14:textId="77777777">
        <w:trPr>
          <w:cantSplit/>
          <w:trHeight w:val="20"/>
        </w:trPr>
        <w:tc>
          <w:tcPr>
            <w:tcW w:w="5000" w:type="pct"/>
            <w:vAlign w:val="center"/>
            <w:hideMark/>
          </w:tcPr>
          <w:p w14:paraId="43FED028" w14:textId="77777777" w:rsidR="00E232D1" w:rsidRPr="0024148F" w:rsidRDefault="00E232D1" w:rsidP="00A12328">
            <w:pPr>
              <w:pStyle w:val="TableText0"/>
              <w:keepLines/>
              <w:rPr>
                <w:b/>
              </w:rPr>
            </w:pPr>
            <w:r w:rsidRPr="0024148F">
              <w:rPr>
                <w:b/>
              </w:rPr>
              <w:t xml:space="preserve">Administrative Advice: </w:t>
            </w:r>
          </w:p>
          <w:p w14:paraId="218458B6" w14:textId="77777777" w:rsidR="00E232D1" w:rsidRPr="0024148F" w:rsidRDefault="00E232D1" w:rsidP="00A12328">
            <w:pPr>
              <w:pStyle w:val="TableText0"/>
              <w:keepLines/>
              <w:rPr>
                <w:bCs w:val="0"/>
              </w:rPr>
            </w:pPr>
            <w:r w:rsidRPr="0024148F">
              <w:rPr>
                <w:bCs w:val="0"/>
              </w:rPr>
              <w:t>No increase in the maximum quantity or number of units may be authorised</w:t>
            </w:r>
          </w:p>
          <w:p w14:paraId="6D4C1136" w14:textId="77777777" w:rsidR="00E232D1" w:rsidRPr="0024148F" w:rsidRDefault="00E232D1" w:rsidP="00A12328">
            <w:pPr>
              <w:pStyle w:val="TableText0"/>
              <w:keepLines/>
              <w:rPr>
                <w:bCs w:val="0"/>
              </w:rPr>
            </w:pPr>
            <w:r w:rsidRPr="0024148F">
              <w:rPr>
                <w:bCs w:val="0"/>
              </w:rPr>
              <w:t>No increase in the maximum number of repeats may be authorised</w:t>
            </w:r>
          </w:p>
          <w:p w14:paraId="1A3D2F51" w14:textId="77777777" w:rsidR="00E232D1" w:rsidRPr="0024148F" w:rsidRDefault="00E232D1" w:rsidP="00A12328">
            <w:pPr>
              <w:pStyle w:val="TableText0"/>
              <w:keepLines/>
            </w:pPr>
            <w:r w:rsidRPr="0024148F">
              <w:rPr>
                <w:bCs w:val="0"/>
              </w:rPr>
              <w:t>Special Pricing Arrangements apply</w:t>
            </w:r>
          </w:p>
        </w:tc>
      </w:tr>
    </w:tbl>
    <w:p w14:paraId="7D7BE922" w14:textId="77777777" w:rsidR="00E232D1" w:rsidRPr="00EA666F" w:rsidRDefault="00E232D1" w:rsidP="00A12328">
      <w:pPr>
        <w:pStyle w:val="TableFigureFooter"/>
      </w:pPr>
      <w:r>
        <w:t xml:space="preserve">Source: Table 1-5 to 1-7, pp27-30 of the submission. </w:t>
      </w:r>
    </w:p>
    <w:p w14:paraId="6EB98B71" w14:textId="0D5DC0D4" w:rsidR="00327047" w:rsidRPr="008C3D2E" w:rsidRDefault="00327047" w:rsidP="00A12328">
      <w:pPr>
        <w:pStyle w:val="3-BodyText"/>
        <w:spacing w:before="240"/>
        <w:rPr>
          <w:rFonts w:ascii="Calibri" w:hAnsi="Calibri"/>
          <w:i/>
          <w:snapToGrid/>
        </w:rPr>
      </w:pPr>
      <w:r w:rsidRPr="00EA666F">
        <w:t xml:space="preserve">The submission proposed a special pricing arrangement (SPA) for this indication </w:t>
      </w:r>
      <w:r w:rsidR="007C77E4">
        <w:t xml:space="preserve">and </w:t>
      </w:r>
      <w:r w:rsidR="00460651">
        <w:t>requested the same price for both the 40 mg and 80 mg</w:t>
      </w:r>
      <w:r w:rsidR="003B1A2A">
        <w:t xml:space="preserve"> tablet</w:t>
      </w:r>
      <w:r w:rsidR="00460651">
        <w:t xml:space="preserve"> strengths.</w:t>
      </w:r>
      <w:r w:rsidRPr="00EA666F">
        <w:t xml:space="preserve"> </w:t>
      </w:r>
    </w:p>
    <w:p w14:paraId="5F275AC5" w14:textId="759F2E40" w:rsidR="00327047" w:rsidRPr="00747D72" w:rsidRDefault="00327047" w:rsidP="00A12328">
      <w:pPr>
        <w:pStyle w:val="3-BodyText"/>
        <w:rPr>
          <w:iCs/>
        </w:rPr>
      </w:pPr>
      <w:bookmarkStart w:id="13" w:name="_Ref200041055"/>
      <w:bookmarkStart w:id="14" w:name="_Ref202975473"/>
      <w:r w:rsidRPr="0043454D">
        <w:rPr>
          <w:iCs/>
        </w:rPr>
        <w:t xml:space="preserve">The requested restriction was silent on the timeframe between </w:t>
      </w:r>
      <w:r w:rsidR="00C12A63">
        <w:rPr>
          <w:iCs/>
        </w:rPr>
        <w:t>complet</w:t>
      </w:r>
      <w:r w:rsidR="002C3D90">
        <w:rPr>
          <w:iCs/>
        </w:rPr>
        <w:t xml:space="preserve">ing </w:t>
      </w:r>
      <w:r w:rsidRPr="0043454D">
        <w:rPr>
          <w:iCs/>
        </w:rPr>
        <w:t>CRT and initiation of osimertinib</w:t>
      </w:r>
      <w:r w:rsidR="00B5376E" w:rsidRPr="0043454D">
        <w:rPr>
          <w:iCs/>
        </w:rPr>
        <w:t>.</w:t>
      </w:r>
      <w:r w:rsidR="001E0FFE" w:rsidRPr="0043454D">
        <w:rPr>
          <w:iCs/>
        </w:rPr>
        <w:t xml:space="preserve"> </w:t>
      </w:r>
      <w:r w:rsidR="00B5376E" w:rsidRPr="0043454D">
        <w:rPr>
          <w:iCs/>
        </w:rPr>
        <w:t>Conversely,</w:t>
      </w:r>
      <w:r w:rsidRPr="0043454D">
        <w:rPr>
          <w:iCs/>
        </w:rPr>
        <w:t xml:space="preserve"> the LAURA trial included patients who initiated osimertinib within 6 weeks of completing CRT</w:t>
      </w:r>
      <w:r w:rsidR="00B62B38" w:rsidRPr="0043454D">
        <w:rPr>
          <w:iCs/>
        </w:rPr>
        <w:t xml:space="preserve"> and excluded</w:t>
      </w:r>
      <w:r w:rsidRPr="0043454D">
        <w:rPr>
          <w:rFonts w:ascii="Calibri" w:hAnsi="Calibri"/>
          <w:iCs/>
          <w:snapToGrid/>
        </w:rPr>
        <w:t xml:space="preserve"> </w:t>
      </w:r>
      <w:r w:rsidR="00E92839" w:rsidRPr="0043454D">
        <w:rPr>
          <w:rFonts w:ascii="Calibri" w:hAnsi="Calibri"/>
          <w:iCs/>
          <w:snapToGrid/>
        </w:rPr>
        <w:t>p</w:t>
      </w:r>
      <w:r w:rsidRPr="0043454D">
        <w:rPr>
          <w:rFonts w:ascii="Calibri" w:hAnsi="Calibri"/>
          <w:iCs/>
          <w:snapToGrid/>
        </w:rPr>
        <w:t>atients with symptomatic radiation pneumonitis</w:t>
      </w:r>
      <w:r w:rsidR="00410E7A" w:rsidRPr="0043454D">
        <w:rPr>
          <w:rFonts w:ascii="Calibri" w:hAnsi="Calibri"/>
          <w:iCs/>
          <w:snapToGrid/>
        </w:rPr>
        <w:t>,</w:t>
      </w:r>
      <w:r w:rsidRPr="0043454D">
        <w:rPr>
          <w:rFonts w:ascii="Calibri" w:hAnsi="Calibri"/>
          <w:iCs/>
          <w:snapToGrid/>
        </w:rPr>
        <w:t xml:space="preserve"> </w:t>
      </w:r>
      <w:r w:rsidR="002A70F8" w:rsidRPr="0043454D">
        <w:rPr>
          <w:rFonts w:ascii="Calibri" w:hAnsi="Calibri"/>
          <w:iCs/>
          <w:snapToGrid/>
        </w:rPr>
        <w:t>which</w:t>
      </w:r>
      <w:r w:rsidRPr="0043454D">
        <w:rPr>
          <w:rFonts w:ascii="Calibri" w:hAnsi="Calibri"/>
          <w:iCs/>
          <w:snapToGrid/>
        </w:rPr>
        <w:t xml:space="preserve"> is common after CRT</w:t>
      </w:r>
      <w:r w:rsidR="00E73DEE" w:rsidRPr="0043454D">
        <w:rPr>
          <w:rFonts w:ascii="Calibri" w:hAnsi="Calibri"/>
          <w:iCs/>
          <w:snapToGrid/>
        </w:rPr>
        <w:t>.</w:t>
      </w:r>
      <w:r w:rsidRPr="0043454D">
        <w:rPr>
          <w:rFonts w:ascii="Calibri" w:hAnsi="Calibri"/>
          <w:iCs/>
          <w:snapToGrid/>
        </w:rPr>
        <w:t xml:space="preserve"> </w:t>
      </w:r>
      <w:r w:rsidR="00F94995" w:rsidRPr="00747D72">
        <w:rPr>
          <w:rFonts w:ascii="Calibri" w:hAnsi="Calibri"/>
          <w:iCs/>
          <w:snapToGrid/>
        </w:rPr>
        <w:t xml:space="preserve">The evaluation </w:t>
      </w:r>
      <w:r w:rsidR="006A3B34" w:rsidRPr="00747D72">
        <w:rPr>
          <w:rFonts w:ascii="Calibri" w:hAnsi="Calibri"/>
          <w:iCs/>
          <w:snapToGrid/>
        </w:rPr>
        <w:t>considered that</w:t>
      </w:r>
      <w:r w:rsidR="006A3B34">
        <w:rPr>
          <w:rFonts w:ascii="Calibri" w:hAnsi="Calibri"/>
          <w:iCs/>
          <w:snapToGrid/>
        </w:rPr>
        <w:t xml:space="preserve"> a</w:t>
      </w:r>
      <w:r w:rsidR="0012013A" w:rsidRPr="0043454D">
        <w:rPr>
          <w:rFonts w:ascii="Calibri" w:hAnsi="Calibri"/>
          <w:iCs/>
          <w:snapToGrid/>
        </w:rPr>
        <w:t>pplication of</w:t>
      </w:r>
      <w:r w:rsidRPr="0043454D">
        <w:rPr>
          <w:rFonts w:ascii="Calibri" w:hAnsi="Calibri"/>
          <w:iCs/>
          <w:snapToGrid/>
        </w:rPr>
        <w:t xml:space="preserve"> a 6-week</w:t>
      </w:r>
      <w:r w:rsidR="0012013A" w:rsidRPr="0043454D">
        <w:rPr>
          <w:rFonts w:ascii="Calibri" w:hAnsi="Calibri"/>
          <w:iCs/>
          <w:snapToGrid/>
        </w:rPr>
        <w:t xml:space="preserve"> time</w:t>
      </w:r>
      <w:r w:rsidRPr="0043454D">
        <w:rPr>
          <w:rFonts w:ascii="Calibri" w:hAnsi="Calibri"/>
          <w:iCs/>
          <w:snapToGrid/>
        </w:rPr>
        <w:t xml:space="preserve"> limit</w:t>
      </w:r>
      <w:r w:rsidR="00B41B3B" w:rsidRPr="0043454D">
        <w:rPr>
          <w:rFonts w:ascii="Calibri" w:hAnsi="Calibri"/>
          <w:iCs/>
          <w:snapToGrid/>
        </w:rPr>
        <w:t>, as per the LAURA trial,</w:t>
      </w:r>
      <w:r w:rsidRPr="0043454D">
        <w:rPr>
          <w:rFonts w:ascii="Calibri" w:hAnsi="Calibri"/>
          <w:iCs/>
          <w:snapToGrid/>
        </w:rPr>
        <w:t xml:space="preserve"> may unfairly exclude patients who have not progressed after CRT but have not yet sufficiently recovered from </w:t>
      </w:r>
      <w:r w:rsidR="00B92D80" w:rsidRPr="0043454D">
        <w:rPr>
          <w:rFonts w:ascii="Calibri" w:hAnsi="Calibri"/>
          <w:iCs/>
          <w:snapToGrid/>
        </w:rPr>
        <w:t>CRT</w:t>
      </w:r>
      <w:r w:rsidRPr="0043454D">
        <w:rPr>
          <w:rFonts w:ascii="Calibri" w:hAnsi="Calibri"/>
          <w:iCs/>
          <w:snapToGrid/>
        </w:rPr>
        <w:t xml:space="preserve"> to initiate osimertinib</w:t>
      </w:r>
      <w:r w:rsidR="00873701" w:rsidRPr="0043454D">
        <w:rPr>
          <w:rFonts w:ascii="Calibri" w:hAnsi="Calibri"/>
          <w:iCs/>
          <w:snapToGrid/>
        </w:rPr>
        <w:t xml:space="preserve"> (i.e. a 6-week time limit may be too short)</w:t>
      </w:r>
      <w:r w:rsidRPr="0043454D">
        <w:rPr>
          <w:rFonts w:ascii="Calibri" w:hAnsi="Calibri"/>
          <w:iCs/>
          <w:snapToGrid/>
        </w:rPr>
        <w:t>. However, the lack of a</w:t>
      </w:r>
      <w:r w:rsidR="006A3B34">
        <w:rPr>
          <w:rFonts w:ascii="Calibri" w:hAnsi="Calibri"/>
          <w:iCs/>
          <w:snapToGrid/>
        </w:rPr>
        <w:t xml:space="preserve"> </w:t>
      </w:r>
      <w:r w:rsidR="006A3B34" w:rsidRPr="00747D72">
        <w:rPr>
          <w:rFonts w:ascii="Calibri" w:hAnsi="Calibri"/>
          <w:iCs/>
          <w:snapToGrid/>
        </w:rPr>
        <w:t>defined</w:t>
      </w:r>
      <w:r w:rsidRPr="00747D72">
        <w:rPr>
          <w:rFonts w:ascii="Calibri" w:hAnsi="Calibri"/>
          <w:iCs/>
          <w:snapToGrid/>
        </w:rPr>
        <w:t xml:space="preserve"> </w:t>
      </w:r>
      <w:r w:rsidRPr="0043454D">
        <w:rPr>
          <w:rFonts w:ascii="Calibri" w:hAnsi="Calibri"/>
          <w:iCs/>
          <w:snapToGrid/>
        </w:rPr>
        <w:t>time window between CRT completion and osimertinib initiation in the restriction would allow for any prevalent patient who remains progression-free following CRT to initiate osimertinib</w:t>
      </w:r>
      <w:r w:rsidR="00D3153D" w:rsidRPr="0043454D">
        <w:rPr>
          <w:rFonts w:ascii="Calibri" w:hAnsi="Calibri"/>
          <w:iCs/>
          <w:snapToGrid/>
        </w:rPr>
        <w:t xml:space="preserve"> (i.e. no time limit may inappropriately allow osimertinib treatment too soon or too long after</w:t>
      </w:r>
      <w:r w:rsidR="00A64840" w:rsidRPr="0043454D">
        <w:rPr>
          <w:rFonts w:ascii="Calibri" w:hAnsi="Calibri"/>
          <w:iCs/>
          <w:snapToGrid/>
        </w:rPr>
        <w:t xml:space="preserve"> completing</w:t>
      </w:r>
      <w:r w:rsidR="00D3153D" w:rsidRPr="0043454D">
        <w:rPr>
          <w:rFonts w:ascii="Calibri" w:hAnsi="Calibri"/>
          <w:iCs/>
          <w:snapToGrid/>
        </w:rPr>
        <w:t xml:space="preserve"> CRT)</w:t>
      </w:r>
      <w:r w:rsidR="00DF0BFB">
        <w:rPr>
          <w:rFonts w:ascii="Calibri" w:hAnsi="Calibri"/>
          <w:iCs/>
          <w:snapToGrid/>
        </w:rPr>
        <w:t xml:space="preserve">. </w:t>
      </w:r>
      <w:r w:rsidR="00D70AB5" w:rsidRPr="009F3F25">
        <w:rPr>
          <w:rFonts w:ascii="Calibri" w:hAnsi="Calibri"/>
          <w:iCs/>
          <w:snapToGrid/>
        </w:rPr>
        <w:t>It was also noted by the evaluation that o</w:t>
      </w:r>
      <w:r w:rsidRPr="009F3F25">
        <w:rPr>
          <w:rFonts w:ascii="Calibri" w:hAnsi="Calibri"/>
          <w:iCs/>
          <w:snapToGrid/>
        </w:rPr>
        <w:t xml:space="preserve">nly </w:t>
      </w:r>
      <w:r w:rsidR="009E20DB" w:rsidRPr="009F3F25">
        <w:rPr>
          <w:rFonts w:ascii="Calibri" w:hAnsi="Calibri"/>
          <w:iCs/>
          <w:snapToGrid/>
        </w:rPr>
        <w:t xml:space="preserve">incident and </w:t>
      </w:r>
      <w:r w:rsidRPr="009F3F25">
        <w:rPr>
          <w:rFonts w:ascii="Calibri" w:hAnsi="Calibri"/>
          <w:iCs/>
          <w:snapToGrid/>
        </w:rPr>
        <w:t xml:space="preserve">prevalent patients </w:t>
      </w:r>
      <w:r w:rsidR="009E20DB" w:rsidRPr="009F3F25">
        <w:rPr>
          <w:rFonts w:ascii="Calibri" w:hAnsi="Calibri"/>
          <w:iCs/>
          <w:snapToGrid/>
        </w:rPr>
        <w:t>who complete</w:t>
      </w:r>
      <w:r w:rsidR="00E72B93" w:rsidRPr="009F3F25">
        <w:rPr>
          <w:rFonts w:ascii="Calibri" w:hAnsi="Calibri"/>
          <w:iCs/>
          <w:snapToGrid/>
        </w:rPr>
        <w:t>d</w:t>
      </w:r>
      <w:r w:rsidRPr="009F3F25">
        <w:rPr>
          <w:rFonts w:ascii="Calibri" w:hAnsi="Calibri"/>
          <w:iCs/>
          <w:snapToGrid/>
        </w:rPr>
        <w:t xml:space="preserve"> CRT</w:t>
      </w:r>
      <w:r w:rsidR="009E20DB" w:rsidRPr="009F3F25">
        <w:rPr>
          <w:rFonts w:ascii="Calibri" w:hAnsi="Calibri"/>
          <w:iCs/>
          <w:snapToGrid/>
        </w:rPr>
        <w:t xml:space="preserve"> within 6 weeks prior to the listing date</w:t>
      </w:r>
      <w:r w:rsidRPr="009F3F25">
        <w:rPr>
          <w:rFonts w:ascii="Calibri" w:hAnsi="Calibri"/>
          <w:iCs/>
          <w:snapToGrid/>
        </w:rPr>
        <w:t xml:space="preserve"> were included in the financial estimates.</w:t>
      </w:r>
      <w:r w:rsidR="005018F8" w:rsidRPr="0043454D">
        <w:rPr>
          <w:rFonts w:ascii="Calibri" w:hAnsi="Calibri"/>
          <w:iCs/>
          <w:snapToGrid/>
        </w:rPr>
        <w:t xml:space="preserve"> </w:t>
      </w:r>
      <w:bookmarkEnd w:id="13"/>
      <w:r w:rsidR="00251413">
        <w:rPr>
          <w:rFonts w:ascii="Calibri" w:hAnsi="Calibri"/>
          <w:iCs/>
          <w:snapToGrid/>
        </w:rPr>
        <w:t xml:space="preserve">The PBAC considered that a timeframe between </w:t>
      </w:r>
      <w:r w:rsidR="00251413" w:rsidRPr="0043454D">
        <w:rPr>
          <w:iCs/>
        </w:rPr>
        <w:t>CRT and initiation of osimertinib</w:t>
      </w:r>
      <w:r w:rsidR="00251413">
        <w:rPr>
          <w:iCs/>
        </w:rPr>
        <w:t xml:space="preserve"> would not be necessary or appropriate, as </w:t>
      </w:r>
      <w:r w:rsidR="00FA67DE">
        <w:rPr>
          <w:iCs/>
        </w:rPr>
        <w:t xml:space="preserve">it should be </w:t>
      </w:r>
      <w:r w:rsidR="00E30AA4">
        <w:rPr>
          <w:iCs/>
        </w:rPr>
        <w:t>determined</w:t>
      </w:r>
      <w:r w:rsidR="00FA67DE">
        <w:rPr>
          <w:iCs/>
        </w:rPr>
        <w:t xml:space="preserve"> on an individual patient basis.</w:t>
      </w:r>
      <w:bookmarkEnd w:id="14"/>
    </w:p>
    <w:p w14:paraId="3AA6E2F0" w14:textId="7A2380BD" w:rsidR="00ED2A64" w:rsidRPr="00747D72" w:rsidRDefault="005C0571" w:rsidP="00A12328">
      <w:pPr>
        <w:pStyle w:val="3-BodyText"/>
        <w:rPr>
          <w:iCs/>
        </w:rPr>
      </w:pPr>
      <w:bookmarkStart w:id="15" w:name="_Ref200041910"/>
      <w:r w:rsidRPr="0043454D">
        <w:rPr>
          <w:rFonts w:cs="Calibri"/>
          <w:iCs/>
          <w:lang w:eastAsia="en-GB"/>
        </w:rPr>
        <w:t>The criteria proposed for continuing treatment with osimertinib, ‘Patient must not have developed disease progression while being treated with this drug for this condition’ was not consistent with the treatment practice in the LAURA trial, but consistent with the PI</w:t>
      </w:r>
      <w:r w:rsidR="00614D3B">
        <w:rPr>
          <w:rFonts w:cs="Calibri"/>
          <w:iCs/>
          <w:lang w:eastAsia="en-GB"/>
        </w:rPr>
        <w:t xml:space="preserve">, which </w:t>
      </w:r>
      <w:r w:rsidR="00614D3B" w:rsidRPr="0043454D">
        <w:rPr>
          <w:iCs/>
        </w:rPr>
        <w:t>states that osimertinib should be administered until progression or unacceptable toxicity</w:t>
      </w:r>
      <w:r w:rsidRPr="0043454D">
        <w:rPr>
          <w:rFonts w:cs="Calibri"/>
          <w:iCs/>
          <w:lang w:eastAsia="en-GB"/>
        </w:rPr>
        <w:t xml:space="preserve">. </w:t>
      </w:r>
      <w:r w:rsidR="00BE30FE" w:rsidRPr="00747D72">
        <w:rPr>
          <w:rFonts w:cs="Calibri"/>
          <w:iCs/>
          <w:lang w:eastAsia="en-GB"/>
        </w:rPr>
        <w:t>T</w:t>
      </w:r>
      <w:r w:rsidR="00D21E04" w:rsidRPr="00747D72">
        <w:rPr>
          <w:rFonts w:cs="Calibri"/>
          <w:iCs/>
          <w:lang w:eastAsia="en-GB"/>
        </w:rPr>
        <w:t>he</w:t>
      </w:r>
      <w:r w:rsidR="00D30E74">
        <w:rPr>
          <w:rFonts w:cs="Calibri"/>
          <w:iCs/>
          <w:lang w:eastAsia="en-GB"/>
        </w:rPr>
        <w:t xml:space="preserve"> Economic Sub-Committee</w:t>
      </w:r>
      <w:r w:rsidR="00BE30FE" w:rsidRPr="00747D72">
        <w:rPr>
          <w:rFonts w:cs="Calibri"/>
          <w:iCs/>
          <w:lang w:eastAsia="en-GB"/>
        </w:rPr>
        <w:t xml:space="preserve"> </w:t>
      </w:r>
      <w:r w:rsidR="00D30E74">
        <w:rPr>
          <w:rFonts w:cs="Calibri"/>
          <w:iCs/>
          <w:lang w:eastAsia="en-GB"/>
        </w:rPr>
        <w:t>(</w:t>
      </w:r>
      <w:r w:rsidR="00BE30FE" w:rsidRPr="00747D72">
        <w:rPr>
          <w:rFonts w:cs="Calibri"/>
          <w:iCs/>
          <w:lang w:eastAsia="en-GB"/>
        </w:rPr>
        <w:t>ESC</w:t>
      </w:r>
      <w:r w:rsidR="00D30E74">
        <w:rPr>
          <w:rFonts w:cs="Calibri"/>
          <w:iCs/>
          <w:lang w:eastAsia="en-GB"/>
        </w:rPr>
        <w:t>)</w:t>
      </w:r>
      <w:r w:rsidR="00BE30FE" w:rsidRPr="00747D72">
        <w:rPr>
          <w:rFonts w:cs="Calibri"/>
          <w:iCs/>
          <w:lang w:eastAsia="en-GB"/>
        </w:rPr>
        <w:t xml:space="preserve"> noted that a</w:t>
      </w:r>
      <w:r w:rsidRPr="00747D72">
        <w:rPr>
          <w:rFonts w:cs="Calibri"/>
          <w:iCs/>
          <w:lang w:eastAsia="en-GB"/>
        </w:rPr>
        <w:t>ll patients in the LAURA trial were offered open-label osimertinib following disease progression and 15</w:t>
      </w:r>
      <w:r w:rsidR="001254B3" w:rsidRPr="00747D72">
        <w:rPr>
          <w:rFonts w:cs="Calibri"/>
          <w:iCs/>
          <w:lang w:eastAsia="en-GB"/>
        </w:rPr>
        <w:t>/</w:t>
      </w:r>
      <w:r w:rsidR="0098714A" w:rsidRPr="00747D72">
        <w:rPr>
          <w:rFonts w:cs="Calibri"/>
          <w:iCs/>
          <w:lang w:eastAsia="en-GB"/>
        </w:rPr>
        <w:t>63</w:t>
      </w:r>
      <w:r w:rsidRPr="00747D72">
        <w:rPr>
          <w:rFonts w:cs="Calibri"/>
          <w:iCs/>
          <w:lang w:eastAsia="en-GB"/>
        </w:rPr>
        <w:t xml:space="preserve"> patients in the osimertinib arm</w:t>
      </w:r>
      <w:r w:rsidR="00A02389" w:rsidRPr="00747D72">
        <w:rPr>
          <w:rFonts w:cs="Calibri"/>
          <w:iCs/>
          <w:lang w:eastAsia="en-GB"/>
        </w:rPr>
        <w:t xml:space="preserve"> (23.8% of those who discontinued study treatment)</w:t>
      </w:r>
      <w:r w:rsidRPr="0043454D">
        <w:rPr>
          <w:rFonts w:cs="Calibri"/>
          <w:iCs/>
          <w:lang w:eastAsia="en-GB"/>
        </w:rPr>
        <w:t xml:space="preserve"> continued to receive osimertinib post-blinded independent central review (BICR)-confirmed progression. </w:t>
      </w:r>
      <w:r w:rsidRPr="0043454D">
        <w:rPr>
          <w:iCs/>
        </w:rPr>
        <w:t xml:space="preserve">The </w:t>
      </w:r>
      <w:r w:rsidRPr="00686218">
        <w:rPr>
          <w:iCs/>
        </w:rPr>
        <w:t>potential applicability issue associated with this difference between the proposed listing and the trial evidence with regard to treatment beyond progression is discussed in paragraph</w:t>
      </w:r>
      <w:r w:rsidR="00306CE7" w:rsidRPr="00686218">
        <w:rPr>
          <w:bCs/>
          <w:iCs/>
        </w:rPr>
        <w:t xml:space="preserve"> </w:t>
      </w:r>
      <w:r w:rsidR="00306CE7" w:rsidRPr="00686218">
        <w:rPr>
          <w:bCs/>
          <w:iCs/>
        </w:rPr>
        <w:fldChar w:fldCharType="begin"/>
      </w:r>
      <w:r w:rsidR="00306CE7" w:rsidRPr="00686218">
        <w:rPr>
          <w:bCs/>
          <w:iCs/>
        </w:rPr>
        <w:instrText xml:space="preserve"> REF _Ref198206801 \r \h  \* MERGEFORMAT </w:instrText>
      </w:r>
      <w:r w:rsidR="00306CE7" w:rsidRPr="00686218">
        <w:rPr>
          <w:bCs/>
          <w:iCs/>
        </w:rPr>
      </w:r>
      <w:r w:rsidR="00306CE7" w:rsidRPr="00686218">
        <w:rPr>
          <w:bCs/>
          <w:iCs/>
        </w:rPr>
        <w:fldChar w:fldCharType="separate"/>
      </w:r>
      <w:r w:rsidR="009F3D59">
        <w:rPr>
          <w:bCs/>
          <w:iCs/>
        </w:rPr>
        <w:t>6.12</w:t>
      </w:r>
      <w:r w:rsidR="00306CE7" w:rsidRPr="00686218">
        <w:rPr>
          <w:bCs/>
          <w:iCs/>
        </w:rPr>
        <w:fldChar w:fldCharType="end"/>
      </w:r>
      <w:r w:rsidRPr="00686218">
        <w:rPr>
          <w:iCs/>
        </w:rPr>
        <w:t xml:space="preserve">. </w:t>
      </w:r>
      <w:r w:rsidR="00B41CA5" w:rsidRPr="00686218">
        <w:rPr>
          <w:iCs/>
        </w:rPr>
        <w:t xml:space="preserve">The </w:t>
      </w:r>
      <w:r w:rsidR="0029177A">
        <w:rPr>
          <w:iCs/>
        </w:rPr>
        <w:t>Pre Sub-Committee Response (</w:t>
      </w:r>
      <w:r w:rsidR="00B41CA5" w:rsidRPr="00686218">
        <w:rPr>
          <w:iCs/>
        </w:rPr>
        <w:t>PSCR</w:t>
      </w:r>
      <w:r w:rsidR="0029177A">
        <w:rPr>
          <w:iCs/>
        </w:rPr>
        <w:t>)</w:t>
      </w:r>
      <w:r w:rsidR="00B41CA5" w:rsidRPr="00686218">
        <w:rPr>
          <w:iCs/>
        </w:rPr>
        <w:t xml:space="preserve"> </w:t>
      </w:r>
      <w:r w:rsidR="00754FCA" w:rsidRPr="00686218">
        <w:rPr>
          <w:iCs/>
        </w:rPr>
        <w:t xml:space="preserve">acknowledged </w:t>
      </w:r>
      <w:r w:rsidR="00B41CA5" w:rsidRPr="00686218">
        <w:rPr>
          <w:iCs/>
        </w:rPr>
        <w:t>that</w:t>
      </w:r>
      <w:r w:rsidR="001D24AE" w:rsidRPr="00686218">
        <w:rPr>
          <w:iCs/>
        </w:rPr>
        <w:t xml:space="preserve"> the clinical benefit of</w:t>
      </w:r>
      <w:r w:rsidR="00B41CA5" w:rsidRPr="00686218">
        <w:rPr>
          <w:iCs/>
        </w:rPr>
        <w:t xml:space="preserve"> </w:t>
      </w:r>
      <w:r w:rsidR="00F60986" w:rsidRPr="00686218">
        <w:rPr>
          <w:iCs/>
        </w:rPr>
        <w:t xml:space="preserve">osimertinib </w:t>
      </w:r>
      <w:r w:rsidR="00754FCA" w:rsidRPr="00686218">
        <w:rPr>
          <w:iCs/>
        </w:rPr>
        <w:t>use beyond progression</w:t>
      </w:r>
      <w:r w:rsidR="00754FCA" w:rsidRPr="00747D72">
        <w:rPr>
          <w:iCs/>
        </w:rPr>
        <w:t xml:space="preserve"> is uncertain</w:t>
      </w:r>
      <w:r w:rsidR="009434D5" w:rsidRPr="00747D72">
        <w:rPr>
          <w:iCs/>
        </w:rPr>
        <w:t xml:space="preserve"> and </w:t>
      </w:r>
      <w:r w:rsidR="002E3EED" w:rsidRPr="00747D72">
        <w:rPr>
          <w:iCs/>
        </w:rPr>
        <w:t>any associated</w:t>
      </w:r>
      <w:r w:rsidR="009434D5" w:rsidRPr="00747D72">
        <w:rPr>
          <w:iCs/>
        </w:rPr>
        <w:t xml:space="preserve"> financial risk </w:t>
      </w:r>
      <w:r w:rsidR="00F60986" w:rsidRPr="00747D72">
        <w:rPr>
          <w:iCs/>
        </w:rPr>
        <w:t xml:space="preserve">could be addressed through a Risk Sharing </w:t>
      </w:r>
      <w:r w:rsidR="00602093" w:rsidRPr="00747D72">
        <w:rPr>
          <w:iCs/>
        </w:rPr>
        <w:t>Arrangement</w:t>
      </w:r>
      <w:r w:rsidR="00F60986" w:rsidRPr="00747D72">
        <w:rPr>
          <w:iCs/>
        </w:rPr>
        <w:t xml:space="preserve"> (RSA).</w:t>
      </w:r>
      <w:bookmarkEnd w:id="15"/>
      <w:r w:rsidR="00BC7AF8" w:rsidRPr="00747D72">
        <w:rPr>
          <w:iCs/>
        </w:rPr>
        <w:t xml:space="preserve"> </w:t>
      </w:r>
      <w:r w:rsidR="00C172B9">
        <w:rPr>
          <w:iCs/>
        </w:rPr>
        <w:t xml:space="preserve">The PBAC agreed with the criterion proposed in the submission, that </w:t>
      </w:r>
      <w:r w:rsidR="00F76BF3">
        <w:rPr>
          <w:iCs/>
        </w:rPr>
        <w:t>patients should cease treatment after disease progression.</w:t>
      </w:r>
      <w:r w:rsidR="00AD4DFE">
        <w:rPr>
          <w:iCs/>
        </w:rPr>
        <w:t xml:space="preserve"> </w:t>
      </w:r>
    </w:p>
    <w:p w14:paraId="03D226FD" w14:textId="7E321212" w:rsidR="00327047" w:rsidRPr="0043454D" w:rsidRDefault="00615638" w:rsidP="00A12328">
      <w:pPr>
        <w:pStyle w:val="3-BodyText"/>
        <w:rPr>
          <w:iCs/>
        </w:rPr>
      </w:pPr>
      <w:bookmarkStart w:id="16" w:name="_Ref202975642"/>
      <w:r w:rsidRPr="0067279C">
        <w:rPr>
          <w:iCs/>
        </w:rPr>
        <w:t>The submission d</w:t>
      </w:r>
      <w:r w:rsidR="00150F20" w:rsidRPr="0067279C">
        <w:rPr>
          <w:iCs/>
        </w:rPr>
        <w:t>id</w:t>
      </w:r>
      <w:r w:rsidRPr="0067279C">
        <w:rPr>
          <w:iCs/>
        </w:rPr>
        <w:t xml:space="preserve"> not place a restriction on</w:t>
      </w:r>
      <w:r w:rsidR="00780740" w:rsidRPr="0067279C">
        <w:rPr>
          <w:iCs/>
        </w:rPr>
        <w:t xml:space="preserve"> the duration of</w:t>
      </w:r>
      <w:r w:rsidRPr="0067279C">
        <w:rPr>
          <w:iCs/>
        </w:rPr>
        <w:t xml:space="preserve"> continuing treatment</w:t>
      </w:r>
      <w:r w:rsidR="00780740" w:rsidRPr="0067279C">
        <w:rPr>
          <w:iCs/>
        </w:rPr>
        <w:t xml:space="preserve"> in patients who do not develop disease progression</w:t>
      </w:r>
      <w:r w:rsidR="007A1602" w:rsidRPr="0067279C">
        <w:rPr>
          <w:iCs/>
        </w:rPr>
        <w:t>;</w:t>
      </w:r>
      <w:r w:rsidRPr="0067279C">
        <w:rPr>
          <w:iCs/>
        </w:rPr>
        <w:t xml:space="preserve"> </w:t>
      </w:r>
      <w:r w:rsidR="007A1602" w:rsidRPr="0067279C">
        <w:rPr>
          <w:iCs/>
        </w:rPr>
        <w:t xml:space="preserve">however, the evaluation noted that </w:t>
      </w:r>
      <w:r w:rsidR="007A1602" w:rsidRPr="0067279C">
        <w:rPr>
          <w:rFonts w:ascii="Calibri" w:hAnsi="Calibri"/>
          <w:iCs/>
          <w:snapToGrid/>
        </w:rPr>
        <w:t>t</w:t>
      </w:r>
      <w:r w:rsidR="00327047" w:rsidRPr="0067279C">
        <w:rPr>
          <w:rFonts w:ascii="Calibri" w:hAnsi="Calibri"/>
          <w:iCs/>
          <w:snapToGrid/>
        </w:rPr>
        <w:t>he efficacy and safety of long-term use of osimertinib remain uncertain.</w:t>
      </w:r>
      <w:r w:rsidR="004D40E4" w:rsidRPr="0067279C">
        <w:rPr>
          <w:rFonts w:ascii="Calibri" w:hAnsi="Calibri"/>
          <w:iCs/>
        </w:rPr>
        <w:t xml:space="preserve"> The evaluation considered that it may not be reasonable for osimertinib patients to continue indefinitely if they do not have disease progression. </w:t>
      </w:r>
      <w:r w:rsidR="004D40E4" w:rsidRPr="0067279C">
        <w:rPr>
          <w:iCs/>
        </w:rPr>
        <w:t>There is no confirmed OS data to inform the optimal duration of treatment for osimertinib, and there is a risk of extended use of osimertinib in this setting.</w:t>
      </w:r>
      <w:r w:rsidR="00D101ED" w:rsidRPr="0067279C">
        <w:rPr>
          <w:rFonts w:ascii="Calibri" w:hAnsi="Calibri"/>
          <w:iCs/>
          <w:snapToGrid/>
        </w:rPr>
        <w:t xml:space="preserve"> </w:t>
      </w:r>
      <w:r w:rsidR="00327047" w:rsidRPr="0043454D">
        <w:rPr>
          <w:rFonts w:ascii="Calibri" w:hAnsi="Calibri"/>
          <w:iCs/>
          <w:snapToGrid/>
        </w:rPr>
        <w:t>The median extent of exposure to osimertinib in LAURA was 24 months (range 0</w:t>
      </w:r>
      <w:r w:rsidR="00FD4D03" w:rsidRPr="0043454D">
        <w:rPr>
          <w:rFonts w:ascii="Calibri" w:hAnsi="Calibri" w:cs="Calibri"/>
          <w:iCs/>
          <w:snapToGrid/>
        </w:rPr>
        <w:t>−</w:t>
      </w:r>
      <w:r w:rsidR="00327047" w:rsidRPr="0043454D">
        <w:rPr>
          <w:rFonts w:ascii="Calibri" w:hAnsi="Calibri"/>
          <w:iCs/>
          <w:snapToGrid/>
        </w:rPr>
        <w:t>63 months, with trial follow up continuing). The modelled economic evaluation assumed a mean treatment duration of 38.5 months (with a maximum duration of 67 months of treatment in the model), which the submission indicated will need to be captured in the expenditure caps for osimertinib.</w:t>
      </w:r>
      <w:r w:rsidR="00B13BF5" w:rsidRPr="0043454D">
        <w:rPr>
          <w:rFonts w:ascii="Calibri" w:hAnsi="Calibri"/>
          <w:iCs/>
          <w:snapToGrid/>
        </w:rPr>
        <w:t xml:space="preserve"> </w:t>
      </w:r>
      <w:r w:rsidR="00B13BF5" w:rsidRPr="0043454D">
        <w:rPr>
          <w:iCs/>
        </w:rPr>
        <w:t xml:space="preserve">Emerging clinical opinion noted a </w:t>
      </w:r>
      <w:r w:rsidR="00B13BF5" w:rsidRPr="0043454D">
        <w:rPr>
          <w:rFonts w:cstheme="minorHAnsi"/>
          <w:iCs/>
        </w:rPr>
        <w:t>decline in PFS between 36 and 48 months, suggesting treatment may need to be continued for at least 4 years (Nozaki 2024</w:t>
      </w:r>
      <w:r w:rsidR="00B13BF5" w:rsidRPr="0043454D">
        <w:rPr>
          <w:rStyle w:val="FootnoteReference"/>
          <w:rFonts w:cstheme="minorHAnsi"/>
          <w:iCs/>
        </w:rPr>
        <w:footnoteReference w:id="3"/>
      </w:r>
      <w:r w:rsidR="00B13BF5" w:rsidRPr="0043454D">
        <w:rPr>
          <w:rFonts w:cstheme="minorHAnsi"/>
          <w:iCs/>
        </w:rPr>
        <w:t xml:space="preserve">). </w:t>
      </w:r>
      <w:r w:rsidR="0061042D" w:rsidRPr="0043454D">
        <w:rPr>
          <w:rFonts w:ascii="Calibri" w:hAnsi="Calibri"/>
          <w:iCs/>
          <w:snapToGrid/>
        </w:rPr>
        <w:t xml:space="preserve">The PBAC </w:t>
      </w:r>
      <w:r w:rsidR="00AF5840">
        <w:rPr>
          <w:rFonts w:ascii="Calibri" w:hAnsi="Calibri"/>
          <w:iCs/>
          <w:snapToGrid/>
        </w:rPr>
        <w:t xml:space="preserve">did not </w:t>
      </w:r>
      <w:r w:rsidR="0061042D" w:rsidRPr="0043454D">
        <w:rPr>
          <w:rFonts w:ascii="Calibri" w:hAnsi="Calibri"/>
          <w:iCs/>
          <w:snapToGrid/>
        </w:rPr>
        <w:t>consider</w:t>
      </w:r>
      <w:r w:rsidR="00AF5840">
        <w:rPr>
          <w:rFonts w:ascii="Calibri" w:hAnsi="Calibri"/>
          <w:iCs/>
          <w:snapToGrid/>
        </w:rPr>
        <w:t xml:space="preserve"> that</w:t>
      </w:r>
      <w:r w:rsidR="0061042D" w:rsidRPr="0043454D">
        <w:rPr>
          <w:rFonts w:ascii="Calibri" w:hAnsi="Calibri"/>
          <w:iCs/>
          <w:snapToGrid/>
        </w:rPr>
        <w:t xml:space="preserve"> </w:t>
      </w:r>
      <w:r w:rsidR="000029A7" w:rsidRPr="0043454D">
        <w:rPr>
          <w:rFonts w:ascii="Calibri" w:hAnsi="Calibri"/>
          <w:iCs/>
          <w:snapToGrid/>
        </w:rPr>
        <w:t xml:space="preserve">a maximum treatment duration </w:t>
      </w:r>
      <w:r w:rsidR="00A32F01" w:rsidRPr="0043454D">
        <w:rPr>
          <w:rFonts w:ascii="Calibri" w:hAnsi="Calibri"/>
          <w:iCs/>
          <w:snapToGrid/>
        </w:rPr>
        <w:t xml:space="preserve">should be specified </w:t>
      </w:r>
      <w:r w:rsidR="0049741F">
        <w:rPr>
          <w:rFonts w:ascii="Calibri" w:hAnsi="Calibri"/>
          <w:iCs/>
          <w:snapToGrid/>
        </w:rPr>
        <w:t>in</w:t>
      </w:r>
      <w:r w:rsidR="0049741F" w:rsidRPr="0043454D">
        <w:rPr>
          <w:rFonts w:ascii="Calibri" w:hAnsi="Calibri"/>
          <w:iCs/>
          <w:snapToGrid/>
        </w:rPr>
        <w:t xml:space="preserve"> </w:t>
      </w:r>
      <w:r w:rsidR="00EE3B6B" w:rsidRPr="0043454D">
        <w:rPr>
          <w:rFonts w:ascii="Calibri" w:hAnsi="Calibri"/>
          <w:iCs/>
          <w:snapToGrid/>
        </w:rPr>
        <w:t>the restriction</w:t>
      </w:r>
      <w:r w:rsidR="0049741F">
        <w:rPr>
          <w:rFonts w:ascii="Calibri" w:hAnsi="Calibri"/>
          <w:iCs/>
          <w:snapToGrid/>
        </w:rPr>
        <w:t xml:space="preserve"> and noted </w:t>
      </w:r>
      <w:r w:rsidR="00677914">
        <w:rPr>
          <w:rFonts w:ascii="Calibri" w:hAnsi="Calibri"/>
          <w:iCs/>
          <w:snapToGrid/>
        </w:rPr>
        <w:t>that this aligned with the osimertinib product information (PI)</w:t>
      </w:r>
      <w:r w:rsidR="00EE3B6B" w:rsidRPr="0043454D">
        <w:rPr>
          <w:rFonts w:ascii="Calibri" w:hAnsi="Calibri"/>
          <w:iCs/>
          <w:snapToGrid/>
        </w:rPr>
        <w:t>.</w:t>
      </w:r>
      <w:bookmarkEnd w:id="16"/>
      <w:r w:rsidR="00396568">
        <w:rPr>
          <w:rFonts w:ascii="Calibri" w:hAnsi="Calibri"/>
          <w:iCs/>
          <w:snapToGrid/>
        </w:rPr>
        <w:t xml:space="preserve"> </w:t>
      </w:r>
    </w:p>
    <w:p w14:paraId="4B346B6F" w14:textId="065B1C5F" w:rsidR="00004B64" w:rsidRPr="00996514" w:rsidRDefault="00F07219" w:rsidP="00A12328">
      <w:pPr>
        <w:pStyle w:val="3-BodyText"/>
        <w:rPr>
          <w:iCs/>
        </w:rPr>
      </w:pPr>
      <w:bookmarkStart w:id="17" w:name="_Ref201135854"/>
      <w:r w:rsidRPr="0043454D">
        <w:rPr>
          <w:iCs/>
        </w:rPr>
        <w:t>The submission proposed a World Health Organi</w:t>
      </w:r>
      <w:r w:rsidR="006D562A">
        <w:rPr>
          <w:iCs/>
        </w:rPr>
        <w:t>z</w:t>
      </w:r>
      <w:r w:rsidRPr="0043454D">
        <w:rPr>
          <w:iCs/>
        </w:rPr>
        <w:t>ation (WHO) performance status</w:t>
      </w:r>
      <w:r w:rsidR="00C1553A" w:rsidRPr="0043454D">
        <w:rPr>
          <w:iCs/>
        </w:rPr>
        <w:t xml:space="preserve"> (PS)</w:t>
      </w:r>
      <w:r w:rsidRPr="0043454D">
        <w:rPr>
          <w:iCs/>
        </w:rPr>
        <w:t xml:space="preserve"> score of 2 or less as an initiation eligibility criterion. </w:t>
      </w:r>
      <w:r w:rsidRPr="0043454D">
        <w:rPr>
          <w:rFonts w:cs="Calibri"/>
          <w:iCs/>
          <w:lang w:eastAsia="en-GB"/>
        </w:rPr>
        <w:t xml:space="preserve">However, the inclusion criteria for the key LAURA trial applied a WHO </w:t>
      </w:r>
      <w:r w:rsidR="00C1553A" w:rsidRPr="0043454D">
        <w:rPr>
          <w:rFonts w:cs="Calibri"/>
          <w:iCs/>
          <w:lang w:eastAsia="en-GB"/>
        </w:rPr>
        <w:t xml:space="preserve">PS </w:t>
      </w:r>
      <w:r w:rsidRPr="0043454D">
        <w:rPr>
          <w:rFonts w:cs="Calibri"/>
          <w:iCs/>
          <w:lang w:eastAsia="en-GB"/>
        </w:rPr>
        <w:t>status of</w:t>
      </w:r>
      <w:r w:rsidRPr="0043454D">
        <w:rPr>
          <w:iCs/>
        </w:rPr>
        <w:t xml:space="preserve"> 0 to 1. </w:t>
      </w:r>
      <w:r w:rsidR="00181417" w:rsidRPr="0043454D">
        <w:rPr>
          <w:iCs/>
        </w:rPr>
        <w:t xml:space="preserve">While consistent with other PBS listed osimertinib and </w:t>
      </w:r>
      <w:r w:rsidR="00181417" w:rsidRPr="00655903">
        <w:rPr>
          <w:i/>
        </w:rPr>
        <w:t>EGFR</w:t>
      </w:r>
      <w:r w:rsidR="00655903">
        <w:rPr>
          <w:iCs/>
        </w:rPr>
        <w:t xml:space="preserve"> positive</w:t>
      </w:r>
      <w:r w:rsidR="009F3B01" w:rsidRPr="0043454D">
        <w:rPr>
          <w:iCs/>
        </w:rPr>
        <w:t xml:space="preserve"> </w:t>
      </w:r>
      <w:r w:rsidR="00181417" w:rsidRPr="0043454D">
        <w:rPr>
          <w:iCs/>
        </w:rPr>
        <w:t>NSCLC treatment listings for metastatic disease, t</w:t>
      </w:r>
      <w:r w:rsidRPr="0043454D">
        <w:rPr>
          <w:iCs/>
        </w:rPr>
        <w:t xml:space="preserve">he durvalumab listing for the same condition and the osimertinib listing for the adjuvant therapy for Stage IB, II, or IIIA NSCLC includes patients who have WHO performance status of 0 or 1. </w:t>
      </w:r>
      <w:r w:rsidR="009A5894" w:rsidRPr="0043454D">
        <w:rPr>
          <w:iCs/>
        </w:rPr>
        <w:t>T</w:t>
      </w:r>
      <w:r w:rsidRPr="0043454D">
        <w:rPr>
          <w:iCs/>
        </w:rPr>
        <w:t>he PBAC</w:t>
      </w:r>
      <w:r w:rsidR="00187835">
        <w:rPr>
          <w:iCs/>
        </w:rPr>
        <w:t xml:space="preserve"> considered that</w:t>
      </w:r>
      <w:r w:rsidRPr="0043454D">
        <w:rPr>
          <w:iCs/>
        </w:rPr>
        <w:t xml:space="preserve"> it </w:t>
      </w:r>
      <w:r w:rsidR="00187835">
        <w:rPr>
          <w:iCs/>
        </w:rPr>
        <w:t>would be</w:t>
      </w:r>
      <w:r w:rsidRPr="0043454D">
        <w:rPr>
          <w:iCs/>
        </w:rPr>
        <w:t xml:space="preserve"> appropriate for the WHO </w:t>
      </w:r>
      <w:r w:rsidR="00C1553A" w:rsidRPr="0043454D">
        <w:rPr>
          <w:iCs/>
        </w:rPr>
        <w:t xml:space="preserve">performance </w:t>
      </w:r>
      <w:r w:rsidRPr="0043454D">
        <w:rPr>
          <w:iCs/>
        </w:rPr>
        <w:t>status to be</w:t>
      </w:r>
      <w:r w:rsidR="002454E8">
        <w:rPr>
          <w:iCs/>
        </w:rPr>
        <w:t xml:space="preserve"> 2 or less</w:t>
      </w:r>
      <w:r w:rsidRPr="0043454D">
        <w:rPr>
          <w:iCs/>
        </w:rPr>
        <w:t xml:space="preserve"> for this</w:t>
      </w:r>
      <w:r w:rsidR="007D0B78">
        <w:rPr>
          <w:iCs/>
        </w:rPr>
        <w:t xml:space="preserve"> osimertinib</w:t>
      </w:r>
      <w:r w:rsidRPr="0043454D">
        <w:rPr>
          <w:iCs/>
        </w:rPr>
        <w:t xml:space="preserve"> indication</w:t>
      </w:r>
      <w:r w:rsidR="00D81992">
        <w:rPr>
          <w:iCs/>
        </w:rPr>
        <w:t xml:space="preserve"> to be consistent with other osimertinib listings</w:t>
      </w:r>
      <w:r w:rsidRPr="0043454D">
        <w:rPr>
          <w:iCs/>
        </w:rPr>
        <w:t>.</w:t>
      </w:r>
      <w:bookmarkEnd w:id="17"/>
    </w:p>
    <w:p w14:paraId="67BEFB96" w14:textId="107246BC" w:rsidR="004F7DE8" w:rsidRDefault="00D516E7" w:rsidP="00A12328">
      <w:pPr>
        <w:pStyle w:val="3-BodyText"/>
        <w:spacing w:before="120"/>
        <w:ind w:left="709" w:hanging="709"/>
        <w:rPr>
          <w:iCs/>
        </w:rPr>
      </w:pPr>
      <w:bookmarkStart w:id="18" w:name="_Ref195090966"/>
      <w:bookmarkStart w:id="19" w:name="_Ref198198473"/>
      <w:r w:rsidRPr="0043454D">
        <w:rPr>
          <w:iCs/>
        </w:rPr>
        <w:t xml:space="preserve">The proposed population criterion for </w:t>
      </w:r>
      <w:r w:rsidR="00040E2C" w:rsidRPr="0043454D">
        <w:rPr>
          <w:iCs/>
        </w:rPr>
        <w:t>osimertinib</w:t>
      </w:r>
      <w:r w:rsidRPr="0043454D">
        <w:rPr>
          <w:iCs/>
        </w:rPr>
        <w:t xml:space="preserve"> (‘</w:t>
      </w:r>
      <w:r w:rsidR="001B0AF2" w:rsidRPr="0043454D">
        <w:rPr>
          <w:iCs/>
        </w:rPr>
        <w:t>Patient must have evidence in tumour material of an activating epidermal growth factor receptor (</w:t>
      </w:r>
      <w:r w:rsidR="001B0AF2" w:rsidRPr="008F3316">
        <w:rPr>
          <w:i/>
        </w:rPr>
        <w:t>EGFR</w:t>
      </w:r>
      <w:r w:rsidR="001B0AF2" w:rsidRPr="0043454D">
        <w:rPr>
          <w:iCs/>
        </w:rPr>
        <w:t xml:space="preserve">) gene mutation known to confer sensitivity to treatment with </w:t>
      </w:r>
      <w:r w:rsidR="001B0AF2" w:rsidRPr="008F3316">
        <w:rPr>
          <w:i/>
        </w:rPr>
        <w:t>EGFR</w:t>
      </w:r>
      <w:r w:rsidR="001B0AF2" w:rsidRPr="0043454D">
        <w:rPr>
          <w:iCs/>
        </w:rPr>
        <w:t xml:space="preserve"> tyrosine kinase inhibitors</w:t>
      </w:r>
      <w:r w:rsidRPr="0043454D">
        <w:rPr>
          <w:iCs/>
        </w:rPr>
        <w:t>’) is broader than the inclusion criteria of the pivotal trial (</w:t>
      </w:r>
      <w:r w:rsidR="001B0AF2" w:rsidRPr="0043454D">
        <w:rPr>
          <w:iCs/>
        </w:rPr>
        <w:t>LAURA</w:t>
      </w:r>
      <w:r w:rsidRPr="0043454D">
        <w:rPr>
          <w:iCs/>
        </w:rPr>
        <w:t>)</w:t>
      </w:r>
      <w:r w:rsidR="00683236" w:rsidRPr="0043454D">
        <w:rPr>
          <w:iCs/>
        </w:rPr>
        <w:t>, which specifie</w:t>
      </w:r>
      <w:r w:rsidR="007611DD" w:rsidRPr="0043454D">
        <w:rPr>
          <w:iCs/>
        </w:rPr>
        <w:t>d</w:t>
      </w:r>
      <w:r w:rsidR="00683236" w:rsidRPr="0043454D">
        <w:rPr>
          <w:iCs/>
        </w:rPr>
        <w:t xml:space="preserve"> exon 19 deletions or exon 21 L858R substitution</w:t>
      </w:r>
      <w:r w:rsidR="002D209E" w:rsidRPr="0043454D">
        <w:rPr>
          <w:iCs/>
        </w:rPr>
        <w:t xml:space="preserve"> (paragraph </w:t>
      </w:r>
      <w:r w:rsidR="002D209E" w:rsidRPr="0043454D">
        <w:rPr>
          <w:iCs/>
        </w:rPr>
        <w:fldChar w:fldCharType="begin"/>
      </w:r>
      <w:r w:rsidR="002D209E" w:rsidRPr="0043454D">
        <w:rPr>
          <w:iCs/>
        </w:rPr>
        <w:instrText xml:space="preserve"> REF _Ref198042316 \r \h </w:instrText>
      </w:r>
      <w:r w:rsidR="00DD67E8" w:rsidRPr="0043454D">
        <w:rPr>
          <w:iCs/>
        </w:rPr>
        <w:instrText xml:space="preserve"> \* MERGEFORMAT </w:instrText>
      </w:r>
      <w:r w:rsidR="002D209E" w:rsidRPr="0043454D">
        <w:rPr>
          <w:iCs/>
        </w:rPr>
      </w:r>
      <w:r w:rsidR="002D209E" w:rsidRPr="0043454D">
        <w:rPr>
          <w:iCs/>
        </w:rPr>
        <w:fldChar w:fldCharType="separate"/>
      </w:r>
      <w:r w:rsidR="009F3D59">
        <w:rPr>
          <w:iCs/>
        </w:rPr>
        <w:t>1.2</w:t>
      </w:r>
      <w:r w:rsidR="002D209E" w:rsidRPr="0043454D">
        <w:rPr>
          <w:iCs/>
        </w:rPr>
        <w:fldChar w:fldCharType="end"/>
      </w:r>
      <w:r w:rsidR="002D209E" w:rsidRPr="0043454D">
        <w:rPr>
          <w:iCs/>
        </w:rPr>
        <w:t>)</w:t>
      </w:r>
      <w:r w:rsidRPr="0043454D">
        <w:rPr>
          <w:iCs/>
        </w:rPr>
        <w:t xml:space="preserve">. </w:t>
      </w:r>
      <w:bookmarkEnd w:id="18"/>
      <w:r w:rsidR="00567FC0" w:rsidRPr="0043454D">
        <w:rPr>
          <w:iCs/>
        </w:rPr>
        <w:t>An</w:t>
      </w:r>
      <w:r w:rsidRPr="0043454D">
        <w:rPr>
          <w:iCs/>
        </w:rPr>
        <w:t xml:space="preserve"> </w:t>
      </w:r>
      <w:r w:rsidRPr="008F3316">
        <w:rPr>
          <w:i/>
        </w:rPr>
        <w:t>EGFR</w:t>
      </w:r>
      <w:r w:rsidRPr="0043454D">
        <w:rPr>
          <w:iCs/>
        </w:rPr>
        <w:t>/TKI stakeholder meeting</w:t>
      </w:r>
      <w:r w:rsidR="00567FC0" w:rsidRPr="0043454D">
        <w:rPr>
          <w:iCs/>
        </w:rPr>
        <w:t xml:space="preserve"> in October 2012</w:t>
      </w:r>
      <w:r w:rsidRPr="0043454D">
        <w:rPr>
          <w:iCs/>
        </w:rPr>
        <w:t xml:space="preserve"> advised that a PBS restriction should not specify the specific </w:t>
      </w:r>
      <w:r w:rsidRPr="008F3316">
        <w:rPr>
          <w:i/>
        </w:rPr>
        <w:t>EGFR</w:t>
      </w:r>
      <w:r w:rsidRPr="0043454D">
        <w:rPr>
          <w:iCs/>
        </w:rPr>
        <w:t xml:space="preserve"> activating mutations, noting that the strongest evidence is limited to the </w:t>
      </w:r>
      <w:r w:rsidR="00C45A6D" w:rsidRPr="00C45A6D">
        <w:rPr>
          <w:i/>
          <w:iCs/>
        </w:rPr>
        <w:t>EGFR</w:t>
      </w:r>
      <w:r w:rsidRPr="0043454D">
        <w:rPr>
          <w:iCs/>
        </w:rPr>
        <w:t xml:space="preserve"> ex19del and L858R mutations, which are estimated to account for about 70% of detected </w:t>
      </w:r>
      <w:r w:rsidRPr="008F3316">
        <w:rPr>
          <w:i/>
        </w:rPr>
        <w:t>EGFR</w:t>
      </w:r>
      <w:r w:rsidRPr="0043454D">
        <w:rPr>
          <w:iCs/>
        </w:rPr>
        <w:t xml:space="preserve"> mutations (paragraph 3.3, osimertinib </w:t>
      </w:r>
      <w:r w:rsidR="00B05AC6">
        <w:rPr>
          <w:iCs/>
        </w:rPr>
        <w:t>P</w:t>
      </w:r>
      <w:r w:rsidR="005D7295" w:rsidRPr="0043454D">
        <w:rPr>
          <w:iCs/>
        </w:rPr>
        <w:t xml:space="preserve">ublic </w:t>
      </w:r>
      <w:r w:rsidR="00B05AC6">
        <w:rPr>
          <w:iCs/>
        </w:rPr>
        <w:t>S</w:t>
      </w:r>
      <w:r w:rsidR="005D7295" w:rsidRPr="0043454D">
        <w:rPr>
          <w:iCs/>
        </w:rPr>
        <w:t xml:space="preserve">ummary </w:t>
      </w:r>
      <w:r w:rsidR="00B05AC6">
        <w:rPr>
          <w:iCs/>
        </w:rPr>
        <w:t>D</w:t>
      </w:r>
      <w:r w:rsidR="005D7295" w:rsidRPr="0043454D">
        <w:rPr>
          <w:iCs/>
        </w:rPr>
        <w:t>ocument [</w:t>
      </w:r>
      <w:r w:rsidRPr="0043454D">
        <w:rPr>
          <w:iCs/>
        </w:rPr>
        <w:t>PSD</w:t>
      </w:r>
      <w:r w:rsidR="005D7295" w:rsidRPr="0043454D">
        <w:rPr>
          <w:iCs/>
        </w:rPr>
        <w:t>]</w:t>
      </w:r>
      <w:r w:rsidRPr="0043454D">
        <w:rPr>
          <w:iCs/>
        </w:rPr>
        <w:t xml:space="preserve">, November 2023). </w:t>
      </w:r>
      <w:r w:rsidR="00443793" w:rsidRPr="0043454D">
        <w:rPr>
          <w:iCs/>
        </w:rPr>
        <w:t>T</w:t>
      </w:r>
      <w:r w:rsidRPr="0043454D">
        <w:rPr>
          <w:iCs/>
        </w:rPr>
        <w:t xml:space="preserve">he population criterion as proposed by the submission (i.e. without the particular </w:t>
      </w:r>
      <w:r w:rsidR="00C45A6D" w:rsidRPr="00C45A6D">
        <w:rPr>
          <w:i/>
          <w:iCs/>
        </w:rPr>
        <w:t>EGFR</w:t>
      </w:r>
      <w:r w:rsidRPr="0043454D">
        <w:rPr>
          <w:iCs/>
        </w:rPr>
        <w:t xml:space="preserve"> </w:t>
      </w:r>
      <w:r w:rsidR="009F3B01" w:rsidRPr="0043454D">
        <w:rPr>
          <w:iCs/>
        </w:rPr>
        <w:t>pathogenic variant</w:t>
      </w:r>
      <w:r w:rsidRPr="0043454D">
        <w:rPr>
          <w:iCs/>
        </w:rPr>
        <w:t xml:space="preserve"> specified) has</w:t>
      </w:r>
      <w:r w:rsidR="002830C8" w:rsidRPr="0043454D">
        <w:rPr>
          <w:iCs/>
        </w:rPr>
        <w:t xml:space="preserve"> previously</w:t>
      </w:r>
      <w:r w:rsidRPr="0043454D">
        <w:rPr>
          <w:iCs/>
        </w:rPr>
        <w:t xml:space="preserve"> been recommended by the PBAC for the PBS-listing of osimertinib</w:t>
      </w:r>
      <w:r w:rsidR="00C27761" w:rsidRPr="0043454D">
        <w:rPr>
          <w:iCs/>
        </w:rPr>
        <w:t xml:space="preserve"> for the first line treatment of NSCLC in the locally advance/metastatic setting</w:t>
      </w:r>
      <w:r w:rsidR="00012569" w:rsidRPr="0043454D">
        <w:rPr>
          <w:iCs/>
        </w:rPr>
        <w:t xml:space="preserve"> and </w:t>
      </w:r>
      <w:r w:rsidR="00EF1769" w:rsidRPr="0043454D">
        <w:rPr>
          <w:iCs/>
        </w:rPr>
        <w:t>for</w:t>
      </w:r>
      <w:r w:rsidR="00012569" w:rsidRPr="0043454D">
        <w:rPr>
          <w:iCs/>
        </w:rPr>
        <w:t xml:space="preserve"> adjuvant osimertinib in early stage resected NSCLC</w:t>
      </w:r>
      <w:r w:rsidRPr="0043454D">
        <w:rPr>
          <w:iCs/>
        </w:rPr>
        <w:t>.</w:t>
      </w:r>
      <w:bookmarkEnd w:id="19"/>
    </w:p>
    <w:p w14:paraId="587602CC" w14:textId="254FF9F0" w:rsidR="00C81397" w:rsidRPr="0043454D" w:rsidRDefault="00C81397" w:rsidP="00A12328">
      <w:pPr>
        <w:pStyle w:val="3-BodyText"/>
        <w:numPr>
          <w:ilvl w:val="0"/>
          <w:numId w:val="0"/>
        </w:numPr>
        <w:spacing w:before="120"/>
        <w:ind w:left="709"/>
        <w:rPr>
          <w:iCs/>
        </w:rPr>
      </w:pPr>
      <w:r w:rsidRPr="00C33D30">
        <w:rPr>
          <w:i/>
        </w:rPr>
        <w:t>For more detail on PBAC’s view, see section 7 PBAC outcome.</w:t>
      </w:r>
    </w:p>
    <w:p w14:paraId="7075B85C" w14:textId="62A47B7B" w:rsidR="00B50DB8" w:rsidRPr="00407F2D" w:rsidDel="00195452" w:rsidRDefault="00203181" w:rsidP="00A12328">
      <w:pPr>
        <w:pStyle w:val="2-SectionHeading"/>
      </w:pPr>
      <w:bookmarkStart w:id="20" w:name="_Toc198720632"/>
      <w:r w:rsidDel="00195452">
        <w:t xml:space="preserve">Population and </w:t>
      </w:r>
      <w:r w:rsidR="008E0D3C" w:rsidDel="00195452">
        <w:t>d</w:t>
      </w:r>
      <w:r w:rsidDel="00195452">
        <w:t>isease</w:t>
      </w:r>
      <w:bookmarkEnd w:id="20"/>
    </w:p>
    <w:p w14:paraId="183D1793" w14:textId="62CB899D" w:rsidR="00327047" w:rsidRPr="001A4CDD" w:rsidRDefault="00327047" w:rsidP="00A12328">
      <w:pPr>
        <w:pStyle w:val="3-BodyText"/>
      </w:pPr>
      <w:r w:rsidRPr="001A4CDD">
        <w:t>Lung cancer is the fifth most commonly diagnosed cancer in Australia and the most common cause of cancer death (Australian Institute of Health and Welfare [AIHW] 2024</w:t>
      </w:r>
      <w:r w:rsidRPr="001A4CDD">
        <w:rPr>
          <w:rStyle w:val="FootnoteReference"/>
        </w:rPr>
        <w:footnoteReference w:id="4"/>
      </w:r>
      <w:r w:rsidRPr="001A4CDD">
        <w:t>). Approximately 85% of cases are NSCLC and approximately 25% of NSCLC patients have Stage III disease at diagnosis. Over 80% of patients diagnosed with Stage III NSCLC have unresectable disease (Seung 2018</w:t>
      </w:r>
      <w:r w:rsidRPr="001A4CDD">
        <w:rPr>
          <w:rStyle w:val="FootnoteReference"/>
        </w:rPr>
        <w:footnoteReference w:id="5"/>
      </w:r>
      <w:r w:rsidRPr="001A4CDD">
        <w:t xml:space="preserve">). Approximately 33% of patients have an </w:t>
      </w:r>
      <w:r w:rsidRPr="001A4CDD">
        <w:rPr>
          <w:i/>
        </w:rPr>
        <w:t>EGFR</w:t>
      </w:r>
      <w:r w:rsidRPr="001A4CDD">
        <w:t xml:space="preserve"> pathogenic variant (Casal-Mourino 2020</w:t>
      </w:r>
      <w:r w:rsidRPr="001A4CDD">
        <w:rPr>
          <w:rStyle w:val="FootnoteReference"/>
        </w:rPr>
        <w:footnoteReference w:id="6"/>
      </w:r>
      <w:r w:rsidRPr="001A4CDD">
        <w:t>).</w:t>
      </w:r>
      <w:r w:rsidRPr="001A4CDD">
        <w:rPr>
          <w:i/>
        </w:rPr>
        <w:t xml:space="preserve"> EGFR</w:t>
      </w:r>
      <w:r w:rsidRPr="001A4CDD">
        <w:t xml:space="preserve"> pathogenic variants are commonly detected in adenocarcinoma, with higher rates amongst Asian populations (30</w:t>
      </w:r>
      <w:r w:rsidR="006A6F61">
        <w:rPr>
          <w:rFonts w:cstheme="minorHAnsi"/>
        </w:rPr>
        <w:t>−</w:t>
      </w:r>
      <w:r w:rsidRPr="001A4CDD">
        <w:t>64%) than amongst Western populations (5</w:t>
      </w:r>
      <w:r w:rsidR="00586EF6" w:rsidRPr="001A4CDD">
        <w:t>–</w:t>
      </w:r>
      <w:r w:rsidRPr="001A4CDD">
        <w:t>18%), in women</w:t>
      </w:r>
      <w:r w:rsidR="003E42C9">
        <w:t>,</w:t>
      </w:r>
      <w:r w:rsidRPr="001A4CDD">
        <w:t xml:space="preserve"> and </w:t>
      </w:r>
      <w:r w:rsidR="003E42C9">
        <w:t>people with no history of smoking</w:t>
      </w:r>
      <w:r w:rsidR="00E113F0">
        <w:t xml:space="preserve"> </w:t>
      </w:r>
      <w:r w:rsidRPr="001A4CDD">
        <w:t>(Rybarczyk-Kasiuchnicz 2021</w:t>
      </w:r>
      <w:r w:rsidRPr="001A4CDD">
        <w:rPr>
          <w:rStyle w:val="FootnoteReference"/>
        </w:rPr>
        <w:footnoteReference w:id="7"/>
      </w:r>
      <w:r w:rsidRPr="001A4CDD">
        <w:t>, Yoon 2020</w:t>
      </w:r>
      <w:r w:rsidRPr="001A4CDD">
        <w:rPr>
          <w:rStyle w:val="FootnoteReference"/>
        </w:rPr>
        <w:footnoteReference w:id="8"/>
      </w:r>
      <w:r w:rsidRPr="001A4CDD">
        <w:t>, Tan 2018</w:t>
      </w:r>
      <w:r w:rsidR="00E113F0" w:rsidRPr="001A4CDD">
        <w:rPr>
          <w:rStyle w:val="FootnoteReference"/>
        </w:rPr>
        <w:footnoteReference w:id="9"/>
      </w:r>
      <w:r w:rsidRPr="001A4CDD">
        <w:t>).</w:t>
      </w:r>
      <w:r w:rsidR="002B736C">
        <w:t xml:space="preserve"> </w:t>
      </w:r>
      <w:r w:rsidRPr="001A4CDD">
        <w:t xml:space="preserve">The most frequent </w:t>
      </w:r>
      <w:r w:rsidRPr="002B53F4">
        <w:rPr>
          <w:i/>
        </w:rPr>
        <w:t>EGFR</w:t>
      </w:r>
      <w:r w:rsidRPr="001A4CDD">
        <w:t xml:space="preserve"> pathogenic variants are exon 19 deletions (Ex19del) (40–50%) and the L858R leucine to arginine substitution pathogenic variant of exon 21 (L858R) (30–40%) (Yoon 2020, Tan 2018).</w:t>
      </w:r>
    </w:p>
    <w:p w14:paraId="7ABE25D6" w14:textId="46FFA846" w:rsidR="00327047" w:rsidRPr="001A4CDD" w:rsidRDefault="00327047" w:rsidP="00A12328">
      <w:pPr>
        <w:pStyle w:val="3-BodyText"/>
      </w:pPr>
      <w:r w:rsidRPr="001A4CDD">
        <w:t>Treatment for unresectable Stage III NSCLC without metastatic disease is definitive concurrent chemoradiation (cCRT) consisting of platinum-based chemotherapy with concurrent radiation therapy (NCCN 2024</w:t>
      </w:r>
      <w:r w:rsidRPr="001A4CDD">
        <w:rPr>
          <w:rStyle w:val="FootnoteReference"/>
        </w:rPr>
        <w:footnoteReference w:id="10"/>
      </w:r>
      <w:r w:rsidRPr="001A4CDD">
        <w:t xml:space="preserve">). Consolidation after cCRT with durvalumab is currently available for all patients </w:t>
      </w:r>
      <w:r w:rsidR="009F3B01">
        <w:t xml:space="preserve">in Australia </w:t>
      </w:r>
      <w:r w:rsidRPr="001A4CDD">
        <w:t xml:space="preserve">with WHO PS ≤1, however, the benefit of durvalumab consolidation is uncertain in those with </w:t>
      </w:r>
      <w:r w:rsidRPr="001A4CDD">
        <w:rPr>
          <w:i/>
        </w:rPr>
        <w:t>EGFR</w:t>
      </w:r>
      <w:r w:rsidRPr="001A4CDD">
        <w:t xml:space="preserve"> pathogenic variants given the small number of patients with confirmed </w:t>
      </w:r>
      <w:r w:rsidRPr="001A4CDD">
        <w:rPr>
          <w:i/>
        </w:rPr>
        <w:t>EGFR</w:t>
      </w:r>
      <w:r w:rsidRPr="001A4CDD">
        <w:t xml:space="preserve"> pathogenic variants included in the PACIFIC trial, and the minimal benefits seen in real world studies (Antonia 2017</w:t>
      </w:r>
      <w:r w:rsidRPr="001A4CDD">
        <w:rPr>
          <w:rStyle w:val="FootnoteReference"/>
        </w:rPr>
        <w:footnoteReference w:id="11"/>
      </w:r>
      <w:r w:rsidRPr="001A4CDD">
        <w:t>, Passaro 2022</w:t>
      </w:r>
      <w:r w:rsidRPr="001A4CDD">
        <w:rPr>
          <w:rStyle w:val="FootnoteReference"/>
        </w:rPr>
        <w:footnoteReference w:id="12"/>
      </w:r>
      <w:r w:rsidRPr="001A4CDD">
        <w:t>, Nassar 2024</w:t>
      </w:r>
      <w:r w:rsidRPr="001A4CDD">
        <w:rPr>
          <w:rStyle w:val="FootnoteReference"/>
        </w:rPr>
        <w:footnoteReference w:id="13"/>
      </w:r>
      <w:r w:rsidRPr="001A4CDD">
        <w:t>).</w:t>
      </w:r>
    </w:p>
    <w:p w14:paraId="6BBE6EDD" w14:textId="5A4D11BF" w:rsidR="00327047" w:rsidRPr="001A4CDD" w:rsidRDefault="00327047" w:rsidP="00A12328">
      <w:pPr>
        <w:pStyle w:val="3-BodyText"/>
      </w:pPr>
      <w:r w:rsidRPr="001A4CDD">
        <w:t xml:space="preserve">In patients with unresectable </w:t>
      </w:r>
      <w:r w:rsidRPr="001A4CDD">
        <w:rPr>
          <w:i/>
        </w:rPr>
        <w:t>EGFR</w:t>
      </w:r>
      <w:r w:rsidRPr="001A4CDD">
        <w:t xml:space="preserve"> pathogenic variant positive NSCLC who have not progressed after CRT, osimertinib 80</w:t>
      </w:r>
      <w:r w:rsidR="002C2C7F">
        <w:t xml:space="preserve"> </w:t>
      </w:r>
      <w:r w:rsidRPr="001A4CDD">
        <w:t xml:space="preserve">mg </w:t>
      </w:r>
      <w:r w:rsidR="006E06CD">
        <w:t xml:space="preserve">is recommended to be taken </w:t>
      </w:r>
      <w:r w:rsidRPr="001A4CDD">
        <w:t>orally once daily until disease progression or unacceptable toxicity</w:t>
      </w:r>
      <w:r w:rsidR="006E06CD">
        <w:t xml:space="preserve"> </w:t>
      </w:r>
      <w:r w:rsidR="006E06CD" w:rsidRPr="001A4CDD">
        <w:t>(</w:t>
      </w:r>
      <w:r w:rsidR="00482E81">
        <w:t>o</w:t>
      </w:r>
      <w:r w:rsidR="00482E81" w:rsidRPr="00245C4F">
        <w:t xml:space="preserve">simertinib </w:t>
      </w:r>
      <w:r w:rsidR="006E06CD" w:rsidRPr="001A4CDD">
        <w:t>PI)</w:t>
      </w:r>
      <w:r w:rsidRPr="001A4CDD">
        <w:t xml:space="preserve">. Lung cancers with an </w:t>
      </w:r>
      <w:r w:rsidRPr="001A4CDD">
        <w:rPr>
          <w:i/>
        </w:rPr>
        <w:t>EGFR</w:t>
      </w:r>
      <w:r w:rsidRPr="001A4CDD">
        <w:t xml:space="preserve"> pathogenic variant depend on </w:t>
      </w:r>
      <w:r w:rsidRPr="001A4CDD">
        <w:rPr>
          <w:i/>
        </w:rPr>
        <w:t>EGFR</w:t>
      </w:r>
      <w:r w:rsidRPr="001A4CDD">
        <w:t xml:space="preserve"> signalling for growth and survival, which confers sensitivity to treatment with </w:t>
      </w:r>
      <w:r w:rsidRPr="006E06CD">
        <w:rPr>
          <w:i/>
        </w:rPr>
        <w:t>EGFR</w:t>
      </w:r>
      <w:r w:rsidRPr="001A4CDD">
        <w:t xml:space="preserve"> tyrosine kinase inhibitors (TKIs) (Tan 2018). Osimertinib is an orally administered TKI. It is a selective and irreversible inhibitor of </w:t>
      </w:r>
      <w:r w:rsidRPr="001A4CDD">
        <w:rPr>
          <w:i/>
        </w:rPr>
        <w:t xml:space="preserve">EGFRs </w:t>
      </w:r>
      <w:r w:rsidRPr="001A4CDD">
        <w:t xml:space="preserve">harbouring single (L858R or del746-750) or double (L858R/T790M or </w:t>
      </w:r>
      <w:r w:rsidR="00A77D0A">
        <w:br/>
      </w:r>
      <w:r w:rsidRPr="001A4CDD">
        <w:t>del746</w:t>
      </w:r>
      <w:r w:rsidR="00A77D0A">
        <w:t>-</w:t>
      </w:r>
      <w:r w:rsidRPr="001A4CDD">
        <w:t>750/T790M) pathogenic variants common in NSCLC (</w:t>
      </w:r>
      <w:r w:rsidR="00482E81">
        <w:t xml:space="preserve">osimertinib </w:t>
      </w:r>
      <w:r w:rsidR="006E06CD">
        <w:t>PI</w:t>
      </w:r>
      <w:r w:rsidRPr="001A4CDD">
        <w:t xml:space="preserve">). Inhibitory activity at uncommon pathogenic variant forms of </w:t>
      </w:r>
      <w:r w:rsidRPr="001A4CDD">
        <w:rPr>
          <w:i/>
        </w:rPr>
        <w:t>EGFR</w:t>
      </w:r>
      <w:r w:rsidRPr="001A4CDD">
        <w:t xml:space="preserve"> in NSCLC (G719A/C/S, L747S, S768I, L861Q [single or double]) has also been shown</w:t>
      </w:r>
      <w:r w:rsidR="006E06CD">
        <w:t xml:space="preserve"> (</w:t>
      </w:r>
      <w:r w:rsidR="00482E81">
        <w:t xml:space="preserve">osimertinib </w:t>
      </w:r>
      <w:r w:rsidR="006E06CD">
        <w:t>PI)</w:t>
      </w:r>
      <w:r w:rsidRPr="001A4CDD">
        <w:t>.</w:t>
      </w:r>
    </w:p>
    <w:p w14:paraId="26B7A321" w14:textId="6CD7BA2E" w:rsidR="00C81397" w:rsidRDefault="00327047" w:rsidP="00A12328">
      <w:pPr>
        <w:pStyle w:val="3-BodyText"/>
      </w:pPr>
      <w:r w:rsidRPr="001A4CDD">
        <w:t xml:space="preserve">After FDA approval of osimertinib for this indication in 2024, National Comprehensive Cancer Network (NCCN) and American Society of Clinical Oncology (ASCO) guidelines were updated to recommend osimertinib after definitive cCRT for patients with </w:t>
      </w:r>
      <w:r w:rsidRPr="001A4CDD">
        <w:rPr>
          <w:i/>
        </w:rPr>
        <w:t>EGFR</w:t>
      </w:r>
      <w:r w:rsidRPr="001A4CDD">
        <w:t xml:space="preserve"> exon 19 deletion or exon 21 L858R pathogenic variants, based on the results of the LAURA trial (NCCN 2024, Daly 2024</w:t>
      </w:r>
      <w:r w:rsidRPr="001A4CDD">
        <w:rPr>
          <w:rStyle w:val="FootnoteReference"/>
        </w:rPr>
        <w:footnoteReference w:id="14"/>
      </w:r>
      <w:r w:rsidRPr="001A4CDD">
        <w:t>).</w:t>
      </w:r>
      <w:r w:rsidR="002B736C">
        <w:t xml:space="preserve"> </w:t>
      </w:r>
    </w:p>
    <w:p w14:paraId="40E05FAA" w14:textId="621AA19A" w:rsidR="00332F7A" w:rsidRPr="001A4CDD" w:rsidDel="00195452" w:rsidRDefault="00C81397" w:rsidP="00A12328">
      <w:pPr>
        <w:pStyle w:val="3-BodyText"/>
        <w:numPr>
          <w:ilvl w:val="0"/>
          <w:numId w:val="0"/>
        </w:numPr>
        <w:ind w:left="720"/>
      </w:pPr>
      <w:r w:rsidRPr="00C33D30">
        <w:rPr>
          <w:i/>
        </w:rPr>
        <w:t>For more detail on PBAC’s view, see section 7 PBAC outcome.</w:t>
      </w:r>
      <w:r w:rsidR="002B736C">
        <w:t xml:space="preserve"> </w:t>
      </w:r>
    </w:p>
    <w:p w14:paraId="51E5AE96" w14:textId="136A63B1" w:rsidR="00B50DB8" w:rsidRPr="00407F2D" w:rsidRDefault="00B50DB8" w:rsidP="00A12328">
      <w:pPr>
        <w:pStyle w:val="2-SectionHeading"/>
      </w:pPr>
      <w:bookmarkStart w:id="21" w:name="_Toc198720633"/>
      <w:r w:rsidRPr="00407F2D">
        <w:t>Comparator</w:t>
      </w:r>
      <w:bookmarkEnd w:id="21"/>
    </w:p>
    <w:p w14:paraId="488E24C8" w14:textId="27F05098" w:rsidR="0041098C" w:rsidRPr="0043454D" w:rsidRDefault="00327047" w:rsidP="00A12328">
      <w:pPr>
        <w:pStyle w:val="3-BodyText"/>
      </w:pPr>
      <w:r w:rsidRPr="00C61BA2">
        <w:t xml:space="preserve">The submission nominated placebo, or standard of care (consisting of active surveillance), as the main comparator. The main </w:t>
      </w:r>
      <w:r w:rsidR="004E629C">
        <w:t>justifications</w:t>
      </w:r>
      <w:r w:rsidR="004E629C" w:rsidRPr="00C61BA2">
        <w:t xml:space="preserve"> </w:t>
      </w:r>
      <w:r w:rsidRPr="00C61BA2">
        <w:t>provided</w:t>
      </w:r>
      <w:r w:rsidR="00D93A08">
        <w:t xml:space="preserve"> by the submission</w:t>
      </w:r>
      <w:r w:rsidRPr="00C61BA2">
        <w:t xml:space="preserve"> in support of this nomination were: </w:t>
      </w:r>
      <w:r>
        <w:t>(i)</w:t>
      </w:r>
      <w:r w:rsidRPr="00C61BA2">
        <w:t xml:space="preserve"> </w:t>
      </w:r>
      <w:r w:rsidRPr="004B687E">
        <w:t xml:space="preserve">there is no targeted treatment currently available for patients with unresectable locally advanced (Stage III) </w:t>
      </w:r>
      <w:r w:rsidRPr="004B687E">
        <w:rPr>
          <w:i/>
        </w:rPr>
        <w:t>EGFR</w:t>
      </w:r>
      <w:r w:rsidRPr="004B687E">
        <w:t xml:space="preserve"> pathogenic variant positive NSCLC whose disease has not progressed during or following platinum-based CRT, and (ii) </w:t>
      </w:r>
      <w:r>
        <w:t>e</w:t>
      </w:r>
      <w:r w:rsidRPr="004B687E">
        <w:t xml:space="preserve">vidence from the pivotal trial LAURA presents a direct comparison of </w:t>
      </w:r>
      <w:r w:rsidRPr="0067279C">
        <w:t xml:space="preserve">osimertinib compared to placebo in this patient population. </w:t>
      </w:r>
      <w:r w:rsidR="006F3587" w:rsidRPr="0067279C">
        <w:t>The</w:t>
      </w:r>
      <w:r w:rsidR="00521CF3" w:rsidRPr="0067279C">
        <w:t xml:space="preserve"> evaluation</w:t>
      </w:r>
      <w:r w:rsidR="00521CF3" w:rsidRPr="00521CF3">
        <w:rPr>
          <w:i/>
          <w:iCs/>
        </w:rPr>
        <w:t xml:space="preserve"> </w:t>
      </w:r>
      <w:r w:rsidR="00521CF3" w:rsidRPr="0067279C">
        <w:t>noted that the</w:t>
      </w:r>
      <w:r w:rsidR="006F3587" w:rsidRPr="0043454D">
        <w:t xml:space="preserve"> latter </w:t>
      </w:r>
      <w:r w:rsidR="0004424F" w:rsidRPr="0043454D">
        <w:t>point</w:t>
      </w:r>
      <w:r w:rsidR="006F3587" w:rsidRPr="0043454D">
        <w:t xml:space="preserve"> </w:t>
      </w:r>
      <w:r w:rsidR="003545C0" w:rsidRPr="0043454D">
        <w:t>does not contribute to nominating the</w:t>
      </w:r>
      <w:r w:rsidR="00A461A3" w:rsidRPr="0043454D">
        <w:t xml:space="preserve"> appropriate</w:t>
      </w:r>
      <w:r w:rsidR="003545C0" w:rsidRPr="0043454D">
        <w:t xml:space="preserve"> comparator</w:t>
      </w:r>
      <w:r w:rsidR="00A461A3" w:rsidRPr="0043454D">
        <w:t xml:space="preserve">, as the </w:t>
      </w:r>
      <w:r w:rsidR="00EE36C2" w:rsidRPr="0043454D">
        <w:t xml:space="preserve">control arm of a trial </w:t>
      </w:r>
      <w:r w:rsidR="005244E1" w:rsidRPr="0043454D">
        <w:t>may not be the therapy</w:t>
      </w:r>
      <w:r w:rsidR="00EE36C2" w:rsidRPr="0043454D">
        <w:t xml:space="preserve"> that is most likely to be replaced</w:t>
      </w:r>
      <w:r w:rsidR="005B4AAC" w:rsidRPr="0043454D">
        <w:t xml:space="preserve"> in Australia</w:t>
      </w:r>
      <w:r w:rsidR="00EE36C2" w:rsidRPr="0043454D">
        <w:t>.</w:t>
      </w:r>
      <w:r w:rsidR="003545C0" w:rsidRPr="0043454D">
        <w:t xml:space="preserve"> </w:t>
      </w:r>
      <w:r w:rsidR="00933140" w:rsidRPr="0043454D">
        <w:t xml:space="preserve">Notwithstanding, the evaluation </w:t>
      </w:r>
      <w:r w:rsidR="007E18BF" w:rsidRPr="0043454D">
        <w:t xml:space="preserve">agreed with the submission that </w:t>
      </w:r>
      <w:r w:rsidR="00C53100" w:rsidRPr="0043454D">
        <w:t>the appropriate comparator is placebo</w:t>
      </w:r>
      <w:r w:rsidR="009C3BA1" w:rsidRPr="0043454D">
        <w:t>, based on point (i).</w:t>
      </w:r>
    </w:p>
    <w:p w14:paraId="51A9E32C" w14:textId="6FB9F931" w:rsidR="00327047" w:rsidRDefault="000A7CD1" w:rsidP="00A12328">
      <w:pPr>
        <w:pStyle w:val="3-BodyText"/>
        <w:rPr>
          <w:iCs/>
        </w:rPr>
      </w:pPr>
      <w:r>
        <w:t>Durvalumab was not considered a relevant comparator</w:t>
      </w:r>
      <w:r w:rsidR="004B02AB">
        <w:t>,</w:t>
      </w:r>
      <w:r>
        <w:t xml:space="preserve"> as the efficacy in patients with </w:t>
      </w:r>
      <w:r w:rsidRPr="00F06E2F">
        <w:rPr>
          <w:i/>
        </w:rPr>
        <w:t>EGFR</w:t>
      </w:r>
      <w:r>
        <w:t xml:space="preserve"> pathogenic variants is uncertain (Naidoo 2023</w:t>
      </w:r>
      <w:r>
        <w:rPr>
          <w:rStyle w:val="FootnoteReference"/>
        </w:rPr>
        <w:footnoteReference w:id="15"/>
      </w:r>
      <w:r>
        <w:t>, Spigel 202</w:t>
      </w:r>
      <w:r w:rsidR="00F06E2F">
        <w:t>2</w:t>
      </w:r>
      <w:r w:rsidR="00F06E2F">
        <w:rPr>
          <w:rStyle w:val="FootnoteReference"/>
        </w:rPr>
        <w:footnoteReference w:id="16"/>
      </w:r>
      <w:r>
        <w:t xml:space="preserve">). </w:t>
      </w:r>
      <w:r w:rsidR="00327047" w:rsidRPr="0043454D">
        <w:rPr>
          <w:iCs/>
        </w:rPr>
        <w:t>Th</w:t>
      </w:r>
      <w:r w:rsidR="00491E07">
        <w:rPr>
          <w:iCs/>
        </w:rPr>
        <w:t xml:space="preserve">e </w:t>
      </w:r>
      <w:r w:rsidR="00491E07" w:rsidRPr="00393E36">
        <w:rPr>
          <w:iCs/>
        </w:rPr>
        <w:t xml:space="preserve">evaluation considered that </w:t>
      </w:r>
      <w:r w:rsidR="00491E07">
        <w:rPr>
          <w:iCs/>
        </w:rPr>
        <w:t>th</w:t>
      </w:r>
      <w:r w:rsidR="00327047" w:rsidRPr="0043454D">
        <w:rPr>
          <w:iCs/>
        </w:rPr>
        <w:t>is was appropriate</w:t>
      </w:r>
      <w:r w:rsidR="00F06E2F" w:rsidRPr="0043454D">
        <w:rPr>
          <w:iCs/>
        </w:rPr>
        <w:t xml:space="preserve">, however some </w:t>
      </w:r>
      <w:r w:rsidR="00F06E2F" w:rsidRPr="00602545">
        <w:rPr>
          <w:i/>
        </w:rPr>
        <w:t>EGFR</w:t>
      </w:r>
      <w:r w:rsidR="00F06E2F" w:rsidRPr="0043454D">
        <w:rPr>
          <w:iCs/>
        </w:rPr>
        <w:t>-positive patients in Australia may receive durvalumab, and it is possible that if listed, osimertinib may replace some durvalumab use</w:t>
      </w:r>
      <w:r w:rsidR="00327047" w:rsidRPr="0043454D">
        <w:rPr>
          <w:iCs/>
        </w:rPr>
        <w:t xml:space="preserve">. </w:t>
      </w:r>
      <w:r w:rsidR="00D4282C" w:rsidRPr="0043454D">
        <w:rPr>
          <w:iCs/>
        </w:rPr>
        <w:t>Additionally</w:t>
      </w:r>
      <w:r w:rsidR="00327047" w:rsidRPr="0043454D">
        <w:rPr>
          <w:iCs/>
        </w:rPr>
        <w:t xml:space="preserve">, given that osimertinib is </w:t>
      </w:r>
      <w:r w:rsidR="007611DD" w:rsidRPr="0043454D">
        <w:rPr>
          <w:iCs/>
        </w:rPr>
        <w:t xml:space="preserve">currently </w:t>
      </w:r>
      <w:r w:rsidR="00327047" w:rsidRPr="0043454D">
        <w:rPr>
          <w:iCs/>
        </w:rPr>
        <w:t xml:space="preserve">available in </w:t>
      </w:r>
      <w:r w:rsidR="00810F9F" w:rsidRPr="0043454D">
        <w:rPr>
          <w:iCs/>
        </w:rPr>
        <w:t xml:space="preserve">locally </w:t>
      </w:r>
      <w:r w:rsidR="00327047" w:rsidRPr="0043454D">
        <w:rPr>
          <w:iCs/>
        </w:rPr>
        <w:t>advanced</w:t>
      </w:r>
      <w:r w:rsidR="00B773CA" w:rsidRPr="0043454D">
        <w:rPr>
          <w:iCs/>
        </w:rPr>
        <w:t>/metastatic</w:t>
      </w:r>
      <w:r w:rsidR="00327047" w:rsidRPr="0043454D">
        <w:rPr>
          <w:iCs/>
        </w:rPr>
        <w:t xml:space="preserve"> </w:t>
      </w:r>
      <w:r w:rsidR="00327047" w:rsidRPr="00602545">
        <w:rPr>
          <w:i/>
        </w:rPr>
        <w:t>EGFR</w:t>
      </w:r>
      <w:r w:rsidR="00327047" w:rsidRPr="0043454D">
        <w:rPr>
          <w:iCs/>
        </w:rPr>
        <w:t xml:space="preserve">-positive NSCLC, </w:t>
      </w:r>
      <w:r w:rsidR="00F06E2F" w:rsidRPr="0043454D">
        <w:rPr>
          <w:iCs/>
        </w:rPr>
        <w:t xml:space="preserve">listing osimertinib for </w:t>
      </w:r>
      <w:r w:rsidR="00D4282C" w:rsidRPr="0043454D">
        <w:rPr>
          <w:iCs/>
        </w:rPr>
        <w:t>maintenance therapy</w:t>
      </w:r>
      <w:r w:rsidR="007B1610">
        <w:rPr>
          <w:iCs/>
        </w:rPr>
        <w:t xml:space="preserve"> </w:t>
      </w:r>
      <w:r w:rsidR="007B1610" w:rsidRPr="0067279C">
        <w:rPr>
          <w:iCs/>
        </w:rPr>
        <w:t>in unresectable locally advanced (Stage III) disease</w:t>
      </w:r>
      <w:r w:rsidR="00F06E2F" w:rsidRPr="0067279C">
        <w:rPr>
          <w:iCs/>
        </w:rPr>
        <w:t xml:space="preserve"> may replace</w:t>
      </w:r>
      <w:r w:rsidR="006C15A2" w:rsidRPr="0067279C">
        <w:rPr>
          <w:iCs/>
        </w:rPr>
        <w:t xml:space="preserve"> osimertinib</w:t>
      </w:r>
      <w:r w:rsidR="00F06E2F" w:rsidRPr="0067279C">
        <w:rPr>
          <w:iCs/>
        </w:rPr>
        <w:t xml:space="preserve"> use in</w:t>
      </w:r>
      <w:r w:rsidR="006C15A2" w:rsidRPr="0067279C">
        <w:rPr>
          <w:iCs/>
        </w:rPr>
        <w:t xml:space="preserve"> the locally advanced/metastatic setting</w:t>
      </w:r>
      <w:r w:rsidR="00327047" w:rsidRPr="0067279C">
        <w:rPr>
          <w:iCs/>
        </w:rPr>
        <w:t>.</w:t>
      </w:r>
    </w:p>
    <w:p w14:paraId="41A12C16" w14:textId="4528705F" w:rsidR="00C81397" w:rsidRPr="0067279C" w:rsidRDefault="00C81397" w:rsidP="00A12328">
      <w:pPr>
        <w:pStyle w:val="3-BodyText"/>
        <w:numPr>
          <w:ilvl w:val="0"/>
          <w:numId w:val="0"/>
        </w:numPr>
        <w:ind w:left="720"/>
        <w:rPr>
          <w:iCs/>
        </w:rPr>
      </w:pPr>
      <w:r w:rsidRPr="00C33D30">
        <w:rPr>
          <w:i/>
        </w:rPr>
        <w:t>For more detail on PBAC’s view, see section 7 PBAC outcome.</w:t>
      </w:r>
    </w:p>
    <w:p w14:paraId="7F9C27C8" w14:textId="77777777" w:rsidR="00223D5A" w:rsidRPr="001A4CDD" w:rsidRDefault="00223D5A" w:rsidP="00A12328">
      <w:pPr>
        <w:pStyle w:val="2-SectionHeading"/>
        <w:numPr>
          <w:ilvl w:val="0"/>
          <w:numId w:val="1"/>
        </w:numPr>
      </w:pPr>
      <w:bookmarkStart w:id="22" w:name="_Toc198720634"/>
      <w:bookmarkStart w:id="23" w:name="_Toc22897640"/>
      <w:r w:rsidRPr="001A4CDD">
        <w:t>Consideration of the evidence</w:t>
      </w:r>
      <w:bookmarkEnd w:id="22"/>
    </w:p>
    <w:p w14:paraId="6962BC02" w14:textId="77777777" w:rsidR="001D181B" w:rsidRPr="006E1229" w:rsidRDefault="001D181B" w:rsidP="00A12328">
      <w:pPr>
        <w:pStyle w:val="4-SubsectionHeading"/>
      </w:pPr>
      <w:bookmarkStart w:id="24" w:name="_Hlk76375935"/>
      <w:bookmarkStart w:id="25" w:name="_Toc198720635"/>
      <w:r w:rsidRPr="006E1229">
        <w:t>Sponsor hearing</w:t>
      </w:r>
    </w:p>
    <w:p w14:paraId="61E024F2" w14:textId="4075588A" w:rsidR="001D181B" w:rsidRPr="00FD299D" w:rsidRDefault="001D181B" w:rsidP="00A12328">
      <w:pPr>
        <w:numPr>
          <w:ilvl w:val="1"/>
          <w:numId w:val="1"/>
        </w:numPr>
        <w:spacing w:after="120"/>
        <w:rPr>
          <w:rFonts w:cs="Calibri"/>
          <w:bCs/>
          <w:snapToGrid w:val="0"/>
        </w:rPr>
      </w:pPr>
      <w:r w:rsidRPr="00F91542">
        <w:rPr>
          <w:rFonts w:cs="Calibri"/>
          <w:bCs/>
          <w:snapToGrid w:val="0"/>
        </w:rPr>
        <w:t>There was no hearing for this item.</w:t>
      </w:r>
    </w:p>
    <w:p w14:paraId="6EF646F5" w14:textId="77777777" w:rsidR="001D181B" w:rsidRPr="006E1229" w:rsidRDefault="001D181B" w:rsidP="00A12328">
      <w:pPr>
        <w:pStyle w:val="4-SubsectionHeading"/>
      </w:pPr>
      <w:r w:rsidRPr="006E1229">
        <w:t>Consumer comments</w:t>
      </w:r>
    </w:p>
    <w:bookmarkEnd w:id="24"/>
    <w:p w14:paraId="58A754A9" w14:textId="0761EA66" w:rsidR="007312E9" w:rsidRDefault="007312E9" w:rsidP="00A12328">
      <w:pPr>
        <w:pStyle w:val="3-BodyText"/>
      </w:pPr>
      <w:r>
        <w:t xml:space="preserve">The PBAC noted and welcomed the input from 4 organisations </w:t>
      </w:r>
      <w:r w:rsidR="00290CF2">
        <w:t xml:space="preserve">and an individual </w:t>
      </w:r>
      <w:r>
        <w:t>via the Consumer Comments facility on the PBS website.</w:t>
      </w:r>
    </w:p>
    <w:p w14:paraId="56005D37" w14:textId="1BF0D6E4" w:rsidR="00843A5E" w:rsidRDefault="00843A5E" w:rsidP="00A12328">
      <w:pPr>
        <w:pStyle w:val="3-BodyText"/>
      </w:pPr>
      <w:r w:rsidRPr="00843A5E">
        <w:t xml:space="preserve">An individual with experience of taking </w:t>
      </w:r>
      <w:r w:rsidR="00E24AC9">
        <w:t xml:space="preserve">osimertinib </w:t>
      </w:r>
      <w:r w:rsidRPr="00843A5E">
        <w:t>in a later stage of disease noted the side effects were minor and their quality of life on the drug enabled them to live a more normal life</w:t>
      </w:r>
      <w:r>
        <w:t>.</w:t>
      </w:r>
    </w:p>
    <w:p w14:paraId="2667B1AF" w14:textId="67DAF546" w:rsidR="007312E9" w:rsidRDefault="007312E9" w:rsidP="00A12328">
      <w:pPr>
        <w:pStyle w:val="3-BodyText"/>
      </w:pPr>
      <w:r>
        <w:t xml:space="preserve">Two medical organisations (the Thoracic Oncology Group of Australasia [TOGA] and the Medical Oncology Group Australia [MOGA]) indicated their support for the PBS listing of osimertinib to be extended to </w:t>
      </w:r>
      <w:r w:rsidR="005F3334">
        <w:t>u</w:t>
      </w:r>
      <w:r w:rsidR="00286431">
        <w:t xml:space="preserve">nresectable </w:t>
      </w:r>
      <w:r>
        <w:t xml:space="preserve">Stage III NSCLC patients with an </w:t>
      </w:r>
      <w:r w:rsidRPr="002D4A3B">
        <w:rPr>
          <w:i/>
          <w:iCs/>
        </w:rPr>
        <w:t>EGFR</w:t>
      </w:r>
      <w:r>
        <w:t xml:space="preserve"> mutation. TOGA emphasised the positive benefit </w:t>
      </w:r>
      <w:r w:rsidR="009D7AB3">
        <w:t>of</w:t>
      </w:r>
      <w:r>
        <w:t xml:space="preserve"> osimertinib to extend PFS as observed in the LAURA trial </w:t>
      </w:r>
      <w:r w:rsidR="00AB4492">
        <w:t>and</w:t>
      </w:r>
      <w:r w:rsidR="000B7E8F">
        <w:t xml:space="preserve"> commented </w:t>
      </w:r>
      <w:r>
        <w:t>on the benefit observed with respect to reducing</w:t>
      </w:r>
      <w:r w:rsidR="001E65EF">
        <w:t xml:space="preserve"> both</w:t>
      </w:r>
      <w:r w:rsidR="00CB32F8">
        <w:t xml:space="preserve"> </w:t>
      </w:r>
      <w:r>
        <w:t>local progression and distant metastases</w:t>
      </w:r>
      <w:r w:rsidR="00A160AC">
        <w:t xml:space="preserve">, </w:t>
      </w:r>
      <w:r w:rsidR="00F70948">
        <w:t>compared with placebo</w:t>
      </w:r>
      <w:r>
        <w:t xml:space="preserve">. </w:t>
      </w:r>
      <w:r w:rsidR="00004DAE">
        <w:t xml:space="preserve">TOGA also noted that osimertinib demonstrated a protective effect against </w:t>
      </w:r>
      <w:r w:rsidR="003067BF">
        <w:t>central nervous system (</w:t>
      </w:r>
      <w:r w:rsidR="00004DAE">
        <w:t>CNS</w:t>
      </w:r>
      <w:r w:rsidR="003067BF">
        <w:t>)</w:t>
      </w:r>
      <w:r w:rsidR="00004DAE">
        <w:t xml:space="preserve"> progression reducing the incidence of new brain metastases compared to placebo, which</w:t>
      </w:r>
      <w:r w:rsidR="00882F94">
        <w:t xml:space="preserve"> it considered to be</w:t>
      </w:r>
      <w:r w:rsidR="00004DAE">
        <w:t xml:space="preserve"> of particular concern for</w:t>
      </w:r>
      <w:r w:rsidR="00882F94">
        <w:t xml:space="preserve"> patients with</w:t>
      </w:r>
      <w:r w:rsidR="00004DAE">
        <w:t xml:space="preserve"> </w:t>
      </w:r>
      <w:r w:rsidR="00004DAE" w:rsidRPr="00FF5382">
        <w:rPr>
          <w:i/>
          <w:iCs/>
        </w:rPr>
        <w:t>EGFR</w:t>
      </w:r>
      <w:r w:rsidR="00882F94">
        <w:t xml:space="preserve"> positive</w:t>
      </w:r>
      <w:r w:rsidR="00004DAE">
        <w:t xml:space="preserve"> NSCLC. </w:t>
      </w:r>
      <w:r>
        <w:t xml:space="preserve">The MOGA also expressed its strong support for the osimertinib submission, categorising it as one of the therapies of </w:t>
      </w:r>
      <w:r w:rsidR="00C46BEB">
        <w:t>‘</w:t>
      </w:r>
      <w:r>
        <w:t>highest priority for PBS listing</w:t>
      </w:r>
      <w:r w:rsidR="00C46BEB">
        <w:t>’</w:t>
      </w:r>
      <w:r>
        <w:t xml:space="preserve"> on the basis of the LAURA trial. The PBAC noted that the MOGA presented a European Society for Medical Oncology Magnitude of Clinical Benefit Scale (ESMO-MCBS) for osimertinib, which was scored </w:t>
      </w:r>
      <w:r w:rsidR="00047081">
        <w:t>4</w:t>
      </w:r>
      <w:r>
        <w:t xml:space="preserve"> (out of a maximum of 5, where 5 and 4 represent the grades with substantial improvement)</w:t>
      </w:r>
      <w:r w:rsidR="002E5709">
        <w:rPr>
          <w:rStyle w:val="FootnoteReference"/>
        </w:rPr>
        <w:footnoteReference w:id="17"/>
      </w:r>
      <w:r>
        <w:t>, based on a comparison with placebo.</w:t>
      </w:r>
    </w:p>
    <w:p w14:paraId="4B9FEBD7" w14:textId="6DF62B4D" w:rsidR="001D181B" w:rsidRDefault="007312E9" w:rsidP="00A12328">
      <w:pPr>
        <w:pStyle w:val="3-BodyText"/>
      </w:pPr>
      <w:r>
        <w:t xml:space="preserve">Similarly, two consumer groups (Lung Foundation Australia and Rare Cancers Australia) </w:t>
      </w:r>
      <w:r w:rsidR="00567FAD">
        <w:t xml:space="preserve">expressed </w:t>
      </w:r>
      <w:r w:rsidR="00933B93">
        <w:t xml:space="preserve">their </w:t>
      </w:r>
      <w:r w:rsidR="00EE7E2F">
        <w:t>support for the</w:t>
      </w:r>
      <w:r>
        <w:t xml:space="preserve"> PBS listing</w:t>
      </w:r>
      <w:r w:rsidR="00EE7E2F">
        <w:t xml:space="preserve"> of osimertinib for the treatment of</w:t>
      </w:r>
      <w:r>
        <w:t xml:space="preserve"> unresect</w:t>
      </w:r>
      <w:r w:rsidR="00977959">
        <w:t>able</w:t>
      </w:r>
      <w:r>
        <w:t xml:space="preserve"> Stage III </w:t>
      </w:r>
      <w:r w:rsidRPr="009868CA">
        <w:rPr>
          <w:i/>
          <w:iCs/>
        </w:rPr>
        <w:t>EGFR</w:t>
      </w:r>
      <w:r w:rsidR="000D52FB">
        <w:t xml:space="preserve"> positive NSCLC</w:t>
      </w:r>
      <w:r>
        <w:t xml:space="preserve">. </w:t>
      </w:r>
      <w:r w:rsidR="00F521BB">
        <w:t xml:space="preserve">Rare Cancers Australia emphasised the strong clinical results </w:t>
      </w:r>
      <w:r w:rsidR="00C02007">
        <w:t>observed for</w:t>
      </w:r>
      <w:r w:rsidR="00F521BB">
        <w:t xml:space="preserve"> osimertinib </w:t>
      </w:r>
      <w:r w:rsidR="00C02007">
        <w:t>in the LAU</w:t>
      </w:r>
      <w:r w:rsidR="00EA21CA">
        <w:t>R</w:t>
      </w:r>
      <w:r w:rsidR="00C02007">
        <w:t xml:space="preserve">A trial </w:t>
      </w:r>
      <w:r w:rsidR="00F521BB">
        <w:t xml:space="preserve">reflected by </w:t>
      </w:r>
      <w:r w:rsidR="00055C2A">
        <w:t>a</w:t>
      </w:r>
      <w:r w:rsidR="00F521BB">
        <w:t xml:space="preserve"> marked increase in PFS. </w:t>
      </w:r>
      <w:r>
        <w:t xml:space="preserve">Lung Foundation Australia </w:t>
      </w:r>
      <w:r w:rsidR="00F521BB">
        <w:t>also considered</w:t>
      </w:r>
      <w:r>
        <w:t xml:space="preserve"> that osimertinib </w:t>
      </w:r>
      <w:r w:rsidR="00DA2819">
        <w:t>would</w:t>
      </w:r>
      <w:r>
        <w:t xml:space="preserve"> likely provide longer PFS for this cohort of patients who currently have low survival rates and no targeted treatments available on the PBS</w:t>
      </w:r>
      <w:r w:rsidR="00630D7B">
        <w:t xml:space="preserve">. </w:t>
      </w:r>
      <w:r w:rsidR="00AB3787">
        <w:t>Both consumer groups</w:t>
      </w:r>
      <w:r w:rsidR="001B545C">
        <w:t xml:space="preserve"> </w:t>
      </w:r>
      <w:r w:rsidR="0042175F">
        <w:t>emphasised</w:t>
      </w:r>
      <w:r w:rsidR="00687E24">
        <w:t xml:space="preserve"> </w:t>
      </w:r>
      <w:r w:rsidR="00AB3F82">
        <w:t xml:space="preserve">the </w:t>
      </w:r>
      <w:r w:rsidR="00BF5DFC">
        <w:t xml:space="preserve">significant </w:t>
      </w:r>
      <w:r w:rsidR="00687E24">
        <w:t xml:space="preserve">financial burden </w:t>
      </w:r>
      <w:r w:rsidR="00AB3F82">
        <w:t xml:space="preserve">experienced by NSCLC </w:t>
      </w:r>
      <w:r w:rsidR="007126F6">
        <w:t>patients</w:t>
      </w:r>
      <w:r w:rsidR="00647325">
        <w:t xml:space="preserve">, </w:t>
      </w:r>
      <w:r w:rsidR="007126F6">
        <w:t>highlighting</w:t>
      </w:r>
      <w:r w:rsidR="00647325">
        <w:t xml:space="preserve"> </w:t>
      </w:r>
      <w:r w:rsidR="00CB217B">
        <w:t xml:space="preserve">the </w:t>
      </w:r>
      <w:r w:rsidR="00F6228C">
        <w:t xml:space="preserve">high and </w:t>
      </w:r>
      <w:r w:rsidR="00647325">
        <w:t xml:space="preserve">ongoing costs associated with </w:t>
      </w:r>
      <w:r w:rsidR="003D3995">
        <w:t>medical care</w:t>
      </w:r>
      <w:r w:rsidR="007126F6">
        <w:t xml:space="preserve"> and</w:t>
      </w:r>
      <w:r w:rsidR="00647325">
        <w:t xml:space="preserve"> </w:t>
      </w:r>
      <w:r w:rsidR="003D3995">
        <w:t>treatment</w:t>
      </w:r>
      <w:r w:rsidR="009F4211">
        <w:t xml:space="preserve"> and</w:t>
      </w:r>
      <w:r w:rsidR="00025F8B" w:rsidRPr="00025F8B">
        <w:t xml:space="preserve"> </w:t>
      </w:r>
      <w:r w:rsidR="00025F8B">
        <w:t>a</w:t>
      </w:r>
      <w:r w:rsidR="00025F8B" w:rsidRPr="00025F8B">
        <w:t xml:space="preserve"> reduced ability to work </w:t>
      </w:r>
      <w:r w:rsidR="00025F8B">
        <w:t>leading</w:t>
      </w:r>
      <w:r w:rsidR="00025F8B" w:rsidRPr="00025F8B">
        <w:t xml:space="preserve"> to</w:t>
      </w:r>
      <w:r w:rsidR="00025F8B">
        <w:t xml:space="preserve"> </w:t>
      </w:r>
      <w:r w:rsidR="00CD1CAE">
        <w:t xml:space="preserve">a </w:t>
      </w:r>
      <w:r w:rsidR="00025F8B" w:rsidRPr="00025F8B">
        <w:t>decrease</w:t>
      </w:r>
      <w:r w:rsidR="00025F8B">
        <w:t>d</w:t>
      </w:r>
      <w:r w:rsidR="00025F8B" w:rsidRPr="00025F8B">
        <w:t xml:space="preserve"> income</w:t>
      </w:r>
      <w:r w:rsidR="001F4874">
        <w:t xml:space="preserve">. </w:t>
      </w:r>
      <w:r w:rsidR="00AB2345">
        <w:t>Rare Cancers Australia noted that the current cost of target</w:t>
      </w:r>
      <w:r w:rsidR="00506889">
        <w:t>ed</w:t>
      </w:r>
      <w:r w:rsidR="00AB2345">
        <w:t xml:space="preserve"> therapies, such as osimertinib, was a significant barrier to treatment. </w:t>
      </w:r>
      <w:r w:rsidR="00AB3787">
        <w:t xml:space="preserve">Lung </w:t>
      </w:r>
      <w:r w:rsidR="00B4318E">
        <w:t>F</w:t>
      </w:r>
      <w:r w:rsidR="00AB3787">
        <w:t>oundation Australia</w:t>
      </w:r>
      <w:r w:rsidR="000D12C5">
        <w:t xml:space="preserve"> </w:t>
      </w:r>
      <w:r w:rsidR="000B533B">
        <w:t>noted</w:t>
      </w:r>
      <w:r w:rsidR="00E10A41">
        <w:t xml:space="preserve"> that osimertinib is a monotherapy that can be taken orally</w:t>
      </w:r>
      <w:r w:rsidR="00630D7B">
        <w:t>, w</w:t>
      </w:r>
      <w:r w:rsidR="00C11F64">
        <w:t xml:space="preserve">hich </w:t>
      </w:r>
      <w:r w:rsidR="000D12C5">
        <w:t xml:space="preserve">it considered </w:t>
      </w:r>
      <w:r w:rsidR="00C11F64">
        <w:t xml:space="preserve">would </w:t>
      </w:r>
      <w:r w:rsidR="00905CCE">
        <w:t xml:space="preserve">likely lead to </w:t>
      </w:r>
      <w:r w:rsidR="00756462">
        <w:t xml:space="preserve">a reduction in the time </w:t>
      </w:r>
      <w:r w:rsidR="007C0449">
        <w:t xml:space="preserve">and cost associated with </w:t>
      </w:r>
      <w:r w:rsidR="00BE165F">
        <w:t>clinic</w:t>
      </w:r>
      <w:r w:rsidR="00867A92">
        <w:t>al</w:t>
      </w:r>
      <w:r w:rsidR="007C0449">
        <w:t xml:space="preserve"> </w:t>
      </w:r>
      <w:r w:rsidR="000D12C5">
        <w:t>appointments</w:t>
      </w:r>
      <w:r w:rsidR="00867A92">
        <w:t xml:space="preserve"> </w:t>
      </w:r>
      <w:r w:rsidR="00BE165F">
        <w:t>and</w:t>
      </w:r>
      <w:r w:rsidR="007C0449">
        <w:t xml:space="preserve"> </w:t>
      </w:r>
      <w:r w:rsidR="00630D7B">
        <w:t>travel</w:t>
      </w:r>
      <w:r w:rsidR="00AB2345">
        <w:t xml:space="preserve"> and </w:t>
      </w:r>
      <w:r w:rsidR="00601AE4">
        <w:t xml:space="preserve">that a </w:t>
      </w:r>
      <w:r w:rsidR="00AB2345">
        <w:t>PBS listing would ensure equity of access</w:t>
      </w:r>
      <w:r w:rsidR="008B24CE">
        <w:t>.</w:t>
      </w:r>
      <w:r w:rsidR="007828A3">
        <w:t xml:space="preserve"> </w:t>
      </w:r>
    </w:p>
    <w:p w14:paraId="609C0765" w14:textId="67454369" w:rsidR="00B60939" w:rsidRPr="001A4CDD" w:rsidRDefault="00B60939" w:rsidP="00A12328">
      <w:pPr>
        <w:pStyle w:val="4-SubsectionHeading"/>
      </w:pPr>
      <w:r w:rsidRPr="001A4CDD">
        <w:t xml:space="preserve">Clinical </w:t>
      </w:r>
      <w:bookmarkEnd w:id="23"/>
      <w:r w:rsidR="00332F7A" w:rsidRPr="001A4CDD">
        <w:t>trial</w:t>
      </w:r>
      <w:bookmarkEnd w:id="25"/>
    </w:p>
    <w:p w14:paraId="755FEA59" w14:textId="5556E196" w:rsidR="00327047" w:rsidRPr="001A4CDD" w:rsidRDefault="00327047" w:rsidP="00A12328">
      <w:pPr>
        <w:pStyle w:val="3-BodyText"/>
      </w:pPr>
      <w:bookmarkStart w:id="26" w:name="_Toc22897641"/>
      <w:r w:rsidRPr="00C42502">
        <w:rPr>
          <w:snapToGrid/>
        </w:rPr>
        <w:t xml:space="preserve">The submission was based on one </w:t>
      </w:r>
      <w:r w:rsidR="000373BC" w:rsidRPr="00C42502">
        <w:rPr>
          <w:snapToGrid/>
        </w:rPr>
        <w:t>randomi</w:t>
      </w:r>
      <w:r w:rsidR="00C04547" w:rsidRPr="00C42502">
        <w:rPr>
          <w:snapToGrid/>
        </w:rPr>
        <w:t>s</w:t>
      </w:r>
      <w:r w:rsidR="000373BC" w:rsidRPr="00C42502">
        <w:rPr>
          <w:snapToGrid/>
        </w:rPr>
        <w:t xml:space="preserve">ed controlled </w:t>
      </w:r>
      <w:r w:rsidRPr="00C42502">
        <w:rPr>
          <w:snapToGrid/>
        </w:rPr>
        <w:t xml:space="preserve">trial </w:t>
      </w:r>
      <w:r w:rsidR="000373BC" w:rsidRPr="00C42502">
        <w:rPr>
          <w:snapToGrid/>
        </w:rPr>
        <w:t>(RCT)</w:t>
      </w:r>
      <w:r w:rsidR="00092C41" w:rsidRPr="00C42502">
        <w:rPr>
          <w:snapToGrid/>
        </w:rPr>
        <w:t>, LA</w:t>
      </w:r>
      <w:r w:rsidR="00574DA4" w:rsidRPr="00C42502">
        <w:rPr>
          <w:snapToGrid/>
        </w:rPr>
        <w:t>URA,</w:t>
      </w:r>
      <w:r w:rsidR="000373BC" w:rsidRPr="00C42502">
        <w:rPr>
          <w:snapToGrid/>
        </w:rPr>
        <w:t xml:space="preserve"> </w:t>
      </w:r>
      <w:r w:rsidRPr="00C42502">
        <w:rPr>
          <w:snapToGrid/>
        </w:rPr>
        <w:t xml:space="preserve">comparing </w:t>
      </w:r>
      <w:r w:rsidR="00574DA4" w:rsidRPr="00C42502">
        <w:rPr>
          <w:snapToGrid/>
        </w:rPr>
        <w:t xml:space="preserve">the efficacy and safety of </w:t>
      </w:r>
      <w:r w:rsidRPr="00C42502">
        <w:rPr>
          <w:snapToGrid/>
        </w:rPr>
        <w:t>osimertinib to placebo (</w:t>
      </w:r>
      <w:r w:rsidR="007C52FF" w:rsidRPr="00C42502">
        <w:rPr>
          <w:snapToGrid/>
        </w:rPr>
        <w:t>N</w:t>
      </w:r>
      <w:r w:rsidRPr="00C42502">
        <w:rPr>
          <w:snapToGrid/>
        </w:rPr>
        <w:t>=216).</w:t>
      </w:r>
    </w:p>
    <w:p w14:paraId="7BAE4A38" w14:textId="157F2705" w:rsidR="00327047" w:rsidRPr="001A4CDD" w:rsidRDefault="00327047" w:rsidP="00A12328">
      <w:pPr>
        <w:pStyle w:val="3-BodyText"/>
        <w:rPr>
          <w:rFonts w:cstheme="minorHAnsi"/>
          <w:b/>
        </w:rPr>
      </w:pPr>
      <w:r w:rsidRPr="00C42502">
        <w:rPr>
          <w:snapToGrid/>
        </w:rPr>
        <w:t xml:space="preserve">Details of the trial presented in the submission are provided </w:t>
      </w:r>
      <w:r w:rsidRPr="00C42502">
        <w:rPr>
          <w:rFonts w:cstheme="minorHAnsi"/>
          <w:snapToGrid/>
        </w:rPr>
        <w:t>in</w:t>
      </w:r>
      <w:r w:rsidRPr="00C42502">
        <w:rPr>
          <w:rFonts w:cstheme="minorHAnsi"/>
          <w:b/>
          <w:snapToGrid/>
        </w:rPr>
        <w:t xml:space="preserve"> </w:t>
      </w:r>
      <w:r w:rsidRPr="00C42502">
        <w:rPr>
          <w:rFonts w:cstheme="minorHAnsi"/>
          <w:b/>
          <w:snapToGrid/>
        </w:rPr>
        <w:fldChar w:fldCharType="begin"/>
      </w:r>
      <w:r w:rsidRPr="00C42502">
        <w:rPr>
          <w:rFonts w:cstheme="minorHAnsi"/>
          <w:b/>
          <w:snapToGrid/>
        </w:rPr>
        <w:instrText xml:space="preserve"> REF _Ref197534663 \h  \* MERGEFORMAT </w:instrText>
      </w:r>
      <w:r w:rsidRPr="00C42502">
        <w:rPr>
          <w:rFonts w:cstheme="minorHAnsi"/>
          <w:b/>
          <w:snapToGrid/>
        </w:rPr>
      </w:r>
      <w:r w:rsidRPr="00C42502">
        <w:rPr>
          <w:rFonts w:cstheme="minorHAnsi"/>
          <w:b/>
          <w:snapToGrid/>
        </w:rPr>
        <w:fldChar w:fldCharType="separate"/>
      </w:r>
      <w:r w:rsidR="009F3D59" w:rsidRPr="009F3D59">
        <w:rPr>
          <w:rStyle w:val="CommentReference"/>
          <w:rFonts w:asciiTheme="minorHAnsi" w:hAnsiTheme="minorHAnsi" w:cstheme="minorHAnsi"/>
          <w:b w:val="0"/>
          <w:sz w:val="24"/>
        </w:rPr>
        <w:t xml:space="preserve">Table </w:t>
      </w:r>
      <w:r w:rsidR="009F3D59" w:rsidRPr="009F3D59">
        <w:rPr>
          <w:rStyle w:val="CommentReference"/>
          <w:rFonts w:asciiTheme="minorHAnsi" w:hAnsiTheme="minorHAnsi" w:cstheme="minorHAnsi"/>
          <w:b w:val="0"/>
          <w:noProof/>
          <w:sz w:val="24"/>
        </w:rPr>
        <w:t>2</w:t>
      </w:r>
      <w:r w:rsidRPr="00C42502">
        <w:rPr>
          <w:rFonts w:cstheme="minorHAnsi"/>
          <w:b/>
          <w:snapToGrid/>
        </w:rPr>
        <w:fldChar w:fldCharType="end"/>
      </w:r>
      <w:r w:rsidRPr="00C42502">
        <w:rPr>
          <w:rFonts w:cstheme="minorHAnsi"/>
          <w:snapToGrid/>
        </w:rPr>
        <w:t>.</w:t>
      </w:r>
    </w:p>
    <w:p w14:paraId="1DC33467" w14:textId="6A924EFD" w:rsidR="00327047" w:rsidRPr="003B4987" w:rsidRDefault="00327047" w:rsidP="00A12328">
      <w:pPr>
        <w:pStyle w:val="3-BodyText"/>
        <w:keepNext/>
        <w:numPr>
          <w:ilvl w:val="0"/>
          <w:numId w:val="0"/>
        </w:numPr>
        <w:spacing w:before="0" w:after="0"/>
        <w:rPr>
          <w:rStyle w:val="CommentReference"/>
        </w:rPr>
      </w:pPr>
      <w:bookmarkStart w:id="27" w:name="_Ref197534663"/>
      <w:r w:rsidRPr="003B4987">
        <w:rPr>
          <w:rStyle w:val="CommentReference"/>
        </w:rPr>
        <w:t xml:space="preserve">Table </w:t>
      </w:r>
      <w:r w:rsidRPr="003B4987">
        <w:rPr>
          <w:rStyle w:val="CommentReference"/>
        </w:rPr>
        <w:fldChar w:fldCharType="begin"/>
      </w:r>
      <w:r w:rsidRPr="003B4987">
        <w:rPr>
          <w:rStyle w:val="CommentReference"/>
        </w:rPr>
        <w:instrText xml:space="preserve"> SEQ Table \* ARABIC </w:instrText>
      </w:r>
      <w:r w:rsidRPr="003B4987">
        <w:rPr>
          <w:rStyle w:val="CommentReference"/>
        </w:rPr>
        <w:fldChar w:fldCharType="separate"/>
      </w:r>
      <w:r w:rsidR="009F3D59">
        <w:rPr>
          <w:rStyle w:val="CommentReference"/>
          <w:noProof/>
        </w:rPr>
        <w:t>2</w:t>
      </w:r>
      <w:r w:rsidRPr="003B4987">
        <w:rPr>
          <w:rStyle w:val="CommentReference"/>
        </w:rPr>
        <w:fldChar w:fldCharType="end"/>
      </w:r>
      <w:bookmarkEnd w:id="27"/>
      <w:r w:rsidRPr="003B4987">
        <w:rPr>
          <w:rStyle w:val="CommentReference"/>
        </w:rPr>
        <w:t>: Trials/studies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studies and associated reports presented in the submission"/>
      </w:tblPr>
      <w:tblGrid>
        <w:gridCol w:w="1435"/>
        <w:gridCol w:w="5459"/>
        <w:gridCol w:w="2123"/>
      </w:tblGrid>
      <w:tr w:rsidR="00327047" w:rsidRPr="00B41614" w14:paraId="451B777E" w14:textId="77777777" w:rsidTr="00231960">
        <w:trPr>
          <w:tblHeader/>
        </w:trPr>
        <w:tc>
          <w:tcPr>
            <w:tcW w:w="796" w:type="pct"/>
            <w:tcBorders>
              <w:bottom w:val="single" w:sz="4" w:space="0" w:color="auto"/>
            </w:tcBorders>
          </w:tcPr>
          <w:p w14:paraId="64BE076B" w14:textId="77777777" w:rsidR="00327047" w:rsidRPr="00C42502" w:rsidRDefault="00327047" w:rsidP="00A12328">
            <w:pPr>
              <w:pStyle w:val="In-tableHeading"/>
              <w:rPr>
                <w:lang w:val="en-AU"/>
              </w:rPr>
            </w:pPr>
            <w:r w:rsidRPr="00C42502">
              <w:rPr>
                <w:lang w:val="en-AU"/>
              </w:rPr>
              <w:t>Trial ID</w:t>
            </w:r>
          </w:p>
        </w:tc>
        <w:tc>
          <w:tcPr>
            <w:tcW w:w="3027" w:type="pct"/>
            <w:tcBorders>
              <w:bottom w:val="single" w:sz="4" w:space="0" w:color="auto"/>
            </w:tcBorders>
          </w:tcPr>
          <w:p w14:paraId="692F6FF5" w14:textId="77777777" w:rsidR="00327047" w:rsidRPr="00C42502" w:rsidRDefault="00327047" w:rsidP="00A12328">
            <w:pPr>
              <w:pStyle w:val="In-tableHeading"/>
              <w:rPr>
                <w:lang w:val="en-AU"/>
              </w:rPr>
            </w:pPr>
            <w:r w:rsidRPr="00C42502">
              <w:rPr>
                <w:lang w:val="en-AU"/>
              </w:rPr>
              <w:t>Protocol title/ Publication title</w:t>
            </w:r>
          </w:p>
        </w:tc>
        <w:tc>
          <w:tcPr>
            <w:tcW w:w="1177" w:type="pct"/>
            <w:tcBorders>
              <w:bottom w:val="single" w:sz="4" w:space="0" w:color="auto"/>
            </w:tcBorders>
          </w:tcPr>
          <w:p w14:paraId="5BE6ECE8" w14:textId="77777777" w:rsidR="00327047" w:rsidRPr="00C42502" w:rsidRDefault="00327047" w:rsidP="00A12328">
            <w:pPr>
              <w:pStyle w:val="In-tableHeading"/>
              <w:rPr>
                <w:lang w:val="en-AU"/>
              </w:rPr>
            </w:pPr>
            <w:r w:rsidRPr="00C42502">
              <w:rPr>
                <w:lang w:val="en-AU"/>
              </w:rPr>
              <w:t>Publication citation</w:t>
            </w:r>
          </w:p>
        </w:tc>
      </w:tr>
      <w:tr w:rsidR="00327047" w:rsidRPr="00CB38A8" w14:paraId="229941F9" w14:textId="77777777" w:rsidTr="00231960">
        <w:tc>
          <w:tcPr>
            <w:tcW w:w="796" w:type="pct"/>
            <w:tcBorders>
              <w:bottom w:val="nil"/>
            </w:tcBorders>
          </w:tcPr>
          <w:p w14:paraId="49C3F63D" w14:textId="77777777" w:rsidR="00327047" w:rsidRDefault="00327047" w:rsidP="00A12328">
            <w:pPr>
              <w:pStyle w:val="TableText0"/>
            </w:pPr>
            <w:r>
              <w:t>LAURA</w:t>
            </w:r>
          </w:p>
          <w:p w14:paraId="7DCA575A" w14:textId="77777777" w:rsidR="00327047" w:rsidRPr="00CB38A8" w:rsidRDefault="00327047" w:rsidP="00A12328">
            <w:pPr>
              <w:pStyle w:val="TableText0"/>
            </w:pPr>
            <w:r>
              <w:t>(</w:t>
            </w:r>
            <w:r w:rsidRPr="00460B4E">
              <w:t>NCT03521154</w:t>
            </w:r>
            <w:r>
              <w:t>)</w:t>
            </w:r>
          </w:p>
        </w:tc>
        <w:tc>
          <w:tcPr>
            <w:tcW w:w="3027" w:type="pct"/>
            <w:tcBorders>
              <w:bottom w:val="nil"/>
            </w:tcBorders>
          </w:tcPr>
          <w:p w14:paraId="0262810A" w14:textId="77777777" w:rsidR="00327047" w:rsidRDefault="00327047" w:rsidP="00A12328">
            <w:pPr>
              <w:pStyle w:val="TableText0"/>
              <w:rPr>
                <w:rFonts w:cs="Arial"/>
                <w:szCs w:val="20"/>
                <w:lang w:bidi="en-US"/>
              </w:rPr>
            </w:pPr>
            <w:r>
              <w:rPr>
                <w:rFonts w:cs="Arial"/>
                <w:szCs w:val="20"/>
                <w:lang w:bidi="en-US"/>
              </w:rPr>
              <w:t xml:space="preserve">A Phase III, Randomised, Double-Blind, Placebo-Controlled, Multicentre, International Study of Osimertinib as Maintenance Therapy in Patients with Locally Advanced, Unresectable </w:t>
            </w:r>
            <w:r w:rsidR="00C45A6D" w:rsidRPr="00C45A6D">
              <w:rPr>
                <w:rFonts w:cs="Arial"/>
                <w:i/>
                <w:szCs w:val="20"/>
                <w:lang w:bidi="en-US"/>
              </w:rPr>
              <w:t>EGFR</w:t>
            </w:r>
            <w:r>
              <w:rPr>
                <w:rFonts w:cs="Arial"/>
                <w:szCs w:val="20"/>
                <w:lang w:bidi="en-US"/>
              </w:rPr>
              <w:t xml:space="preserve"> Mutation-Positive Non-Small Cell Lung Cancer (Stage III) Whose Disease Has Not Progressed Following Definitive Platinum-Based Chemoradiation Therapy (LAURA)</w:t>
            </w:r>
          </w:p>
          <w:p w14:paraId="568605B0" w14:textId="77777777" w:rsidR="00C36F9E" w:rsidRPr="00AB6248" w:rsidRDefault="00C36F9E" w:rsidP="00A12328">
            <w:pPr>
              <w:pStyle w:val="TableText0"/>
              <w:rPr>
                <w:szCs w:val="18"/>
              </w:rPr>
            </w:pPr>
          </w:p>
        </w:tc>
        <w:tc>
          <w:tcPr>
            <w:tcW w:w="1177" w:type="pct"/>
            <w:tcBorders>
              <w:bottom w:val="nil"/>
            </w:tcBorders>
          </w:tcPr>
          <w:p w14:paraId="6E9523A6" w14:textId="77777777" w:rsidR="00327047" w:rsidRDefault="00327047" w:rsidP="00A12328">
            <w:pPr>
              <w:pStyle w:val="TableText0"/>
            </w:pPr>
            <w:r>
              <w:t>Clinical Study Report</w:t>
            </w:r>
          </w:p>
          <w:p w14:paraId="6A859B07" w14:textId="77777777" w:rsidR="00327047" w:rsidRPr="00CB38A8" w:rsidRDefault="00327047" w:rsidP="00A12328">
            <w:pPr>
              <w:pStyle w:val="TableText0"/>
            </w:pPr>
            <w:r>
              <w:t>Version 1.0, 28 March 2024</w:t>
            </w:r>
          </w:p>
        </w:tc>
      </w:tr>
      <w:tr w:rsidR="00327047" w:rsidRPr="00CB38A8" w14:paraId="0464AAE8" w14:textId="77777777" w:rsidTr="00231960">
        <w:tc>
          <w:tcPr>
            <w:tcW w:w="796" w:type="pct"/>
            <w:tcBorders>
              <w:top w:val="nil"/>
              <w:bottom w:val="nil"/>
            </w:tcBorders>
          </w:tcPr>
          <w:p w14:paraId="6C84AC8B" w14:textId="77777777" w:rsidR="00327047" w:rsidRPr="00CB38A8" w:rsidRDefault="00327047" w:rsidP="00A12328">
            <w:pPr>
              <w:pStyle w:val="TableText0"/>
            </w:pPr>
          </w:p>
        </w:tc>
        <w:tc>
          <w:tcPr>
            <w:tcW w:w="3027" w:type="pct"/>
            <w:tcBorders>
              <w:top w:val="nil"/>
              <w:bottom w:val="nil"/>
            </w:tcBorders>
          </w:tcPr>
          <w:p w14:paraId="0237E74A" w14:textId="77777777" w:rsidR="00327047" w:rsidRDefault="00327047" w:rsidP="00A12328">
            <w:pPr>
              <w:pStyle w:val="TableText0"/>
              <w:rPr>
                <w:rFonts w:cs="Arial"/>
                <w:szCs w:val="20"/>
                <w:lang w:bidi="en-US"/>
              </w:rPr>
            </w:pPr>
            <w:r w:rsidRPr="00460B4E">
              <w:rPr>
                <w:rFonts w:cs="Arial"/>
                <w:szCs w:val="20"/>
                <w:lang w:bidi="en-US"/>
              </w:rPr>
              <w:t xml:space="preserve">A Phase III, randomized, double-blind, placebo-controlled, multicenter, international study of osimertinib as maintenance therapy in patients with locally advanced, unresectable </w:t>
            </w:r>
            <w:r w:rsidR="00C45A6D" w:rsidRPr="00C45A6D">
              <w:rPr>
                <w:rFonts w:cs="Arial"/>
                <w:i/>
                <w:szCs w:val="20"/>
                <w:lang w:bidi="en-US"/>
              </w:rPr>
              <w:t>EGFR</w:t>
            </w:r>
            <w:r w:rsidRPr="00460B4E">
              <w:rPr>
                <w:rFonts w:cs="Arial"/>
                <w:szCs w:val="20"/>
                <w:lang w:bidi="en-US"/>
              </w:rPr>
              <w:t xml:space="preserve"> mutation-positive Non-Small Cell Lung Cancer (Stage III) whose disease has not progressed following definitive platinum-based chemoradiation therapy (LAURA</w:t>
            </w:r>
            <w:r>
              <w:rPr>
                <w:rFonts w:cs="Arial"/>
                <w:szCs w:val="20"/>
                <w:lang w:bidi="en-US"/>
              </w:rPr>
              <w:t>)</w:t>
            </w:r>
          </w:p>
          <w:p w14:paraId="38DC4E74" w14:textId="77777777" w:rsidR="00C36F9E" w:rsidRDefault="00C36F9E" w:rsidP="00A12328">
            <w:pPr>
              <w:pStyle w:val="TableText0"/>
              <w:rPr>
                <w:rFonts w:cs="Arial"/>
                <w:szCs w:val="20"/>
                <w:lang w:bidi="en-US"/>
              </w:rPr>
            </w:pPr>
          </w:p>
        </w:tc>
        <w:tc>
          <w:tcPr>
            <w:tcW w:w="1177" w:type="pct"/>
            <w:tcBorders>
              <w:top w:val="nil"/>
              <w:bottom w:val="nil"/>
            </w:tcBorders>
          </w:tcPr>
          <w:p w14:paraId="76BA78A7" w14:textId="77777777" w:rsidR="00327047" w:rsidRDefault="00327047" w:rsidP="00A12328">
            <w:pPr>
              <w:pStyle w:val="TableText0"/>
            </w:pPr>
            <w:r>
              <w:t>Clinical Study Protocol</w:t>
            </w:r>
          </w:p>
          <w:p w14:paraId="6AB38791" w14:textId="77777777" w:rsidR="00327047" w:rsidRDefault="00327047" w:rsidP="00A12328">
            <w:pPr>
              <w:pStyle w:val="TableText0"/>
            </w:pPr>
            <w:r>
              <w:t>Version 1.0, 23 March 2018</w:t>
            </w:r>
          </w:p>
        </w:tc>
      </w:tr>
      <w:tr w:rsidR="00327047" w:rsidRPr="00CB38A8" w14:paraId="40184BFD" w14:textId="77777777" w:rsidTr="00231960">
        <w:tc>
          <w:tcPr>
            <w:tcW w:w="796" w:type="pct"/>
            <w:tcBorders>
              <w:top w:val="nil"/>
              <w:bottom w:val="nil"/>
            </w:tcBorders>
          </w:tcPr>
          <w:p w14:paraId="24FD48F8" w14:textId="77777777" w:rsidR="00327047" w:rsidRPr="00CB38A8" w:rsidRDefault="00327047" w:rsidP="00A12328">
            <w:pPr>
              <w:pStyle w:val="TableText0"/>
            </w:pPr>
          </w:p>
        </w:tc>
        <w:tc>
          <w:tcPr>
            <w:tcW w:w="3027" w:type="pct"/>
            <w:tcBorders>
              <w:top w:val="nil"/>
              <w:bottom w:val="nil"/>
            </w:tcBorders>
          </w:tcPr>
          <w:p w14:paraId="48235CEA" w14:textId="5D284FD8" w:rsidR="001E5C4F" w:rsidRDefault="00327047" w:rsidP="00A12328">
            <w:pPr>
              <w:pStyle w:val="TableText0"/>
              <w:rPr>
                <w:rFonts w:cs="Arial"/>
                <w:szCs w:val="20"/>
                <w:lang w:bidi="en-US"/>
              </w:rPr>
            </w:pPr>
            <w:r>
              <w:rPr>
                <w:rFonts w:cs="Arial"/>
                <w:szCs w:val="20"/>
                <w:lang w:bidi="en-US"/>
              </w:rPr>
              <w:t>Updated Overall Survival (DCO: 29Nov24)</w:t>
            </w:r>
          </w:p>
          <w:p w14:paraId="228AF550" w14:textId="77777777" w:rsidR="005F20C3" w:rsidRDefault="005F20C3" w:rsidP="00A12328">
            <w:pPr>
              <w:pStyle w:val="TableText0"/>
              <w:rPr>
                <w:rFonts w:cs="Arial"/>
                <w:szCs w:val="20"/>
                <w:lang w:bidi="en-US"/>
              </w:rPr>
            </w:pPr>
          </w:p>
          <w:p w14:paraId="23E51EE6" w14:textId="77777777" w:rsidR="001E5C4F" w:rsidRPr="00460B4E" w:rsidRDefault="001E5C4F" w:rsidP="00A12328">
            <w:pPr>
              <w:pStyle w:val="TableText0"/>
              <w:rPr>
                <w:rFonts w:cs="Arial"/>
                <w:szCs w:val="20"/>
                <w:lang w:bidi="en-US"/>
              </w:rPr>
            </w:pPr>
          </w:p>
        </w:tc>
        <w:tc>
          <w:tcPr>
            <w:tcW w:w="1177" w:type="pct"/>
            <w:tcBorders>
              <w:top w:val="nil"/>
              <w:bottom w:val="nil"/>
            </w:tcBorders>
          </w:tcPr>
          <w:p w14:paraId="27DF1800" w14:textId="77777777" w:rsidR="00327047" w:rsidRDefault="00327047" w:rsidP="00A12328">
            <w:pPr>
              <w:pStyle w:val="TableText0"/>
            </w:pPr>
            <w:r>
              <w:t>PowerPoint slide</w:t>
            </w:r>
          </w:p>
          <w:p w14:paraId="34A8858D" w14:textId="77777777" w:rsidR="00327047" w:rsidRDefault="00327047" w:rsidP="00A12328">
            <w:pPr>
              <w:pStyle w:val="TableText0"/>
            </w:pPr>
            <w:r>
              <w:t>No citation</w:t>
            </w:r>
          </w:p>
        </w:tc>
      </w:tr>
      <w:tr w:rsidR="00327047" w:rsidRPr="00CB38A8" w14:paraId="3E240064" w14:textId="77777777" w:rsidTr="00231960">
        <w:tc>
          <w:tcPr>
            <w:tcW w:w="796" w:type="pct"/>
            <w:tcBorders>
              <w:top w:val="nil"/>
              <w:bottom w:val="nil"/>
            </w:tcBorders>
          </w:tcPr>
          <w:p w14:paraId="7F27F39C" w14:textId="77777777" w:rsidR="00327047" w:rsidRPr="00CB38A8" w:rsidRDefault="00327047" w:rsidP="00A12328">
            <w:pPr>
              <w:pStyle w:val="TableText0"/>
            </w:pPr>
          </w:p>
        </w:tc>
        <w:tc>
          <w:tcPr>
            <w:tcW w:w="3027" w:type="pct"/>
            <w:tcBorders>
              <w:top w:val="nil"/>
              <w:bottom w:val="nil"/>
            </w:tcBorders>
          </w:tcPr>
          <w:p w14:paraId="0AE7EFFD" w14:textId="77777777" w:rsidR="00327047" w:rsidRDefault="00327047" w:rsidP="00A12328">
            <w:pPr>
              <w:pStyle w:val="TableText0"/>
              <w:rPr>
                <w:szCs w:val="18"/>
              </w:rPr>
            </w:pPr>
            <w:r w:rsidRPr="00450E95">
              <w:rPr>
                <w:szCs w:val="18"/>
              </w:rPr>
              <w:t xml:space="preserve">Lu S, Kato T, Dong X, Ahn MJ, Quang LV, </w:t>
            </w:r>
            <w:r>
              <w:rPr>
                <w:szCs w:val="18"/>
              </w:rPr>
              <w:t>et al</w:t>
            </w:r>
            <w:r w:rsidRPr="00450E95">
              <w:rPr>
                <w:szCs w:val="18"/>
              </w:rPr>
              <w:t xml:space="preserve">; LAURA Trial Investigators. (2024) Osimertinib after Chemoradiotherapy in Stage III </w:t>
            </w:r>
            <w:r w:rsidR="00C45A6D" w:rsidRPr="00C45A6D">
              <w:rPr>
                <w:i/>
                <w:szCs w:val="18"/>
              </w:rPr>
              <w:t>EGFR</w:t>
            </w:r>
            <w:r w:rsidRPr="00450E95">
              <w:rPr>
                <w:szCs w:val="18"/>
              </w:rPr>
              <w:t>-Mutated NSCLC.</w:t>
            </w:r>
          </w:p>
          <w:p w14:paraId="3AB9AB8C" w14:textId="1884D7CC" w:rsidR="001E5C4F" w:rsidRPr="00E34A35" w:rsidRDefault="001E5C4F" w:rsidP="00A12328">
            <w:pPr>
              <w:pStyle w:val="TableText0"/>
              <w:rPr>
                <w:szCs w:val="18"/>
              </w:rPr>
            </w:pPr>
          </w:p>
        </w:tc>
        <w:tc>
          <w:tcPr>
            <w:tcW w:w="1177" w:type="pct"/>
            <w:tcBorders>
              <w:top w:val="nil"/>
              <w:bottom w:val="nil"/>
            </w:tcBorders>
          </w:tcPr>
          <w:p w14:paraId="7FF6E7B5" w14:textId="77777777" w:rsidR="00327047" w:rsidRPr="00E34A35" w:rsidRDefault="00327047" w:rsidP="00A12328">
            <w:pPr>
              <w:pStyle w:val="TableText0"/>
              <w:rPr>
                <w:szCs w:val="18"/>
              </w:rPr>
            </w:pPr>
            <w:r w:rsidRPr="00450E95">
              <w:rPr>
                <w:szCs w:val="18"/>
              </w:rPr>
              <w:t xml:space="preserve">N Engl </w:t>
            </w:r>
            <w:r>
              <w:rPr>
                <w:szCs w:val="18"/>
              </w:rPr>
              <w:t>J</w:t>
            </w:r>
            <w:r w:rsidRPr="00450E95">
              <w:rPr>
                <w:szCs w:val="18"/>
              </w:rPr>
              <w:t xml:space="preserve"> Med.</w:t>
            </w:r>
            <w:r>
              <w:rPr>
                <w:szCs w:val="18"/>
              </w:rPr>
              <w:t xml:space="preserve"> 2024</w:t>
            </w:r>
            <w:r w:rsidRPr="00450E95">
              <w:rPr>
                <w:szCs w:val="18"/>
              </w:rPr>
              <w:t xml:space="preserve"> Aug 15;391(7):585-597.</w:t>
            </w:r>
          </w:p>
        </w:tc>
      </w:tr>
      <w:tr w:rsidR="00327047" w:rsidRPr="00CB38A8" w14:paraId="0D4BD52C" w14:textId="77777777" w:rsidTr="00231960">
        <w:tc>
          <w:tcPr>
            <w:tcW w:w="796" w:type="pct"/>
            <w:tcBorders>
              <w:top w:val="nil"/>
              <w:bottom w:val="nil"/>
            </w:tcBorders>
          </w:tcPr>
          <w:p w14:paraId="062FDD10" w14:textId="77777777" w:rsidR="00327047" w:rsidRPr="00CB38A8" w:rsidRDefault="00327047" w:rsidP="00A12328">
            <w:pPr>
              <w:pStyle w:val="TableText0"/>
            </w:pPr>
          </w:p>
        </w:tc>
        <w:tc>
          <w:tcPr>
            <w:tcW w:w="3027" w:type="pct"/>
            <w:tcBorders>
              <w:top w:val="nil"/>
              <w:bottom w:val="nil"/>
            </w:tcBorders>
          </w:tcPr>
          <w:p w14:paraId="63D6F6E6" w14:textId="77777777" w:rsidR="00327047" w:rsidRPr="00967C7C" w:rsidRDefault="00327047" w:rsidP="00A12328">
            <w:pPr>
              <w:pStyle w:val="TableText0"/>
              <w:rPr>
                <w:szCs w:val="18"/>
              </w:rPr>
            </w:pPr>
            <w:r w:rsidRPr="00967C7C">
              <w:rPr>
                <w:szCs w:val="18"/>
              </w:rPr>
              <w:t>Dong X, Jian H, Huang M, et al (2024). 1248P Osimertinib (osi) after definitive chemoradiotherapy (CRT) in unresectable stage III epidermal growth factor receptor-mutated (</w:t>
            </w:r>
            <w:r w:rsidR="00C45A6D" w:rsidRPr="00967C7C">
              <w:rPr>
                <w:i/>
                <w:szCs w:val="18"/>
              </w:rPr>
              <w:t>EGFR</w:t>
            </w:r>
            <w:r w:rsidRPr="00967C7C">
              <w:rPr>
                <w:szCs w:val="18"/>
              </w:rPr>
              <w:t>m) NSCLC: LAURA China cohort analysis.</w:t>
            </w:r>
          </w:p>
          <w:p w14:paraId="75407564" w14:textId="77777777" w:rsidR="001E5C4F" w:rsidRPr="00E819FC" w:rsidRDefault="001E5C4F" w:rsidP="00A12328">
            <w:pPr>
              <w:pStyle w:val="TableText0"/>
              <w:rPr>
                <w:szCs w:val="18"/>
                <w:lang w:val="fr-FR"/>
              </w:rPr>
            </w:pPr>
          </w:p>
        </w:tc>
        <w:tc>
          <w:tcPr>
            <w:tcW w:w="1177" w:type="pct"/>
            <w:tcBorders>
              <w:top w:val="nil"/>
              <w:bottom w:val="nil"/>
            </w:tcBorders>
          </w:tcPr>
          <w:p w14:paraId="44E48194" w14:textId="77777777" w:rsidR="00327047" w:rsidRPr="00C42502" w:rsidRDefault="00327047" w:rsidP="00A12328">
            <w:pPr>
              <w:pStyle w:val="TableText0"/>
              <w:rPr>
                <w:i/>
                <w:szCs w:val="18"/>
              </w:rPr>
            </w:pPr>
            <w:r>
              <w:rPr>
                <w:rFonts w:cs="Arial"/>
                <w:szCs w:val="20"/>
                <w:lang w:bidi="en-US"/>
              </w:rPr>
              <w:t>Ann Oncology 35: S799.</w:t>
            </w:r>
          </w:p>
        </w:tc>
      </w:tr>
      <w:tr w:rsidR="00327047" w:rsidRPr="00CB38A8" w14:paraId="17B7003B" w14:textId="77777777" w:rsidTr="00231960">
        <w:tc>
          <w:tcPr>
            <w:tcW w:w="796" w:type="pct"/>
            <w:tcBorders>
              <w:top w:val="nil"/>
              <w:bottom w:val="nil"/>
            </w:tcBorders>
          </w:tcPr>
          <w:p w14:paraId="313DBA9F" w14:textId="77777777" w:rsidR="00327047" w:rsidRPr="00CB38A8" w:rsidRDefault="00327047" w:rsidP="00A12328">
            <w:pPr>
              <w:pStyle w:val="TableText0"/>
            </w:pPr>
          </w:p>
        </w:tc>
        <w:tc>
          <w:tcPr>
            <w:tcW w:w="3027" w:type="pct"/>
            <w:tcBorders>
              <w:top w:val="nil"/>
              <w:bottom w:val="nil"/>
            </w:tcBorders>
          </w:tcPr>
          <w:p w14:paraId="28D19D94" w14:textId="77777777" w:rsidR="00327047" w:rsidRDefault="00327047" w:rsidP="00A12328">
            <w:pPr>
              <w:pStyle w:val="TableText0"/>
              <w:rPr>
                <w:szCs w:val="18"/>
              </w:rPr>
            </w:pPr>
            <w:r w:rsidRPr="00E819FC">
              <w:rPr>
                <w:szCs w:val="18"/>
                <w:lang w:val="fr-FR"/>
              </w:rPr>
              <w:t xml:space="preserve">Kato, T, X. Dong, T. Takahashi, N. et al. </w:t>
            </w:r>
            <w:r w:rsidRPr="00C42502">
              <w:rPr>
                <w:szCs w:val="18"/>
              </w:rPr>
              <w:t xml:space="preserve">(2024). Osimertinib After Definitive CRT in Unresectable Stage III </w:t>
            </w:r>
            <w:r w:rsidR="00C45A6D" w:rsidRPr="00C45A6D">
              <w:rPr>
                <w:i/>
                <w:szCs w:val="18"/>
              </w:rPr>
              <w:t>EGFR</w:t>
            </w:r>
            <w:r w:rsidRPr="00C42502">
              <w:rPr>
                <w:szCs w:val="18"/>
              </w:rPr>
              <w:t>-mutated NSCLC: safety Outcomes from the Phase 3 LAURA Study.</w:t>
            </w:r>
          </w:p>
          <w:p w14:paraId="282D4419" w14:textId="77777777" w:rsidR="005F20C3" w:rsidRPr="00C42502" w:rsidRDefault="005F20C3" w:rsidP="00A12328">
            <w:pPr>
              <w:pStyle w:val="TableText0"/>
              <w:rPr>
                <w:szCs w:val="18"/>
              </w:rPr>
            </w:pPr>
          </w:p>
        </w:tc>
        <w:tc>
          <w:tcPr>
            <w:tcW w:w="1177" w:type="pct"/>
            <w:tcBorders>
              <w:top w:val="nil"/>
              <w:bottom w:val="nil"/>
            </w:tcBorders>
          </w:tcPr>
          <w:p w14:paraId="6B9A40DB" w14:textId="77777777" w:rsidR="00327047" w:rsidRDefault="00327047" w:rsidP="00A12328">
            <w:pPr>
              <w:pStyle w:val="TableText0"/>
              <w:rPr>
                <w:rFonts w:cs="Arial"/>
                <w:szCs w:val="20"/>
                <w:lang w:bidi="en-US"/>
              </w:rPr>
            </w:pPr>
            <w:r>
              <w:rPr>
                <w:rFonts w:cs="Arial"/>
                <w:szCs w:val="20"/>
                <w:lang w:bidi="en-US"/>
              </w:rPr>
              <w:t>J Thorac Oncol. 2024 19(10): S36</w:t>
            </w:r>
          </w:p>
        </w:tc>
      </w:tr>
      <w:tr w:rsidR="00327047" w:rsidRPr="00CB38A8" w14:paraId="319449CC" w14:textId="77777777" w:rsidTr="00231960">
        <w:tc>
          <w:tcPr>
            <w:tcW w:w="796" w:type="pct"/>
            <w:tcBorders>
              <w:top w:val="nil"/>
              <w:bottom w:val="nil"/>
            </w:tcBorders>
          </w:tcPr>
          <w:p w14:paraId="629095D9" w14:textId="77777777" w:rsidR="00327047" w:rsidRPr="00CB38A8" w:rsidRDefault="00327047" w:rsidP="00A12328">
            <w:pPr>
              <w:pStyle w:val="TableText0"/>
            </w:pPr>
          </w:p>
        </w:tc>
        <w:tc>
          <w:tcPr>
            <w:tcW w:w="3027" w:type="pct"/>
            <w:tcBorders>
              <w:top w:val="nil"/>
              <w:bottom w:val="nil"/>
            </w:tcBorders>
          </w:tcPr>
          <w:p w14:paraId="3E38839D" w14:textId="77777777" w:rsidR="00327047" w:rsidRDefault="00327047" w:rsidP="00A12328">
            <w:pPr>
              <w:pStyle w:val="TableText0"/>
              <w:rPr>
                <w:szCs w:val="18"/>
              </w:rPr>
            </w:pPr>
            <w:r w:rsidRPr="00C42502">
              <w:rPr>
                <w:szCs w:val="18"/>
              </w:rPr>
              <w:t xml:space="preserve">Lu S, Ahn M-J, Baisamut T R, et al. 1241MO Osimertinib (osi) after definitive chemoradiotherapy (CRT) in unresectable (UR) stg III </w:t>
            </w:r>
            <w:r w:rsidR="00C45A6D" w:rsidRPr="00C45A6D">
              <w:rPr>
                <w:i/>
                <w:szCs w:val="18"/>
              </w:rPr>
              <w:t>EGFR</w:t>
            </w:r>
            <w:r w:rsidRPr="00C42502">
              <w:rPr>
                <w:szCs w:val="18"/>
              </w:rPr>
              <w:t>m NSCLC: analyses of CNS and distant progression from the phase III LAURA study.</w:t>
            </w:r>
          </w:p>
          <w:p w14:paraId="5FD18B6F" w14:textId="77777777" w:rsidR="005F20C3" w:rsidRPr="00C42502" w:rsidRDefault="005F20C3" w:rsidP="00A12328">
            <w:pPr>
              <w:pStyle w:val="TableText0"/>
              <w:rPr>
                <w:szCs w:val="18"/>
              </w:rPr>
            </w:pPr>
          </w:p>
        </w:tc>
        <w:tc>
          <w:tcPr>
            <w:tcW w:w="1177" w:type="pct"/>
            <w:tcBorders>
              <w:top w:val="nil"/>
              <w:bottom w:val="nil"/>
            </w:tcBorders>
          </w:tcPr>
          <w:p w14:paraId="04DF06DB" w14:textId="1DC93490" w:rsidR="00327047" w:rsidRDefault="00327047" w:rsidP="00A12328">
            <w:pPr>
              <w:keepNext/>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Ann Oncol. 2024.</w:t>
            </w:r>
            <w:r w:rsidR="002B736C">
              <w:rPr>
                <w:rFonts w:ascii="Arial Narrow" w:eastAsiaTheme="majorEastAsia" w:hAnsi="Arial Narrow"/>
                <w:sz w:val="20"/>
                <w:szCs w:val="20"/>
                <w:lang w:bidi="en-US"/>
              </w:rPr>
              <w:t xml:space="preserve"> </w:t>
            </w:r>
            <w:r>
              <w:rPr>
                <w:rFonts w:ascii="Arial Narrow" w:eastAsiaTheme="majorEastAsia" w:hAnsi="Arial Narrow"/>
                <w:sz w:val="20"/>
                <w:szCs w:val="20"/>
                <w:lang w:bidi="en-US"/>
              </w:rPr>
              <w:t>35: S794</w:t>
            </w:r>
            <w:r>
              <w:rPr>
                <w:rFonts w:ascii="Cambria Math" w:eastAsiaTheme="majorEastAsia" w:hAnsi="Cambria Math" w:cs="Cambria Math"/>
                <w:sz w:val="20"/>
                <w:szCs w:val="20"/>
                <w:lang w:bidi="en-US"/>
              </w:rPr>
              <w:t>‐</w:t>
            </w:r>
            <w:r>
              <w:rPr>
                <w:rFonts w:ascii="Arial Narrow" w:eastAsiaTheme="majorEastAsia" w:hAnsi="Arial Narrow"/>
                <w:sz w:val="20"/>
                <w:szCs w:val="20"/>
                <w:lang w:bidi="en-US"/>
              </w:rPr>
              <w:t>S795</w:t>
            </w:r>
          </w:p>
          <w:p w14:paraId="7B16B7C0" w14:textId="77777777" w:rsidR="00327047" w:rsidRDefault="00327047" w:rsidP="00A12328">
            <w:pPr>
              <w:pStyle w:val="TableText0"/>
              <w:rPr>
                <w:rFonts w:cs="Arial"/>
                <w:szCs w:val="20"/>
                <w:lang w:bidi="en-US"/>
              </w:rPr>
            </w:pPr>
          </w:p>
        </w:tc>
      </w:tr>
      <w:tr w:rsidR="00327047" w:rsidRPr="00CB38A8" w14:paraId="4A6F17A5" w14:textId="77777777" w:rsidTr="00231960">
        <w:tc>
          <w:tcPr>
            <w:tcW w:w="796" w:type="pct"/>
            <w:tcBorders>
              <w:top w:val="nil"/>
              <w:bottom w:val="nil"/>
            </w:tcBorders>
          </w:tcPr>
          <w:p w14:paraId="20DFD321" w14:textId="77777777" w:rsidR="00327047" w:rsidRPr="00CB38A8" w:rsidRDefault="00327047" w:rsidP="00A12328">
            <w:pPr>
              <w:pStyle w:val="TableText0"/>
            </w:pPr>
          </w:p>
        </w:tc>
        <w:tc>
          <w:tcPr>
            <w:tcW w:w="3027" w:type="pct"/>
            <w:tcBorders>
              <w:top w:val="nil"/>
              <w:bottom w:val="nil"/>
            </w:tcBorders>
          </w:tcPr>
          <w:p w14:paraId="1364DE76" w14:textId="77777777" w:rsidR="00327047" w:rsidRDefault="00327047" w:rsidP="00A12328">
            <w:pPr>
              <w:pStyle w:val="TableText0"/>
              <w:rPr>
                <w:szCs w:val="18"/>
              </w:rPr>
            </w:pPr>
            <w:r w:rsidRPr="00C42502">
              <w:rPr>
                <w:szCs w:val="18"/>
              </w:rPr>
              <w:t>Lu S, Ahn M -J, Reungwetwattana T, et al (2024). Osimertinib after definitive chemoradiotherapy in unresectable stage III epidermal growth factor receptor-mutated non-small-cell lung cancer: analyses of central nervous system efficacy and distant progression from the phase III LAURA study.</w:t>
            </w:r>
          </w:p>
          <w:p w14:paraId="45B35F6C" w14:textId="77777777" w:rsidR="005F20C3" w:rsidRPr="00C42502" w:rsidRDefault="005F20C3" w:rsidP="00A12328">
            <w:pPr>
              <w:pStyle w:val="TableText0"/>
              <w:rPr>
                <w:szCs w:val="18"/>
              </w:rPr>
            </w:pPr>
          </w:p>
        </w:tc>
        <w:tc>
          <w:tcPr>
            <w:tcW w:w="1177" w:type="pct"/>
            <w:tcBorders>
              <w:top w:val="nil"/>
              <w:bottom w:val="nil"/>
            </w:tcBorders>
          </w:tcPr>
          <w:p w14:paraId="0D608230" w14:textId="77777777" w:rsidR="00327047" w:rsidRDefault="00327047" w:rsidP="00A12328">
            <w:pPr>
              <w:keepNext/>
              <w:spacing w:before="20" w:after="20" w:line="276" w:lineRule="auto"/>
              <w:jc w:val="left"/>
              <w:rPr>
                <w:rFonts w:ascii="Arial Narrow" w:eastAsiaTheme="majorEastAsia" w:hAnsi="Arial Narrow"/>
                <w:sz w:val="20"/>
                <w:szCs w:val="20"/>
                <w:lang w:bidi="en-US"/>
              </w:rPr>
            </w:pPr>
            <w:r w:rsidRPr="008F6CD2">
              <w:rPr>
                <w:rFonts w:ascii="Arial Narrow" w:eastAsiaTheme="majorEastAsia" w:hAnsi="Arial Narrow"/>
                <w:sz w:val="20"/>
                <w:szCs w:val="20"/>
                <w:lang w:bidi="en-US"/>
              </w:rPr>
              <w:t>Ann Oncol. 2024 Dec;35(12):1116-1125</w:t>
            </w:r>
          </w:p>
        </w:tc>
      </w:tr>
      <w:tr w:rsidR="00327047" w:rsidRPr="00CB38A8" w14:paraId="59CB16F1" w14:textId="77777777" w:rsidTr="00231960">
        <w:tc>
          <w:tcPr>
            <w:tcW w:w="796" w:type="pct"/>
            <w:tcBorders>
              <w:top w:val="nil"/>
              <w:bottom w:val="nil"/>
            </w:tcBorders>
          </w:tcPr>
          <w:p w14:paraId="22EAF53A" w14:textId="77777777" w:rsidR="00327047" w:rsidRPr="00CB38A8" w:rsidRDefault="00327047" w:rsidP="00A12328">
            <w:pPr>
              <w:pStyle w:val="TableText0"/>
            </w:pPr>
          </w:p>
        </w:tc>
        <w:tc>
          <w:tcPr>
            <w:tcW w:w="3027" w:type="pct"/>
            <w:tcBorders>
              <w:top w:val="nil"/>
              <w:bottom w:val="nil"/>
            </w:tcBorders>
          </w:tcPr>
          <w:p w14:paraId="7B09B0F9" w14:textId="77777777" w:rsidR="00327047" w:rsidRDefault="00327047" w:rsidP="00A12328">
            <w:pPr>
              <w:pStyle w:val="TableText0"/>
              <w:rPr>
                <w:szCs w:val="18"/>
              </w:rPr>
            </w:pPr>
            <w:r w:rsidRPr="00C42502">
              <w:rPr>
                <w:szCs w:val="18"/>
              </w:rPr>
              <w:t xml:space="preserve">Lu, S. and S. S. Ramalingam (2024). Osimertinib after Chemoradiotherapy in Stage III </w:t>
            </w:r>
            <w:r w:rsidR="00C45A6D" w:rsidRPr="00C45A6D">
              <w:rPr>
                <w:i/>
                <w:szCs w:val="18"/>
              </w:rPr>
              <w:t>EGFR</w:t>
            </w:r>
            <w:r w:rsidRPr="00C42502">
              <w:rPr>
                <w:szCs w:val="18"/>
              </w:rPr>
              <w:t>-Mutated NSCLC. Reply.</w:t>
            </w:r>
          </w:p>
          <w:p w14:paraId="2ACE7535" w14:textId="77777777" w:rsidR="00D67CEE" w:rsidRPr="00C42502" w:rsidRDefault="00D67CEE" w:rsidP="00A12328">
            <w:pPr>
              <w:pStyle w:val="TableText0"/>
              <w:rPr>
                <w:szCs w:val="18"/>
              </w:rPr>
            </w:pPr>
          </w:p>
        </w:tc>
        <w:tc>
          <w:tcPr>
            <w:tcW w:w="1177" w:type="pct"/>
            <w:tcBorders>
              <w:top w:val="nil"/>
              <w:bottom w:val="nil"/>
            </w:tcBorders>
          </w:tcPr>
          <w:p w14:paraId="4D734280" w14:textId="77777777" w:rsidR="00327047" w:rsidRPr="008F6CD2" w:rsidRDefault="00327047" w:rsidP="00A12328">
            <w:pPr>
              <w:keepNext/>
              <w:jc w:val="left"/>
              <w:rPr>
                <w:rFonts w:ascii="Arial Narrow" w:eastAsiaTheme="majorEastAsia" w:hAnsi="Arial Narrow"/>
                <w:sz w:val="20"/>
                <w:szCs w:val="20"/>
                <w:lang w:bidi="en-US"/>
              </w:rPr>
            </w:pPr>
            <w:r w:rsidRPr="008F6CD2">
              <w:rPr>
                <w:rFonts w:ascii="Arial Narrow" w:eastAsiaTheme="majorEastAsia" w:hAnsi="Arial Narrow"/>
                <w:sz w:val="20"/>
                <w:szCs w:val="20"/>
                <w:lang w:bidi="en-US"/>
              </w:rPr>
              <w:t>N Eng</w:t>
            </w:r>
            <w:r>
              <w:rPr>
                <w:rFonts w:ascii="Arial Narrow" w:eastAsiaTheme="majorEastAsia" w:hAnsi="Arial Narrow"/>
                <w:sz w:val="20"/>
                <w:szCs w:val="20"/>
                <w:lang w:bidi="en-US"/>
              </w:rPr>
              <w:t>l J</w:t>
            </w:r>
            <w:r w:rsidRPr="008F6CD2">
              <w:rPr>
                <w:rFonts w:ascii="Arial Narrow" w:eastAsiaTheme="majorEastAsia" w:hAnsi="Arial Narrow"/>
                <w:sz w:val="20"/>
                <w:szCs w:val="20"/>
                <w:lang w:bidi="en-US"/>
              </w:rPr>
              <w:t xml:space="preserve"> </w:t>
            </w:r>
            <w:r>
              <w:rPr>
                <w:rFonts w:ascii="Arial Narrow" w:eastAsiaTheme="majorEastAsia" w:hAnsi="Arial Narrow"/>
                <w:sz w:val="20"/>
                <w:szCs w:val="20"/>
                <w:lang w:bidi="en-US"/>
              </w:rPr>
              <w:t>Med. 2024</w:t>
            </w:r>
            <w:r w:rsidRPr="008F6CD2">
              <w:rPr>
                <w:rFonts w:ascii="Arial Narrow" w:eastAsiaTheme="majorEastAsia" w:hAnsi="Arial Narrow"/>
                <w:sz w:val="20"/>
                <w:szCs w:val="20"/>
                <w:lang w:bidi="en-US"/>
              </w:rPr>
              <w:t xml:space="preserve"> 391(16): 1555-1556.</w:t>
            </w:r>
          </w:p>
        </w:tc>
      </w:tr>
      <w:tr w:rsidR="00327047" w:rsidRPr="00CB38A8" w14:paraId="5A299333" w14:textId="77777777" w:rsidTr="00231960">
        <w:tc>
          <w:tcPr>
            <w:tcW w:w="796" w:type="pct"/>
            <w:tcBorders>
              <w:top w:val="nil"/>
            </w:tcBorders>
          </w:tcPr>
          <w:p w14:paraId="5F3C11B6" w14:textId="77777777" w:rsidR="00327047" w:rsidRPr="00CB38A8" w:rsidRDefault="00327047" w:rsidP="00A12328">
            <w:pPr>
              <w:pStyle w:val="TableText0"/>
            </w:pPr>
          </w:p>
        </w:tc>
        <w:tc>
          <w:tcPr>
            <w:tcW w:w="3027" w:type="pct"/>
            <w:tcBorders>
              <w:top w:val="nil"/>
            </w:tcBorders>
          </w:tcPr>
          <w:p w14:paraId="1E805E1E" w14:textId="77777777" w:rsidR="00327047" w:rsidRPr="00BD4884" w:rsidRDefault="00327047" w:rsidP="00A12328">
            <w:pPr>
              <w:pStyle w:val="TableText0"/>
              <w:rPr>
                <w:szCs w:val="18"/>
              </w:rPr>
            </w:pPr>
            <w:r w:rsidRPr="00BD4884">
              <w:rPr>
                <w:szCs w:val="18"/>
              </w:rPr>
              <w:t>Ozguroglu, M., M. J. Ahn, X. Dong, et al. Osimertinib after definitive chemoradiotherapy (CRT) in patients (pts) with unresectable (UR) stage III epidermal growth factor receptor-mutated (</w:t>
            </w:r>
            <w:r w:rsidR="00C45A6D" w:rsidRPr="00BD4884">
              <w:rPr>
                <w:i/>
                <w:szCs w:val="18"/>
              </w:rPr>
              <w:t>EGFR</w:t>
            </w:r>
            <w:r w:rsidRPr="00BD4884">
              <w:rPr>
                <w:szCs w:val="18"/>
              </w:rPr>
              <w:t>m) non-small cell lung cancer (NSCLC): Post-progression outcomes from the phase III LAURA study.</w:t>
            </w:r>
          </w:p>
        </w:tc>
        <w:tc>
          <w:tcPr>
            <w:tcW w:w="1177" w:type="pct"/>
            <w:tcBorders>
              <w:top w:val="nil"/>
            </w:tcBorders>
          </w:tcPr>
          <w:p w14:paraId="3DA76710" w14:textId="77777777" w:rsidR="00327047" w:rsidRPr="008F6CD2" w:rsidRDefault="00327047" w:rsidP="00A12328">
            <w:pPr>
              <w:keepNext/>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Ann Oncol. 2024 35: S1626</w:t>
            </w:r>
          </w:p>
        </w:tc>
      </w:tr>
    </w:tbl>
    <w:p w14:paraId="0800E2D3" w14:textId="77777777" w:rsidR="00327047" w:rsidRPr="00B1011F" w:rsidRDefault="00327047" w:rsidP="00A12328">
      <w:pPr>
        <w:pStyle w:val="FooterTableFigure"/>
        <w:keepNext/>
        <w:rPr>
          <w:sz w:val="20"/>
        </w:rPr>
      </w:pPr>
      <w:r>
        <w:t xml:space="preserve">Source: Table 2-3, pp36-37 </w:t>
      </w:r>
      <w:r w:rsidRPr="00D13A3E">
        <w:t xml:space="preserve">of the </w:t>
      </w:r>
      <w:r>
        <w:t>submission.</w:t>
      </w:r>
    </w:p>
    <w:p w14:paraId="23528918" w14:textId="77777777" w:rsidR="00A77D0A" w:rsidRDefault="00A77D0A" w:rsidP="00A12328">
      <w:pPr>
        <w:jc w:val="left"/>
        <w:rPr>
          <w:rFonts w:asciiTheme="minorHAnsi" w:hAnsiTheme="minorHAnsi"/>
          <w:snapToGrid w:val="0"/>
        </w:rPr>
      </w:pPr>
      <w:r>
        <w:br w:type="page"/>
      </w:r>
    </w:p>
    <w:p w14:paraId="250A5D38" w14:textId="49309337" w:rsidR="00327047" w:rsidRDefault="00327047" w:rsidP="00A12328">
      <w:pPr>
        <w:pStyle w:val="3-BodyText"/>
      </w:pPr>
      <w:r w:rsidRPr="00B50DB8">
        <w:t>The key features of the direct randomised trial</w:t>
      </w:r>
      <w:r>
        <w:t xml:space="preserve"> </w:t>
      </w:r>
      <w:r w:rsidRPr="00B50DB8">
        <w:t>are summarised in</w:t>
      </w:r>
      <w:r>
        <w:t xml:space="preserve"> </w:t>
      </w:r>
      <w:r w:rsidRPr="00004EB0">
        <w:fldChar w:fldCharType="begin"/>
      </w:r>
      <w:r w:rsidRPr="00004EB0">
        <w:instrText xml:space="preserve"> REF _Ref197534984 \h  \* MERGEFORMAT </w:instrText>
      </w:r>
      <w:r w:rsidRPr="00004EB0">
        <w:fldChar w:fldCharType="separate"/>
      </w:r>
      <w:r w:rsidR="009F3D59" w:rsidRPr="009F3D59">
        <w:rPr>
          <w:rFonts w:eastAsiaTheme="majorEastAsia"/>
        </w:rPr>
        <w:t>Table 3</w:t>
      </w:r>
      <w:r w:rsidRPr="00004EB0">
        <w:fldChar w:fldCharType="end"/>
      </w:r>
      <w:r>
        <w:t>.</w:t>
      </w:r>
    </w:p>
    <w:p w14:paraId="19A6F966" w14:textId="47C2979E" w:rsidR="00327047" w:rsidRPr="00004EB0" w:rsidRDefault="00327047" w:rsidP="00A12328">
      <w:pPr>
        <w:pStyle w:val="3-BodyText"/>
        <w:keepNext/>
        <w:keepLines/>
        <w:numPr>
          <w:ilvl w:val="0"/>
          <w:numId w:val="0"/>
        </w:numPr>
        <w:rPr>
          <w:rStyle w:val="CommentReference"/>
          <w:rFonts w:eastAsiaTheme="majorEastAsia" w:cstheme="majorBidi"/>
        </w:rPr>
      </w:pPr>
      <w:bookmarkStart w:id="28" w:name="_Ref197534984"/>
      <w:r w:rsidRPr="00004EB0">
        <w:rPr>
          <w:rStyle w:val="CommentReference"/>
          <w:rFonts w:eastAsiaTheme="majorEastAsia" w:cstheme="majorBidi"/>
        </w:rPr>
        <w:t xml:space="preserve">Table </w:t>
      </w:r>
      <w:r w:rsidRPr="00004EB0">
        <w:rPr>
          <w:rStyle w:val="CommentReference"/>
          <w:rFonts w:eastAsiaTheme="majorEastAsia" w:cstheme="majorBidi"/>
        </w:rPr>
        <w:fldChar w:fldCharType="begin"/>
      </w:r>
      <w:r w:rsidRPr="00004EB0">
        <w:rPr>
          <w:rStyle w:val="CommentReference"/>
          <w:rFonts w:eastAsiaTheme="majorEastAsia" w:cstheme="majorBidi"/>
        </w:rPr>
        <w:instrText xml:space="preserve"> SEQ Table \* ARABIC </w:instrText>
      </w:r>
      <w:r w:rsidRPr="00004EB0">
        <w:rPr>
          <w:rStyle w:val="CommentReference"/>
          <w:rFonts w:eastAsiaTheme="majorEastAsia" w:cstheme="majorBidi"/>
        </w:rPr>
        <w:fldChar w:fldCharType="separate"/>
      </w:r>
      <w:r w:rsidR="009F3D59">
        <w:rPr>
          <w:rStyle w:val="CommentReference"/>
          <w:rFonts w:eastAsiaTheme="majorEastAsia" w:cstheme="majorBidi"/>
          <w:noProof/>
        </w:rPr>
        <w:t>3</w:t>
      </w:r>
      <w:r w:rsidRPr="00004EB0">
        <w:rPr>
          <w:rStyle w:val="CommentReference"/>
          <w:rFonts w:eastAsiaTheme="majorEastAsia" w:cstheme="majorBidi"/>
        </w:rPr>
        <w:fldChar w:fldCharType="end"/>
      </w:r>
      <w:bookmarkEnd w:id="28"/>
      <w:r w:rsidRPr="00004EB0">
        <w:rPr>
          <w:rStyle w:val="CommentReference"/>
          <w:rFonts w:eastAsiaTheme="majorEastAsia" w:cstheme="majorBidi"/>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64"/>
        <w:gridCol w:w="968"/>
        <w:gridCol w:w="1389"/>
        <w:gridCol w:w="1098"/>
        <w:gridCol w:w="1526"/>
        <w:gridCol w:w="1102"/>
        <w:gridCol w:w="1670"/>
      </w:tblGrid>
      <w:tr w:rsidR="0013302B" w:rsidRPr="00B41614" w14:paraId="2BB7C62F" w14:textId="77777777" w:rsidTr="00327047">
        <w:trPr>
          <w:cantSplit/>
          <w:tblHeader/>
        </w:trPr>
        <w:tc>
          <w:tcPr>
            <w:tcW w:w="701" w:type="pct"/>
            <w:vAlign w:val="center"/>
          </w:tcPr>
          <w:p w14:paraId="35BA7F8B" w14:textId="77777777" w:rsidR="00327047" w:rsidRPr="00C42502" w:rsidRDefault="00327047" w:rsidP="00A12328">
            <w:pPr>
              <w:pStyle w:val="In-tableHeading"/>
              <w:keepLines/>
              <w:rPr>
                <w:lang w:val="en-AU"/>
              </w:rPr>
            </w:pPr>
            <w:r w:rsidRPr="00C42502">
              <w:rPr>
                <w:lang w:val="en-AU"/>
              </w:rPr>
              <w:t>Trial</w:t>
            </w:r>
          </w:p>
        </w:tc>
        <w:tc>
          <w:tcPr>
            <w:tcW w:w="537" w:type="pct"/>
            <w:vAlign w:val="center"/>
          </w:tcPr>
          <w:p w14:paraId="4EBBC7E5" w14:textId="77777777" w:rsidR="00327047" w:rsidRPr="00C42502" w:rsidRDefault="00327047" w:rsidP="00A12328">
            <w:pPr>
              <w:pStyle w:val="In-tableHeading"/>
              <w:keepLines/>
              <w:jc w:val="center"/>
              <w:rPr>
                <w:lang w:val="en-AU"/>
              </w:rPr>
            </w:pPr>
            <w:r w:rsidRPr="00C42502">
              <w:rPr>
                <w:lang w:val="en-AU"/>
              </w:rPr>
              <w:t>N</w:t>
            </w:r>
          </w:p>
        </w:tc>
        <w:tc>
          <w:tcPr>
            <w:tcW w:w="770" w:type="pct"/>
            <w:vAlign w:val="center"/>
          </w:tcPr>
          <w:p w14:paraId="14F07236" w14:textId="77777777" w:rsidR="00327047" w:rsidRPr="00C42502" w:rsidRDefault="00327047" w:rsidP="00A12328">
            <w:pPr>
              <w:pStyle w:val="In-tableHeading"/>
              <w:keepLines/>
              <w:jc w:val="center"/>
              <w:rPr>
                <w:lang w:val="en-AU"/>
              </w:rPr>
            </w:pPr>
            <w:r w:rsidRPr="00C42502">
              <w:rPr>
                <w:lang w:val="en-AU"/>
              </w:rPr>
              <w:t>Design/ duration</w:t>
            </w:r>
          </w:p>
        </w:tc>
        <w:tc>
          <w:tcPr>
            <w:tcW w:w="609" w:type="pct"/>
            <w:vAlign w:val="center"/>
          </w:tcPr>
          <w:p w14:paraId="675A492C" w14:textId="77777777" w:rsidR="00327047" w:rsidRPr="00C42502" w:rsidRDefault="00327047" w:rsidP="00A12328">
            <w:pPr>
              <w:pStyle w:val="In-tableHeading"/>
              <w:keepLines/>
              <w:jc w:val="center"/>
              <w:rPr>
                <w:lang w:val="en-AU"/>
              </w:rPr>
            </w:pPr>
            <w:r w:rsidRPr="00C42502">
              <w:rPr>
                <w:lang w:val="en-AU"/>
              </w:rPr>
              <w:t>Risk of bias</w:t>
            </w:r>
          </w:p>
        </w:tc>
        <w:tc>
          <w:tcPr>
            <w:tcW w:w="846" w:type="pct"/>
            <w:vAlign w:val="center"/>
          </w:tcPr>
          <w:p w14:paraId="0DB608BC" w14:textId="77777777" w:rsidR="00327047" w:rsidRPr="00C42502" w:rsidRDefault="00327047" w:rsidP="00A12328">
            <w:pPr>
              <w:pStyle w:val="In-tableHeading"/>
              <w:keepLines/>
              <w:jc w:val="center"/>
              <w:rPr>
                <w:lang w:val="en-AU"/>
              </w:rPr>
            </w:pPr>
            <w:r w:rsidRPr="00C42502">
              <w:rPr>
                <w:lang w:val="en-AU"/>
              </w:rPr>
              <w:t>Patient population</w:t>
            </w:r>
          </w:p>
        </w:tc>
        <w:tc>
          <w:tcPr>
            <w:tcW w:w="611" w:type="pct"/>
            <w:vAlign w:val="center"/>
          </w:tcPr>
          <w:p w14:paraId="1B79CF6B" w14:textId="77777777" w:rsidR="00327047" w:rsidRPr="00C42502" w:rsidRDefault="00327047" w:rsidP="00A12328">
            <w:pPr>
              <w:pStyle w:val="In-tableHeading"/>
              <w:keepLines/>
              <w:jc w:val="center"/>
              <w:rPr>
                <w:lang w:val="en-AU"/>
              </w:rPr>
            </w:pPr>
            <w:r w:rsidRPr="00C42502">
              <w:rPr>
                <w:lang w:val="en-AU"/>
              </w:rPr>
              <w:t>Outcome(s)</w:t>
            </w:r>
          </w:p>
        </w:tc>
        <w:tc>
          <w:tcPr>
            <w:tcW w:w="926" w:type="pct"/>
            <w:vAlign w:val="center"/>
          </w:tcPr>
          <w:p w14:paraId="2B16FB69" w14:textId="77777777" w:rsidR="00327047" w:rsidRPr="00C42502" w:rsidRDefault="00327047" w:rsidP="00A12328">
            <w:pPr>
              <w:pStyle w:val="In-tableHeading"/>
              <w:keepLines/>
              <w:jc w:val="center"/>
              <w:rPr>
                <w:lang w:val="en-AU"/>
              </w:rPr>
            </w:pPr>
            <w:r w:rsidRPr="00C42502">
              <w:rPr>
                <w:lang w:val="en-AU"/>
              </w:rPr>
              <w:t>Use in modelled evaluation</w:t>
            </w:r>
          </w:p>
        </w:tc>
      </w:tr>
      <w:tr w:rsidR="00327047" w:rsidRPr="00E2771E" w14:paraId="1DF6E0FC" w14:textId="77777777" w:rsidTr="00327047">
        <w:trPr>
          <w:cantSplit/>
        </w:trPr>
        <w:tc>
          <w:tcPr>
            <w:tcW w:w="5000" w:type="pct"/>
            <w:gridSpan w:val="7"/>
            <w:vAlign w:val="center"/>
          </w:tcPr>
          <w:p w14:paraId="443AC726" w14:textId="77777777" w:rsidR="00327047" w:rsidRPr="00C42502" w:rsidRDefault="00327047" w:rsidP="00A12328">
            <w:pPr>
              <w:pStyle w:val="In-tableHeading"/>
              <w:keepLines/>
              <w:rPr>
                <w:lang w:val="en-AU"/>
              </w:rPr>
            </w:pPr>
            <w:r w:rsidRPr="00C42502">
              <w:rPr>
                <w:lang w:val="en-AU"/>
              </w:rPr>
              <w:t>Osimertinib vs placebo</w:t>
            </w:r>
          </w:p>
        </w:tc>
      </w:tr>
      <w:tr w:rsidR="00327047" w:rsidRPr="00E2771E" w14:paraId="7D6DD587" w14:textId="77777777" w:rsidTr="00327047">
        <w:trPr>
          <w:cantSplit/>
        </w:trPr>
        <w:tc>
          <w:tcPr>
            <w:tcW w:w="701" w:type="pct"/>
            <w:vAlign w:val="center"/>
          </w:tcPr>
          <w:p w14:paraId="2321F7C5" w14:textId="77777777" w:rsidR="00327047" w:rsidRDefault="00327047" w:rsidP="00A12328">
            <w:pPr>
              <w:pStyle w:val="TableText0"/>
              <w:keepLines/>
            </w:pPr>
            <w:r>
              <w:t>LAURA</w:t>
            </w:r>
          </w:p>
          <w:p w14:paraId="692AFA55" w14:textId="77777777" w:rsidR="00327047" w:rsidRPr="00C42502" w:rsidRDefault="00327047" w:rsidP="00A12328">
            <w:pPr>
              <w:pStyle w:val="TableText0"/>
              <w:keepLines/>
            </w:pPr>
            <w:r>
              <w:t>(</w:t>
            </w:r>
            <w:r w:rsidRPr="00460B4E">
              <w:t>NCT03521154</w:t>
            </w:r>
            <w:r>
              <w:t>)</w:t>
            </w:r>
          </w:p>
        </w:tc>
        <w:tc>
          <w:tcPr>
            <w:tcW w:w="537" w:type="pct"/>
            <w:vAlign w:val="center"/>
          </w:tcPr>
          <w:p w14:paraId="30D290CE" w14:textId="77777777" w:rsidR="00327047" w:rsidRPr="00C42502" w:rsidRDefault="00327047" w:rsidP="00A12328">
            <w:pPr>
              <w:pStyle w:val="TableText0"/>
              <w:keepLines/>
              <w:jc w:val="center"/>
            </w:pPr>
            <w:r w:rsidRPr="00C42502">
              <w:t>216 (randomised 2:1)</w:t>
            </w:r>
          </w:p>
        </w:tc>
        <w:tc>
          <w:tcPr>
            <w:tcW w:w="770" w:type="pct"/>
            <w:vAlign w:val="center"/>
          </w:tcPr>
          <w:p w14:paraId="190A0754" w14:textId="77777777" w:rsidR="00327047" w:rsidRPr="00C42502" w:rsidRDefault="00327047" w:rsidP="00A12328">
            <w:pPr>
              <w:pStyle w:val="TableText0"/>
              <w:keepLines/>
              <w:jc w:val="center"/>
            </w:pPr>
            <w:r w:rsidRPr="00C42502">
              <w:t>P3, R, DB, MC / median follow-up</w:t>
            </w:r>
            <w:r w:rsidRPr="00C42502">
              <w:rPr>
                <w:vertAlign w:val="superscript"/>
              </w:rPr>
              <w:t>a</w:t>
            </w:r>
            <w:r w:rsidRPr="00C42502">
              <w:t>: osimertinib: 29.5mth</w:t>
            </w:r>
          </w:p>
          <w:p w14:paraId="30C7E8D9" w14:textId="77777777" w:rsidR="00327047" w:rsidRPr="00C42502" w:rsidRDefault="00327047" w:rsidP="00A12328">
            <w:pPr>
              <w:pStyle w:val="TableText0"/>
              <w:keepLines/>
              <w:jc w:val="center"/>
            </w:pPr>
            <w:r w:rsidRPr="00C42502">
              <w:t xml:space="preserve">placebo: 28.1mth </w:t>
            </w:r>
          </w:p>
        </w:tc>
        <w:tc>
          <w:tcPr>
            <w:tcW w:w="609" w:type="pct"/>
            <w:vAlign w:val="center"/>
          </w:tcPr>
          <w:p w14:paraId="003CA3AE" w14:textId="77777777" w:rsidR="00327047" w:rsidRPr="0043454D" w:rsidRDefault="00327047" w:rsidP="00A12328">
            <w:pPr>
              <w:pStyle w:val="TableText0"/>
              <w:keepLines/>
              <w:jc w:val="center"/>
              <w:rPr>
                <w:iCs/>
              </w:rPr>
            </w:pPr>
            <w:r w:rsidRPr="0043454D">
              <w:rPr>
                <w:iCs/>
              </w:rPr>
              <w:t>Low</w:t>
            </w:r>
          </w:p>
        </w:tc>
        <w:tc>
          <w:tcPr>
            <w:tcW w:w="846" w:type="pct"/>
            <w:vAlign w:val="center"/>
          </w:tcPr>
          <w:p w14:paraId="315FEB55" w14:textId="77777777" w:rsidR="00327047" w:rsidRPr="00C42502" w:rsidRDefault="00327047" w:rsidP="00A12328">
            <w:pPr>
              <w:pStyle w:val="TableText0"/>
              <w:keepLines/>
              <w:jc w:val="center"/>
            </w:pPr>
            <w:r w:rsidRPr="00C42502">
              <w:t xml:space="preserve">Unresectable Stage III </w:t>
            </w:r>
            <w:r w:rsidRPr="00C42502">
              <w:rPr>
                <w:i/>
              </w:rPr>
              <w:t>EGFR</w:t>
            </w:r>
            <w:r w:rsidRPr="00C42502">
              <w:t xml:space="preserve"> positive</w:t>
            </w:r>
            <w:r w:rsidRPr="00C42502">
              <w:rPr>
                <w:vertAlign w:val="superscript"/>
              </w:rPr>
              <w:t>b</w:t>
            </w:r>
            <w:r w:rsidRPr="00C42502">
              <w:t xml:space="preserve"> NSCLC without progression after CRT</w:t>
            </w:r>
          </w:p>
        </w:tc>
        <w:tc>
          <w:tcPr>
            <w:tcW w:w="611" w:type="pct"/>
            <w:vAlign w:val="center"/>
          </w:tcPr>
          <w:p w14:paraId="47D3DA4C" w14:textId="77777777" w:rsidR="00327047" w:rsidRPr="00E819FC" w:rsidRDefault="00327047" w:rsidP="00A12328">
            <w:pPr>
              <w:pStyle w:val="TableText0"/>
              <w:keepLines/>
              <w:jc w:val="center"/>
              <w:rPr>
                <w:lang w:val="pt-PT"/>
              </w:rPr>
            </w:pPr>
            <w:r w:rsidRPr="00E819FC">
              <w:rPr>
                <w:lang w:val="pt-PT"/>
              </w:rPr>
              <w:t>PFS, OS, CNS PFS, ORR, DoR, HRQoL, safety</w:t>
            </w:r>
          </w:p>
        </w:tc>
        <w:tc>
          <w:tcPr>
            <w:tcW w:w="926" w:type="pct"/>
            <w:vAlign w:val="center"/>
          </w:tcPr>
          <w:p w14:paraId="256A633D" w14:textId="77777777" w:rsidR="00327047" w:rsidRPr="00C42502" w:rsidRDefault="00327047" w:rsidP="00A12328">
            <w:pPr>
              <w:pStyle w:val="TableText0"/>
              <w:keepLines/>
              <w:jc w:val="center"/>
            </w:pPr>
            <w:r w:rsidRPr="00C42502">
              <w:t>PFS, OS</w:t>
            </w:r>
          </w:p>
        </w:tc>
      </w:tr>
    </w:tbl>
    <w:p w14:paraId="79A588FC" w14:textId="77777777" w:rsidR="00327047" w:rsidRDefault="00327047" w:rsidP="00A12328">
      <w:pPr>
        <w:pStyle w:val="TableFigureFooter"/>
      </w:pPr>
      <w:r>
        <w:t xml:space="preserve">Source: Section 2.3, p38 and Table 18, p102 </w:t>
      </w:r>
      <w:r w:rsidRPr="00D13A3E">
        <w:t xml:space="preserve">of the </w:t>
      </w:r>
      <w:r>
        <w:t>submission.</w:t>
      </w:r>
    </w:p>
    <w:p w14:paraId="5E852FF2" w14:textId="77777777" w:rsidR="00327047" w:rsidRDefault="00327047" w:rsidP="00A12328">
      <w:pPr>
        <w:pStyle w:val="TableFigureFooter"/>
      </w:pPr>
      <w:r>
        <w:t xml:space="preserve">CNS = central nervous system; CRT = chemoradiation therapy; </w:t>
      </w:r>
      <w:r w:rsidRPr="0072416F">
        <w:t>DB</w:t>
      </w:r>
      <w:r>
        <w:t xml:space="preserve"> </w:t>
      </w:r>
      <w:r w:rsidRPr="0072416F">
        <w:t>=</w:t>
      </w:r>
      <w:r>
        <w:t xml:space="preserve"> </w:t>
      </w:r>
      <w:r w:rsidRPr="0072416F">
        <w:t>double blind;</w:t>
      </w:r>
      <w:r>
        <w:t xml:space="preserve"> DoR = duration of response;</w:t>
      </w:r>
      <w:r w:rsidRPr="0072416F">
        <w:t xml:space="preserve"> </w:t>
      </w:r>
      <w:r>
        <w:rPr>
          <w:i/>
        </w:rPr>
        <w:t>EGFR</w:t>
      </w:r>
      <w:r>
        <w:t xml:space="preserve"> = epidermal growth factor receptor pathogenic variant; HRQoL=health related quality of life, </w:t>
      </w:r>
      <w:r w:rsidRPr="0072416F">
        <w:t>MC</w:t>
      </w:r>
      <w:r>
        <w:t xml:space="preserve"> </w:t>
      </w:r>
      <w:r w:rsidRPr="0072416F">
        <w:t>=</w:t>
      </w:r>
      <w:r>
        <w:t xml:space="preserve"> </w:t>
      </w:r>
      <w:r w:rsidRPr="0072416F">
        <w:t xml:space="preserve">multi-centre; </w:t>
      </w:r>
      <w:r>
        <w:t xml:space="preserve">mth = months; NSCLC = non-small cell lung cancer; ORR = objective response rate; </w:t>
      </w:r>
      <w:r w:rsidRPr="0072416F">
        <w:t>OS</w:t>
      </w:r>
      <w:r>
        <w:t xml:space="preserve"> </w:t>
      </w:r>
      <w:r w:rsidRPr="0072416F">
        <w:t>=</w:t>
      </w:r>
      <w:r>
        <w:t xml:space="preserve"> </w:t>
      </w:r>
      <w:r w:rsidRPr="0072416F">
        <w:t xml:space="preserve">overall survival; </w:t>
      </w:r>
      <w:r>
        <w:t xml:space="preserve">P3 = phase 3; </w:t>
      </w:r>
      <w:r w:rsidRPr="0072416F">
        <w:t>PFS</w:t>
      </w:r>
      <w:r>
        <w:t xml:space="preserve"> </w:t>
      </w:r>
      <w:r w:rsidRPr="0072416F">
        <w:t>=</w:t>
      </w:r>
      <w:r>
        <w:t xml:space="preserve"> </w:t>
      </w:r>
      <w:r w:rsidRPr="0072416F">
        <w:t>progression-free survival; R</w:t>
      </w:r>
      <w:r>
        <w:t xml:space="preserve"> </w:t>
      </w:r>
      <w:r w:rsidRPr="0072416F">
        <w:t>=</w:t>
      </w:r>
      <w:r>
        <w:t xml:space="preserve"> </w:t>
      </w:r>
      <w:r w:rsidRPr="0072416F">
        <w:t>randomised.</w:t>
      </w:r>
    </w:p>
    <w:p w14:paraId="368D2F41" w14:textId="77777777" w:rsidR="00327047" w:rsidRPr="00AA7570" w:rsidRDefault="00327047" w:rsidP="00A12328">
      <w:pPr>
        <w:pStyle w:val="TableFigureFooter"/>
      </w:pPr>
      <w:r>
        <w:rPr>
          <w:vertAlign w:val="superscript"/>
        </w:rPr>
        <w:t>a</w:t>
      </w:r>
      <w:r>
        <w:rPr>
          <w:vertAlign w:val="superscript"/>
        </w:rPr>
        <w:tab/>
      </w:r>
      <w:r w:rsidRPr="00AA7570">
        <w:t>median follow-up for overall survival.</w:t>
      </w:r>
    </w:p>
    <w:p w14:paraId="615AB05F" w14:textId="77777777" w:rsidR="00327047" w:rsidRPr="003B4987" w:rsidRDefault="00327047" w:rsidP="00A12328">
      <w:pPr>
        <w:pStyle w:val="TableFigureFooter"/>
      </w:pPr>
      <w:r w:rsidRPr="00AA7570">
        <w:rPr>
          <w:vertAlign w:val="superscript"/>
        </w:rPr>
        <w:t>b</w:t>
      </w:r>
      <w:r w:rsidRPr="00AA7570">
        <w:tab/>
        <w:t xml:space="preserve">Ex19del or L858R alone or with other </w:t>
      </w:r>
      <w:r w:rsidR="00C45A6D" w:rsidRPr="00C45A6D">
        <w:rPr>
          <w:i/>
        </w:rPr>
        <w:t>EGFR</w:t>
      </w:r>
      <w:r w:rsidRPr="00AA7570">
        <w:t xml:space="preserve"> pathogenic variants</w:t>
      </w:r>
      <w:r w:rsidRPr="0072416F">
        <w:t>.</w:t>
      </w:r>
    </w:p>
    <w:p w14:paraId="5058AE1B" w14:textId="1403EECD" w:rsidR="00610F21" w:rsidRPr="0001262E" w:rsidRDefault="00327047" w:rsidP="00A12328">
      <w:pPr>
        <w:pStyle w:val="3-BodyText"/>
        <w:rPr>
          <w:iCs/>
        </w:rPr>
      </w:pPr>
      <w:r w:rsidRPr="00150D0A">
        <w:t xml:space="preserve">LAURA was a Phase 3, international multi-centre, placebo-controlled, randomised, double-blind clinical trial </w:t>
      </w:r>
      <w:r w:rsidR="004F5C57">
        <w:t>that</w:t>
      </w:r>
      <w:r w:rsidR="004F5C57" w:rsidRPr="00150D0A">
        <w:t xml:space="preserve"> </w:t>
      </w:r>
      <w:r w:rsidRPr="00150D0A">
        <w:t xml:space="preserve">aimed to assess the safety and efficacy of osimertinib as a maintenance therapy in people with unresectable locally advanced (Stage III) NSCLC, with centrally confirmed </w:t>
      </w:r>
      <w:r w:rsidRPr="00022E35">
        <w:rPr>
          <w:i/>
          <w:iCs/>
        </w:rPr>
        <w:t>EGFR</w:t>
      </w:r>
      <w:r w:rsidRPr="00150D0A">
        <w:t xml:space="preserve"> pathogenic variants Ex19del or L858R, whose disease had not progressed during or following definitive </w:t>
      </w:r>
      <w:r w:rsidR="00FB625B" w:rsidRPr="00150D0A">
        <w:t xml:space="preserve">concurrent </w:t>
      </w:r>
      <w:r w:rsidR="00FB625B">
        <w:t>or</w:t>
      </w:r>
      <w:r w:rsidR="00FB625B" w:rsidRPr="00150D0A">
        <w:t xml:space="preserve"> sequential</w:t>
      </w:r>
      <w:r w:rsidRPr="00150D0A">
        <w:t xml:space="preserve"> platinum-based CRT. </w:t>
      </w:r>
      <w:r w:rsidRPr="0043454D">
        <w:rPr>
          <w:iCs/>
        </w:rPr>
        <w:t xml:space="preserve">The </w:t>
      </w:r>
      <w:r w:rsidRPr="0001262E">
        <w:rPr>
          <w:iCs/>
        </w:rPr>
        <w:t xml:space="preserve">proposed restriction is inclusive of all </w:t>
      </w:r>
      <w:r w:rsidRPr="00022E35">
        <w:rPr>
          <w:i/>
        </w:rPr>
        <w:t>EGFR</w:t>
      </w:r>
      <w:r w:rsidRPr="0001262E">
        <w:rPr>
          <w:iCs/>
        </w:rPr>
        <w:t xml:space="preserve"> pathogenic variants</w:t>
      </w:r>
      <w:r w:rsidR="002E3F22" w:rsidRPr="0001262E">
        <w:rPr>
          <w:iCs/>
        </w:rPr>
        <w:t xml:space="preserve"> (paragraph </w:t>
      </w:r>
      <w:r w:rsidR="002E3F22" w:rsidRPr="0001262E">
        <w:rPr>
          <w:iCs/>
        </w:rPr>
        <w:fldChar w:fldCharType="begin"/>
      </w:r>
      <w:r w:rsidR="002E3F22" w:rsidRPr="0001262E">
        <w:rPr>
          <w:iCs/>
        </w:rPr>
        <w:instrText xml:space="preserve"> REF _Ref198198473 \r \h </w:instrText>
      </w:r>
      <w:r w:rsidR="0043454D" w:rsidRPr="0001262E">
        <w:rPr>
          <w:iCs/>
        </w:rPr>
        <w:instrText xml:space="preserve"> \* MERGEFORMAT </w:instrText>
      </w:r>
      <w:r w:rsidR="002E3F22" w:rsidRPr="0001262E">
        <w:rPr>
          <w:iCs/>
        </w:rPr>
      </w:r>
      <w:r w:rsidR="002E3F22" w:rsidRPr="0001262E">
        <w:rPr>
          <w:iCs/>
        </w:rPr>
        <w:fldChar w:fldCharType="separate"/>
      </w:r>
      <w:r w:rsidR="009F3D59">
        <w:rPr>
          <w:iCs/>
        </w:rPr>
        <w:t>3.7</w:t>
      </w:r>
      <w:r w:rsidR="002E3F22" w:rsidRPr="0001262E">
        <w:rPr>
          <w:iCs/>
        </w:rPr>
        <w:fldChar w:fldCharType="end"/>
      </w:r>
      <w:r w:rsidR="002E3F22" w:rsidRPr="0001262E">
        <w:rPr>
          <w:iCs/>
        </w:rPr>
        <w:t>)</w:t>
      </w:r>
      <w:r w:rsidRPr="0001262E">
        <w:rPr>
          <w:iCs/>
        </w:rPr>
        <w:t xml:space="preserve">. </w:t>
      </w:r>
    </w:p>
    <w:p w14:paraId="250F0468" w14:textId="306228F3" w:rsidR="005F0DE9" w:rsidRPr="0002670A" w:rsidRDefault="00327047" w:rsidP="00A12328">
      <w:pPr>
        <w:pStyle w:val="3-BodyText"/>
      </w:pPr>
      <w:r w:rsidRPr="0001262E">
        <w:t>Patients</w:t>
      </w:r>
      <w:r w:rsidRPr="00150D0A">
        <w:t xml:space="preserve"> were enrolled between July 2018 and July 2022 at 74 sites across </w:t>
      </w:r>
      <w:r w:rsidR="00A77D0A">
        <w:br/>
      </w:r>
      <w:r w:rsidRPr="00150D0A">
        <w:t>16 countries. Over 80% of participants were from Asian countries (China 18.5%, Thailand 15.7%, Japan 13.9%, South Korea 11.1%, Taiwan 10.6%, Vietnam 10.6%</w:t>
      </w:r>
      <w:r w:rsidR="002C28AE">
        <w:t>)</w:t>
      </w:r>
      <w:r w:rsidRPr="00150D0A">
        <w:t xml:space="preserve">, reflecting the higher incidence of </w:t>
      </w:r>
      <w:r w:rsidRPr="00150D0A">
        <w:rPr>
          <w:i/>
        </w:rPr>
        <w:t>EGFR</w:t>
      </w:r>
      <w:r w:rsidRPr="00150D0A">
        <w:t xml:space="preserve"> pathogenic variants in Asian populations. Patients were randomised 2:1 to receive osimertinib 80</w:t>
      </w:r>
      <w:r>
        <w:t> </w:t>
      </w:r>
      <w:r w:rsidRPr="00150D0A">
        <w:t xml:space="preserve">mg orally daily (n=143) or placebo (n=73) until disease progression or another discontinuation criterion was met. Randomisation was stratified by (i) </w:t>
      </w:r>
      <w:r w:rsidR="00B07C64">
        <w:t>administration</w:t>
      </w:r>
      <w:r w:rsidRPr="00150D0A">
        <w:t xml:space="preserve"> of CRT (concurrent vs sequential), (ii) disease stage prior to CRT (IIIA vs IIIB/C) and (iii) China cohort. A cohort of at least 40 patients from mainland China was necessary to satisfy China Regulatory Authority requirements for </w:t>
      </w:r>
      <w:r w:rsidRPr="0002670A">
        <w:t xml:space="preserve">stand-alone efficacy and safety analyses of patients from China. </w:t>
      </w:r>
    </w:p>
    <w:p w14:paraId="6F2D0B98" w14:textId="3D52922B" w:rsidR="00327047" w:rsidRDefault="00327047" w:rsidP="00A12328">
      <w:pPr>
        <w:pStyle w:val="3-BodyText"/>
      </w:pPr>
      <w:r w:rsidRPr="00150D0A">
        <w:t xml:space="preserve">The primary endpoint for the LAURA trial was </w:t>
      </w:r>
      <w:r>
        <w:t>progression-free survival (</w:t>
      </w:r>
      <w:r w:rsidRPr="00150D0A">
        <w:t>PFS</w:t>
      </w:r>
      <w:r>
        <w:t>)</w:t>
      </w:r>
      <w:r w:rsidRPr="00150D0A">
        <w:t xml:space="preserve">. Key secondary endpoints were </w:t>
      </w:r>
      <w:r>
        <w:t>overall survival (</w:t>
      </w:r>
      <w:r w:rsidRPr="00150D0A">
        <w:t>OS</w:t>
      </w:r>
      <w:r>
        <w:t>)</w:t>
      </w:r>
      <w:r w:rsidRPr="00150D0A">
        <w:t xml:space="preserve">, CNS PFS, duration of response, objective response rate, health-related quality of life </w:t>
      </w:r>
      <w:r w:rsidR="004D4AE9">
        <w:t xml:space="preserve">(HRQoL) </w:t>
      </w:r>
      <w:r w:rsidRPr="00150D0A">
        <w:t>and safety.</w:t>
      </w:r>
    </w:p>
    <w:p w14:paraId="2E22B351" w14:textId="42BD6AC4" w:rsidR="00327047" w:rsidRDefault="00327047" w:rsidP="00A12328">
      <w:pPr>
        <w:pStyle w:val="3-BodyText"/>
      </w:pPr>
      <w:bookmarkStart w:id="29" w:name="_Ref198206801"/>
      <w:r w:rsidRPr="00B06074">
        <w:t>Overall, the LAURA trial was of a low risk of bias, due to the study design, including the use of BICR for the assessment of outcomes according to standard criteria (Response Evaluation Criteria in Solid Tumours [RECIST] version 1.1). However, other aspects of the trial may introduce bias:</w:t>
      </w:r>
      <w:bookmarkEnd w:id="29"/>
    </w:p>
    <w:p w14:paraId="0445EFE3" w14:textId="3E90B33A" w:rsidR="00327047" w:rsidRPr="00893B3C" w:rsidRDefault="00327047" w:rsidP="00A12328">
      <w:pPr>
        <w:pStyle w:val="3-BodyText"/>
        <w:numPr>
          <w:ilvl w:val="1"/>
          <w:numId w:val="13"/>
        </w:numPr>
        <w:ind w:left="1134"/>
        <w:rPr>
          <w:iCs/>
        </w:rPr>
      </w:pPr>
      <w:r w:rsidRPr="00B06074">
        <w:rPr>
          <w:u w:val="single"/>
        </w:rPr>
        <w:t>Setting and prior treatment</w:t>
      </w:r>
      <w:r>
        <w:t xml:space="preserve"> </w:t>
      </w:r>
      <w:r w:rsidRPr="00B06074">
        <w:t xml:space="preserve">- The trial was conducted in 16 countries, only 6 of which are classified by the World Bank as high-income countries, accounting for 43.5% of participants (Japan 13.9%, South Korea 11.1%, Taiwan 10.6%, Spain 4.6%, Russia 2.8%, USA 0.5%). Trial participants received CRT according to local protocols prior to enrolment in LAURA. </w:t>
      </w:r>
      <w:r w:rsidRPr="001A341B">
        <w:rPr>
          <w:iCs/>
        </w:rPr>
        <w:t xml:space="preserve">It is possible that the technology providing the radiation therapy to patients in low-middle income countries (China 18.5%, Thailand 15.7%, Vietnam 10.6%, </w:t>
      </w:r>
      <w:r w:rsidR="0008012E" w:rsidRPr="001A341B">
        <w:rPr>
          <w:iCs/>
        </w:rPr>
        <w:t xml:space="preserve">Turkey </w:t>
      </w:r>
      <w:r w:rsidRPr="001A341B">
        <w:rPr>
          <w:iCs/>
        </w:rPr>
        <w:t>3.7%, Brazil 2.8%, Argentina 1.4%, India 1.4%, Peru 1.4%, Malaysia 0.5%, Mexico 0.5%) may not have been equivalent to the standard of equipment used in the high-income countries, and thus the comparative effectiveness of the CRT</w:t>
      </w:r>
      <w:r w:rsidR="00A72CFD">
        <w:rPr>
          <w:iCs/>
        </w:rPr>
        <w:t xml:space="preserve"> between</w:t>
      </w:r>
      <w:r w:rsidRPr="001A341B">
        <w:rPr>
          <w:iCs/>
        </w:rPr>
        <w:t xml:space="preserve"> participating countr</w:t>
      </w:r>
      <w:r w:rsidR="00C61146">
        <w:rPr>
          <w:iCs/>
        </w:rPr>
        <w:t>ies</w:t>
      </w:r>
      <w:r w:rsidRPr="001A341B">
        <w:rPr>
          <w:iCs/>
        </w:rPr>
        <w:t xml:space="preserve"> is unknown. </w:t>
      </w:r>
    </w:p>
    <w:p w14:paraId="4C59E934" w14:textId="77777777" w:rsidR="00813B08" w:rsidRPr="00813B08" w:rsidRDefault="00327047" w:rsidP="00A12328">
      <w:pPr>
        <w:pStyle w:val="3-BodyText"/>
        <w:numPr>
          <w:ilvl w:val="1"/>
          <w:numId w:val="13"/>
        </w:numPr>
        <w:ind w:left="1134"/>
        <w:rPr>
          <w:i/>
          <w:iCs/>
        </w:rPr>
      </w:pPr>
      <w:r w:rsidRPr="00162AD5">
        <w:rPr>
          <w:u w:val="single"/>
        </w:rPr>
        <w:t>Staging</w:t>
      </w:r>
      <w:r w:rsidRPr="00B06074">
        <w:t xml:space="preserve"> - </w:t>
      </w:r>
    </w:p>
    <w:p w14:paraId="2B5C069D" w14:textId="2733B2F2" w:rsidR="0094089E" w:rsidRPr="0094089E" w:rsidRDefault="00327047" w:rsidP="00A12328">
      <w:pPr>
        <w:pStyle w:val="3-BodyText"/>
        <w:numPr>
          <w:ilvl w:val="2"/>
          <w:numId w:val="13"/>
        </w:numPr>
        <w:ind w:left="1560" w:hanging="426"/>
        <w:rPr>
          <w:i/>
          <w:iCs/>
        </w:rPr>
      </w:pPr>
      <w:r w:rsidRPr="00B06074">
        <w:t xml:space="preserve">Patients were staged locally according to the standard staging protocol: Version 8 of the IASLC Staging Manual in Thoracic Oncology. </w:t>
      </w:r>
      <w:r w:rsidR="000F189E">
        <w:t>Baseline</w:t>
      </w:r>
      <w:r w:rsidR="00B3455B">
        <w:t xml:space="preserve"> </w:t>
      </w:r>
      <w:r w:rsidR="00B3455B" w:rsidRPr="00B3455B">
        <w:t>positron emission tomography</w:t>
      </w:r>
      <w:r w:rsidR="000F189E">
        <w:t xml:space="preserve"> </w:t>
      </w:r>
      <w:r w:rsidR="00B3455B">
        <w:t>(</w:t>
      </w:r>
      <w:r w:rsidRPr="00C42502">
        <w:t>PET</w:t>
      </w:r>
      <w:r w:rsidR="00B3455B">
        <w:t>)</w:t>
      </w:r>
      <w:r w:rsidR="00D3559C">
        <w:t xml:space="preserve"> staging</w:t>
      </w:r>
      <w:r w:rsidRPr="00B06074">
        <w:t xml:space="preserve"> was recommended but not required for inclusion in </w:t>
      </w:r>
      <w:r w:rsidRPr="00AB387B">
        <w:t>LAURA.</w:t>
      </w:r>
      <w:r w:rsidRPr="00B06074">
        <w:t xml:space="preserve"> PET imaging is more accurate than conventional </w:t>
      </w:r>
      <w:r w:rsidR="00AB7C3A">
        <w:t>computed tomography</w:t>
      </w:r>
      <w:r w:rsidRPr="00B06074">
        <w:t xml:space="preserve"> </w:t>
      </w:r>
      <w:r w:rsidR="006375B0">
        <w:t>(</w:t>
      </w:r>
      <w:r w:rsidRPr="00B06074">
        <w:t>CT</w:t>
      </w:r>
      <w:r w:rsidR="006375B0">
        <w:t>)</w:t>
      </w:r>
      <w:r w:rsidRPr="00B06074">
        <w:t xml:space="preserve"> in detecting metastases, and is standard practice in Australia (Volpi 2018, Cancer Council Victoria 2021). Approximately half of the patients included in LAURA did not receive a PET scan (45% of patients in the osimertinib arm and 55% of patients in the placebo arm). </w:t>
      </w:r>
      <w:r w:rsidR="00B2474E" w:rsidRPr="00DF3B31">
        <w:t>The</w:t>
      </w:r>
      <w:r w:rsidR="00B2474E" w:rsidRPr="00750FAB">
        <w:rPr>
          <w:i/>
          <w:iCs/>
        </w:rPr>
        <w:t xml:space="preserve"> </w:t>
      </w:r>
      <w:r w:rsidR="00B2474E" w:rsidRPr="00893B3C">
        <w:t xml:space="preserve">evaluation </w:t>
      </w:r>
      <w:r w:rsidR="00750FAB" w:rsidRPr="00893B3C">
        <w:t>considered that i</w:t>
      </w:r>
      <w:r w:rsidR="00E47F08" w:rsidRPr="00893B3C">
        <w:t>t is possible that some</w:t>
      </w:r>
      <w:r w:rsidRPr="00893B3C">
        <w:t xml:space="preserve"> of these patients may have had undetected metastatic disease and been misclassified as Stage III and included in the trial</w:t>
      </w:r>
      <w:r w:rsidR="00273078" w:rsidRPr="00893B3C">
        <w:t>, especially since</w:t>
      </w:r>
      <w:r w:rsidR="005F6B33" w:rsidRPr="00893B3C">
        <w:t xml:space="preserve"> in the study protocol, staging by PET scan was encouraged but not mandatory, whereas in Australia staging by PET scan is standard practice due to its greater accuracy in detecting metastatic disease compared to CT scans</w:t>
      </w:r>
      <w:r w:rsidRPr="00893B3C">
        <w:t>.</w:t>
      </w:r>
      <w:r w:rsidRPr="001A341B">
        <w:t xml:space="preserve"> </w:t>
      </w:r>
    </w:p>
    <w:p w14:paraId="4DFFCD82" w14:textId="5910DCAB" w:rsidR="0094089E" w:rsidRPr="0094089E" w:rsidRDefault="008C7803" w:rsidP="00A12328">
      <w:pPr>
        <w:pStyle w:val="3-BodyText"/>
        <w:numPr>
          <w:ilvl w:val="2"/>
          <w:numId w:val="13"/>
        </w:numPr>
        <w:ind w:left="1560" w:hanging="426"/>
        <w:rPr>
          <w:i/>
          <w:iCs/>
        </w:rPr>
      </w:pPr>
      <w:r w:rsidRPr="001A341B">
        <w:t xml:space="preserve">The </w:t>
      </w:r>
      <w:r w:rsidR="00327047" w:rsidRPr="001A341B">
        <w:t>PFS results stratified by pre-CRT PET scan were reported, and hazard ratios (HRs) estimated for both groups were similar (</w:t>
      </w:r>
      <w:r w:rsidR="00703D90" w:rsidRPr="001A341B">
        <w:t>w</w:t>
      </w:r>
      <w:r w:rsidR="00327047" w:rsidRPr="001A341B">
        <w:t xml:space="preserve">ith PET scan </w:t>
      </w:r>
      <w:r w:rsidR="00FC23C0">
        <w:br/>
      </w:r>
      <w:r w:rsidR="00327047" w:rsidRPr="001A341B">
        <w:t xml:space="preserve">PFS HR 0.24 [95% </w:t>
      </w:r>
      <w:r w:rsidR="00010FBB">
        <w:t>c</w:t>
      </w:r>
      <w:r w:rsidR="00327047" w:rsidRPr="001A341B">
        <w:t xml:space="preserve">onfidence </w:t>
      </w:r>
      <w:r w:rsidR="00010FBB">
        <w:t>i</w:t>
      </w:r>
      <w:r w:rsidR="00327047" w:rsidRPr="001A341B">
        <w:t xml:space="preserve">nterval </w:t>
      </w:r>
      <w:r w:rsidR="00416138" w:rsidRPr="001A341B">
        <w:t>(</w:t>
      </w:r>
      <w:r w:rsidR="00327047" w:rsidRPr="001A341B">
        <w:t>CI</w:t>
      </w:r>
      <w:r w:rsidR="00416138" w:rsidRPr="001A341B">
        <w:t>)</w:t>
      </w:r>
      <w:r w:rsidR="00327047" w:rsidRPr="001A341B">
        <w:t xml:space="preserve"> 0.14, 0.40]; </w:t>
      </w:r>
      <w:r w:rsidR="00703D90" w:rsidRPr="001A341B">
        <w:t>w</w:t>
      </w:r>
      <w:r w:rsidR="00327047" w:rsidRPr="001A341B">
        <w:t xml:space="preserve">ithout PET scan </w:t>
      </w:r>
      <w:r w:rsidR="00FC23C0">
        <w:br/>
      </w:r>
      <w:r w:rsidR="00327047" w:rsidRPr="001A341B">
        <w:t xml:space="preserve">PFS HR 0.23 [95%CI 0.13, 0.38]), however the Kaplan-Meier </w:t>
      </w:r>
      <w:r w:rsidR="001001DF" w:rsidRPr="001A341B">
        <w:t>(KM)</w:t>
      </w:r>
      <w:r w:rsidR="00327047" w:rsidRPr="001A341B">
        <w:t xml:space="preserve"> PFS curves show a clear separation between </w:t>
      </w:r>
      <w:r w:rsidR="00B8262D">
        <w:t>M</w:t>
      </w:r>
      <w:r w:rsidR="00327047" w:rsidRPr="001A341B">
        <w:t xml:space="preserve">onth 9 and </w:t>
      </w:r>
      <w:r w:rsidR="00B8262D">
        <w:t>M</w:t>
      </w:r>
      <w:r w:rsidR="00327047" w:rsidRPr="001A341B">
        <w:t>onth 24 of follow-up</w:t>
      </w:r>
      <w:r w:rsidR="002C5586">
        <w:t xml:space="preserve"> </w:t>
      </w:r>
      <w:r w:rsidR="002C5586" w:rsidRPr="00022E35">
        <w:t xml:space="preserve">for the placebo arms with and without the </w:t>
      </w:r>
      <w:r w:rsidR="00A578B2" w:rsidRPr="00022E35">
        <w:t>pre-CRT PET scan</w:t>
      </w:r>
      <w:r w:rsidR="00FE3557" w:rsidRPr="001A341B">
        <w:t>. At 12- and 18-months the group who were staged with a PET scan had approximately 16% and 12% better PFS, respectively, than those who were staged without a PET scan</w:t>
      </w:r>
      <w:r w:rsidR="00327047" w:rsidRPr="001A341B">
        <w:t xml:space="preserve"> (</w:t>
      </w:r>
      <w:r w:rsidR="00AD33E8" w:rsidRPr="001A341B">
        <w:t>s</w:t>
      </w:r>
      <w:r w:rsidR="00327047" w:rsidRPr="001A341B">
        <w:t>ee</w:t>
      </w:r>
      <w:r w:rsidR="00DA3386" w:rsidRPr="001A341B">
        <w:t xml:space="preserve"> </w:t>
      </w:r>
      <w:r w:rsidR="00BC57B4">
        <w:fldChar w:fldCharType="begin"/>
      </w:r>
      <w:r w:rsidR="00BC57B4">
        <w:instrText xml:space="preserve"> REF _Ref198205569 \h </w:instrText>
      </w:r>
      <w:r w:rsidR="00BC57B4">
        <w:fldChar w:fldCharType="separate"/>
      </w:r>
      <w:r w:rsidR="009F3D59">
        <w:t xml:space="preserve">Figure </w:t>
      </w:r>
      <w:r w:rsidR="009F3D59">
        <w:rPr>
          <w:noProof/>
        </w:rPr>
        <w:t>2</w:t>
      </w:r>
      <w:r w:rsidR="00BC57B4">
        <w:fldChar w:fldCharType="end"/>
      </w:r>
      <w:r w:rsidR="009D0FE0">
        <w:t xml:space="preserve"> below</w:t>
      </w:r>
      <w:r w:rsidR="00327047" w:rsidRPr="001A341B">
        <w:t>) (Lu 2024a</w:t>
      </w:r>
      <w:r w:rsidR="00327047" w:rsidRPr="001A341B">
        <w:rPr>
          <w:rStyle w:val="FootnoteReference"/>
        </w:rPr>
        <w:footnoteReference w:id="18"/>
      </w:r>
      <w:r w:rsidR="00327047" w:rsidRPr="001A341B">
        <w:t>).</w:t>
      </w:r>
      <w:r w:rsidR="00F4034A" w:rsidRPr="001A341B">
        <w:t xml:space="preserve"> </w:t>
      </w:r>
    </w:p>
    <w:p w14:paraId="5B1B76BE" w14:textId="2E54BC6B" w:rsidR="00F4034A" w:rsidRPr="00893B3C" w:rsidRDefault="005A78A5" w:rsidP="00A12328">
      <w:pPr>
        <w:pStyle w:val="3-BodyText"/>
        <w:numPr>
          <w:ilvl w:val="0"/>
          <w:numId w:val="0"/>
        </w:numPr>
        <w:ind w:left="1134"/>
      </w:pPr>
      <w:r w:rsidRPr="00893B3C">
        <w:t>T</w:t>
      </w:r>
      <w:r w:rsidR="003C5775" w:rsidRPr="00893B3C">
        <w:t xml:space="preserve">he PSCR stated </w:t>
      </w:r>
      <w:r w:rsidR="00DD68B1" w:rsidRPr="00893B3C">
        <w:t xml:space="preserve">that staging was rigorously conducted </w:t>
      </w:r>
      <w:r w:rsidR="008F2777" w:rsidRPr="00893B3C">
        <w:t>according to Version 8 of the IASLC Staging Manual in Thoracic Oncology, irrespective of the participating country. The</w:t>
      </w:r>
      <w:r w:rsidR="00EF0C77" w:rsidRPr="00893B3C">
        <w:t xml:space="preserve"> PSCR noted the similarity of the</w:t>
      </w:r>
      <w:r w:rsidR="00D54D71" w:rsidRPr="00893B3C">
        <w:t xml:space="preserve"> PFS</w:t>
      </w:r>
      <w:r w:rsidR="00EF0C77" w:rsidRPr="00893B3C">
        <w:t xml:space="preserve"> HRs with and without</w:t>
      </w:r>
      <w:r w:rsidR="00D54D71" w:rsidRPr="00893B3C">
        <w:t xml:space="preserve"> PET scans (0.24 and 0.23, respectively)</w:t>
      </w:r>
      <w:r w:rsidR="008F2777" w:rsidRPr="00893B3C">
        <w:t>.</w:t>
      </w:r>
    </w:p>
    <w:p w14:paraId="28D35381" w14:textId="7B0F77F3" w:rsidR="001C36E1" w:rsidRPr="001A341B" w:rsidRDefault="001C36E1" w:rsidP="00A12328">
      <w:pPr>
        <w:pStyle w:val="3-BodyText"/>
        <w:numPr>
          <w:ilvl w:val="1"/>
          <w:numId w:val="13"/>
        </w:numPr>
        <w:ind w:left="1134"/>
        <w:rPr>
          <w:iCs/>
        </w:rPr>
      </w:pPr>
      <w:r w:rsidRPr="00162AD5">
        <w:rPr>
          <w:u w:val="single"/>
        </w:rPr>
        <w:t>Post-study treatment</w:t>
      </w:r>
      <w:r w:rsidR="003E4BD4" w:rsidRPr="00162AD5">
        <w:rPr>
          <w:u w:val="single"/>
        </w:rPr>
        <w:t>s</w:t>
      </w:r>
      <w:r w:rsidR="003E4BD4" w:rsidRPr="003124CC">
        <w:t xml:space="preserve"> </w:t>
      </w:r>
      <w:r w:rsidR="00027F5C" w:rsidRPr="003124CC">
        <w:t>–</w:t>
      </w:r>
      <w:r w:rsidR="003E4BD4" w:rsidRPr="003124CC">
        <w:t xml:space="preserve"> </w:t>
      </w:r>
      <w:r w:rsidR="00162AD5" w:rsidRPr="00162AD5">
        <w:rPr>
          <w:i/>
        </w:rPr>
        <w:t>EGFR</w:t>
      </w:r>
      <w:r w:rsidR="00162AD5">
        <w:t>-TKIs were the most commonly used treatments after disease progression in both arms, being used by 22/63 (34.9%) patients in the osimertinib arm and 56/66 (84.8%) patients in the placebo arm. At</w:t>
      </w:r>
      <w:r w:rsidR="00752478">
        <w:t xml:space="preserve"> Data Cut-off</w:t>
      </w:r>
      <w:r w:rsidR="00162AD5">
        <w:t xml:space="preserve"> </w:t>
      </w:r>
      <w:r w:rsidR="00752478">
        <w:t>(</w:t>
      </w:r>
      <w:r w:rsidR="00162AD5">
        <w:t>DCO</w:t>
      </w:r>
      <w:r w:rsidR="00752478">
        <w:t>)</w:t>
      </w:r>
      <w:r w:rsidR="00D032A8">
        <w:t xml:space="preserve"> on the</w:t>
      </w:r>
      <w:r w:rsidR="00162AD5">
        <w:t xml:space="preserve"> 5 January 2024, 15 patients in the treatment arm had received osimertinib after disease progression for a median 16.2 months (range 0.8, 31.4). In the placebo arm, 51 patients had initiated osimertinib after disease progression with a median duration of treatment of 18.17 months (range 1.7, 41.5). Radiotherapy and chemotherapy were the next most commonly used first subsequent therapies in the osimertinib arm, being received by 17/63 (27.0%) and 16/63 (25.4%) patients, respectively. </w:t>
      </w:r>
      <w:r w:rsidR="00162AD5" w:rsidRPr="001A341B">
        <w:rPr>
          <w:iCs/>
        </w:rPr>
        <w:t xml:space="preserve">This was inconsistent with the proposed clinical management algorithm, which lists platinum-based chemotherapy and ABCP (atezolizumab, bevacizumab and carboplatin with paclitaxel or pemetrexed) regimens as later line therapies after progression on osimertinib in the target population. </w:t>
      </w:r>
      <w:r w:rsidR="00E10BD3" w:rsidRPr="001A341B">
        <w:rPr>
          <w:iCs/>
        </w:rPr>
        <w:t>Thus</w:t>
      </w:r>
      <w:r w:rsidR="00853C63" w:rsidRPr="001A341B">
        <w:rPr>
          <w:iCs/>
        </w:rPr>
        <w:t>,</w:t>
      </w:r>
      <w:r w:rsidR="00E10BD3" w:rsidRPr="001A341B">
        <w:rPr>
          <w:iCs/>
        </w:rPr>
        <w:t xml:space="preserve"> the trial results for time to second subsequent treatment (TSST) and second PFS may not be generalisable to the Australian population due to the differences between the subsequent treatments received by those in the trial and those likely to be received in Australia. </w:t>
      </w:r>
      <w:r w:rsidR="00385412">
        <w:rPr>
          <w:iCs/>
        </w:rPr>
        <w:t xml:space="preserve">The evaluation considered that while </w:t>
      </w:r>
      <w:r w:rsidR="00162AD5" w:rsidRPr="001A341B">
        <w:rPr>
          <w:iCs/>
        </w:rPr>
        <w:t>PBS restrictions prohibit the use of osimertinib after disease progression, some patients may continue to use it. The optimal treatment duration for osimertinib in this setting is unknown (Nozaki 2024</w:t>
      </w:r>
      <w:r w:rsidR="00162AD5" w:rsidRPr="001A341B">
        <w:rPr>
          <w:rStyle w:val="FootnoteReference"/>
          <w:iCs/>
        </w:rPr>
        <w:footnoteReference w:id="19"/>
      </w:r>
      <w:r w:rsidR="00162AD5" w:rsidRPr="001A341B">
        <w:rPr>
          <w:iCs/>
        </w:rPr>
        <w:t>).</w:t>
      </w:r>
    </w:p>
    <w:p w14:paraId="01675ACD" w14:textId="474A58C5" w:rsidR="00332F7A" w:rsidRPr="00893B3C" w:rsidRDefault="00327047" w:rsidP="00A12328">
      <w:pPr>
        <w:pStyle w:val="3-BodyText"/>
        <w:rPr>
          <w:iCs/>
        </w:rPr>
      </w:pPr>
      <w:r w:rsidRPr="00C42502">
        <w:t>There</w:t>
      </w:r>
      <w:r w:rsidRPr="000C64CE">
        <w:t xml:space="preserve"> was no adjustment made for treatment switching. Of the 57 patients in the placebo arm who received a first subsequent anticancer therapy, 50 patients (87.7%) received osimertinib. </w:t>
      </w:r>
      <w:r w:rsidRPr="001A341B">
        <w:rPr>
          <w:iCs/>
        </w:rPr>
        <w:t>Th</w:t>
      </w:r>
      <w:r w:rsidR="00D761D9">
        <w:rPr>
          <w:iCs/>
        </w:rPr>
        <w:t xml:space="preserve">e </w:t>
      </w:r>
      <w:r w:rsidR="00D761D9" w:rsidRPr="00022E35">
        <w:rPr>
          <w:iCs/>
        </w:rPr>
        <w:t>evaluation noted that</w:t>
      </w:r>
      <w:r w:rsidR="00D761D9">
        <w:rPr>
          <w:iCs/>
        </w:rPr>
        <w:t xml:space="preserve"> th</w:t>
      </w:r>
      <w:r w:rsidRPr="001A341B">
        <w:rPr>
          <w:iCs/>
        </w:rPr>
        <w:t>is was appropriate</w:t>
      </w:r>
      <w:r w:rsidR="00D761D9">
        <w:rPr>
          <w:iCs/>
        </w:rPr>
        <w:t>,</w:t>
      </w:r>
      <w:r w:rsidRPr="001A341B">
        <w:rPr>
          <w:iCs/>
        </w:rPr>
        <w:t xml:space="preserve"> as osimertinib is the recommended treatment for locally advanced and metastatic disease and thus placebo arm patients receiving osimertinib on disease progression reflects current clinical practice (NCCN 2024).</w:t>
      </w:r>
      <w:r w:rsidR="00BF14EC">
        <w:rPr>
          <w:iCs/>
        </w:rPr>
        <w:t xml:space="preserve"> </w:t>
      </w:r>
      <w:r w:rsidR="00BF14EC" w:rsidRPr="00893B3C">
        <w:rPr>
          <w:iCs/>
        </w:rPr>
        <w:t xml:space="preserve">The ESC noted that </w:t>
      </w:r>
      <w:r w:rsidR="003E0786" w:rsidRPr="00893B3C">
        <w:rPr>
          <w:iCs/>
        </w:rPr>
        <w:t xml:space="preserve">the high rate of </w:t>
      </w:r>
      <w:r w:rsidR="003A63BF" w:rsidRPr="00893B3C">
        <w:rPr>
          <w:iCs/>
        </w:rPr>
        <w:t>TKIs used as subsequent treatment in the placebo arm</w:t>
      </w:r>
      <w:r w:rsidR="00341592" w:rsidRPr="00893B3C">
        <w:rPr>
          <w:iCs/>
        </w:rPr>
        <w:t xml:space="preserve"> (8</w:t>
      </w:r>
      <w:r w:rsidR="003F5F15" w:rsidRPr="00893B3C">
        <w:rPr>
          <w:iCs/>
        </w:rPr>
        <w:t>5</w:t>
      </w:r>
      <w:r w:rsidR="00341592" w:rsidRPr="00893B3C">
        <w:rPr>
          <w:iCs/>
        </w:rPr>
        <w:t>%</w:t>
      </w:r>
      <w:r w:rsidR="006F76B6" w:rsidRPr="00893B3C">
        <w:rPr>
          <w:iCs/>
        </w:rPr>
        <w:t xml:space="preserve"> [56/66] of patients who discontinued due to disease progression</w:t>
      </w:r>
      <w:r w:rsidR="0010021D" w:rsidRPr="00893B3C">
        <w:rPr>
          <w:iCs/>
        </w:rPr>
        <w:t>)</w:t>
      </w:r>
      <w:r w:rsidR="003A63BF" w:rsidRPr="00893B3C">
        <w:rPr>
          <w:iCs/>
        </w:rPr>
        <w:t xml:space="preserve"> likely affected the OS</w:t>
      </w:r>
      <w:r w:rsidR="00A34D1C" w:rsidRPr="00893B3C">
        <w:rPr>
          <w:iCs/>
        </w:rPr>
        <w:t xml:space="preserve"> results of the</w:t>
      </w:r>
      <w:r w:rsidR="003A63BF" w:rsidRPr="00893B3C">
        <w:rPr>
          <w:iCs/>
        </w:rPr>
        <w:t xml:space="preserve"> </w:t>
      </w:r>
      <w:r w:rsidR="002E41B7" w:rsidRPr="00893B3C">
        <w:rPr>
          <w:iCs/>
        </w:rPr>
        <w:t xml:space="preserve">LAURA </w:t>
      </w:r>
      <w:r w:rsidR="0097115C" w:rsidRPr="00893B3C">
        <w:rPr>
          <w:iCs/>
        </w:rPr>
        <w:t>trial</w:t>
      </w:r>
      <w:r w:rsidR="00E227EB" w:rsidRPr="00893B3C">
        <w:rPr>
          <w:iCs/>
        </w:rPr>
        <w:t>,</w:t>
      </w:r>
      <w:r w:rsidR="002B736C">
        <w:rPr>
          <w:iCs/>
        </w:rPr>
        <w:t xml:space="preserve"> </w:t>
      </w:r>
      <w:r w:rsidR="00E227EB" w:rsidRPr="00893B3C">
        <w:rPr>
          <w:rFonts w:eastAsia="Calibri"/>
          <w:iCs/>
        </w:rPr>
        <w:t>but that this would be reflective of SoC treatment practices in Australia</w:t>
      </w:r>
      <w:r w:rsidR="00246A19" w:rsidRPr="00893B3C">
        <w:rPr>
          <w:rFonts w:eastAsia="Calibri"/>
          <w:iCs/>
        </w:rPr>
        <w:t xml:space="preserve"> (patients would receive their first </w:t>
      </w:r>
      <w:r w:rsidR="00C45A6D" w:rsidRPr="00C45A6D">
        <w:rPr>
          <w:rFonts w:eastAsia="Calibri"/>
          <w:i/>
          <w:iCs/>
        </w:rPr>
        <w:t>EGFR</w:t>
      </w:r>
      <w:r w:rsidR="00246A19" w:rsidRPr="00893B3C">
        <w:rPr>
          <w:rFonts w:eastAsia="Calibri"/>
          <w:iCs/>
        </w:rPr>
        <w:t>-TKI in the locally advanced/metastatic setting)</w:t>
      </w:r>
      <w:r w:rsidR="0097115C" w:rsidRPr="00893B3C">
        <w:rPr>
          <w:iCs/>
        </w:rPr>
        <w:t>.</w:t>
      </w:r>
    </w:p>
    <w:p w14:paraId="0A8EB505" w14:textId="3ABD96F2" w:rsidR="00044997" w:rsidRDefault="00044997" w:rsidP="00A12328">
      <w:pPr>
        <w:pStyle w:val="3-BodyText"/>
        <w:rPr>
          <w:i/>
        </w:rPr>
      </w:pPr>
      <w:r>
        <w:t xml:space="preserve">The use of subsequent therapies in LAURA is shown in </w:t>
      </w:r>
      <w:r>
        <w:fldChar w:fldCharType="begin"/>
      </w:r>
      <w:r>
        <w:instrText xml:space="preserve"> REF _Ref198624600 \h </w:instrText>
      </w:r>
      <w:r>
        <w:fldChar w:fldCharType="separate"/>
      </w:r>
      <w:r w:rsidR="009F3D59">
        <w:t xml:space="preserve">Table </w:t>
      </w:r>
      <w:r w:rsidR="009F3D59">
        <w:rPr>
          <w:noProof/>
        </w:rPr>
        <w:t>4</w:t>
      </w:r>
      <w:r>
        <w:fldChar w:fldCharType="end"/>
      </w:r>
      <w:r>
        <w:t>.</w:t>
      </w:r>
    </w:p>
    <w:p w14:paraId="02F986C4" w14:textId="0A1CC284" w:rsidR="000879D4" w:rsidRPr="00FF6D2F" w:rsidRDefault="000879D4" w:rsidP="00A12328">
      <w:pPr>
        <w:pStyle w:val="Caption"/>
      </w:pPr>
      <w:bookmarkStart w:id="30" w:name="_Ref198624600"/>
      <w:r>
        <w:t xml:space="preserve">Table </w:t>
      </w:r>
      <w:r w:rsidR="002E1944">
        <w:fldChar w:fldCharType="begin"/>
      </w:r>
      <w:r w:rsidR="002E1944">
        <w:instrText xml:space="preserve"> SEQ Table \* ARABIC </w:instrText>
      </w:r>
      <w:r w:rsidR="002E1944">
        <w:fldChar w:fldCharType="separate"/>
      </w:r>
      <w:r w:rsidR="009F3D59">
        <w:rPr>
          <w:noProof/>
        </w:rPr>
        <w:t>4</w:t>
      </w:r>
      <w:r w:rsidR="002E1944">
        <w:rPr>
          <w:noProof/>
        </w:rPr>
        <w:fldChar w:fldCharType="end"/>
      </w:r>
      <w:bookmarkEnd w:id="30"/>
      <w:r w:rsidRPr="00FF6D2F">
        <w:rPr>
          <w:szCs w:val="20"/>
        </w:rPr>
        <w:t>:</w:t>
      </w:r>
      <w:r w:rsidRPr="00692751">
        <w:rPr>
          <w:szCs w:val="20"/>
        </w:rPr>
        <w:t xml:space="preserve"> Proportions using subsequent treatment</w:t>
      </w:r>
      <w:r>
        <w:rPr>
          <w:szCs w:val="20"/>
        </w:rPr>
        <w:t xml:space="preserve"> </w:t>
      </w:r>
      <w:r w:rsidR="0088675B">
        <w:rPr>
          <w:szCs w:val="20"/>
        </w:rPr>
        <w:t>in</w:t>
      </w:r>
      <w:r>
        <w:rPr>
          <w:szCs w:val="20"/>
        </w:rPr>
        <w:t xml:space="preserve"> the LAURA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Proportions using subsequent treatment in the LAURA trial"/>
      </w:tblPr>
      <w:tblGrid>
        <w:gridCol w:w="3146"/>
        <w:gridCol w:w="2149"/>
        <w:gridCol w:w="1861"/>
        <w:gridCol w:w="1861"/>
      </w:tblGrid>
      <w:tr w:rsidR="000879D4" w14:paraId="03779A47" w14:textId="77777777" w:rsidTr="006F6455">
        <w:tc>
          <w:tcPr>
            <w:tcW w:w="1744" w:type="pct"/>
            <w:vAlign w:val="center"/>
          </w:tcPr>
          <w:p w14:paraId="39B3ADCC" w14:textId="77777777" w:rsidR="000879D4" w:rsidRPr="00743DDD" w:rsidRDefault="000879D4" w:rsidP="00A12328">
            <w:pPr>
              <w:pStyle w:val="Bulletpoints"/>
              <w:keepNext/>
              <w:keepLines/>
              <w:numPr>
                <w:ilvl w:val="0"/>
                <w:numId w:val="0"/>
              </w:numPr>
              <w:spacing w:after="0"/>
              <w:jc w:val="left"/>
              <w:rPr>
                <w:rFonts w:ascii="Arial Narrow" w:hAnsi="Arial Narrow"/>
                <w:b/>
                <w:bCs/>
                <w:sz w:val="20"/>
                <w:szCs w:val="20"/>
              </w:rPr>
            </w:pPr>
            <w:r w:rsidRPr="00743DDD">
              <w:rPr>
                <w:rFonts w:ascii="Arial Narrow" w:hAnsi="Arial Narrow"/>
                <w:b/>
                <w:bCs/>
                <w:sz w:val="20"/>
                <w:szCs w:val="20"/>
              </w:rPr>
              <w:t>Drug type</w:t>
            </w:r>
            <w:r>
              <w:rPr>
                <w:rFonts w:ascii="Arial Narrow" w:hAnsi="Arial Narrow"/>
                <w:b/>
                <w:bCs/>
                <w:sz w:val="20"/>
                <w:szCs w:val="20"/>
              </w:rPr>
              <w:t xml:space="preserve"> (LAURA)</w:t>
            </w:r>
          </w:p>
        </w:tc>
        <w:tc>
          <w:tcPr>
            <w:tcW w:w="1191" w:type="pct"/>
            <w:vAlign w:val="center"/>
          </w:tcPr>
          <w:p w14:paraId="3D1F457A" w14:textId="01B2792D" w:rsidR="000879D4" w:rsidRPr="00743DDD" w:rsidRDefault="000879D4" w:rsidP="00A12328">
            <w:pPr>
              <w:pStyle w:val="Bulletpoints"/>
              <w:keepNext/>
              <w:keepLines/>
              <w:numPr>
                <w:ilvl w:val="0"/>
                <w:numId w:val="0"/>
              </w:numPr>
              <w:spacing w:after="0"/>
              <w:jc w:val="center"/>
              <w:rPr>
                <w:rFonts w:ascii="Arial Narrow" w:hAnsi="Arial Narrow"/>
                <w:b/>
                <w:bCs/>
                <w:sz w:val="20"/>
                <w:szCs w:val="20"/>
              </w:rPr>
            </w:pPr>
            <w:r w:rsidRPr="00743DDD">
              <w:rPr>
                <w:rFonts w:ascii="Arial Narrow" w:hAnsi="Arial Narrow"/>
                <w:b/>
                <w:bCs/>
                <w:sz w:val="20"/>
                <w:szCs w:val="20"/>
              </w:rPr>
              <w:t>Drug</w:t>
            </w:r>
            <w:r>
              <w:rPr>
                <w:rFonts w:ascii="Arial Narrow" w:hAnsi="Arial Narrow"/>
                <w:b/>
                <w:bCs/>
                <w:sz w:val="20"/>
                <w:szCs w:val="20"/>
              </w:rPr>
              <w:t xml:space="preserve"> costed (model)</w:t>
            </w:r>
          </w:p>
        </w:tc>
        <w:tc>
          <w:tcPr>
            <w:tcW w:w="1032" w:type="pct"/>
            <w:vAlign w:val="center"/>
          </w:tcPr>
          <w:p w14:paraId="26AB8F6F" w14:textId="3BC21184" w:rsidR="000879D4" w:rsidRPr="007A1420" w:rsidRDefault="000879D4" w:rsidP="00A12328">
            <w:pPr>
              <w:pStyle w:val="Bulletpoints"/>
              <w:keepNext/>
              <w:keepLines/>
              <w:numPr>
                <w:ilvl w:val="0"/>
                <w:numId w:val="0"/>
              </w:numPr>
              <w:spacing w:after="0"/>
              <w:jc w:val="center"/>
              <w:rPr>
                <w:rFonts w:ascii="Arial Narrow" w:hAnsi="Arial Narrow"/>
                <w:b/>
                <w:bCs/>
                <w:sz w:val="20"/>
                <w:szCs w:val="20"/>
              </w:rPr>
            </w:pPr>
            <w:r w:rsidRPr="007A1420">
              <w:rPr>
                <w:rFonts w:ascii="Arial Narrow" w:hAnsi="Arial Narrow"/>
                <w:b/>
                <w:bCs/>
                <w:sz w:val="20"/>
                <w:szCs w:val="20"/>
              </w:rPr>
              <w:t>Osimertinib</w:t>
            </w:r>
            <w:r w:rsidR="00711650" w:rsidRPr="007A1420">
              <w:rPr>
                <w:rFonts w:ascii="Arial Narrow" w:hAnsi="Arial Narrow"/>
                <w:b/>
                <w:bCs/>
                <w:sz w:val="20"/>
                <w:szCs w:val="20"/>
                <w:vertAlign w:val="superscript"/>
              </w:rPr>
              <w:t>a</w:t>
            </w:r>
            <w:r w:rsidR="00EE61B1" w:rsidRPr="007A1420">
              <w:rPr>
                <w:rFonts w:ascii="Arial Narrow" w:hAnsi="Arial Narrow"/>
                <w:b/>
                <w:bCs/>
                <w:sz w:val="20"/>
                <w:szCs w:val="20"/>
                <w:vertAlign w:val="superscript"/>
              </w:rPr>
              <w:t>,b</w:t>
            </w:r>
          </w:p>
          <w:p w14:paraId="73B9260B" w14:textId="5850CF50" w:rsidR="0001784D" w:rsidRPr="007A1420" w:rsidRDefault="00044997" w:rsidP="00A12328">
            <w:pPr>
              <w:pStyle w:val="Bulletpoints"/>
              <w:keepNext/>
              <w:keepLines/>
              <w:numPr>
                <w:ilvl w:val="0"/>
                <w:numId w:val="0"/>
              </w:numPr>
              <w:spacing w:after="0"/>
              <w:jc w:val="center"/>
              <w:rPr>
                <w:rFonts w:ascii="Arial Narrow" w:hAnsi="Arial Narrow"/>
                <w:b/>
                <w:bCs/>
                <w:sz w:val="20"/>
                <w:szCs w:val="20"/>
              </w:rPr>
            </w:pPr>
            <w:r w:rsidRPr="007A1420">
              <w:rPr>
                <w:rFonts w:ascii="Arial Narrow" w:hAnsi="Arial Narrow"/>
                <w:b/>
                <w:bCs/>
                <w:sz w:val="20"/>
                <w:szCs w:val="20"/>
              </w:rPr>
              <w:t>N=143</w:t>
            </w:r>
          </w:p>
        </w:tc>
        <w:tc>
          <w:tcPr>
            <w:tcW w:w="1032" w:type="pct"/>
            <w:vAlign w:val="center"/>
          </w:tcPr>
          <w:p w14:paraId="499C77EB" w14:textId="09B37B85" w:rsidR="000879D4" w:rsidRPr="007A1420" w:rsidRDefault="000879D4" w:rsidP="00A12328">
            <w:pPr>
              <w:pStyle w:val="Bulletpoints"/>
              <w:keepNext/>
              <w:keepLines/>
              <w:numPr>
                <w:ilvl w:val="0"/>
                <w:numId w:val="0"/>
              </w:numPr>
              <w:spacing w:after="0"/>
              <w:jc w:val="center"/>
              <w:rPr>
                <w:rFonts w:ascii="Arial Narrow" w:hAnsi="Arial Narrow"/>
                <w:b/>
                <w:bCs/>
                <w:sz w:val="20"/>
                <w:szCs w:val="20"/>
              </w:rPr>
            </w:pPr>
            <w:r w:rsidRPr="007A1420">
              <w:rPr>
                <w:rFonts w:ascii="Arial Narrow" w:hAnsi="Arial Narrow"/>
                <w:b/>
                <w:bCs/>
                <w:sz w:val="20"/>
                <w:szCs w:val="20"/>
              </w:rPr>
              <w:t>Placebo</w:t>
            </w:r>
            <w:r w:rsidR="00EE61B1" w:rsidRPr="007A1420">
              <w:rPr>
                <w:rFonts w:ascii="Arial Narrow" w:hAnsi="Arial Narrow"/>
                <w:b/>
                <w:bCs/>
                <w:sz w:val="20"/>
                <w:szCs w:val="20"/>
                <w:vertAlign w:val="superscript"/>
              </w:rPr>
              <w:t>a,b</w:t>
            </w:r>
          </w:p>
          <w:p w14:paraId="20F57433" w14:textId="2AF06090" w:rsidR="00677084" w:rsidRPr="007A1420" w:rsidRDefault="00044997" w:rsidP="00A12328">
            <w:pPr>
              <w:pStyle w:val="Bulletpoints"/>
              <w:keepNext/>
              <w:keepLines/>
              <w:numPr>
                <w:ilvl w:val="0"/>
                <w:numId w:val="0"/>
              </w:numPr>
              <w:spacing w:after="0"/>
              <w:jc w:val="center"/>
              <w:rPr>
                <w:rFonts w:ascii="Arial Narrow" w:hAnsi="Arial Narrow"/>
                <w:b/>
                <w:bCs/>
                <w:sz w:val="20"/>
                <w:szCs w:val="20"/>
              </w:rPr>
            </w:pPr>
            <w:r w:rsidRPr="007A1420">
              <w:rPr>
                <w:rFonts w:ascii="Arial Narrow" w:hAnsi="Arial Narrow"/>
                <w:b/>
                <w:bCs/>
                <w:sz w:val="20"/>
                <w:szCs w:val="20"/>
              </w:rPr>
              <w:t>N=73</w:t>
            </w:r>
          </w:p>
        </w:tc>
      </w:tr>
      <w:tr w:rsidR="00044997" w14:paraId="1C8E4308" w14:textId="77777777" w:rsidTr="006F6455">
        <w:tc>
          <w:tcPr>
            <w:tcW w:w="2935" w:type="pct"/>
            <w:gridSpan w:val="2"/>
            <w:vAlign w:val="center"/>
          </w:tcPr>
          <w:p w14:paraId="59BEC7A3" w14:textId="5A0EFD9F" w:rsidR="00044997" w:rsidRDefault="00044997" w:rsidP="00A12328">
            <w:pPr>
              <w:pStyle w:val="Bulletpoints"/>
              <w:keepNext/>
              <w:keepLines/>
              <w:numPr>
                <w:ilvl w:val="0"/>
                <w:numId w:val="0"/>
              </w:numPr>
              <w:spacing w:after="0"/>
              <w:jc w:val="left"/>
              <w:rPr>
                <w:rFonts w:ascii="Arial Narrow" w:hAnsi="Arial Narrow"/>
                <w:sz w:val="20"/>
                <w:szCs w:val="20"/>
              </w:rPr>
            </w:pPr>
            <w:r>
              <w:rPr>
                <w:rFonts w:ascii="Arial Narrow" w:hAnsi="Arial Narrow"/>
                <w:sz w:val="20"/>
                <w:szCs w:val="20"/>
              </w:rPr>
              <w:t>Number of patients who discontinued randomised study treatment</w:t>
            </w:r>
          </w:p>
        </w:tc>
        <w:tc>
          <w:tcPr>
            <w:tcW w:w="1032" w:type="pct"/>
            <w:vAlign w:val="center"/>
          </w:tcPr>
          <w:p w14:paraId="06FD9D99" w14:textId="6AB7E5A3" w:rsidR="00044997" w:rsidRDefault="00044997"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63</w:t>
            </w:r>
          </w:p>
        </w:tc>
        <w:tc>
          <w:tcPr>
            <w:tcW w:w="1032" w:type="pct"/>
            <w:vAlign w:val="center"/>
          </w:tcPr>
          <w:p w14:paraId="4A93A0D7" w14:textId="6D427B1F" w:rsidR="00044997" w:rsidRDefault="0043035E"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6</w:t>
            </w:r>
            <w:r w:rsidR="00044997">
              <w:rPr>
                <w:rFonts w:ascii="Arial Narrow" w:hAnsi="Arial Narrow"/>
                <w:sz w:val="20"/>
                <w:szCs w:val="20"/>
              </w:rPr>
              <w:t>6</w:t>
            </w:r>
          </w:p>
        </w:tc>
      </w:tr>
      <w:tr w:rsidR="007A1420" w14:paraId="3D29D08C" w14:textId="77777777" w:rsidTr="006F6455">
        <w:tc>
          <w:tcPr>
            <w:tcW w:w="1744" w:type="pct"/>
            <w:vAlign w:val="center"/>
          </w:tcPr>
          <w:p w14:paraId="63802D93" w14:textId="77777777" w:rsidR="007A1420" w:rsidRDefault="007A1420" w:rsidP="00A12328">
            <w:pPr>
              <w:pStyle w:val="Bulletpoints"/>
              <w:keepNext/>
              <w:keepLines/>
              <w:numPr>
                <w:ilvl w:val="0"/>
                <w:numId w:val="0"/>
              </w:numPr>
              <w:spacing w:after="0"/>
              <w:jc w:val="left"/>
              <w:rPr>
                <w:rFonts w:ascii="Arial Narrow" w:hAnsi="Arial Narrow"/>
                <w:sz w:val="20"/>
                <w:szCs w:val="20"/>
              </w:rPr>
            </w:pPr>
          </w:p>
        </w:tc>
        <w:tc>
          <w:tcPr>
            <w:tcW w:w="1191" w:type="pct"/>
            <w:vAlign w:val="center"/>
          </w:tcPr>
          <w:p w14:paraId="476146AE" w14:textId="77777777" w:rsidR="007A1420" w:rsidRDefault="007A1420" w:rsidP="00A12328">
            <w:pPr>
              <w:pStyle w:val="Bulletpoints"/>
              <w:keepNext/>
              <w:keepLines/>
              <w:numPr>
                <w:ilvl w:val="0"/>
                <w:numId w:val="0"/>
              </w:numPr>
              <w:spacing w:after="0"/>
              <w:jc w:val="left"/>
              <w:rPr>
                <w:rFonts w:ascii="Arial Narrow" w:hAnsi="Arial Narrow"/>
                <w:sz w:val="20"/>
                <w:szCs w:val="20"/>
              </w:rPr>
            </w:pPr>
          </w:p>
        </w:tc>
        <w:tc>
          <w:tcPr>
            <w:tcW w:w="1032" w:type="pct"/>
            <w:vAlign w:val="center"/>
          </w:tcPr>
          <w:p w14:paraId="79E158B9" w14:textId="16BAF310" w:rsidR="007A1420" w:rsidRDefault="007A1420" w:rsidP="00A12328">
            <w:pPr>
              <w:pStyle w:val="Bulletpoints"/>
              <w:keepNext/>
              <w:keepLines/>
              <w:numPr>
                <w:ilvl w:val="0"/>
                <w:numId w:val="0"/>
              </w:numPr>
              <w:spacing w:after="0"/>
              <w:jc w:val="center"/>
              <w:rPr>
                <w:rFonts w:ascii="Arial Narrow" w:hAnsi="Arial Narrow"/>
                <w:sz w:val="20"/>
                <w:szCs w:val="20"/>
              </w:rPr>
            </w:pPr>
            <w:r w:rsidRPr="007A1420">
              <w:rPr>
                <w:rFonts w:ascii="Arial Narrow" w:hAnsi="Arial Narrow"/>
                <w:b/>
                <w:bCs/>
                <w:sz w:val="20"/>
                <w:szCs w:val="20"/>
              </w:rPr>
              <w:t>% N (% discontinued)</w:t>
            </w:r>
          </w:p>
        </w:tc>
        <w:tc>
          <w:tcPr>
            <w:tcW w:w="1032" w:type="pct"/>
            <w:vAlign w:val="center"/>
          </w:tcPr>
          <w:p w14:paraId="5515B767" w14:textId="44CE4E28" w:rsidR="007A1420" w:rsidRDefault="007A1420" w:rsidP="00A12328">
            <w:pPr>
              <w:pStyle w:val="Bulletpoints"/>
              <w:keepNext/>
              <w:keepLines/>
              <w:numPr>
                <w:ilvl w:val="0"/>
                <w:numId w:val="0"/>
              </w:numPr>
              <w:spacing w:after="0"/>
              <w:jc w:val="center"/>
              <w:rPr>
                <w:rFonts w:ascii="Arial Narrow" w:hAnsi="Arial Narrow"/>
                <w:sz w:val="20"/>
                <w:szCs w:val="20"/>
              </w:rPr>
            </w:pPr>
            <w:r w:rsidRPr="007A1420">
              <w:rPr>
                <w:rFonts w:ascii="Arial Narrow" w:hAnsi="Arial Narrow"/>
                <w:b/>
                <w:bCs/>
                <w:sz w:val="20"/>
                <w:szCs w:val="20"/>
              </w:rPr>
              <w:t>% N (% discontinued)</w:t>
            </w:r>
          </w:p>
        </w:tc>
      </w:tr>
      <w:tr w:rsidR="000879D4" w14:paraId="1D1A1423" w14:textId="77777777" w:rsidTr="006F6455">
        <w:tc>
          <w:tcPr>
            <w:tcW w:w="1744" w:type="pct"/>
            <w:vAlign w:val="center"/>
          </w:tcPr>
          <w:p w14:paraId="1E664FCA" w14:textId="77777777" w:rsidR="000879D4" w:rsidRDefault="000879D4" w:rsidP="00A12328">
            <w:pPr>
              <w:pStyle w:val="Bulletpoints"/>
              <w:keepNext/>
              <w:keepLines/>
              <w:numPr>
                <w:ilvl w:val="0"/>
                <w:numId w:val="0"/>
              </w:numPr>
              <w:spacing w:after="0"/>
              <w:jc w:val="left"/>
              <w:rPr>
                <w:rFonts w:ascii="Arial Narrow" w:hAnsi="Arial Narrow"/>
                <w:sz w:val="20"/>
                <w:szCs w:val="20"/>
              </w:rPr>
            </w:pPr>
            <w:r>
              <w:rPr>
                <w:rFonts w:ascii="Arial Narrow" w:hAnsi="Arial Narrow"/>
                <w:sz w:val="20"/>
                <w:szCs w:val="20"/>
              </w:rPr>
              <w:t>PD1/PDL1</w:t>
            </w:r>
          </w:p>
        </w:tc>
        <w:tc>
          <w:tcPr>
            <w:tcW w:w="1191" w:type="pct"/>
            <w:vAlign w:val="center"/>
          </w:tcPr>
          <w:p w14:paraId="560FC27C" w14:textId="5E05A3E3"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Nivolumab</w:t>
            </w:r>
          </w:p>
        </w:tc>
        <w:tc>
          <w:tcPr>
            <w:tcW w:w="1032" w:type="pct"/>
            <w:vAlign w:val="center"/>
          </w:tcPr>
          <w:p w14:paraId="35A5018A"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3.5% (7.9%)</w:t>
            </w:r>
          </w:p>
        </w:tc>
        <w:tc>
          <w:tcPr>
            <w:tcW w:w="1032" w:type="pct"/>
            <w:vAlign w:val="center"/>
          </w:tcPr>
          <w:p w14:paraId="1638D397"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1.4% (1.5%)</w:t>
            </w:r>
          </w:p>
        </w:tc>
      </w:tr>
      <w:tr w:rsidR="000879D4" w14:paraId="67FA90BA" w14:textId="77777777" w:rsidTr="006F6455">
        <w:tc>
          <w:tcPr>
            <w:tcW w:w="1744" w:type="pct"/>
            <w:vAlign w:val="center"/>
          </w:tcPr>
          <w:p w14:paraId="0C8332BF" w14:textId="77777777" w:rsidR="000879D4" w:rsidRDefault="000879D4" w:rsidP="00A12328">
            <w:pPr>
              <w:pStyle w:val="Bulletpoints"/>
              <w:keepNext/>
              <w:keepLines/>
              <w:numPr>
                <w:ilvl w:val="0"/>
                <w:numId w:val="0"/>
              </w:numPr>
              <w:spacing w:after="0"/>
              <w:jc w:val="left"/>
              <w:rPr>
                <w:rFonts w:ascii="Arial Narrow" w:hAnsi="Arial Narrow"/>
                <w:sz w:val="20"/>
                <w:szCs w:val="20"/>
              </w:rPr>
            </w:pPr>
            <w:r>
              <w:rPr>
                <w:rFonts w:ascii="Arial Narrow" w:hAnsi="Arial Narrow"/>
                <w:sz w:val="20"/>
                <w:szCs w:val="20"/>
              </w:rPr>
              <w:t>Non-platinum chemotherapy</w:t>
            </w:r>
          </w:p>
        </w:tc>
        <w:tc>
          <w:tcPr>
            <w:tcW w:w="1191" w:type="pct"/>
            <w:vAlign w:val="center"/>
          </w:tcPr>
          <w:p w14:paraId="203E8D6D" w14:textId="196D13CF"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Pemetrexed</w:t>
            </w:r>
          </w:p>
        </w:tc>
        <w:tc>
          <w:tcPr>
            <w:tcW w:w="1032" w:type="pct"/>
            <w:vAlign w:val="center"/>
          </w:tcPr>
          <w:p w14:paraId="1AC43F61" w14:textId="77777777" w:rsidR="000879D4" w:rsidRPr="00A35900" w:rsidRDefault="000879D4" w:rsidP="00A12328">
            <w:pPr>
              <w:pStyle w:val="Bulletpoints"/>
              <w:keepNext/>
              <w:keepLines/>
              <w:numPr>
                <w:ilvl w:val="0"/>
                <w:numId w:val="0"/>
              </w:numPr>
              <w:spacing w:after="0"/>
              <w:jc w:val="center"/>
              <w:rPr>
                <w:rFonts w:ascii="Arial Narrow" w:hAnsi="Arial Narrow"/>
                <w:sz w:val="20"/>
                <w:szCs w:val="20"/>
              </w:rPr>
            </w:pPr>
            <w:r w:rsidRPr="00A35900">
              <w:rPr>
                <w:rFonts w:ascii="Arial Narrow" w:hAnsi="Arial Narrow"/>
                <w:sz w:val="20"/>
                <w:szCs w:val="20"/>
              </w:rPr>
              <w:t>19.6% (44.4%)</w:t>
            </w:r>
          </w:p>
        </w:tc>
        <w:tc>
          <w:tcPr>
            <w:tcW w:w="1032" w:type="pct"/>
            <w:vAlign w:val="center"/>
          </w:tcPr>
          <w:p w14:paraId="75C0293A" w14:textId="77777777" w:rsidR="000879D4" w:rsidRPr="00A35900" w:rsidRDefault="000879D4" w:rsidP="00A12328">
            <w:pPr>
              <w:pStyle w:val="Bulletpoints"/>
              <w:keepNext/>
              <w:keepLines/>
              <w:numPr>
                <w:ilvl w:val="0"/>
                <w:numId w:val="0"/>
              </w:numPr>
              <w:spacing w:after="0"/>
              <w:jc w:val="center"/>
              <w:rPr>
                <w:rFonts w:ascii="Arial Narrow" w:hAnsi="Arial Narrow"/>
                <w:sz w:val="20"/>
                <w:szCs w:val="20"/>
              </w:rPr>
            </w:pPr>
            <w:r w:rsidRPr="00A35900">
              <w:rPr>
                <w:rFonts w:ascii="Arial Narrow" w:hAnsi="Arial Narrow"/>
                <w:sz w:val="20"/>
                <w:szCs w:val="20"/>
              </w:rPr>
              <w:t>17.8% (19.7%)</w:t>
            </w:r>
          </w:p>
        </w:tc>
      </w:tr>
      <w:tr w:rsidR="000879D4" w14:paraId="2959FC1A" w14:textId="77777777" w:rsidTr="006F6455">
        <w:tc>
          <w:tcPr>
            <w:tcW w:w="1744" w:type="pct"/>
            <w:vAlign w:val="center"/>
          </w:tcPr>
          <w:p w14:paraId="128F16C0" w14:textId="77777777" w:rsidR="000879D4" w:rsidRDefault="000879D4" w:rsidP="00A12328">
            <w:pPr>
              <w:pStyle w:val="Bulletpoints"/>
              <w:keepNext/>
              <w:keepLines/>
              <w:numPr>
                <w:ilvl w:val="0"/>
                <w:numId w:val="0"/>
              </w:numPr>
              <w:spacing w:after="0"/>
              <w:jc w:val="left"/>
              <w:rPr>
                <w:rFonts w:ascii="Arial Narrow" w:hAnsi="Arial Narrow"/>
                <w:sz w:val="20"/>
                <w:szCs w:val="20"/>
              </w:rPr>
            </w:pPr>
            <w:r>
              <w:rPr>
                <w:rFonts w:ascii="Arial Narrow" w:hAnsi="Arial Narrow"/>
                <w:sz w:val="20"/>
                <w:szCs w:val="20"/>
              </w:rPr>
              <w:t>Platinum-based chemotherapy</w:t>
            </w:r>
          </w:p>
        </w:tc>
        <w:tc>
          <w:tcPr>
            <w:tcW w:w="1191" w:type="pct"/>
            <w:vAlign w:val="center"/>
          </w:tcPr>
          <w:p w14:paraId="16687BCD" w14:textId="089DA599"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Gemcitabine + carboplatin</w:t>
            </w:r>
          </w:p>
        </w:tc>
        <w:tc>
          <w:tcPr>
            <w:tcW w:w="1032" w:type="pct"/>
            <w:vAlign w:val="center"/>
          </w:tcPr>
          <w:p w14:paraId="416215DA"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13.3% (30.2%)</w:t>
            </w:r>
          </w:p>
        </w:tc>
        <w:tc>
          <w:tcPr>
            <w:tcW w:w="1032" w:type="pct"/>
            <w:vAlign w:val="center"/>
          </w:tcPr>
          <w:p w14:paraId="6AED36BE"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9.6% (10.6%)</w:t>
            </w:r>
          </w:p>
        </w:tc>
      </w:tr>
      <w:tr w:rsidR="000879D4" w14:paraId="784448EF" w14:textId="77777777" w:rsidTr="006F6455">
        <w:tc>
          <w:tcPr>
            <w:tcW w:w="1744" w:type="pct"/>
            <w:vAlign w:val="center"/>
          </w:tcPr>
          <w:p w14:paraId="7C294CA1" w14:textId="77777777" w:rsidR="000879D4" w:rsidRDefault="000879D4" w:rsidP="00A12328">
            <w:pPr>
              <w:pStyle w:val="Bulletpoints"/>
              <w:keepNext/>
              <w:keepLines/>
              <w:numPr>
                <w:ilvl w:val="0"/>
                <w:numId w:val="0"/>
              </w:numPr>
              <w:spacing w:after="0"/>
              <w:jc w:val="left"/>
              <w:rPr>
                <w:rFonts w:ascii="Arial Narrow" w:hAnsi="Arial Narrow"/>
                <w:sz w:val="20"/>
                <w:szCs w:val="20"/>
              </w:rPr>
            </w:pPr>
            <w:r>
              <w:rPr>
                <w:rFonts w:ascii="Arial Narrow" w:hAnsi="Arial Narrow"/>
                <w:sz w:val="20"/>
                <w:szCs w:val="20"/>
              </w:rPr>
              <w:t>VEGF inhibitor – monoclonal antibody</w:t>
            </w:r>
          </w:p>
        </w:tc>
        <w:tc>
          <w:tcPr>
            <w:tcW w:w="1191" w:type="pct"/>
            <w:vAlign w:val="center"/>
          </w:tcPr>
          <w:p w14:paraId="576DBEDD" w14:textId="22E6974E"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ABCP</w:t>
            </w:r>
          </w:p>
        </w:tc>
        <w:tc>
          <w:tcPr>
            <w:tcW w:w="1032" w:type="pct"/>
            <w:vAlign w:val="center"/>
          </w:tcPr>
          <w:p w14:paraId="28400039"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5.6% (12.7%)</w:t>
            </w:r>
          </w:p>
        </w:tc>
        <w:tc>
          <w:tcPr>
            <w:tcW w:w="1032" w:type="pct"/>
            <w:vAlign w:val="center"/>
          </w:tcPr>
          <w:p w14:paraId="3A555FAD"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6.8% (7.6%)</w:t>
            </w:r>
          </w:p>
        </w:tc>
      </w:tr>
      <w:tr w:rsidR="000879D4" w14:paraId="234A0918" w14:textId="77777777" w:rsidTr="006F6455">
        <w:tc>
          <w:tcPr>
            <w:tcW w:w="1744" w:type="pct"/>
            <w:vAlign w:val="center"/>
          </w:tcPr>
          <w:p w14:paraId="6EAEF7E6" w14:textId="77777777" w:rsidR="000879D4" w:rsidRDefault="00C45A6D" w:rsidP="00A12328">
            <w:pPr>
              <w:pStyle w:val="Bulletpoints"/>
              <w:keepNext/>
              <w:keepLines/>
              <w:numPr>
                <w:ilvl w:val="0"/>
                <w:numId w:val="0"/>
              </w:numPr>
              <w:spacing w:after="0"/>
              <w:jc w:val="left"/>
              <w:rPr>
                <w:rFonts w:ascii="Arial Narrow" w:hAnsi="Arial Narrow"/>
                <w:sz w:val="20"/>
                <w:szCs w:val="20"/>
              </w:rPr>
            </w:pPr>
            <w:r w:rsidRPr="00C45A6D">
              <w:rPr>
                <w:rFonts w:ascii="Arial Narrow" w:hAnsi="Arial Narrow"/>
                <w:i/>
                <w:sz w:val="20"/>
                <w:szCs w:val="20"/>
              </w:rPr>
              <w:t>EGFR</w:t>
            </w:r>
            <w:r w:rsidR="000879D4">
              <w:rPr>
                <w:rFonts w:ascii="Arial Narrow" w:hAnsi="Arial Narrow"/>
                <w:sz w:val="20"/>
                <w:szCs w:val="20"/>
              </w:rPr>
              <w:t>-TKI</w:t>
            </w:r>
          </w:p>
        </w:tc>
        <w:tc>
          <w:tcPr>
            <w:tcW w:w="1191" w:type="pct"/>
            <w:vAlign w:val="center"/>
          </w:tcPr>
          <w:p w14:paraId="49693528" w14:textId="03475213"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Osimertinib</w:t>
            </w:r>
          </w:p>
        </w:tc>
        <w:tc>
          <w:tcPr>
            <w:tcW w:w="1032" w:type="pct"/>
            <w:vAlign w:val="center"/>
          </w:tcPr>
          <w:p w14:paraId="1574BD92" w14:textId="430F8311"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 xml:space="preserve">19.6% (44.4%) </w:t>
            </w:r>
          </w:p>
        </w:tc>
        <w:tc>
          <w:tcPr>
            <w:tcW w:w="1032" w:type="pct"/>
            <w:vAlign w:val="center"/>
          </w:tcPr>
          <w:p w14:paraId="3A9939C5" w14:textId="77777777" w:rsidR="000879D4" w:rsidRDefault="000879D4" w:rsidP="00A12328">
            <w:pPr>
              <w:pStyle w:val="Bulletpoints"/>
              <w:keepNext/>
              <w:keepLines/>
              <w:numPr>
                <w:ilvl w:val="0"/>
                <w:numId w:val="0"/>
              </w:numPr>
              <w:spacing w:after="0"/>
              <w:jc w:val="center"/>
              <w:rPr>
                <w:rFonts w:ascii="Arial Narrow" w:hAnsi="Arial Narrow"/>
                <w:sz w:val="20"/>
                <w:szCs w:val="20"/>
              </w:rPr>
            </w:pPr>
            <w:r>
              <w:rPr>
                <w:rFonts w:ascii="Arial Narrow" w:hAnsi="Arial Narrow"/>
                <w:sz w:val="20"/>
                <w:szCs w:val="20"/>
              </w:rPr>
              <w:t>78.1% (86.4%)</w:t>
            </w:r>
          </w:p>
        </w:tc>
      </w:tr>
    </w:tbl>
    <w:p w14:paraId="6A4B9EFB" w14:textId="0A3FA9BF" w:rsidR="000879D4" w:rsidRPr="00022E35" w:rsidRDefault="000879D4" w:rsidP="00A12328">
      <w:pPr>
        <w:pStyle w:val="Bulletpoints"/>
        <w:keepNext/>
        <w:keepLines/>
        <w:numPr>
          <w:ilvl w:val="0"/>
          <w:numId w:val="0"/>
        </w:numPr>
        <w:spacing w:after="0"/>
        <w:rPr>
          <w:rFonts w:ascii="Arial Narrow" w:hAnsi="Arial Narrow"/>
          <w:sz w:val="18"/>
          <w:szCs w:val="20"/>
        </w:rPr>
      </w:pPr>
      <w:r w:rsidRPr="00F65B7C">
        <w:rPr>
          <w:rFonts w:ascii="Arial Narrow" w:hAnsi="Arial Narrow"/>
          <w:sz w:val="18"/>
          <w:szCs w:val="20"/>
        </w:rPr>
        <w:t>Source: Tables 3-23 to 3-24; pp.149-151 of the submission</w:t>
      </w:r>
      <w:r w:rsidR="007E1061">
        <w:rPr>
          <w:rFonts w:ascii="Arial Narrow" w:hAnsi="Arial Narrow"/>
          <w:sz w:val="18"/>
          <w:szCs w:val="20"/>
        </w:rPr>
        <w:t xml:space="preserve">; </w:t>
      </w:r>
      <w:r w:rsidR="007E1061" w:rsidRPr="00022E35">
        <w:rPr>
          <w:rFonts w:ascii="Arial Narrow" w:hAnsi="Arial Narrow"/>
          <w:sz w:val="18"/>
          <w:szCs w:val="20"/>
        </w:rPr>
        <w:t xml:space="preserve">Table </w:t>
      </w:r>
      <w:r w:rsidR="00BD2D6B" w:rsidRPr="00022E35">
        <w:rPr>
          <w:rFonts w:ascii="Arial Narrow" w:hAnsi="Arial Narrow"/>
          <w:sz w:val="18"/>
          <w:szCs w:val="20"/>
        </w:rPr>
        <w:t>14 of CSR, p</w:t>
      </w:r>
      <w:r w:rsidR="00E73456">
        <w:rPr>
          <w:rFonts w:ascii="Arial Narrow" w:hAnsi="Arial Narrow"/>
          <w:sz w:val="18"/>
          <w:szCs w:val="20"/>
        </w:rPr>
        <w:t xml:space="preserve">p. </w:t>
      </w:r>
      <w:r w:rsidR="00BD2D6B" w:rsidRPr="00022E35">
        <w:rPr>
          <w:rFonts w:ascii="Arial Narrow" w:hAnsi="Arial Narrow"/>
          <w:sz w:val="18"/>
          <w:szCs w:val="20"/>
        </w:rPr>
        <w:t>86-87</w:t>
      </w:r>
    </w:p>
    <w:p w14:paraId="721EE50A" w14:textId="17E01EC9" w:rsidR="000879D4" w:rsidRPr="00F65B7C" w:rsidRDefault="000879D4" w:rsidP="00A12328">
      <w:pPr>
        <w:pStyle w:val="Bulletpoints"/>
        <w:keepNext/>
        <w:keepLines/>
        <w:numPr>
          <w:ilvl w:val="0"/>
          <w:numId w:val="0"/>
        </w:numPr>
        <w:spacing w:after="0"/>
        <w:rPr>
          <w:rFonts w:ascii="Arial Narrow" w:hAnsi="Arial Narrow"/>
          <w:sz w:val="18"/>
          <w:szCs w:val="20"/>
        </w:rPr>
      </w:pPr>
      <w:r w:rsidRPr="00F65B7C">
        <w:rPr>
          <w:rFonts w:ascii="Arial Narrow" w:hAnsi="Arial Narrow" w:cstheme="majorBidi"/>
          <w:sz w:val="18"/>
          <w:szCs w:val="20"/>
        </w:rPr>
        <w:t xml:space="preserve">ABCP = atezolizumab, bevacizumab, carboplatin, paclitaxel; </w:t>
      </w:r>
      <w:r w:rsidR="00C45A6D" w:rsidRPr="00C45A6D">
        <w:rPr>
          <w:rFonts w:ascii="Arial Narrow" w:hAnsi="Arial Narrow" w:cstheme="majorBidi"/>
          <w:i/>
          <w:sz w:val="18"/>
          <w:szCs w:val="20"/>
        </w:rPr>
        <w:t>EGFR</w:t>
      </w:r>
      <w:r w:rsidRPr="00F65B7C">
        <w:rPr>
          <w:rFonts w:ascii="Arial Narrow" w:hAnsi="Arial Narrow" w:cstheme="majorBidi"/>
          <w:sz w:val="18"/>
          <w:szCs w:val="20"/>
        </w:rPr>
        <w:t xml:space="preserve"> = epidermal growth factor receptor; </w:t>
      </w:r>
      <w:r w:rsidRPr="00F65B7C">
        <w:rPr>
          <w:rFonts w:ascii="Arial Narrow" w:hAnsi="Arial Narrow" w:cstheme="minorHAnsi"/>
          <w:sz w:val="18"/>
          <w:szCs w:val="20"/>
        </w:rPr>
        <w:t xml:space="preserve">FAS = Full Analysis Set; </w:t>
      </w:r>
      <w:r w:rsidR="00850ED0">
        <w:rPr>
          <w:rFonts w:ascii="Arial Narrow" w:hAnsi="Arial Narrow" w:cstheme="minorHAnsi"/>
          <w:sz w:val="18"/>
          <w:szCs w:val="20"/>
        </w:rPr>
        <w:t>PD1</w:t>
      </w:r>
      <w:r w:rsidR="00F91612">
        <w:rPr>
          <w:rFonts w:ascii="Arial Narrow" w:hAnsi="Arial Narrow" w:cstheme="minorHAnsi"/>
          <w:sz w:val="18"/>
          <w:szCs w:val="20"/>
        </w:rPr>
        <w:t xml:space="preserve"> = </w:t>
      </w:r>
      <w:r w:rsidR="00F91612" w:rsidRPr="00F91612">
        <w:rPr>
          <w:rFonts w:ascii="Arial Narrow" w:hAnsi="Arial Narrow" w:cstheme="minorHAnsi"/>
          <w:sz w:val="18"/>
          <w:szCs w:val="20"/>
        </w:rPr>
        <w:t>Programmed Cell Death Protein 1</w:t>
      </w:r>
      <w:r w:rsidR="00F91612">
        <w:rPr>
          <w:rFonts w:ascii="Arial Narrow" w:hAnsi="Arial Narrow" w:cstheme="minorHAnsi"/>
          <w:sz w:val="18"/>
          <w:szCs w:val="20"/>
        </w:rPr>
        <w:t xml:space="preserve">; PD-L1, </w:t>
      </w:r>
      <w:r w:rsidR="00F91612" w:rsidRPr="00F91612">
        <w:rPr>
          <w:rFonts w:ascii="Arial Narrow" w:hAnsi="Arial Narrow" w:cstheme="minorHAnsi"/>
          <w:sz w:val="18"/>
          <w:szCs w:val="20"/>
        </w:rPr>
        <w:t>Programmed Death-Ligand 1</w:t>
      </w:r>
      <w:r w:rsidR="00F91612">
        <w:rPr>
          <w:rFonts w:ascii="Arial Narrow" w:hAnsi="Arial Narrow" w:cstheme="minorHAnsi"/>
          <w:sz w:val="18"/>
          <w:szCs w:val="20"/>
        </w:rPr>
        <w:t xml:space="preserve">; </w:t>
      </w:r>
      <w:r w:rsidRPr="00F65B7C">
        <w:rPr>
          <w:rFonts w:ascii="Arial Narrow" w:hAnsi="Arial Narrow" w:cstheme="minorHAnsi"/>
          <w:sz w:val="18"/>
          <w:szCs w:val="20"/>
        </w:rPr>
        <w:t>TKI = tyrosine kinase inhibitor</w:t>
      </w:r>
      <w:r w:rsidR="00D340C3">
        <w:rPr>
          <w:rFonts w:ascii="Arial Narrow" w:hAnsi="Arial Narrow" w:cstheme="minorHAnsi"/>
          <w:sz w:val="18"/>
          <w:szCs w:val="20"/>
        </w:rPr>
        <w:t>; VEGF = vascular endothelial growth factor.</w:t>
      </w:r>
    </w:p>
    <w:p w14:paraId="26459304" w14:textId="2F9CFBDB" w:rsidR="000879D4" w:rsidRPr="001A341B" w:rsidRDefault="00711650" w:rsidP="00A12328">
      <w:pPr>
        <w:pStyle w:val="Bulletpoints"/>
        <w:keepNext/>
        <w:keepLines/>
        <w:numPr>
          <w:ilvl w:val="0"/>
          <w:numId w:val="0"/>
        </w:numPr>
        <w:spacing w:after="0"/>
        <w:rPr>
          <w:rFonts w:ascii="Arial Narrow" w:hAnsi="Arial Narrow"/>
          <w:sz w:val="18"/>
          <w:szCs w:val="20"/>
        </w:rPr>
      </w:pPr>
      <w:r w:rsidRPr="00711650">
        <w:rPr>
          <w:rFonts w:ascii="Arial Narrow" w:hAnsi="Arial Narrow"/>
          <w:sz w:val="18"/>
          <w:szCs w:val="20"/>
          <w:vertAlign w:val="superscript"/>
        </w:rPr>
        <w:t>a</w:t>
      </w:r>
      <w:r w:rsidR="000879D4" w:rsidRPr="001A341B">
        <w:rPr>
          <w:rFonts w:ascii="Arial Narrow" w:hAnsi="Arial Narrow"/>
          <w:sz w:val="18"/>
          <w:szCs w:val="20"/>
        </w:rPr>
        <w:tab/>
        <w:t xml:space="preserve">Numbers used in base case analysis: derived from proportion of patients in the FAS who used subsequent treatments </w:t>
      </w:r>
    </w:p>
    <w:p w14:paraId="4B6E9316" w14:textId="3460F981" w:rsidR="000879D4" w:rsidRPr="001A341B" w:rsidRDefault="00EE61B1" w:rsidP="00A12328">
      <w:pPr>
        <w:pStyle w:val="Bulletpoints"/>
        <w:keepNext/>
        <w:keepLines/>
        <w:numPr>
          <w:ilvl w:val="0"/>
          <w:numId w:val="0"/>
        </w:numPr>
        <w:spacing w:after="0"/>
        <w:ind w:left="165" w:hanging="165"/>
        <w:rPr>
          <w:rFonts w:ascii="Arial Narrow" w:hAnsi="Arial Narrow"/>
          <w:sz w:val="18"/>
          <w:szCs w:val="20"/>
        </w:rPr>
      </w:pPr>
      <w:r w:rsidRPr="00EE61B1">
        <w:rPr>
          <w:rFonts w:ascii="Arial Narrow" w:hAnsi="Arial Narrow"/>
          <w:sz w:val="18"/>
          <w:szCs w:val="20"/>
          <w:vertAlign w:val="superscript"/>
        </w:rPr>
        <w:t>b</w:t>
      </w:r>
      <w:r w:rsidR="000879D4" w:rsidRPr="001A341B">
        <w:rPr>
          <w:rFonts w:ascii="Arial Narrow" w:hAnsi="Arial Narrow"/>
          <w:sz w:val="18"/>
          <w:szCs w:val="20"/>
        </w:rPr>
        <w:tab/>
        <w:t>Numbers in parentheses were used in additional sensitivity analyses during the evaluation: derived from the proportions of patients who discontinued randomised study treatment in LAURA and who used subsequent treatments.</w:t>
      </w:r>
    </w:p>
    <w:p w14:paraId="4A4FE085" w14:textId="1C5613CC" w:rsidR="00B60939" w:rsidRPr="00C9624D" w:rsidRDefault="00B60939" w:rsidP="00A12328">
      <w:pPr>
        <w:pStyle w:val="4-SubsectionHeading"/>
      </w:pPr>
      <w:bookmarkStart w:id="31" w:name="_Toc198720636"/>
      <w:r w:rsidRPr="00C9624D">
        <w:t>Comparative effectiveness</w:t>
      </w:r>
      <w:bookmarkEnd w:id="26"/>
      <w:bookmarkEnd w:id="31"/>
    </w:p>
    <w:bookmarkStart w:id="32" w:name="_Toc22897642"/>
    <w:p w14:paraId="0B3E0749" w14:textId="13B7774E" w:rsidR="00327047" w:rsidRPr="00B46A19" w:rsidRDefault="00F23E03" w:rsidP="00A12328">
      <w:pPr>
        <w:pStyle w:val="3-BodyText"/>
      </w:pPr>
      <w:r>
        <w:rPr>
          <w:snapToGrid/>
        </w:rPr>
        <w:fldChar w:fldCharType="begin"/>
      </w:r>
      <w:r>
        <w:rPr>
          <w:snapToGrid/>
        </w:rPr>
        <w:instrText xml:space="preserve"> REF _Ref198204808 \h </w:instrText>
      </w:r>
      <w:r>
        <w:rPr>
          <w:snapToGrid/>
        </w:rPr>
      </w:r>
      <w:r>
        <w:rPr>
          <w:snapToGrid/>
        </w:rPr>
        <w:fldChar w:fldCharType="separate"/>
      </w:r>
      <w:r w:rsidR="009F3D59">
        <w:t xml:space="preserve">Table </w:t>
      </w:r>
      <w:r w:rsidR="009F3D59">
        <w:rPr>
          <w:noProof/>
        </w:rPr>
        <w:t>5</w:t>
      </w:r>
      <w:r>
        <w:rPr>
          <w:snapToGrid/>
        </w:rPr>
        <w:fldChar w:fldCharType="end"/>
      </w:r>
      <w:r w:rsidR="00327047" w:rsidRPr="00C42502">
        <w:rPr>
          <w:snapToGrid/>
        </w:rPr>
        <w:t xml:space="preserve"> and </w:t>
      </w:r>
      <w:r w:rsidR="00A47DFB">
        <w:rPr>
          <w:snapToGrid/>
        </w:rPr>
        <w:fldChar w:fldCharType="begin"/>
      </w:r>
      <w:r w:rsidR="00A47DFB">
        <w:rPr>
          <w:snapToGrid/>
        </w:rPr>
        <w:instrText xml:space="preserve"> REF _Ref198204829 \h </w:instrText>
      </w:r>
      <w:r w:rsidR="00A47DFB">
        <w:rPr>
          <w:snapToGrid/>
        </w:rPr>
      </w:r>
      <w:r w:rsidR="00A47DFB">
        <w:rPr>
          <w:snapToGrid/>
        </w:rPr>
        <w:fldChar w:fldCharType="separate"/>
      </w:r>
      <w:r w:rsidR="009F3D59">
        <w:t xml:space="preserve">Figure </w:t>
      </w:r>
      <w:r w:rsidR="009F3D59">
        <w:rPr>
          <w:noProof/>
        </w:rPr>
        <w:t>1</w:t>
      </w:r>
      <w:r w:rsidR="00A47DFB">
        <w:rPr>
          <w:snapToGrid/>
        </w:rPr>
        <w:fldChar w:fldCharType="end"/>
      </w:r>
      <w:r w:rsidR="00327047" w:rsidRPr="00C42502">
        <w:rPr>
          <w:snapToGrid/>
        </w:rPr>
        <w:t xml:space="preserve"> present the results for PFS and OS for the LAURA trial. DCO for the primary analysis was</w:t>
      </w:r>
      <w:r w:rsidR="00576C15">
        <w:rPr>
          <w:snapToGrid/>
        </w:rPr>
        <w:t xml:space="preserve"> 5</w:t>
      </w:r>
      <w:r w:rsidR="00327047" w:rsidRPr="00C42502">
        <w:rPr>
          <w:snapToGrid/>
        </w:rPr>
        <w:t xml:space="preserve"> January 2024, after a median PFS follow-up of 21.98 months (range 0.03 to 60.55) in the osimertinib arm and 5.55 months (range 0.03 to 49.71) in the placebo arm.</w:t>
      </w:r>
    </w:p>
    <w:p w14:paraId="65AA4087" w14:textId="130FBBAE" w:rsidR="00327047" w:rsidRDefault="00327047" w:rsidP="00A12328">
      <w:pPr>
        <w:pStyle w:val="Caption"/>
      </w:pPr>
      <w:bookmarkStart w:id="33" w:name="_Ref198204808"/>
      <w:r>
        <w:t xml:space="preserve">Table </w:t>
      </w:r>
      <w:r w:rsidR="002E1944">
        <w:fldChar w:fldCharType="begin"/>
      </w:r>
      <w:r w:rsidR="002E1944">
        <w:instrText xml:space="preserve"> SEQ Table \* ARABIC </w:instrText>
      </w:r>
      <w:r w:rsidR="002E1944">
        <w:fldChar w:fldCharType="separate"/>
      </w:r>
      <w:r w:rsidR="009F3D59">
        <w:rPr>
          <w:noProof/>
        </w:rPr>
        <w:t>5</w:t>
      </w:r>
      <w:r w:rsidR="002E1944">
        <w:rPr>
          <w:noProof/>
        </w:rPr>
        <w:fldChar w:fldCharType="end"/>
      </w:r>
      <w:bookmarkEnd w:id="33"/>
      <w:r>
        <w:t>:</w:t>
      </w:r>
      <w:r w:rsidRPr="00FA48A2">
        <w:rPr>
          <w:rStyle w:val="CommentReference"/>
          <w:b/>
        </w:rPr>
        <w:t xml:space="preserve"> </w:t>
      </w:r>
      <w:r>
        <w:rPr>
          <w:rStyle w:val="CommentReference"/>
          <w:b/>
        </w:rPr>
        <w:t>PFS and OS</w:t>
      </w:r>
      <w:r w:rsidRPr="00B46A19">
        <w:rPr>
          <w:rStyle w:val="CommentReference"/>
          <w:b/>
        </w:rPr>
        <w:t xml:space="preserve"> in the LAURA trial</w:t>
      </w:r>
    </w:p>
    <w:tbl>
      <w:tblPr>
        <w:tblStyle w:val="PBAClayout"/>
        <w:tblW w:w="0" w:type="auto"/>
        <w:tblLook w:val="04A0" w:firstRow="1" w:lastRow="0" w:firstColumn="1" w:lastColumn="0" w:noHBand="0" w:noVBand="1"/>
        <w:tblCaption w:val="Table 5: PFS and OS in the LAURA trial"/>
      </w:tblPr>
      <w:tblGrid>
        <w:gridCol w:w="2405"/>
        <w:gridCol w:w="1701"/>
        <w:gridCol w:w="1843"/>
        <w:gridCol w:w="1559"/>
        <w:gridCol w:w="1509"/>
      </w:tblGrid>
      <w:tr w:rsidR="00327047" w:rsidRPr="008D4C3D" w14:paraId="7F16533C" w14:textId="77777777" w:rsidTr="00327047">
        <w:tc>
          <w:tcPr>
            <w:tcW w:w="2405" w:type="dxa"/>
          </w:tcPr>
          <w:p w14:paraId="4F7A600C" w14:textId="77777777" w:rsidR="00327047" w:rsidRPr="00C42502" w:rsidRDefault="00327047" w:rsidP="00A12328">
            <w:pPr>
              <w:pStyle w:val="In-tableHeading"/>
              <w:rPr>
                <w:lang w:val="en-AU"/>
              </w:rPr>
            </w:pPr>
          </w:p>
        </w:tc>
        <w:tc>
          <w:tcPr>
            <w:tcW w:w="1701" w:type="dxa"/>
          </w:tcPr>
          <w:p w14:paraId="24C38081" w14:textId="77777777" w:rsidR="00327047" w:rsidRPr="00C42502" w:rsidRDefault="00327047" w:rsidP="00A12328">
            <w:pPr>
              <w:pStyle w:val="In-tableHeading"/>
              <w:jc w:val="center"/>
              <w:rPr>
                <w:lang w:val="en-AU"/>
              </w:rPr>
            </w:pPr>
            <w:r w:rsidRPr="00C42502">
              <w:rPr>
                <w:lang w:val="en-AU"/>
              </w:rPr>
              <w:t>Osimertinib N=143</w:t>
            </w:r>
          </w:p>
        </w:tc>
        <w:tc>
          <w:tcPr>
            <w:tcW w:w="1843" w:type="dxa"/>
          </w:tcPr>
          <w:p w14:paraId="7B25AE06" w14:textId="77777777" w:rsidR="00327047" w:rsidRPr="00C42502" w:rsidRDefault="00327047" w:rsidP="00A12328">
            <w:pPr>
              <w:pStyle w:val="In-tableHeading"/>
              <w:jc w:val="center"/>
              <w:rPr>
                <w:lang w:val="en-AU"/>
              </w:rPr>
            </w:pPr>
            <w:r w:rsidRPr="00C42502">
              <w:rPr>
                <w:lang w:val="en-AU"/>
              </w:rPr>
              <w:t>Placebo N=73</w:t>
            </w:r>
          </w:p>
        </w:tc>
        <w:tc>
          <w:tcPr>
            <w:tcW w:w="1559" w:type="dxa"/>
          </w:tcPr>
          <w:p w14:paraId="6F922239" w14:textId="77777777" w:rsidR="00327047" w:rsidRPr="00C42502" w:rsidRDefault="00327047" w:rsidP="00A12328">
            <w:pPr>
              <w:pStyle w:val="In-tableHeading"/>
              <w:jc w:val="center"/>
              <w:rPr>
                <w:lang w:val="en-AU"/>
              </w:rPr>
            </w:pPr>
            <w:r w:rsidRPr="00C42502">
              <w:rPr>
                <w:lang w:val="en-AU"/>
              </w:rPr>
              <w:t>Absolute difference</w:t>
            </w:r>
          </w:p>
        </w:tc>
        <w:tc>
          <w:tcPr>
            <w:tcW w:w="1509" w:type="dxa"/>
          </w:tcPr>
          <w:p w14:paraId="5437E343" w14:textId="40D6B647" w:rsidR="00327047" w:rsidRPr="00C42502" w:rsidRDefault="00327047" w:rsidP="00A12328">
            <w:pPr>
              <w:pStyle w:val="In-tableHeading"/>
              <w:jc w:val="center"/>
              <w:rPr>
                <w:lang w:val="en-AU"/>
              </w:rPr>
            </w:pPr>
            <w:r w:rsidRPr="00C42502">
              <w:rPr>
                <w:lang w:val="en-AU"/>
              </w:rPr>
              <w:t>HR (95% CI)</w:t>
            </w:r>
          </w:p>
        </w:tc>
      </w:tr>
      <w:tr w:rsidR="00327047" w14:paraId="63DD4194" w14:textId="77777777" w:rsidTr="00DE2F61">
        <w:tc>
          <w:tcPr>
            <w:tcW w:w="9017" w:type="dxa"/>
            <w:gridSpan w:val="5"/>
            <w:tcBorders>
              <w:bottom w:val="single" w:sz="4" w:space="0" w:color="auto"/>
            </w:tcBorders>
            <w:shd w:val="clear" w:color="auto" w:fill="D9D9D9" w:themeFill="background1" w:themeFillShade="D9"/>
          </w:tcPr>
          <w:p w14:paraId="16841318" w14:textId="77777777" w:rsidR="00327047" w:rsidRPr="00C42502" w:rsidRDefault="00327047" w:rsidP="00A12328">
            <w:pPr>
              <w:pStyle w:val="In-tableHeading"/>
              <w:rPr>
                <w:vertAlign w:val="superscript"/>
                <w:lang w:val="en-AU"/>
              </w:rPr>
            </w:pPr>
            <w:r w:rsidRPr="00C42502">
              <w:rPr>
                <w:lang w:val="en-AU"/>
              </w:rPr>
              <w:t>Progression-free survival</w:t>
            </w:r>
            <w:r w:rsidRPr="00C42502">
              <w:rPr>
                <w:vertAlign w:val="superscript"/>
                <w:lang w:val="en-AU"/>
              </w:rPr>
              <w:t>a</w:t>
            </w:r>
          </w:p>
        </w:tc>
      </w:tr>
      <w:tr w:rsidR="00327047" w14:paraId="668FC5C8" w14:textId="77777777" w:rsidTr="00327047">
        <w:tc>
          <w:tcPr>
            <w:tcW w:w="2405" w:type="dxa"/>
            <w:tcBorders>
              <w:bottom w:val="nil"/>
            </w:tcBorders>
          </w:tcPr>
          <w:p w14:paraId="3A29BE02" w14:textId="77777777" w:rsidR="00327047" w:rsidRDefault="00327047" w:rsidP="00A12328">
            <w:pPr>
              <w:pStyle w:val="TableText0"/>
            </w:pPr>
            <w:r>
              <w:t>Patients with event, n (%)</w:t>
            </w:r>
          </w:p>
        </w:tc>
        <w:tc>
          <w:tcPr>
            <w:tcW w:w="1701" w:type="dxa"/>
            <w:tcBorders>
              <w:bottom w:val="nil"/>
            </w:tcBorders>
          </w:tcPr>
          <w:p w14:paraId="6E6B1423" w14:textId="77777777" w:rsidR="00327047" w:rsidRDefault="00327047" w:rsidP="00A12328">
            <w:pPr>
              <w:pStyle w:val="TableText0"/>
              <w:jc w:val="center"/>
            </w:pPr>
            <w:r>
              <w:t>57/143 (39.9)</w:t>
            </w:r>
          </w:p>
        </w:tc>
        <w:tc>
          <w:tcPr>
            <w:tcW w:w="1843" w:type="dxa"/>
            <w:tcBorders>
              <w:bottom w:val="nil"/>
            </w:tcBorders>
          </w:tcPr>
          <w:p w14:paraId="1CF07283" w14:textId="77777777" w:rsidR="00327047" w:rsidRDefault="00327047" w:rsidP="00A12328">
            <w:pPr>
              <w:pStyle w:val="TableText0"/>
              <w:jc w:val="center"/>
            </w:pPr>
            <w:r>
              <w:t>63//73 (86.3)</w:t>
            </w:r>
          </w:p>
        </w:tc>
        <w:tc>
          <w:tcPr>
            <w:tcW w:w="1559" w:type="dxa"/>
            <w:tcBorders>
              <w:bottom w:val="nil"/>
            </w:tcBorders>
          </w:tcPr>
          <w:p w14:paraId="4F65BF5D" w14:textId="77777777" w:rsidR="00327047" w:rsidRDefault="00327047" w:rsidP="00A12328">
            <w:pPr>
              <w:pStyle w:val="TableText0"/>
              <w:jc w:val="center"/>
            </w:pPr>
            <w:r>
              <w:t xml:space="preserve">- </w:t>
            </w:r>
          </w:p>
        </w:tc>
        <w:tc>
          <w:tcPr>
            <w:tcW w:w="1509" w:type="dxa"/>
            <w:tcBorders>
              <w:bottom w:val="nil"/>
            </w:tcBorders>
          </w:tcPr>
          <w:p w14:paraId="0D6B4055" w14:textId="77777777" w:rsidR="00327047" w:rsidRDefault="00327047" w:rsidP="00A12328">
            <w:pPr>
              <w:pStyle w:val="TableText0"/>
              <w:jc w:val="center"/>
            </w:pPr>
            <w:r>
              <w:t>-</w:t>
            </w:r>
          </w:p>
        </w:tc>
      </w:tr>
      <w:tr w:rsidR="00327047" w14:paraId="7027B116" w14:textId="77777777" w:rsidTr="00327047">
        <w:tc>
          <w:tcPr>
            <w:tcW w:w="2405" w:type="dxa"/>
            <w:tcBorders>
              <w:top w:val="nil"/>
              <w:bottom w:val="nil"/>
            </w:tcBorders>
            <w:vAlign w:val="top"/>
          </w:tcPr>
          <w:p w14:paraId="34A37FBF" w14:textId="77777777" w:rsidR="00327047" w:rsidRDefault="00327047" w:rsidP="00A12328">
            <w:pPr>
              <w:pStyle w:val="TableText0"/>
              <w:ind w:left="170"/>
            </w:pPr>
            <w:r>
              <w:rPr>
                <w:szCs w:val="20"/>
              </w:rPr>
              <w:t xml:space="preserve">Disease </w:t>
            </w:r>
            <w:r w:rsidRPr="00F3407C">
              <w:rPr>
                <w:spacing w:val="-2"/>
                <w:szCs w:val="20"/>
              </w:rPr>
              <w:t>progression</w:t>
            </w:r>
          </w:p>
        </w:tc>
        <w:tc>
          <w:tcPr>
            <w:tcW w:w="1701" w:type="dxa"/>
            <w:tcBorders>
              <w:top w:val="nil"/>
              <w:bottom w:val="nil"/>
            </w:tcBorders>
            <w:vAlign w:val="top"/>
          </w:tcPr>
          <w:p w14:paraId="7F68800D" w14:textId="77777777" w:rsidR="00327047" w:rsidRDefault="00327047" w:rsidP="00A12328">
            <w:pPr>
              <w:pStyle w:val="TableText0"/>
              <w:jc w:val="center"/>
            </w:pPr>
            <w:r w:rsidRPr="00F3407C">
              <w:rPr>
                <w:szCs w:val="20"/>
              </w:rPr>
              <w:t xml:space="preserve">53 </w:t>
            </w:r>
            <w:r w:rsidRPr="00F3407C">
              <w:rPr>
                <w:spacing w:val="-2"/>
                <w:szCs w:val="20"/>
              </w:rPr>
              <w:t>(37.1)</w:t>
            </w:r>
          </w:p>
        </w:tc>
        <w:tc>
          <w:tcPr>
            <w:tcW w:w="1843" w:type="dxa"/>
            <w:tcBorders>
              <w:top w:val="nil"/>
              <w:bottom w:val="nil"/>
            </w:tcBorders>
            <w:vAlign w:val="top"/>
          </w:tcPr>
          <w:p w14:paraId="67055F5E" w14:textId="77777777" w:rsidR="00327047" w:rsidRDefault="00327047" w:rsidP="00A12328">
            <w:pPr>
              <w:pStyle w:val="TableText0"/>
              <w:jc w:val="center"/>
            </w:pPr>
            <w:r w:rsidRPr="00F3407C">
              <w:rPr>
                <w:szCs w:val="20"/>
              </w:rPr>
              <w:t xml:space="preserve">62 </w:t>
            </w:r>
            <w:r w:rsidRPr="00F3407C">
              <w:rPr>
                <w:spacing w:val="-2"/>
                <w:szCs w:val="20"/>
              </w:rPr>
              <w:t>(84.9)</w:t>
            </w:r>
          </w:p>
        </w:tc>
        <w:tc>
          <w:tcPr>
            <w:tcW w:w="1559" w:type="dxa"/>
            <w:tcBorders>
              <w:top w:val="nil"/>
              <w:bottom w:val="nil"/>
            </w:tcBorders>
          </w:tcPr>
          <w:p w14:paraId="542881AC" w14:textId="77777777" w:rsidR="00327047" w:rsidRDefault="00327047" w:rsidP="00A12328">
            <w:pPr>
              <w:pStyle w:val="TableText0"/>
              <w:jc w:val="center"/>
            </w:pPr>
          </w:p>
        </w:tc>
        <w:tc>
          <w:tcPr>
            <w:tcW w:w="1509" w:type="dxa"/>
            <w:tcBorders>
              <w:top w:val="nil"/>
              <w:bottom w:val="nil"/>
            </w:tcBorders>
          </w:tcPr>
          <w:p w14:paraId="31038C3C" w14:textId="77777777" w:rsidR="00327047" w:rsidRDefault="00327047" w:rsidP="00A12328">
            <w:pPr>
              <w:pStyle w:val="TableText0"/>
              <w:jc w:val="center"/>
            </w:pPr>
          </w:p>
        </w:tc>
      </w:tr>
      <w:tr w:rsidR="00327047" w14:paraId="40957DEA" w14:textId="77777777" w:rsidTr="00327047">
        <w:tc>
          <w:tcPr>
            <w:tcW w:w="2405" w:type="dxa"/>
            <w:tcBorders>
              <w:top w:val="nil"/>
              <w:bottom w:val="nil"/>
            </w:tcBorders>
            <w:vAlign w:val="top"/>
          </w:tcPr>
          <w:p w14:paraId="3DC18A49" w14:textId="77777777" w:rsidR="00327047" w:rsidRPr="00CD6F0F" w:rsidRDefault="00327047" w:rsidP="00A12328">
            <w:pPr>
              <w:pStyle w:val="TableText0"/>
              <w:ind w:left="170"/>
              <w:rPr>
                <w:vertAlign w:val="superscript"/>
              </w:rPr>
            </w:pPr>
            <w:r w:rsidRPr="00F3407C">
              <w:rPr>
                <w:szCs w:val="20"/>
              </w:rPr>
              <w:t>Target</w:t>
            </w:r>
            <w:r w:rsidRPr="00F3407C">
              <w:rPr>
                <w:spacing w:val="-6"/>
                <w:szCs w:val="20"/>
              </w:rPr>
              <w:t xml:space="preserve"> </w:t>
            </w:r>
            <w:r w:rsidRPr="00F3407C">
              <w:rPr>
                <w:szCs w:val="20"/>
              </w:rPr>
              <w:t>lesions</w:t>
            </w:r>
            <w:r>
              <w:rPr>
                <w:szCs w:val="20"/>
                <w:vertAlign w:val="superscript"/>
              </w:rPr>
              <w:t>b</w:t>
            </w:r>
          </w:p>
        </w:tc>
        <w:tc>
          <w:tcPr>
            <w:tcW w:w="1701" w:type="dxa"/>
            <w:tcBorders>
              <w:top w:val="nil"/>
              <w:bottom w:val="nil"/>
            </w:tcBorders>
            <w:vAlign w:val="top"/>
          </w:tcPr>
          <w:p w14:paraId="44E2DE92" w14:textId="77777777" w:rsidR="00327047" w:rsidRDefault="00327047" w:rsidP="00A12328">
            <w:pPr>
              <w:pStyle w:val="TableText0"/>
              <w:jc w:val="center"/>
            </w:pPr>
            <w:r w:rsidRPr="00F3407C">
              <w:rPr>
                <w:szCs w:val="20"/>
              </w:rPr>
              <w:t xml:space="preserve">23 </w:t>
            </w:r>
            <w:r w:rsidRPr="00F3407C">
              <w:rPr>
                <w:spacing w:val="-2"/>
                <w:szCs w:val="20"/>
              </w:rPr>
              <w:t>(16.1)</w:t>
            </w:r>
          </w:p>
        </w:tc>
        <w:tc>
          <w:tcPr>
            <w:tcW w:w="1843" w:type="dxa"/>
            <w:tcBorders>
              <w:top w:val="nil"/>
              <w:bottom w:val="nil"/>
            </w:tcBorders>
            <w:vAlign w:val="top"/>
          </w:tcPr>
          <w:p w14:paraId="4E816EE4" w14:textId="77777777" w:rsidR="00327047" w:rsidRDefault="00327047" w:rsidP="00A12328">
            <w:pPr>
              <w:pStyle w:val="TableText0"/>
              <w:jc w:val="center"/>
            </w:pPr>
            <w:r w:rsidRPr="00F3407C">
              <w:rPr>
                <w:szCs w:val="20"/>
              </w:rPr>
              <w:t xml:space="preserve">16 </w:t>
            </w:r>
            <w:r w:rsidRPr="00F3407C">
              <w:rPr>
                <w:spacing w:val="-2"/>
                <w:szCs w:val="20"/>
              </w:rPr>
              <w:t>(21.9)</w:t>
            </w:r>
          </w:p>
        </w:tc>
        <w:tc>
          <w:tcPr>
            <w:tcW w:w="1559" w:type="dxa"/>
            <w:tcBorders>
              <w:top w:val="nil"/>
              <w:bottom w:val="nil"/>
            </w:tcBorders>
          </w:tcPr>
          <w:p w14:paraId="5687F13A" w14:textId="77777777" w:rsidR="00327047" w:rsidRDefault="00327047" w:rsidP="00A12328">
            <w:pPr>
              <w:pStyle w:val="TableText0"/>
              <w:jc w:val="center"/>
            </w:pPr>
          </w:p>
        </w:tc>
        <w:tc>
          <w:tcPr>
            <w:tcW w:w="1509" w:type="dxa"/>
            <w:tcBorders>
              <w:top w:val="nil"/>
              <w:bottom w:val="nil"/>
            </w:tcBorders>
          </w:tcPr>
          <w:p w14:paraId="383E1417" w14:textId="77777777" w:rsidR="00327047" w:rsidRDefault="00327047" w:rsidP="00A12328">
            <w:pPr>
              <w:pStyle w:val="TableText0"/>
              <w:jc w:val="center"/>
            </w:pPr>
          </w:p>
        </w:tc>
      </w:tr>
      <w:tr w:rsidR="00327047" w14:paraId="71CC774F" w14:textId="77777777" w:rsidTr="00327047">
        <w:tc>
          <w:tcPr>
            <w:tcW w:w="2405" w:type="dxa"/>
            <w:tcBorders>
              <w:top w:val="nil"/>
              <w:bottom w:val="nil"/>
            </w:tcBorders>
            <w:vAlign w:val="top"/>
          </w:tcPr>
          <w:p w14:paraId="420C3F64" w14:textId="77777777" w:rsidR="00327047" w:rsidRPr="00CD6F0F" w:rsidRDefault="00327047" w:rsidP="00A12328">
            <w:pPr>
              <w:pStyle w:val="TableText0"/>
              <w:ind w:left="170"/>
              <w:rPr>
                <w:vertAlign w:val="superscript"/>
              </w:rPr>
            </w:pPr>
            <w:r w:rsidRPr="00F3407C">
              <w:rPr>
                <w:szCs w:val="20"/>
              </w:rPr>
              <w:t>Non-target</w:t>
            </w:r>
            <w:r w:rsidRPr="00F3407C">
              <w:rPr>
                <w:spacing w:val="-7"/>
                <w:szCs w:val="20"/>
              </w:rPr>
              <w:t xml:space="preserve"> </w:t>
            </w:r>
            <w:r w:rsidRPr="00F3407C">
              <w:rPr>
                <w:szCs w:val="20"/>
              </w:rPr>
              <w:t>lesions</w:t>
            </w:r>
            <w:r>
              <w:rPr>
                <w:szCs w:val="20"/>
                <w:vertAlign w:val="superscript"/>
              </w:rPr>
              <w:t>b</w:t>
            </w:r>
          </w:p>
        </w:tc>
        <w:tc>
          <w:tcPr>
            <w:tcW w:w="1701" w:type="dxa"/>
            <w:tcBorders>
              <w:top w:val="nil"/>
              <w:bottom w:val="nil"/>
            </w:tcBorders>
            <w:vAlign w:val="top"/>
          </w:tcPr>
          <w:p w14:paraId="6AE8C0CF" w14:textId="77777777" w:rsidR="00327047" w:rsidRDefault="00327047" w:rsidP="00A12328">
            <w:pPr>
              <w:pStyle w:val="TableText0"/>
              <w:jc w:val="center"/>
            </w:pPr>
            <w:r w:rsidRPr="00F3407C">
              <w:rPr>
                <w:szCs w:val="20"/>
              </w:rPr>
              <w:t xml:space="preserve">6 </w:t>
            </w:r>
            <w:r w:rsidRPr="00F3407C">
              <w:rPr>
                <w:spacing w:val="-2"/>
                <w:szCs w:val="20"/>
              </w:rPr>
              <w:t>(4.2)</w:t>
            </w:r>
          </w:p>
        </w:tc>
        <w:tc>
          <w:tcPr>
            <w:tcW w:w="1843" w:type="dxa"/>
            <w:tcBorders>
              <w:top w:val="nil"/>
              <w:bottom w:val="nil"/>
            </w:tcBorders>
            <w:vAlign w:val="top"/>
          </w:tcPr>
          <w:p w14:paraId="7E39AB19" w14:textId="77777777" w:rsidR="00327047" w:rsidRDefault="00327047" w:rsidP="00A12328">
            <w:pPr>
              <w:pStyle w:val="TableText0"/>
              <w:jc w:val="center"/>
            </w:pPr>
            <w:r w:rsidRPr="00F3407C">
              <w:rPr>
                <w:szCs w:val="20"/>
              </w:rPr>
              <w:t xml:space="preserve">5 </w:t>
            </w:r>
            <w:r w:rsidRPr="00F3407C">
              <w:rPr>
                <w:spacing w:val="-2"/>
                <w:szCs w:val="20"/>
              </w:rPr>
              <w:t>(6.8)</w:t>
            </w:r>
          </w:p>
        </w:tc>
        <w:tc>
          <w:tcPr>
            <w:tcW w:w="1559" w:type="dxa"/>
            <w:tcBorders>
              <w:top w:val="nil"/>
              <w:bottom w:val="nil"/>
            </w:tcBorders>
          </w:tcPr>
          <w:p w14:paraId="0565DF7D" w14:textId="77777777" w:rsidR="00327047" w:rsidRDefault="00327047" w:rsidP="00A12328">
            <w:pPr>
              <w:pStyle w:val="TableText0"/>
              <w:jc w:val="center"/>
            </w:pPr>
          </w:p>
        </w:tc>
        <w:tc>
          <w:tcPr>
            <w:tcW w:w="1509" w:type="dxa"/>
            <w:tcBorders>
              <w:top w:val="nil"/>
              <w:bottom w:val="nil"/>
            </w:tcBorders>
          </w:tcPr>
          <w:p w14:paraId="303B6633" w14:textId="77777777" w:rsidR="00327047" w:rsidRDefault="00327047" w:rsidP="00A12328">
            <w:pPr>
              <w:pStyle w:val="TableText0"/>
              <w:jc w:val="center"/>
            </w:pPr>
          </w:p>
        </w:tc>
      </w:tr>
      <w:tr w:rsidR="00327047" w14:paraId="3C890964" w14:textId="77777777" w:rsidTr="00327047">
        <w:tc>
          <w:tcPr>
            <w:tcW w:w="2405" w:type="dxa"/>
            <w:tcBorders>
              <w:top w:val="nil"/>
              <w:bottom w:val="nil"/>
            </w:tcBorders>
            <w:vAlign w:val="top"/>
          </w:tcPr>
          <w:p w14:paraId="4C0A0829" w14:textId="77777777" w:rsidR="00327047" w:rsidRPr="00CD6F0F" w:rsidRDefault="00327047" w:rsidP="00A12328">
            <w:pPr>
              <w:pStyle w:val="TableText0"/>
              <w:ind w:left="170"/>
              <w:rPr>
                <w:vertAlign w:val="superscript"/>
              </w:rPr>
            </w:pPr>
            <w:r w:rsidRPr="00F3407C">
              <w:rPr>
                <w:szCs w:val="20"/>
              </w:rPr>
              <w:t>New</w:t>
            </w:r>
            <w:r w:rsidRPr="00F3407C">
              <w:rPr>
                <w:spacing w:val="-6"/>
                <w:szCs w:val="20"/>
              </w:rPr>
              <w:t xml:space="preserve"> </w:t>
            </w:r>
            <w:r w:rsidRPr="00F3407C">
              <w:rPr>
                <w:szCs w:val="20"/>
              </w:rPr>
              <w:t>lesions</w:t>
            </w:r>
            <w:r>
              <w:rPr>
                <w:szCs w:val="20"/>
                <w:vertAlign w:val="superscript"/>
              </w:rPr>
              <w:t>b</w:t>
            </w:r>
          </w:p>
        </w:tc>
        <w:tc>
          <w:tcPr>
            <w:tcW w:w="1701" w:type="dxa"/>
            <w:tcBorders>
              <w:top w:val="nil"/>
              <w:bottom w:val="nil"/>
            </w:tcBorders>
            <w:vAlign w:val="top"/>
          </w:tcPr>
          <w:p w14:paraId="37E7ED7A" w14:textId="77777777" w:rsidR="00327047" w:rsidRDefault="00327047" w:rsidP="00A12328">
            <w:pPr>
              <w:pStyle w:val="TableText0"/>
              <w:jc w:val="center"/>
            </w:pPr>
            <w:r w:rsidRPr="00F3407C">
              <w:rPr>
                <w:szCs w:val="20"/>
              </w:rPr>
              <w:t xml:space="preserve">29 </w:t>
            </w:r>
            <w:r w:rsidRPr="00F3407C">
              <w:rPr>
                <w:spacing w:val="-2"/>
                <w:szCs w:val="20"/>
              </w:rPr>
              <w:t>(20.3)</w:t>
            </w:r>
          </w:p>
        </w:tc>
        <w:tc>
          <w:tcPr>
            <w:tcW w:w="1843" w:type="dxa"/>
            <w:tcBorders>
              <w:top w:val="nil"/>
              <w:bottom w:val="nil"/>
            </w:tcBorders>
            <w:vAlign w:val="top"/>
          </w:tcPr>
          <w:p w14:paraId="578E4054" w14:textId="77777777" w:rsidR="00327047" w:rsidRDefault="00327047" w:rsidP="00A12328">
            <w:pPr>
              <w:pStyle w:val="TableText0"/>
              <w:jc w:val="center"/>
            </w:pPr>
            <w:r w:rsidRPr="00F3407C">
              <w:rPr>
                <w:szCs w:val="20"/>
              </w:rPr>
              <w:t xml:space="preserve">45 </w:t>
            </w:r>
            <w:r w:rsidRPr="00F3407C">
              <w:rPr>
                <w:spacing w:val="-2"/>
                <w:szCs w:val="20"/>
              </w:rPr>
              <w:t>(61.6)</w:t>
            </w:r>
          </w:p>
        </w:tc>
        <w:tc>
          <w:tcPr>
            <w:tcW w:w="1559" w:type="dxa"/>
            <w:tcBorders>
              <w:top w:val="nil"/>
              <w:bottom w:val="nil"/>
            </w:tcBorders>
          </w:tcPr>
          <w:p w14:paraId="0746BCA6" w14:textId="77777777" w:rsidR="00327047" w:rsidRDefault="00327047" w:rsidP="00A12328">
            <w:pPr>
              <w:pStyle w:val="TableText0"/>
              <w:jc w:val="center"/>
            </w:pPr>
          </w:p>
        </w:tc>
        <w:tc>
          <w:tcPr>
            <w:tcW w:w="1509" w:type="dxa"/>
            <w:tcBorders>
              <w:top w:val="nil"/>
              <w:bottom w:val="nil"/>
            </w:tcBorders>
          </w:tcPr>
          <w:p w14:paraId="3FBFCF85" w14:textId="77777777" w:rsidR="00327047" w:rsidRDefault="00327047" w:rsidP="00A12328">
            <w:pPr>
              <w:pStyle w:val="TableText0"/>
              <w:jc w:val="center"/>
            </w:pPr>
          </w:p>
        </w:tc>
      </w:tr>
      <w:tr w:rsidR="00327047" w14:paraId="1D317500" w14:textId="77777777" w:rsidTr="00327047">
        <w:tc>
          <w:tcPr>
            <w:tcW w:w="2405" w:type="dxa"/>
            <w:tcBorders>
              <w:top w:val="nil"/>
            </w:tcBorders>
            <w:vAlign w:val="top"/>
          </w:tcPr>
          <w:p w14:paraId="703A26A1" w14:textId="77777777" w:rsidR="00327047" w:rsidRDefault="00327047" w:rsidP="00A12328">
            <w:pPr>
              <w:pStyle w:val="TableText0"/>
              <w:ind w:left="170"/>
            </w:pPr>
            <w:r w:rsidRPr="00F3407C">
              <w:rPr>
                <w:szCs w:val="20"/>
              </w:rPr>
              <w:t>Death</w:t>
            </w:r>
            <w:r w:rsidRPr="00F3407C">
              <w:rPr>
                <w:spacing w:val="-3"/>
                <w:szCs w:val="20"/>
              </w:rPr>
              <w:t xml:space="preserve"> </w:t>
            </w:r>
            <w:r w:rsidRPr="00F3407C">
              <w:rPr>
                <w:szCs w:val="20"/>
              </w:rPr>
              <w:t>in</w:t>
            </w:r>
            <w:r w:rsidRPr="00F3407C">
              <w:rPr>
                <w:spacing w:val="-2"/>
                <w:szCs w:val="20"/>
              </w:rPr>
              <w:t xml:space="preserve"> </w:t>
            </w:r>
            <w:r w:rsidRPr="00F3407C">
              <w:rPr>
                <w:szCs w:val="20"/>
              </w:rPr>
              <w:t>the</w:t>
            </w:r>
            <w:r w:rsidRPr="00F3407C">
              <w:rPr>
                <w:spacing w:val="-4"/>
                <w:szCs w:val="20"/>
              </w:rPr>
              <w:t xml:space="preserve"> </w:t>
            </w:r>
            <w:r w:rsidRPr="00F3407C">
              <w:rPr>
                <w:szCs w:val="20"/>
              </w:rPr>
              <w:t>absence</w:t>
            </w:r>
            <w:r w:rsidRPr="00F3407C">
              <w:rPr>
                <w:spacing w:val="-5"/>
                <w:szCs w:val="20"/>
              </w:rPr>
              <w:t xml:space="preserve"> </w:t>
            </w:r>
            <w:r w:rsidRPr="00F3407C">
              <w:rPr>
                <w:szCs w:val="20"/>
              </w:rPr>
              <w:t>of</w:t>
            </w:r>
            <w:r w:rsidRPr="00F3407C">
              <w:rPr>
                <w:spacing w:val="-2"/>
                <w:szCs w:val="20"/>
              </w:rPr>
              <w:t xml:space="preserve"> progression</w:t>
            </w:r>
          </w:p>
        </w:tc>
        <w:tc>
          <w:tcPr>
            <w:tcW w:w="1701" w:type="dxa"/>
            <w:tcBorders>
              <w:top w:val="nil"/>
            </w:tcBorders>
            <w:vAlign w:val="top"/>
          </w:tcPr>
          <w:p w14:paraId="01E8DE83" w14:textId="77777777" w:rsidR="00327047" w:rsidRDefault="00327047" w:rsidP="00A12328">
            <w:pPr>
              <w:pStyle w:val="TableText0"/>
              <w:jc w:val="center"/>
            </w:pPr>
            <w:r w:rsidRPr="00F3407C">
              <w:rPr>
                <w:szCs w:val="20"/>
              </w:rPr>
              <w:t xml:space="preserve">4 </w:t>
            </w:r>
            <w:r w:rsidRPr="00F3407C">
              <w:rPr>
                <w:spacing w:val="-2"/>
                <w:szCs w:val="20"/>
              </w:rPr>
              <w:t>(2.8)</w:t>
            </w:r>
          </w:p>
        </w:tc>
        <w:tc>
          <w:tcPr>
            <w:tcW w:w="1843" w:type="dxa"/>
            <w:tcBorders>
              <w:top w:val="nil"/>
            </w:tcBorders>
            <w:vAlign w:val="top"/>
          </w:tcPr>
          <w:p w14:paraId="5DACE9FB" w14:textId="77777777" w:rsidR="00327047" w:rsidRDefault="00327047" w:rsidP="00A12328">
            <w:pPr>
              <w:pStyle w:val="TableText0"/>
              <w:jc w:val="center"/>
            </w:pPr>
            <w:r w:rsidRPr="00F3407C">
              <w:rPr>
                <w:szCs w:val="20"/>
              </w:rPr>
              <w:t xml:space="preserve">1 </w:t>
            </w:r>
            <w:r w:rsidRPr="00F3407C">
              <w:rPr>
                <w:spacing w:val="-2"/>
                <w:szCs w:val="20"/>
              </w:rPr>
              <w:t>(1.4)</w:t>
            </w:r>
          </w:p>
        </w:tc>
        <w:tc>
          <w:tcPr>
            <w:tcW w:w="1559" w:type="dxa"/>
            <w:tcBorders>
              <w:top w:val="nil"/>
            </w:tcBorders>
          </w:tcPr>
          <w:p w14:paraId="4D992A56" w14:textId="77777777" w:rsidR="00327047" w:rsidRDefault="00327047" w:rsidP="00A12328">
            <w:pPr>
              <w:pStyle w:val="TableText0"/>
              <w:jc w:val="center"/>
            </w:pPr>
          </w:p>
        </w:tc>
        <w:tc>
          <w:tcPr>
            <w:tcW w:w="1509" w:type="dxa"/>
            <w:tcBorders>
              <w:top w:val="nil"/>
            </w:tcBorders>
          </w:tcPr>
          <w:p w14:paraId="07FA0228" w14:textId="77777777" w:rsidR="00327047" w:rsidRDefault="00327047" w:rsidP="00A12328">
            <w:pPr>
              <w:pStyle w:val="TableText0"/>
              <w:jc w:val="center"/>
            </w:pPr>
          </w:p>
        </w:tc>
      </w:tr>
      <w:tr w:rsidR="00327047" w14:paraId="142C46FB" w14:textId="77777777" w:rsidTr="00327047">
        <w:tc>
          <w:tcPr>
            <w:tcW w:w="2405" w:type="dxa"/>
          </w:tcPr>
          <w:p w14:paraId="0D624AE2" w14:textId="77777777" w:rsidR="00327047" w:rsidRDefault="00327047" w:rsidP="00A12328">
            <w:pPr>
              <w:pStyle w:val="TableText0"/>
            </w:pPr>
            <w:r>
              <w:t>Median PFS, months (95% CI)</w:t>
            </w:r>
          </w:p>
        </w:tc>
        <w:tc>
          <w:tcPr>
            <w:tcW w:w="1701" w:type="dxa"/>
          </w:tcPr>
          <w:p w14:paraId="0EDF7754" w14:textId="77777777" w:rsidR="00327047" w:rsidRDefault="00327047" w:rsidP="00A12328">
            <w:pPr>
              <w:pStyle w:val="TableText0"/>
              <w:jc w:val="center"/>
            </w:pPr>
            <w:r>
              <w:t>39.13 (31.51, NC)</w:t>
            </w:r>
          </w:p>
        </w:tc>
        <w:tc>
          <w:tcPr>
            <w:tcW w:w="1843" w:type="dxa"/>
          </w:tcPr>
          <w:p w14:paraId="2DF17FF9" w14:textId="77777777" w:rsidR="00327047" w:rsidRDefault="00327047" w:rsidP="00A12328">
            <w:pPr>
              <w:pStyle w:val="TableText0"/>
              <w:jc w:val="center"/>
            </w:pPr>
            <w:r>
              <w:t>5.55 (3.71, 7.43)</w:t>
            </w:r>
          </w:p>
        </w:tc>
        <w:tc>
          <w:tcPr>
            <w:tcW w:w="1559" w:type="dxa"/>
          </w:tcPr>
          <w:p w14:paraId="24C73E9D" w14:textId="77777777" w:rsidR="00327047" w:rsidRDefault="00327047" w:rsidP="00A12328">
            <w:pPr>
              <w:pStyle w:val="TableText0"/>
              <w:jc w:val="center"/>
            </w:pPr>
            <w:r>
              <w:t>33.58</w:t>
            </w:r>
          </w:p>
        </w:tc>
        <w:tc>
          <w:tcPr>
            <w:tcW w:w="1509" w:type="dxa"/>
          </w:tcPr>
          <w:p w14:paraId="49EAC0AB" w14:textId="77777777" w:rsidR="00327047" w:rsidRDefault="00327047" w:rsidP="00A12328">
            <w:pPr>
              <w:pStyle w:val="TableText0"/>
              <w:jc w:val="center"/>
              <w:rPr>
                <w:b/>
              </w:rPr>
            </w:pPr>
            <w:r w:rsidRPr="00B047E0">
              <w:rPr>
                <w:b/>
              </w:rPr>
              <w:t>0.16 (0.10, 0.24)</w:t>
            </w:r>
          </w:p>
          <w:p w14:paraId="0AB9C7A2" w14:textId="193BB3CB" w:rsidR="00A37425" w:rsidRPr="00FF7DC5" w:rsidRDefault="00A37425" w:rsidP="00A12328">
            <w:pPr>
              <w:pStyle w:val="TableText0"/>
              <w:jc w:val="center"/>
              <w:rPr>
                <w:b/>
                <w:bCs w:val="0"/>
              </w:rPr>
            </w:pPr>
            <w:r w:rsidRPr="00FF7DC5">
              <w:rPr>
                <w:b/>
                <w:bCs w:val="0"/>
              </w:rPr>
              <w:t>p&lt;0.001</w:t>
            </w:r>
          </w:p>
        </w:tc>
      </w:tr>
      <w:tr w:rsidR="00327047" w14:paraId="63578D47" w14:textId="77777777" w:rsidTr="00327047">
        <w:tc>
          <w:tcPr>
            <w:tcW w:w="2405" w:type="dxa"/>
            <w:tcBorders>
              <w:bottom w:val="single" w:sz="4" w:space="0" w:color="auto"/>
            </w:tcBorders>
          </w:tcPr>
          <w:p w14:paraId="01ABB659" w14:textId="77777777" w:rsidR="00327047" w:rsidRDefault="00327047" w:rsidP="00A12328">
            <w:pPr>
              <w:pStyle w:val="TableText0"/>
            </w:pPr>
            <w:r>
              <w:t>Median (range) duration of follow-up, months</w:t>
            </w:r>
          </w:p>
        </w:tc>
        <w:tc>
          <w:tcPr>
            <w:tcW w:w="1701" w:type="dxa"/>
            <w:tcBorders>
              <w:bottom w:val="single" w:sz="4" w:space="0" w:color="auto"/>
            </w:tcBorders>
          </w:tcPr>
          <w:p w14:paraId="337F196C" w14:textId="77777777" w:rsidR="00327047" w:rsidRDefault="00327047" w:rsidP="00A12328">
            <w:pPr>
              <w:pStyle w:val="TableText0"/>
              <w:jc w:val="center"/>
            </w:pPr>
            <w:r>
              <w:t>21.98 (0.03, 60.55)</w:t>
            </w:r>
          </w:p>
        </w:tc>
        <w:tc>
          <w:tcPr>
            <w:tcW w:w="1843" w:type="dxa"/>
            <w:tcBorders>
              <w:bottom w:val="single" w:sz="4" w:space="0" w:color="auto"/>
            </w:tcBorders>
          </w:tcPr>
          <w:p w14:paraId="2DFF1AB5" w14:textId="77777777" w:rsidR="00327047" w:rsidRDefault="00327047" w:rsidP="00A12328">
            <w:pPr>
              <w:pStyle w:val="TableText0"/>
              <w:jc w:val="center"/>
            </w:pPr>
            <w:r>
              <w:t>5.55 (0.03, 49.71)</w:t>
            </w:r>
          </w:p>
        </w:tc>
        <w:tc>
          <w:tcPr>
            <w:tcW w:w="1559" w:type="dxa"/>
            <w:tcBorders>
              <w:bottom w:val="single" w:sz="4" w:space="0" w:color="auto"/>
            </w:tcBorders>
          </w:tcPr>
          <w:p w14:paraId="2EB04D66" w14:textId="77777777" w:rsidR="00327047" w:rsidRDefault="00327047" w:rsidP="00A12328">
            <w:pPr>
              <w:pStyle w:val="TableText0"/>
              <w:jc w:val="center"/>
            </w:pPr>
          </w:p>
        </w:tc>
        <w:tc>
          <w:tcPr>
            <w:tcW w:w="1509" w:type="dxa"/>
            <w:tcBorders>
              <w:bottom w:val="single" w:sz="4" w:space="0" w:color="auto"/>
            </w:tcBorders>
          </w:tcPr>
          <w:p w14:paraId="3C960C02" w14:textId="77777777" w:rsidR="00327047" w:rsidRDefault="00327047" w:rsidP="00A12328">
            <w:pPr>
              <w:pStyle w:val="TableText0"/>
              <w:jc w:val="center"/>
            </w:pPr>
          </w:p>
        </w:tc>
      </w:tr>
      <w:tr w:rsidR="00327047" w14:paraId="1B60EE7F" w14:textId="77777777" w:rsidTr="00327047">
        <w:tc>
          <w:tcPr>
            <w:tcW w:w="2405" w:type="dxa"/>
            <w:tcBorders>
              <w:bottom w:val="nil"/>
            </w:tcBorders>
          </w:tcPr>
          <w:p w14:paraId="30D3D3DB" w14:textId="77777777" w:rsidR="00327047" w:rsidRDefault="00327047" w:rsidP="00A12328">
            <w:pPr>
              <w:pStyle w:val="TableText0"/>
            </w:pPr>
            <w:r>
              <w:t xml:space="preserve">PFS rate, % (95%CI) at </w:t>
            </w:r>
          </w:p>
        </w:tc>
        <w:tc>
          <w:tcPr>
            <w:tcW w:w="1701" w:type="dxa"/>
            <w:tcBorders>
              <w:bottom w:val="nil"/>
            </w:tcBorders>
          </w:tcPr>
          <w:p w14:paraId="49734416" w14:textId="77777777" w:rsidR="00327047" w:rsidRDefault="00327047" w:rsidP="00A12328">
            <w:pPr>
              <w:pStyle w:val="TableText0"/>
              <w:jc w:val="center"/>
            </w:pPr>
          </w:p>
        </w:tc>
        <w:tc>
          <w:tcPr>
            <w:tcW w:w="1843" w:type="dxa"/>
            <w:tcBorders>
              <w:bottom w:val="nil"/>
            </w:tcBorders>
          </w:tcPr>
          <w:p w14:paraId="6607DD6D" w14:textId="77777777" w:rsidR="00327047" w:rsidRDefault="00327047" w:rsidP="00A12328">
            <w:pPr>
              <w:pStyle w:val="TableText0"/>
              <w:jc w:val="center"/>
            </w:pPr>
          </w:p>
        </w:tc>
        <w:tc>
          <w:tcPr>
            <w:tcW w:w="1559" w:type="dxa"/>
            <w:tcBorders>
              <w:bottom w:val="nil"/>
            </w:tcBorders>
          </w:tcPr>
          <w:p w14:paraId="56C68BD8" w14:textId="77777777" w:rsidR="00327047" w:rsidRDefault="00327047" w:rsidP="00A12328">
            <w:pPr>
              <w:pStyle w:val="TableText0"/>
              <w:jc w:val="center"/>
            </w:pPr>
          </w:p>
        </w:tc>
        <w:tc>
          <w:tcPr>
            <w:tcW w:w="1509" w:type="dxa"/>
            <w:tcBorders>
              <w:bottom w:val="nil"/>
            </w:tcBorders>
          </w:tcPr>
          <w:p w14:paraId="19EFB0DE" w14:textId="77777777" w:rsidR="00327047" w:rsidRDefault="00327047" w:rsidP="00A12328">
            <w:pPr>
              <w:pStyle w:val="TableText0"/>
              <w:jc w:val="center"/>
            </w:pPr>
          </w:p>
        </w:tc>
      </w:tr>
      <w:tr w:rsidR="00327047" w14:paraId="1205E0A6" w14:textId="77777777" w:rsidTr="00327047">
        <w:tc>
          <w:tcPr>
            <w:tcW w:w="2405" w:type="dxa"/>
            <w:tcBorders>
              <w:top w:val="nil"/>
              <w:bottom w:val="nil"/>
            </w:tcBorders>
          </w:tcPr>
          <w:p w14:paraId="70AA3A4D" w14:textId="77777777" w:rsidR="00327047" w:rsidRDefault="00327047" w:rsidP="00A12328">
            <w:pPr>
              <w:pStyle w:val="TableText0"/>
              <w:ind w:left="170"/>
            </w:pPr>
            <w:r>
              <w:t>6 months</w:t>
            </w:r>
          </w:p>
        </w:tc>
        <w:tc>
          <w:tcPr>
            <w:tcW w:w="1701" w:type="dxa"/>
            <w:tcBorders>
              <w:top w:val="nil"/>
              <w:bottom w:val="nil"/>
            </w:tcBorders>
            <w:vAlign w:val="top"/>
          </w:tcPr>
          <w:p w14:paraId="4D8B96B4" w14:textId="77777777" w:rsidR="00327047" w:rsidRDefault="00327047" w:rsidP="00A12328">
            <w:pPr>
              <w:pStyle w:val="TableText0"/>
              <w:jc w:val="center"/>
            </w:pPr>
            <w:r w:rsidRPr="00493B1F">
              <w:t>84.0 (76.7, 89.2)</w:t>
            </w:r>
          </w:p>
        </w:tc>
        <w:tc>
          <w:tcPr>
            <w:tcW w:w="1843" w:type="dxa"/>
            <w:tcBorders>
              <w:top w:val="nil"/>
              <w:bottom w:val="nil"/>
            </w:tcBorders>
            <w:vAlign w:val="top"/>
          </w:tcPr>
          <w:p w14:paraId="7F21659B" w14:textId="77777777" w:rsidR="00327047" w:rsidRDefault="00327047" w:rsidP="00A12328">
            <w:pPr>
              <w:pStyle w:val="TableText0"/>
              <w:jc w:val="center"/>
            </w:pPr>
            <w:r w:rsidRPr="00493B1F">
              <w:t>45.1 (33.3, 56.1)</w:t>
            </w:r>
          </w:p>
        </w:tc>
        <w:tc>
          <w:tcPr>
            <w:tcW w:w="1559" w:type="dxa"/>
            <w:tcBorders>
              <w:top w:val="nil"/>
              <w:bottom w:val="nil"/>
            </w:tcBorders>
          </w:tcPr>
          <w:p w14:paraId="3F43F2EE" w14:textId="77777777" w:rsidR="00327047" w:rsidRDefault="00327047" w:rsidP="00A12328">
            <w:pPr>
              <w:pStyle w:val="TableText0"/>
              <w:jc w:val="center"/>
            </w:pPr>
            <w:r>
              <w:t>38.9</w:t>
            </w:r>
          </w:p>
        </w:tc>
        <w:tc>
          <w:tcPr>
            <w:tcW w:w="1509" w:type="dxa"/>
            <w:tcBorders>
              <w:top w:val="nil"/>
              <w:bottom w:val="nil"/>
            </w:tcBorders>
          </w:tcPr>
          <w:p w14:paraId="2CCB659C" w14:textId="77777777" w:rsidR="00327047" w:rsidRDefault="00327047" w:rsidP="00A12328">
            <w:pPr>
              <w:pStyle w:val="TableText0"/>
              <w:jc w:val="center"/>
            </w:pPr>
          </w:p>
        </w:tc>
      </w:tr>
      <w:tr w:rsidR="00327047" w14:paraId="460FA1B8" w14:textId="77777777" w:rsidTr="00327047">
        <w:tc>
          <w:tcPr>
            <w:tcW w:w="2405" w:type="dxa"/>
            <w:tcBorders>
              <w:top w:val="nil"/>
              <w:bottom w:val="nil"/>
            </w:tcBorders>
          </w:tcPr>
          <w:p w14:paraId="06880505" w14:textId="77777777" w:rsidR="00327047" w:rsidRDefault="00327047" w:rsidP="00A12328">
            <w:pPr>
              <w:pStyle w:val="TableText0"/>
              <w:ind w:left="170"/>
            </w:pPr>
            <w:r>
              <w:t>12 months</w:t>
            </w:r>
          </w:p>
        </w:tc>
        <w:tc>
          <w:tcPr>
            <w:tcW w:w="1701" w:type="dxa"/>
            <w:tcBorders>
              <w:top w:val="nil"/>
              <w:bottom w:val="nil"/>
            </w:tcBorders>
            <w:vAlign w:val="top"/>
          </w:tcPr>
          <w:p w14:paraId="2B353396" w14:textId="77777777" w:rsidR="00327047" w:rsidRDefault="00327047" w:rsidP="00A12328">
            <w:pPr>
              <w:pStyle w:val="TableText0"/>
              <w:jc w:val="center"/>
            </w:pPr>
            <w:r w:rsidRPr="000B7AC6">
              <w:t>73.7 (65.4, 80.3)</w:t>
            </w:r>
          </w:p>
        </w:tc>
        <w:tc>
          <w:tcPr>
            <w:tcW w:w="1843" w:type="dxa"/>
            <w:tcBorders>
              <w:top w:val="nil"/>
              <w:bottom w:val="nil"/>
            </w:tcBorders>
            <w:vAlign w:val="top"/>
          </w:tcPr>
          <w:p w14:paraId="3308BFC2" w14:textId="77777777" w:rsidR="00327047" w:rsidRDefault="00327047" w:rsidP="00A12328">
            <w:pPr>
              <w:pStyle w:val="TableText0"/>
              <w:jc w:val="center"/>
            </w:pPr>
            <w:r w:rsidRPr="000B7AC6">
              <w:t>21.8 (13.0, 32.1)</w:t>
            </w:r>
          </w:p>
        </w:tc>
        <w:tc>
          <w:tcPr>
            <w:tcW w:w="1559" w:type="dxa"/>
            <w:tcBorders>
              <w:top w:val="nil"/>
              <w:bottom w:val="nil"/>
            </w:tcBorders>
          </w:tcPr>
          <w:p w14:paraId="71B14D24" w14:textId="77777777" w:rsidR="00327047" w:rsidRDefault="00327047" w:rsidP="00A12328">
            <w:pPr>
              <w:pStyle w:val="TableText0"/>
              <w:jc w:val="center"/>
            </w:pPr>
            <w:r>
              <w:t>51.9</w:t>
            </w:r>
          </w:p>
        </w:tc>
        <w:tc>
          <w:tcPr>
            <w:tcW w:w="1509" w:type="dxa"/>
            <w:tcBorders>
              <w:top w:val="nil"/>
              <w:bottom w:val="nil"/>
            </w:tcBorders>
          </w:tcPr>
          <w:p w14:paraId="39E94BD9" w14:textId="77777777" w:rsidR="00327047" w:rsidRDefault="00327047" w:rsidP="00A12328">
            <w:pPr>
              <w:pStyle w:val="TableText0"/>
              <w:jc w:val="center"/>
            </w:pPr>
          </w:p>
        </w:tc>
      </w:tr>
      <w:tr w:rsidR="00327047" w14:paraId="2431B663" w14:textId="77777777" w:rsidTr="00327047">
        <w:tc>
          <w:tcPr>
            <w:tcW w:w="2405" w:type="dxa"/>
            <w:tcBorders>
              <w:top w:val="nil"/>
              <w:bottom w:val="nil"/>
            </w:tcBorders>
          </w:tcPr>
          <w:p w14:paraId="60BBDA2C" w14:textId="77777777" w:rsidR="00327047" w:rsidRDefault="00327047" w:rsidP="00A12328">
            <w:pPr>
              <w:pStyle w:val="TableText0"/>
              <w:ind w:left="170"/>
            </w:pPr>
            <w:r>
              <w:t>18 months</w:t>
            </w:r>
          </w:p>
        </w:tc>
        <w:tc>
          <w:tcPr>
            <w:tcW w:w="1701" w:type="dxa"/>
            <w:tcBorders>
              <w:top w:val="nil"/>
              <w:bottom w:val="nil"/>
            </w:tcBorders>
            <w:vAlign w:val="top"/>
          </w:tcPr>
          <w:p w14:paraId="21ADAB05" w14:textId="77777777" w:rsidR="00327047" w:rsidRPr="000B7AC6" w:rsidRDefault="00327047" w:rsidP="00A12328">
            <w:pPr>
              <w:pStyle w:val="TableText0"/>
              <w:jc w:val="center"/>
            </w:pPr>
            <w:r w:rsidRPr="00A60BE5">
              <w:t>69.1 (60.5, 76.1)</w:t>
            </w:r>
          </w:p>
        </w:tc>
        <w:tc>
          <w:tcPr>
            <w:tcW w:w="1843" w:type="dxa"/>
            <w:tcBorders>
              <w:top w:val="nil"/>
              <w:bottom w:val="nil"/>
            </w:tcBorders>
            <w:vAlign w:val="top"/>
          </w:tcPr>
          <w:p w14:paraId="1E869AE9" w14:textId="77777777" w:rsidR="00327047" w:rsidRPr="000B7AC6" w:rsidRDefault="00327047" w:rsidP="00A12328">
            <w:pPr>
              <w:pStyle w:val="TableText0"/>
              <w:jc w:val="center"/>
            </w:pPr>
            <w:r w:rsidRPr="00A60BE5">
              <w:t>15.0 (7.8, 24.4)</w:t>
            </w:r>
          </w:p>
        </w:tc>
        <w:tc>
          <w:tcPr>
            <w:tcW w:w="1559" w:type="dxa"/>
            <w:tcBorders>
              <w:top w:val="nil"/>
              <w:bottom w:val="nil"/>
            </w:tcBorders>
          </w:tcPr>
          <w:p w14:paraId="2CF1AA0C" w14:textId="77777777" w:rsidR="00327047" w:rsidRDefault="00327047" w:rsidP="00A12328">
            <w:pPr>
              <w:pStyle w:val="TableText0"/>
              <w:jc w:val="center"/>
            </w:pPr>
            <w:r>
              <w:t>54.1</w:t>
            </w:r>
          </w:p>
        </w:tc>
        <w:tc>
          <w:tcPr>
            <w:tcW w:w="1509" w:type="dxa"/>
            <w:tcBorders>
              <w:top w:val="nil"/>
              <w:bottom w:val="nil"/>
            </w:tcBorders>
          </w:tcPr>
          <w:p w14:paraId="4E155A30" w14:textId="77777777" w:rsidR="00327047" w:rsidRDefault="00327047" w:rsidP="00A12328">
            <w:pPr>
              <w:pStyle w:val="TableText0"/>
              <w:jc w:val="center"/>
            </w:pPr>
          </w:p>
        </w:tc>
      </w:tr>
      <w:tr w:rsidR="00327047" w14:paraId="4CE625F8" w14:textId="77777777" w:rsidTr="00327047">
        <w:tc>
          <w:tcPr>
            <w:tcW w:w="2405" w:type="dxa"/>
            <w:tcBorders>
              <w:top w:val="nil"/>
              <w:bottom w:val="nil"/>
            </w:tcBorders>
          </w:tcPr>
          <w:p w14:paraId="222EAA5D" w14:textId="77777777" w:rsidR="00327047" w:rsidRDefault="00327047" w:rsidP="00A12328">
            <w:pPr>
              <w:pStyle w:val="TableText0"/>
              <w:ind w:left="170"/>
            </w:pPr>
            <w:r>
              <w:t>24 months</w:t>
            </w:r>
          </w:p>
        </w:tc>
        <w:tc>
          <w:tcPr>
            <w:tcW w:w="1701" w:type="dxa"/>
            <w:tcBorders>
              <w:top w:val="nil"/>
              <w:bottom w:val="nil"/>
            </w:tcBorders>
            <w:vAlign w:val="top"/>
          </w:tcPr>
          <w:p w14:paraId="734A86AD" w14:textId="77777777" w:rsidR="00327047" w:rsidRDefault="00327047" w:rsidP="00A12328">
            <w:pPr>
              <w:pStyle w:val="TableText0"/>
              <w:jc w:val="center"/>
            </w:pPr>
            <w:r w:rsidRPr="00AB1AFD">
              <w:t>65.1 (56.4, 72.6)</w:t>
            </w:r>
          </w:p>
        </w:tc>
        <w:tc>
          <w:tcPr>
            <w:tcW w:w="1843" w:type="dxa"/>
            <w:tcBorders>
              <w:top w:val="nil"/>
              <w:bottom w:val="nil"/>
            </w:tcBorders>
            <w:vAlign w:val="top"/>
          </w:tcPr>
          <w:p w14:paraId="0D1D9356" w14:textId="77777777" w:rsidR="00327047" w:rsidRDefault="00327047" w:rsidP="00A12328">
            <w:pPr>
              <w:pStyle w:val="TableText0"/>
              <w:jc w:val="center"/>
            </w:pPr>
            <w:r w:rsidRPr="00AB1AFD">
              <w:t>12.5 (5.9, 21.6)</w:t>
            </w:r>
          </w:p>
        </w:tc>
        <w:tc>
          <w:tcPr>
            <w:tcW w:w="1559" w:type="dxa"/>
            <w:tcBorders>
              <w:top w:val="nil"/>
              <w:bottom w:val="nil"/>
            </w:tcBorders>
          </w:tcPr>
          <w:p w14:paraId="42AA00B7" w14:textId="77777777" w:rsidR="00327047" w:rsidRDefault="00327047" w:rsidP="00A12328">
            <w:pPr>
              <w:pStyle w:val="TableText0"/>
              <w:jc w:val="center"/>
            </w:pPr>
            <w:r>
              <w:t>52.6</w:t>
            </w:r>
          </w:p>
        </w:tc>
        <w:tc>
          <w:tcPr>
            <w:tcW w:w="1509" w:type="dxa"/>
            <w:tcBorders>
              <w:top w:val="nil"/>
              <w:bottom w:val="nil"/>
            </w:tcBorders>
          </w:tcPr>
          <w:p w14:paraId="0EEA4859" w14:textId="77777777" w:rsidR="00327047" w:rsidRDefault="00327047" w:rsidP="00A12328">
            <w:pPr>
              <w:pStyle w:val="TableText0"/>
              <w:jc w:val="center"/>
            </w:pPr>
          </w:p>
        </w:tc>
      </w:tr>
      <w:tr w:rsidR="00327047" w14:paraId="14827D0F" w14:textId="77777777" w:rsidTr="00327047">
        <w:tc>
          <w:tcPr>
            <w:tcW w:w="2405" w:type="dxa"/>
            <w:tcBorders>
              <w:top w:val="nil"/>
            </w:tcBorders>
          </w:tcPr>
          <w:p w14:paraId="344B784E" w14:textId="77777777" w:rsidR="00327047" w:rsidRDefault="00327047" w:rsidP="00A12328">
            <w:pPr>
              <w:pStyle w:val="TableText0"/>
              <w:ind w:left="170"/>
            </w:pPr>
            <w:r>
              <w:t>36 months</w:t>
            </w:r>
          </w:p>
        </w:tc>
        <w:tc>
          <w:tcPr>
            <w:tcW w:w="1701" w:type="dxa"/>
            <w:tcBorders>
              <w:top w:val="nil"/>
            </w:tcBorders>
            <w:vAlign w:val="top"/>
          </w:tcPr>
          <w:p w14:paraId="4E5320AD" w14:textId="77777777" w:rsidR="00327047" w:rsidRDefault="00327047" w:rsidP="00A12328">
            <w:pPr>
              <w:pStyle w:val="TableText0"/>
              <w:jc w:val="center"/>
            </w:pPr>
            <w:r w:rsidRPr="00AB1AFD">
              <w:t>58.4 (48.6, 66.9)</w:t>
            </w:r>
          </w:p>
        </w:tc>
        <w:tc>
          <w:tcPr>
            <w:tcW w:w="1843" w:type="dxa"/>
            <w:tcBorders>
              <w:top w:val="nil"/>
            </w:tcBorders>
            <w:vAlign w:val="top"/>
          </w:tcPr>
          <w:p w14:paraId="66196C9B" w14:textId="77777777" w:rsidR="00327047" w:rsidRDefault="00327047" w:rsidP="00A12328">
            <w:pPr>
              <w:pStyle w:val="TableText0"/>
              <w:jc w:val="center"/>
            </w:pPr>
            <w:r w:rsidRPr="00AB1AFD">
              <w:t>10.0 (4.0, 19.2)</w:t>
            </w:r>
          </w:p>
        </w:tc>
        <w:tc>
          <w:tcPr>
            <w:tcW w:w="1559" w:type="dxa"/>
            <w:tcBorders>
              <w:top w:val="nil"/>
            </w:tcBorders>
          </w:tcPr>
          <w:p w14:paraId="78685564" w14:textId="77777777" w:rsidR="00327047" w:rsidRDefault="00327047" w:rsidP="00A12328">
            <w:pPr>
              <w:pStyle w:val="TableText0"/>
              <w:jc w:val="center"/>
            </w:pPr>
            <w:r>
              <w:t>48.4</w:t>
            </w:r>
          </w:p>
        </w:tc>
        <w:tc>
          <w:tcPr>
            <w:tcW w:w="1509" w:type="dxa"/>
            <w:tcBorders>
              <w:top w:val="nil"/>
            </w:tcBorders>
          </w:tcPr>
          <w:p w14:paraId="55A0CA6C" w14:textId="77777777" w:rsidR="00327047" w:rsidRDefault="00327047" w:rsidP="00A12328">
            <w:pPr>
              <w:pStyle w:val="TableText0"/>
              <w:jc w:val="center"/>
            </w:pPr>
          </w:p>
        </w:tc>
      </w:tr>
      <w:tr w:rsidR="00327047" w14:paraId="5D77EB8D" w14:textId="77777777" w:rsidTr="00DE2F61">
        <w:tc>
          <w:tcPr>
            <w:tcW w:w="9017" w:type="dxa"/>
            <w:gridSpan w:val="5"/>
            <w:tcBorders>
              <w:bottom w:val="single" w:sz="4" w:space="0" w:color="auto"/>
            </w:tcBorders>
            <w:shd w:val="clear" w:color="auto" w:fill="D9D9D9" w:themeFill="background1" w:themeFillShade="D9"/>
          </w:tcPr>
          <w:p w14:paraId="6D046A89" w14:textId="77777777" w:rsidR="00327047" w:rsidRPr="00C42502" w:rsidRDefault="00327047" w:rsidP="00A12328">
            <w:pPr>
              <w:pStyle w:val="In-tableHeading"/>
              <w:rPr>
                <w:vertAlign w:val="superscript"/>
                <w:lang w:val="en-AU"/>
              </w:rPr>
            </w:pPr>
            <w:r w:rsidRPr="00C42502">
              <w:rPr>
                <w:lang w:val="en-AU"/>
              </w:rPr>
              <w:t>Overall survival</w:t>
            </w:r>
          </w:p>
        </w:tc>
      </w:tr>
      <w:tr w:rsidR="00327047" w14:paraId="0480D5C3" w14:textId="77777777" w:rsidTr="00327047">
        <w:tc>
          <w:tcPr>
            <w:tcW w:w="2405" w:type="dxa"/>
            <w:tcBorders>
              <w:right w:val="nil"/>
            </w:tcBorders>
          </w:tcPr>
          <w:p w14:paraId="5C945BB5" w14:textId="7B05ED67" w:rsidR="00327047" w:rsidRDefault="00327047" w:rsidP="00A12328">
            <w:pPr>
              <w:pStyle w:val="TableText0"/>
            </w:pPr>
            <w:r>
              <w:t>DCO</w:t>
            </w:r>
            <w:r w:rsidR="000E7C14">
              <w:t>1</w:t>
            </w:r>
            <w:r>
              <w:t xml:space="preserve"> 5 January 2024</w:t>
            </w:r>
          </w:p>
        </w:tc>
        <w:tc>
          <w:tcPr>
            <w:tcW w:w="1701" w:type="dxa"/>
            <w:tcBorders>
              <w:left w:val="nil"/>
              <w:right w:val="nil"/>
            </w:tcBorders>
          </w:tcPr>
          <w:p w14:paraId="428F26A4" w14:textId="77777777" w:rsidR="00327047" w:rsidRDefault="00327047" w:rsidP="00A12328">
            <w:pPr>
              <w:pStyle w:val="TableText0"/>
              <w:jc w:val="center"/>
            </w:pPr>
          </w:p>
        </w:tc>
        <w:tc>
          <w:tcPr>
            <w:tcW w:w="1843" w:type="dxa"/>
            <w:tcBorders>
              <w:left w:val="nil"/>
              <w:right w:val="nil"/>
            </w:tcBorders>
          </w:tcPr>
          <w:p w14:paraId="08CA2D09" w14:textId="77777777" w:rsidR="00327047" w:rsidRDefault="00327047" w:rsidP="00A12328">
            <w:pPr>
              <w:pStyle w:val="TableText0"/>
              <w:jc w:val="center"/>
            </w:pPr>
          </w:p>
        </w:tc>
        <w:tc>
          <w:tcPr>
            <w:tcW w:w="1559" w:type="dxa"/>
            <w:tcBorders>
              <w:left w:val="nil"/>
              <w:right w:val="nil"/>
            </w:tcBorders>
          </w:tcPr>
          <w:p w14:paraId="4F2E625F" w14:textId="77777777" w:rsidR="00327047" w:rsidRDefault="00327047" w:rsidP="00A12328">
            <w:pPr>
              <w:pStyle w:val="TableText0"/>
              <w:jc w:val="center"/>
            </w:pPr>
          </w:p>
        </w:tc>
        <w:tc>
          <w:tcPr>
            <w:tcW w:w="1509" w:type="dxa"/>
            <w:tcBorders>
              <w:left w:val="nil"/>
            </w:tcBorders>
          </w:tcPr>
          <w:p w14:paraId="4180C7E1" w14:textId="77777777" w:rsidR="00327047" w:rsidRDefault="00327047" w:rsidP="00A12328">
            <w:pPr>
              <w:pStyle w:val="TableText0"/>
              <w:jc w:val="center"/>
            </w:pPr>
          </w:p>
        </w:tc>
      </w:tr>
      <w:tr w:rsidR="00327047" w14:paraId="182484A5" w14:textId="77777777" w:rsidTr="00327047">
        <w:tc>
          <w:tcPr>
            <w:tcW w:w="2405" w:type="dxa"/>
          </w:tcPr>
          <w:p w14:paraId="5D955734" w14:textId="77777777" w:rsidR="00327047" w:rsidRDefault="00327047" w:rsidP="00A12328">
            <w:pPr>
              <w:pStyle w:val="TableText0"/>
            </w:pPr>
            <w:r>
              <w:t>Patients with event, n/N (%)</w:t>
            </w:r>
          </w:p>
        </w:tc>
        <w:tc>
          <w:tcPr>
            <w:tcW w:w="1701" w:type="dxa"/>
          </w:tcPr>
          <w:p w14:paraId="453F5D07" w14:textId="77777777" w:rsidR="00327047" w:rsidRDefault="00327047" w:rsidP="00A12328">
            <w:pPr>
              <w:pStyle w:val="TableText0"/>
              <w:jc w:val="center"/>
            </w:pPr>
            <w:r>
              <w:t>28/143 (19.6)</w:t>
            </w:r>
          </w:p>
        </w:tc>
        <w:tc>
          <w:tcPr>
            <w:tcW w:w="1843" w:type="dxa"/>
          </w:tcPr>
          <w:p w14:paraId="2AE0A80A" w14:textId="77777777" w:rsidR="00327047" w:rsidRDefault="00327047" w:rsidP="00A12328">
            <w:pPr>
              <w:pStyle w:val="TableText0"/>
              <w:jc w:val="center"/>
            </w:pPr>
            <w:r>
              <w:t>15/73 (20.5)</w:t>
            </w:r>
          </w:p>
        </w:tc>
        <w:tc>
          <w:tcPr>
            <w:tcW w:w="1559" w:type="dxa"/>
          </w:tcPr>
          <w:p w14:paraId="079B60F3" w14:textId="77777777" w:rsidR="00327047" w:rsidRDefault="00327047" w:rsidP="00A12328">
            <w:pPr>
              <w:pStyle w:val="TableText0"/>
              <w:jc w:val="center"/>
            </w:pPr>
            <w:r>
              <w:t xml:space="preserve">- </w:t>
            </w:r>
          </w:p>
        </w:tc>
        <w:tc>
          <w:tcPr>
            <w:tcW w:w="1509" w:type="dxa"/>
          </w:tcPr>
          <w:p w14:paraId="6EE31188" w14:textId="77777777" w:rsidR="00327047" w:rsidRDefault="00327047" w:rsidP="00A12328">
            <w:pPr>
              <w:pStyle w:val="TableText0"/>
              <w:jc w:val="center"/>
            </w:pPr>
            <w:r>
              <w:t>-</w:t>
            </w:r>
          </w:p>
        </w:tc>
      </w:tr>
      <w:tr w:rsidR="00327047" w14:paraId="2F9AD0A4" w14:textId="77777777" w:rsidTr="00327047">
        <w:tc>
          <w:tcPr>
            <w:tcW w:w="2405" w:type="dxa"/>
            <w:tcBorders>
              <w:bottom w:val="single" w:sz="4" w:space="0" w:color="auto"/>
            </w:tcBorders>
          </w:tcPr>
          <w:p w14:paraId="4C0179B2" w14:textId="77777777" w:rsidR="00327047" w:rsidRDefault="00327047" w:rsidP="00A12328">
            <w:pPr>
              <w:pStyle w:val="TableText0"/>
            </w:pPr>
            <w:r>
              <w:t>Median OS, months (95%CI)</w:t>
            </w:r>
          </w:p>
        </w:tc>
        <w:tc>
          <w:tcPr>
            <w:tcW w:w="1701" w:type="dxa"/>
            <w:tcBorders>
              <w:bottom w:val="single" w:sz="4" w:space="0" w:color="auto"/>
            </w:tcBorders>
          </w:tcPr>
          <w:p w14:paraId="6FA66DA4" w14:textId="77777777" w:rsidR="00327047" w:rsidRDefault="00327047" w:rsidP="00A12328">
            <w:pPr>
              <w:pStyle w:val="TableText0"/>
              <w:jc w:val="center"/>
            </w:pPr>
            <w:r>
              <w:t>53.95 (46.49, NC)</w:t>
            </w:r>
          </w:p>
        </w:tc>
        <w:tc>
          <w:tcPr>
            <w:tcW w:w="1843" w:type="dxa"/>
            <w:tcBorders>
              <w:bottom w:val="single" w:sz="4" w:space="0" w:color="auto"/>
            </w:tcBorders>
          </w:tcPr>
          <w:p w14:paraId="5EC90D75" w14:textId="77777777" w:rsidR="00327047" w:rsidRDefault="00327047" w:rsidP="00A12328">
            <w:pPr>
              <w:pStyle w:val="TableText0"/>
              <w:jc w:val="center"/>
            </w:pPr>
            <w:r>
              <w:t>NC (42.05, NC)</w:t>
            </w:r>
          </w:p>
        </w:tc>
        <w:tc>
          <w:tcPr>
            <w:tcW w:w="1559" w:type="dxa"/>
            <w:tcBorders>
              <w:bottom w:val="single" w:sz="4" w:space="0" w:color="auto"/>
            </w:tcBorders>
          </w:tcPr>
          <w:p w14:paraId="62163C76" w14:textId="77777777" w:rsidR="00327047" w:rsidRDefault="00327047" w:rsidP="00A12328">
            <w:pPr>
              <w:pStyle w:val="TableText0"/>
              <w:jc w:val="center"/>
            </w:pPr>
            <w:r>
              <w:t>-</w:t>
            </w:r>
          </w:p>
        </w:tc>
        <w:tc>
          <w:tcPr>
            <w:tcW w:w="1509" w:type="dxa"/>
            <w:tcBorders>
              <w:bottom w:val="single" w:sz="4" w:space="0" w:color="auto"/>
            </w:tcBorders>
          </w:tcPr>
          <w:p w14:paraId="521AD676" w14:textId="77777777" w:rsidR="00327047" w:rsidRDefault="00327047" w:rsidP="00A12328">
            <w:pPr>
              <w:pStyle w:val="TableText0"/>
              <w:jc w:val="center"/>
            </w:pPr>
            <w:r>
              <w:t>0.81 (0.42, 1.56)</w:t>
            </w:r>
          </w:p>
          <w:p w14:paraId="0A1A577B" w14:textId="5BCB05EB" w:rsidR="00A37425" w:rsidRDefault="00A37425" w:rsidP="00A12328">
            <w:pPr>
              <w:pStyle w:val="TableText0"/>
              <w:jc w:val="center"/>
            </w:pPr>
            <w:r>
              <w:t>p=0.</w:t>
            </w:r>
            <w:r w:rsidR="006268DD">
              <w:t>530</w:t>
            </w:r>
          </w:p>
        </w:tc>
      </w:tr>
      <w:tr w:rsidR="00327047" w14:paraId="7F00F968" w14:textId="77777777" w:rsidTr="00327047">
        <w:tc>
          <w:tcPr>
            <w:tcW w:w="2405" w:type="dxa"/>
            <w:tcBorders>
              <w:bottom w:val="nil"/>
            </w:tcBorders>
          </w:tcPr>
          <w:p w14:paraId="6142FDF1" w14:textId="77777777" w:rsidR="00327047" w:rsidRDefault="00327047" w:rsidP="00A12328">
            <w:pPr>
              <w:pStyle w:val="TableText0"/>
            </w:pPr>
            <w:r>
              <w:t>OS rate, % (95%CI)</w:t>
            </w:r>
          </w:p>
        </w:tc>
        <w:tc>
          <w:tcPr>
            <w:tcW w:w="1701" w:type="dxa"/>
            <w:tcBorders>
              <w:bottom w:val="nil"/>
            </w:tcBorders>
          </w:tcPr>
          <w:p w14:paraId="6214E2A3" w14:textId="77777777" w:rsidR="00327047" w:rsidRDefault="00327047" w:rsidP="00A12328">
            <w:pPr>
              <w:pStyle w:val="TableText0"/>
              <w:jc w:val="center"/>
            </w:pPr>
          </w:p>
        </w:tc>
        <w:tc>
          <w:tcPr>
            <w:tcW w:w="1843" w:type="dxa"/>
            <w:tcBorders>
              <w:bottom w:val="nil"/>
            </w:tcBorders>
          </w:tcPr>
          <w:p w14:paraId="56476A1F" w14:textId="77777777" w:rsidR="00327047" w:rsidRDefault="00327047" w:rsidP="00A12328">
            <w:pPr>
              <w:pStyle w:val="TableText0"/>
              <w:jc w:val="center"/>
            </w:pPr>
          </w:p>
        </w:tc>
        <w:tc>
          <w:tcPr>
            <w:tcW w:w="1559" w:type="dxa"/>
            <w:tcBorders>
              <w:bottom w:val="nil"/>
            </w:tcBorders>
          </w:tcPr>
          <w:p w14:paraId="0CBEF81D" w14:textId="77777777" w:rsidR="00327047" w:rsidRDefault="00327047" w:rsidP="00A12328">
            <w:pPr>
              <w:pStyle w:val="TableText0"/>
              <w:jc w:val="center"/>
            </w:pPr>
          </w:p>
        </w:tc>
        <w:tc>
          <w:tcPr>
            <w:tcW w:w="1509" w:type="dxa"/>
            <w:tcBorders>
              <w:bottom w:val="nil"/>
            </w:tcBorders>
          </w:tcPr>
          <w:p w14:paraId="154123A4" w14:textId="77777777" w:rsidR="00327047" w:rsidRDefault="00327047" w:rsidP="00A12328">
            <w:pPr>
              <w:pStyle w:val="TableText0"/>
              <w:jc w:val="center"/>
            </w:pPr>
          </w:p>
        </w:tc>
      </w:tr>
      <w:tr w:rsidR="00327047" w14:paraId="3796AE0A" w14:textId="77777777" w:rsidTr="00327047">
        <w:tc>
          <w:tcPr>
            <w:tcW w:w="2405" w:type="dxa"/>
            <w:tcBorders>
              <w:top w:val="nil"/>
              <w:bottom w:val="nil"/>
            </w:tcBorders>
            <w:vAlign w:val="top"/>
          </w:tcPr>
          <w:p w14:paraId="636CF8C6" w14:textId="77777777" w:rsidR="00327047" w:rsidRDefault="00327047" w:rsidP="00A12328">
            <w:pPr>
              <w:pStyle w:val="TableText0"/>
              <w:ind w:left="170"/>
            </w:pPr>
            <w:r w:rsidRPr="00372D64">
              <w:t>12 months</w:t>
            </w:r>
          </w:p>
        </w:tc>
        <w:tc>
          <w:tcPr>
            <w:tcW w:w="1701" w:type="dxa"/>
            <w:tcBorders>
              <w:top w:val="nil"/>
              <w:bottom w:val="nil"/>
            </w:tcBorders>
            <w:vAlign w:val="top"/>
          </w:tcPr>
          <w:p w14:paraId="6690B6A5" w14:textId="77777777" w:rsidR="00327047" w:rsidRDefault="00327047" w:rsidP="00A12328">
            <w:pPr>
              <w:pStyle w:val="TableText0"/>
              <w:jc w:val="center"/>
            </w:pPr>
            <w:r w:rsidRPr="00372D64">
              <w:t>95.0 (89.8, 97.6)</w:t>
            </w:r>
          </w:p>
        </w:tc>
        <w:tc>
          <w:tcPr>
            <w:tcW w:w="1843" w:type="dxa"/>
            <w:tcBorders>
              <w:top w:val="nil"/>
              <w:bottom w:val="nil"/>
            </w:tcBorders>
            <w:vAlign w:val="top"/>
          </w:tcPr>
          <w:p w14:paraId="58BBB54D" w14:textId="77777777" w:rsidR="00327047" w:rsidRDefault="00327047" w:rsidP="00A12328">
            <w:pPr>
              <w:pStyle w:val="TableText0"/>
              <w:jc w:val="center"/>
            </w:pPr>
            <w:r w:rsidRPr="00372D64">
              <w:t>98.6 (90.3, 99.8)</w:t>
            </w:r>
          </w:p>
        </w:tc>
        <w:tc>
          <w:tcPr>
            <w:tcW w:w="1559" w:type="dxa"/>
            <w:tcBorders>
              <w:top w:val="nil"/>
              <w:bottom w:val="nil"/>
            </w:tcBorders>
            <w:vAlign w:val="top"/>
          </w:tcPr>
          <w:p w14:paraId="34273140" w14:textId="77777777" w:rsidR="00327047" w:rsidRDefault="00327047" w:rsidP="00A12328">
            <w:pPr>
              <w:pStyle w:val="TableText0"/>
              <w:jc w:val="center"/>
            </w:pPr>
            <w:r>
              <w:t>-3.6</w:t>
            </w:r>
          </w:p>
        </w:tc>
        <w:tc>
          <w:tcPr>
            <w:tcW w:w="1509" w:type="dxa"/>
            <w:tcBorders>
              <w:top w:val="nil"/>
              <w:bottom w:val="nil"/>
            </w:tcBorders>
            <w:vAlign w:val="top"/>
          </w:tcPr>
          <w:p w14:paraId="5E993BC4" w14:textId="77777777" w:rsidR="00327047" w:rsidRDefault="00327047" w:rsidP="00A12328">
            <w:pPr>
              <w:pStyle w:val="TableText0"/>
              <w:jc w:val="center"/>
            </w:pPr>
          </w:p>
        </w:tc>
      </w:tr>
      <w:tr w:rsidR="00327047" w14:paraId="0A456DAE" w14:textId="77777777" w:rsidTr="00327047">
        <w:tc>
          <w:tcPr>
            <w:tcW w:w="2405" w:type="dxa"/>
            <w:tcBorders>
              <w:top w:val="nil"/>
              <w:bottom w:val="nil"/>
            </w:tcBorders>
            <w:vAlign w:val="top"/>
          </w:tcPr>
          <w:p w14:paraId="2A9F7553" w14:textId="77777777" w:rsidR="00327047" w:rsidRDefault="00327047" w:rsidP="00A12328">
            <w:pPr>
              <w:pStyle w:val="TableText0"/>
              <w:ind w:left="170"/>
            </w:pPr>
            <w:r w:rsidRPr="00372D64">
              <w:t>24 months</w:t>
            </w:r>
          </w:p>
        </w:tc>
        <w:tc>
          <w:tcPr>
            <w:tcW w:w="1701" w:type="dxa"/>
            <w:tcBorders>
              <w:top w:val="nil"/>
              <w:bottom w:val="nil"/>
            </w:tcBorders>
            <w:vAlign w:val="top"/>
          </w:tcPr>
          <w:p w14:paraId="4264B3C4" w14:textId="77777777" w:rsidR="00327047" w:rsidRDefault="00327047" w:rsidP="00A12328">
            <w:pPr>
              <w:pStyle w:val="TableText0"/>
              <w:jc w:val="center"/>
            </w:pPr>
            <w:r w:rsidRPr="00372D64">
              <w:t>90.3 (83.8, 94.2)</w:t>
            </w:r>
          </w:p>
        </w:tc>
        <w:tc>
          <w:tcPr>
            <w:tcW w:w="1843" w:type="dxa"/>
            <w:tcBorders>
              <w:top w:val="nil"/>
              <w:bottom w:val="nil"/>
            </w:tcBorders>
            <w:vAlign w:val="top"/>
          </w:tcPr>
          <w:p w14:paraId="2C512C0A" w14:textId="77777777" w:rsidR="00327047" w:rsidRDefault="00327047" w:rsidP="00A12328">
            <w:pPr>
              <w:pStyle w:val="TableText0"/>
              <w:jc w:val="center"/>
            </w:pPr>
            <w:r w:rsidRPr="00372D64">
              <w:t>90.8 (80.5, 95.8)</w:t>
            </w:r>
          </w:p>
        </w:tc>
        <w:tc>
          <w:tcPr>
            <w:tcW w:w="1559" w:type="dxa"/>
            <w:tcBorders>
              <w:top w:val="nil"/>
              <w:bottom w:val="nil"/>
            </w:tcBorders>
            <w:vAlign w:val="top"/>
          </w:tcPr>
          <w:p w14:paraId="41133A33" w14:textId="77777777" w:rsidR="00327047" w:rsidRDefault="00327047" w:rsidP="00A12328">
            <w:pPr>
              <w:pStyle w:val="TableText0"/>
              <w:jc w:val="center"/>
            </w:pPr>
            <w:r>
              <w:t>-0.5</w:t>
            </w:r>
          </w:p>
        </w:tc>
        <w:tc>
          <w:tcPr>
            <w:tcW w:w="1509" w:type="dxa"/>
            <w:tcBorders>
              <w:top w:val="nil"/>
              <w:bottom w:val="nil"/>
            </w:tcBorders>
            <w:vAlign w:val="top"/>
          </w:tcPr>
          <w:p w14:paraId="19AC83B5" w14:textId="77777777" w:rsidR="00327047" w:rsidRDefault="00327047" w:rsidP="00A12328">
            <w:pPr>
              <w:pStyle w:val="TableText0"/>
              <w:jc w:val="center"/>
            </w:pPr>
          </w:p>
        </w:tc>
      </w:tr>
      <w:tr w:rsidR="00327047" w14:paraId="654BDF1C" w14:textId="77777777" w:rsidTr="00327047">
        <w:tc>
          <w:tcPr>
            <w:tcW w:w="2405" w:type="dxa"/>
            <w:tcBorders>
              <w:top w:val="nil"/>
              <w:bottom w:val="nil"/>
            </w:tcBorders>
            <w:vAlign w:val="top"/>
          </w:tcPr>
          <w:p w14:paraId="248D6529" w14:textId="77777777" w:rsidR="00327047" w:rsidRDefault="00327047" w:rsidP="00A12328">
            <w:pPr>
              <w:pStyle w:val="TableText0"/>
              <w:ind w:left="170"/>
            </w:pPr>
            <w:r w:rsidRPr="00372D64">
              <w:t>36 months</w:t>
            </w:r>
          </w:p>
        </w:tc>
        <w:tc>
          <w:tcPr>
            <w:tcW w:w="1701" w:type="dxa"/>
            <w:tcBorders>
              <w:top w:val="nil"/>
              <w:bottom w:val="nil"/>
            </w:tcBorders>
            <w:vAlign w:val="top"/>
          </w:tcPr>
          <w:p w14:paraId="5F6E8B2B" w14:textId="77777777" w:rsidR="00327047" w:rsidRDefault="00327047" w:rsidP="00A12328">
            <w:pPr>
              <w:pStyle w:val="TableText0"/>
              <w:jc w:val="center"/>
            </w:pPr>
            <w:r w:rsidRPr="00372D64">
              <w:t>83.7 (75.3, 89.4)</w:t>
            </w:r>
          </w:p>
        </w:tc>
        <w:tc>
          <w:tcPr>
            <w:tcW w:w="1843" w:type="dxa"/>
            <w:tcBorders>
              <w:top w:val="nil"/>
              <w:bottom w:val="nil"/>
            </w:tcBorders>
            <w:vAlign w:val="top"/>
          </w:tcPr>
          <w:p w14:paraId="2EDDD015" w14:textId="77777777" w:rsidR="00327047" w:rsidRDefault="00327047" w:rsidP="00A12328">
            <w:pPr>
              <w:pStyle w:val="TableText0"/>
              <w:jc w:val="center"/>
            </w:pPr>
            <w:r w:rsidRPr="00372D64">
              <w:t>73.7 (56.7, 84.9)</w:t>
            </w:r>
          </w:p>
        </w:tc>
        <w:tc>
          <w:tcPr>
            <w:tcW w:w="1559" w:type="dxa"/>
            <w:tcBorders>
              <w:top w:val="nil"/>
              <w:bottom w:val="nil"/>
            </w:tcBorders>
            <w:vAlign w:val="top"/>
          </w:tcPr>
          <w:p w14:paraId="0E8478D8" w14:textId="77777777" w:rsidR="00327047" w:rsidRDefault="00327047" w:rsidP="00A12328">
            <w:pPr>
              <w:pStyle w:val="TableText0"/>
              <w:jc w:val="center"/>
            </w:pPr>
            <w:r>
              <w:t>10.0</w:t>
            </w:r>
          </w:p>
        </w:tc>
        <w:tc>
          <w:tcPr>
            <w:tcW w:w="1509" w:type="dxa"/>
            <w:tcBorders>
              <w:top w:val="nil"/>
              <w:bottom w:val="nil"/>
            </w:tcBorders>
            <w:vAlign w:val="top"/>
          </w:tcPr>
          <w:p w14:paraId="0B1CA753" w14:textId="77777777" w:rsidR="00327047" w:rsidRDefault="00327047" w:rsidP="00A12328">
            <w:pPr>
              <w:pStyle w:val="TableText0"/>
              <w:jc w:val="center"/>
            </w:pPr>
          </w:p>
        </w:tc>
      </w:tr>
      <w:tr w:rsidR="00327047" w14:paraId="139727F4" w14:textId="77777777" w:rsidTr="00327047">
        <w:tc>
          <w:tcPr>
            <w:tcW w:w="2405" w:type="dxa"/>
            <w:tcBorders>
              <w:top w:val="nil"/>
            </w:tcBorders>
            <w:vAlign w:val="top"/>
          </w:tcPr>
          <w:p w14:paraId="2ABB2BB6" w14:textId="77777777" w:rsidR="00327047" w:rsidRDefault="00327047" w:rsidP="00A12328">
            <w:pPr>
              <w:pStyle w:val="TableText0"/>
              <w:ind w:left="170"/>
            </w:pPr>
            <w:r w:rsidRPr="00372D64">
              <w:t>48 months</w:t>
            </w:r>
          </w:p>
        </w:tc>
        <w:tc>
          <w:tcPr>
            <w:tcW w:w="1701" w:type="dxa"/>
            <w:tcBorders>
              <w:top w:val="nil"/>
            </w:tcBorders>
            <w:vAlign w:val="top"/>
          </w:tcPr>
          <w:p w14:paraId="6988A63A" w14:textId="77777777" w:rsidR="00327047" w:rsidRDefault="00327047" w:rsidP="00A12328">
            <w:pPr>
              <w:pStyle w:val="TableText0"/>
              <w:jc w:val="center"/>
            </w:pPr>
            <w:r w:rsidRPr="00372D64">
              <w:t>65.1 (47.9, 77.8)</w:t>
            </w:r>
          </w:p>
        </w:tc>
        <w:tc>
          <w:tcPr>
            <w:tcW w:w="1843" w:type="dxa"/>
            <w:tcBorders>
              <w:top w:val="nil"/>
            </w:tcBorders>
            <w:vAlign w:val="top"/>
          </w:tcPr>
          <w:p w14:paraId="3A5DF95B" w14:textId="77777777" w:rsidR="00327047" w:rsidRDefault="00327047" w:rsidP="00A12328">
            <w:pPr>
              <w:pStyle w:val="TableText0"/>
              <w:jc w:val="center"/>
            </w:pPr>
            <w:r w:rsidRPr="00372D64">
              <w:t>52.4 (26.6, 72.9)</w:t>
            </w:r>
          </w:p>
        </w:tc>
        <w:tc>
          <w:tcPr>
            <w:tcW w:w="1559" w:type="dxa"/>
            <w:tcBorders>
              <w:top w:val="nil"/>
            </w:tcBorders>
            <w:vAlign w:val="top"/>
          </w:tcPr>
          <w:p w14:paraId="4233DC52" w14:textId="77777777" w:rsidR="00327047" w:rsidRDefault="00327047" w:rsidP="00A12328">
            <w:pPr>
              <w:pStyle w:val="TableText0"/>
              <w:jc w:val="center"/>
            </w:pPr>
            <w:r>
              <w:t>12.7</w:t>
            </w:r>
          </w:p>
        </w:tc>
        <w:tc>
          <w:tcPr>
            <w:tcW w:w="1509" w:type="dxa"/>
            <w:tcBorders>
              <w:top w:val="nil"/>
            </w:tcBorders>
            <w:vAlign w:val="top"/>
          </w:tcPr>
          <w:p w14:paraId="5A97FB79" w14:textId="77777777" w:rsidR="00327047" w:rsidRDefault="00327047" w:rsidP="00A12328">
            <w:pPr>
              <w:pStyle w:val="TableText0"/>
              <w:jc w:val="center"/>
            </w:pPr>
          </w:p>
        </w:tc>
      </w:tr>
      <w:tr w:rsidR="00327047" w14:paraId="6F43704C" w14:textId="77777777" w:rsidTr="00327047">
        <w:tc>
          <w:tcPr>
            <w:tcW w:w="2405" w:type="dxa"/>
            <w:tcBorders>
              <w:bottom w:val="single" w:sz="4" w:space="0" w:color="auto"/>
            </w:tcBorders>
            <w:vAlign w:val="top"/>
          </w:tcPr>
          <w:p w14:paraId="28E46AB3" w14:textId="77777777" w:rsidR="00327047" w:rsidRDefault="00327047" w:rsidP="00A12328">
            <w:pPr>
              <w:pStyle w:val="TableText0"/>
            </w:pPr>
            <w:r w:rsidRPr="00372D64">
              <w:t>Median (range) duration of follow</w:t>
            </w:r>
            <w:r>
              <w:t>-up, months</w:t>
            </w:r>
          </w:p>
        </w:tc>
        <w:tc>
          <w:tcPr>
            <w:tcW w:w="1701" w:type="dxa"/>
            <w:tcBorders>
              <w:bottom w:val="single" w:sz="4" w:space="0" w:color="auto"/>
            </w:tcBorders>
          </w:tcPr>
          <w:p w14:paraId="5DDE0B33" w14:textId="77777777" w:rsidR="00327047" w:rsidRDefault="00327047" w:rsidP="00A12328">
            <w:pPr>
              <w:pStyle w:val="TableText0"/>
              <w:jc w:val="center"/>
            </w:pPr>
            <w:r w:rsidRPr="00372D64">
              <w:t>29.50 (1.87 to 62.88)</w:t>
            </w:r>
          </w:p>
        </w:tc>
        <w:tc>
          <w:tcPr>
            <w:tcW w:w="1843" w:type="dxa"/>
            <w:tcBorders>
              <w:bottom w:val="single" w:sz="4" w:space="0" w:color="auto"/>
            </w:tcBorders>
          </w:tcPr>
          <w:p w14:paraId="2A6089E2" w14:textId="77777777" w:rsidR="00327047" w:rsidRDefault="00327047" w:rsidP="00A12328">
            <w:pPr>
              <w:pStyle w:val="TableText0"/>
              <w:jc w:val="center"/>
            </w:pPr>
            <w:r w:rsidRPr="00372D64">
              <w:t>28.09 (4.93 to 61.24)</w:t>
            </w:r>
          </w:p>
        </w:tc>
        <w:tc>
          <w:tcPr>
            <w:tcW w:w="1559" w:type="dxa"/>
            <w:tcBorders>
              <w:bottom w:val="single" w:sz="4" w:space="0" w:color="auto"/>
            </w:tcBorders>
          </w:tcPr>
          <w:p w14:paraId="54965B39" w14:textId="77777777" w:rsidR="00327047" w:rsidRDefault="00327047" w:rsidP="00A12328">
            <w:pPr>
              <w:pStyle w:val="TableText0"/>
              <w:jc w:val="center"/>
            </w:pPr>
            <w:r>
              <w:t xml:space="preserve"> </w:t>
            </w:r>
          </w:p>
        </w:tc>
        <w:tc>
          <w:tcPr>
            <w:tcW w:w="1509" w:type="dxa"/>
            <w:tcBorders>
              <w:bottom w:val="single" w:sz="4" w:space="0" w:color="auto"/>
            </w:tcBorders>
            <w:vAlign w:val="top"/>
          </w:tcPr>
          <w:p w14:paraId="2736756C" w14:textId="77777777" w:rsidR="00327047" w:rsidRDefault="00327047" w:rsidP="00A12328">
            <w:pPr>
              <w:pStyle w:val="TableText0"/>
              <w:jc w:val="center"/>
            </w:pPr>
          </w:p>
        </w:tc>
      </w:tr>
      <w:tr w:rsidR="00327047" w14:paraId="72D96DB4" w14:textId="77777777" w:rsidTr="00327047">
        <w:tc>
          <w:tcPr>
            <w:tcW w:w="2405" w:type="dxa"/>
            <w:tcBorders>
              <w:right w:val="nil"/>
            </w:tcBorders>
          </w:tcPr>
          <w:p w14:paraId="0937F911" w14:textId="2D7174D7" w:rsidR="00327047" w:rsidRDefault="00327047" w:rsidP="00A12328">
            <w:pPr>
              <w:pStyle w:val="TableText0"/>
            </w:pPr>
            <w:r>
              <w:t>DCO</w:t>
            </w:r>
            <w:r w:rsidR="006076BA">
              <w:t>2</w:t>
            </w:r>
            <w:r>
              <w:t xml:space="preserve"> 29 Nov 2024</w:t>
            </w:r>
          </w:p>
        </w:tc>
        <w:tc>
          <w:tcPr>
            <w:tcW w:w="1701" w:type="dxa"/>
            <w:tcBorders>
              <w:left w:val="nil"/>
              <w:right w:val="nil"/>
            </w:tcBorders>
          </w:tcPr>
          <w:p w14:paraId="435AB28E" w14:textId="77777777" w:rsidR="00327047" w:rsidRDefault="00327047" w:rsidP="00A12328">
            <w:pPr>
              <w:pStyle w:val="TableText0"/>
              <w:jc w:val="center"/>
            </w:pPr>
          </w:p>
        </w:tc>
        <w:tc>
          <w:tcPr>
            <w:tcW w:w="1843" w:type="dxa"/>
            <w:tcBorders>
              <w:left w:val="nil"/>
              <w:right w:val="nil"/>
            </w:tcBorders>
          </w:tcPr>
          <w:p w14:paraId="0980BFF7" w14:textId="77777777" w:rsidR="00327047" w:rsidRDefault="00327047" w:rsidP="00A12328">
            <w:pPr>
              <w:pStyle w:val="TableText0"/>
              <w:jc w:val="center"/>
            </w:pPr>
          </w:p>
        </w:tc>
        <w:tc>
          <w:tcPr>
            <w:tcW w:w="1559" w:type="dxa"/>
            <w:tcBorders>
              <w:left w:val="nil"/>
              <w:right w:val="nil"/>
            </w:tcBorders>
          </w:tcPr>
          <w:p w14:paraId="2B511A0F" w14:textId="77777777" w:rsidR="00327047" w:rsidRDefault="00327047" w:rsidP="00A12328">
            <w:pPr>
              <w:pStyle w:val="TableText0"/>
              <w:jc w:val="center"/>
            </w:pPr>
          </w:p>
        </w:tc>
        <w:tc>
          <w:tcPr>
            <w:tcW w:w="1509" w:type="dxa"/>
            <w:tcBorders>
              <w:left w:val="nil"/>
            </w:tcBorders>
          </w:tcPr>
          <w:p w14:paraId="6161752F" w14:textId="77777777" w:rsidR="00327047" w:rsidRDefault="00327047" w:rsidP="00A12328">
            <w:pPr>
              <w:pStyle w:val="TableText0"/>
              <w:jc w:val="center"/>
            </w:pPr>
          </w:p>
        </w:tc>
      </w:tr>
      <w:tr w:rsidR="00327047" w14:paraId="5AAAAEAE" w14:textId="77777777" w:rsidTr="00327047">
        <w:tc>
          <w:tcPr>
            <w:tcW w:w="2405" w:type="dxa"/>
          </w:tcPr>
          <w:p w14:paraId="1A52863B" w14:textId="77777777" w:rsidR="00327047" w:rsidRDefault="00327047" w:rsidP="00A12328">
            <w:pPr>
              <w:pStyle w:val="TableText0"/>
            </w:pPr>
            <w:r>
              <w:t>Patients with event, n/N (%)</w:t>
            </w:r>
          </w:p>
        </w:tc>
        <w:tc>
          <w:tcPr>
            <w:tcW w:w="1701" w:type="dxa"/>
          </w:tcPr>
          <w:p w14:paraId="6AF45860" w14:textId="77777777" w:rsidR="00327047" w:rsidRDefault="00327047" w:rsidP="00A12328">
            <w:pPr>
              <w:pStyle w:val="TableText0"/>
              <w:jc w:val="center"/>
            </w:pPr>
            <w:r>
              <w:t>40/143 (28.0)</w:t>
            </w:r>
          </w:p>
        </w:tc>
        <w:tc>
          <w:tcPr>
            <w:tcW w:w="1843" w:type="dxa"/>
          </w:tcPr>
          <w:p w14:paraId="3AEF5E00" w14:textId="77777777" w:rsidR="00327047" w:rsidRDefault="00327047" w:rsidP="00A12328">
            <w:pPr>
              <w:pStyle w:val="TableText0"/>
              <w:jc w:val="center"/>
            </w:pPr>
            <w:r>
              <w:t>26/73 (35.6)</w:t>
            </w:r>
          </w:p>
        </w:tc>
        <w:tc>
          <w:tcPr>
            <w:tcW w:w="1559" w:type="dxa"/>
          </w:tcPr>
          <w:p w14:paraId="0BF5FB0C" w14:textId="77777777" w:rsidR="00327047" w:rsidRDefault="00327047" w:rsidP="00A12328">
            <w:pPr>
              <w:pStyle w:val="TableText0"/>
              <w:jc w:val="center"/>
            </w:pPr>
            <w:r>
              <w:t xml:space="preserve">- </w:t>
            </w:r>
          </w:p>
        </w:tc>
        <w:tc>
          <w:tcPr>
            <w:tcW w:w="1509" w:type="dxa"/>
          </w:tcPr>
          <w:p w14:paraId="76ACB50D" w14:textId="77777777" w:rsidR="00327047" w:rsidRDefault="00327047" w:rsidP="00A12328">
            <w:pPr>
              <w:pStyle w:val="TableText0"/>
              <w:jc w:val="center"/>
            </w:pPr>
            <w:r>
              <w:t>-</w:t>
            </w:r>
          </w:p>
        </w:tc>
      </w:tr>
      <w:tr w:rsidR="00327047" w14:paraId="2F89E27C" w14:textId="77777777" w:rsidTr="00327047">
        <w:tc>
          <w:tcPr>
            <w:tcW w:w="2405" w:type="dxa"/>
          </w:tcPr>
          <w:p w14:paraId="60FC25E5" w14:textId="77777777" w:rsidR="00327047" w:rsidRDefault="00327047" w:rsidP="00A12328">
            <w:pPr>
              <w:pStyle w:val="TableText0"/>
            </w:pPr>
            <w:r>
              <w:t>Median OS, months (95% CI)</w:t>
            </w:r>
          </w:p>
        </w:tc>
        <w:tc>
          <w:tcPr>
            <w:tcW w:w="1701" w:type="dxa"/>
          </w:tcPr>
          <w:p w14:paraId="4446B67B" w14:textId="77777777" w:rsidR="00327047" w:rsidRDefault="00327047" w:rsidP="00A12328">
            <w:pPr>
              <w:pStyle w:val="TableText0"/>
              <w:jc w:val="center"/>
            </w:pPr>
            <w:r>
              <w:t>58.81 (54.08. NC)</w:t>
            </w:r>
          </w:p>
        </w:tc>
        <w:tc>
          <w:tcPr>
            <w:tcW w:w="1843" w:type="dxa"/>
          </w:tcPr>
          <w:p w14:paraId="67D362ED" w14:textId="77777777" w:rsidR="00327047" w:rsidRDefault="00327047" w:rsidP="00A12328">
            <w:pPr>
              <w:pStyle w:val="TableText0"/>
              <w:jc w:val="center"/>
            </w:pPr>
            <w:r>
              <w:t>53.98 (42.05, NC)</w:t>
            </w:r>
          </w:p>
        </w:tc>
        <w:tc>
          <w:tcPr>
            <w:tcW w:w="1559" w:type="dxa"/>
          </w:tcPr>
          <w:p w14:paraId="3386FA8F" w14:textId="77777777" w:rsidR="00327047" w:rsidRDefault="00327047" w:rsidP="00A12328">
            <w:pPr>
              <w:pStyle w:val="TableText0"/>
              <w:jc w:val="center"/>
            </w:pPr>
            <w:r>
              <w:t>4.83</w:t>
            </w:r>
          </w:p>
        </w:tc>
        <w:tc>
          <w:tcPr>
            <w:tcW w:w="1509" w:type="dxa"/>
          </w:tcPr>
          <w:p w14:paraId="585CF417" w14:textId="77777777" w:rsidR="00327047" w:rsidRDefault="00327047" w:rsidP="00A12328">
            <w:pPr>
              <w:pStyle w:val="TableText0"/>
              <w:jc w:val="center"/>
            </w:pPr>
            <w:r>
              <w:t>0.67 (0.40, 1.14)</w:t>
            </w:r>
          </w:p>
          <w:p w14:paraId="5C471F55" w14:textId="6491C766" w:rsidR="006268DD" w:rsidRDefault="006268DD" w:rsidP="00A12328">
            <w:pPr>
              <w:pStyle w:val="TableText0"/>
              <w:jc w:val="center"/>
            </w:pPr>
            <w:r>
              <w:t>p=0.140</w:t>
            </w:r>
          </w:p>
        </w:tc>
      </w:tr>
      <w:tr w:rsidR="00327047" w14:paraId="4E429D49" w14:textId="77777777" w:rsidTr="00327047">
        <w:tc>
          <w:tcPr>
            <w:tcW w:w="2405" w:type="dxa"/>
          </w:tcPr>
          <w:p w14:paraId="57C28A62" w14:textId="77777777" w:rsidR="00327047" w:rsidRPr="00A7688B" w:rsidRDefault="00327047" w:rsidP="00A12328">
            <w:pPr>
              <w:pStyle w:val="TableText0"/>
              <w:rPr>
                <w:vertAlign w:val="superscript"/>
              </w:rPr>
            </w:pPr>
            <w:r w:rsidRPr="00372D64">
              <w:t>Median duration of follow</w:t>
            </w:r>
            <w:r>
              <w:t>-up, months in censored patients</w:t>
            </w:r>
            <w:r>
              <w:rPr>
                <w:vertAlign w:val="superscript"/>
              </w:rPr>
              <w:t>c</w:t>
            </w:r>
          </w:p>
        </w:tc>
        <w:tc>
          <w:tcPr>
            <w:tcW w:w="1701" w:type="dxa"/>
          </w:tcPr>
          <w:p w14:paraId="5D43BB8C" w14:textId="77777777" w:rsidR="00327047" w:rsidRDefault="00327047" w:rsidP="00A12328">
            <w:pPr>
              <w:pStyle w:val="TableText0"/>
              <w:jc w:val="center"/>
            </w:pPr>
            <w:r>
              <w:t>42.61</w:t>
            </w:r>
          </w:p>
        </w:tc>
        <w:tc>
          <w:tcPr>
            <w:tcW w:w="1843" w:type="dxa"/>
          </w:tcPr>
          <w:p w14:paraId="0A7EE3EC" w14:textId="77777777" w:rsidR="00327047" w:rsidRDefault="00327047" w:rsidP="00A12328">
            <w:pPr>
              <w:pStyle w:val="TableText0"/>
              <w:jc w:val="center"/>
            </w:pPr>
            <w:r>
              <w:t>37.53</w:t>
            </w:r>
          </w:p>
        </w:tc>
        <w:tc>
          <w:tcPr>
            <w:tcW w:w="1559" w:type="dxa"/>
          </w:tcPr>
          <w:p w14:paraId="40FA8417" w14:textId="77777777" w:rsidR="00327047" w:rsidRDefault="00327047" w:rsidP="00A12328">
            <w:pPr>
              <w:pStyle w:val="TableText0"/>
              <w:jc w:val="center"/>
            </w:pPr>
          </w:p>
        </w:tc>
        <w:tc>
          <w:tcPr>
            <w:tcW w:w="1509" w:type="dxa"/>
          </w:tcPr>
          <w:p w14:paraId="65AA3866" w14:textId="77777777" w:rsidR="00327047" w:rsidRDefault="00327047" w:rsidP="00A12328">
            <w:pPr>
              <w:pStyle w:val="TableText0"/>
              <w:jc w:val="center"/>
            </w:pPr>
          </w:p>
        </w:tc>
      </w:tr>
    </w:tbl>
    <w:p w14:paraId="6C98D980" w14:textId="018F61AB" w:rsidR="00327047" w:rsidRPr="00766107" w:rsidRDefault="00327047" w:rsidP="00A12328">
      <w:pPr>
        <w:pStyle w:val="TableFigureFooter"/>
      </w:pPr>
      <w:r w:rsidRPr="00766107">
        <w:t>Source: Table 2-18, p 72</w:t>
      </w:r>
      <w:r w:rsidR="006268DD">
        <w:t>, Table</w:t>
      </w:r>
      <w:r w:rsidRPr="00766107">
        <w:t xml:space="preserve"> </w:t>
      </w:r>
      <w:r w:rsidR="006268DD">
        <w:t xml:space="preserve">2-20, p 77 </w:t>
      </w:r>
      <w:r w:rsidRPr="00766107">
        <w:t>and Figure 2-8, p79 of the submission.</w:t>
      </w:r>
    </w:p>
    <w:p w14:paraId="3EDCF77D" w14:textId="1481829C" w:rsidR="00327047" w:rsidRPr="00766107" w:rsidRDefault="00327047" w:rsidP="00A12328">
      <w:pPr>
        <w:pStyle w:val="TableFigureFooter"/>
      </w:pPr>
      <w:r w:rsidRPr="00766107">
        <w:t xml:space="preserve">CI = confidence interval; DCO = data cut-off; HR = hazard ratio; </w:t>
      </w:r>
      <w:r w:rsidR="00F15D34">
        <w:t xml:space="preserve">NC = not </w:t>
      </w:r>
      <w:r w:rsidR="00A37425">
        <w:t>calculable</w:t>
      </w:r>
      <w:r w:rsidR="00F15D34">
        <w:t xml:space="preserve">; </w:t>
      </w:r>
      <w:r w:rsidRPr="00766107">
        <w:t>PFS = progression free survival; OS = overall survival</w:t>
      </w:r>
      <w:r>
        <w:t>.</w:t>
      </w:r>
    </w:p>
    <w:p w14:paraId="507F0B15" w14:textId="0E22381D" w:rsidR="00CB6DEF" w:rsidRPr="00766107" w:rsidRDefault="00CB6DEF" w:rsidP="00A12328">
      <w:pPr>
        <w:pStyle w:val="TableFigureFooter"/>
      </w:pPr>
      <w:r>
        <w:t>Statistically significant results are shown in bold text.</w:t>
      </w:r>
    </w:p>
    <w:p w14:paraId="3E0F5725" w14:textId="5223CF06" w:rsidR="00327047" w:rsidRPr="00766107" w:rsidRDefault="00327047" w:rsidP="00A12328">
      <w:pPr>
        <w:pStyle w:val="TableFigureFooter"/>
      </w:pPr>
      <w:r w:rsidRPr="00766107">
        <w:rPr>
          <w:vertAlign w:val="superscript"/>
        </w:rPr>
        <w:t>a</w:t>
      </w:r>
      <w:r w:rsidRPr="00766107">
        <w:tab/>
        <w:t xml:space="preserve">DCO 5th </w:t>
      </w:r>
      <w:r w:rsidR="0088243D" w:rsidRPr="00766107">
        <w:t>January</w:t>
      </w:r>
      <w:r w:rsidRPr="00766107">
        <w:t xml:space="preserve"> 2024</w:t>
      </w:r>
    </w:p>
    <w:p w14:paraId="6D8EED05" w14:textId="77777777" w:rsidR="00327047" w:rsidRDefault="00327047" w:rsidP="00A12328">
      <w:pPr>
        <w:pStyle w:val="TableFigureFooter"/>
      </w:pPr>
      <w:r w:rsidRPr="00766107">
        <w:rPr>
          <w:vertAlign w:val="superscript"/>
        </w:rPr>
        <w:t>b</w:t>
      </w:r>
      <w:r w:rsidRPr="00766107">
        <w:tab/>
      </w:r>
      <w:r w:rsidRPr="00CD6F0F">
        <w:t>Target lesions, non-target lesions and new lesions are not necessarily mutually exclusive categories</w:t>
      </w:r>
      <w:r>
        <w:t>.</w:t>
      </w:r>
    </w:p>
    <w:p w14:paraId="1F27DD11" w14:textId="77777777" w:rsidR="00327047" w:rsidRPr="00AF329E" w:rsidRDefault="00327047" w:rsidP="00A12328">
      <w:pPr>
        <w:pStyle w:val="TableFigureFooter"/>
      </w:pPr>
      <w:r>
        <w:rPr>
          <w:vertAlign w:val="superscript"/>
        </w:rPr>
        <w:t>c</w:t>
      </w:r>
      <w:r>
        <w:rPr>
          <w:vertAlign w:val="superscript"/>
        </w:rPr>
        <w:tab/>
      </w:r>
      <w:r>
        <w:t>Median follow-up in all patients was not reported for OS</w:t>
      </w:r>
    </w:p>
    <w:p w14:paraId="57589F94" w14:textId="396C5107" w:rsidR="00327047" w:rsidRDefault="00327047" w:rsidP="00A12328">
      <w:pPr>
        <w:pStyle w:val="Caption"/>
      </w:pPr>
      <w:bookmarkStart w:id="34" w:name="_Ref198204829"/>
      <w:r>
        <w:t xml:space="preserve">Figure </w:t>
      </w:r>
      <w:r w:rsidR="002E1944">
        <w:fldChar w:fldCharType="begin"/>
      </w:r>
      <w:r w:rsidR="002E1944">
        <w:instrText xml:space="preserve"> SEQ Figure \* ARABIC </w:instrText>
      </w:r>
      <w:r w:rsidR="002E1944">
        <w:fldChar w:fldCharType="separate"/>
      </w:r>
      <w:r w:rsidR="009F3D59">
        <w:rPr>
          <w:noProof/>
        </w:rPr>
        <w:t>1</w:t>
      </w:r>
      <w:r w:rsidR="002E1944">
        <w:rPr>
          <w:noProof/>
        </w:rPr>
        <w:fldChar w:fldCharType="end"/>
      </w:r>
      <w:bookmarkEnd w:id="34"/>
      <w:r>
        <w:t xml:space="preserve">: </w:t>
      </w:r>
      <w:r w:rsidRPr="00B46A19">
        <w:rPr>
          <w:rStyle w:val="CommentReference"/>
          <w:b/>
        </w:rPr>
        <w:t>Survival outcomes in the LAURA trial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27"/>
      </w:tblGrid>
      <w:tr w:rsidR="00327047" w14:paraId="4EFEB58A" w14:textId="77777777" w:rsidTr="00327047">
        <w:tc>
          <w:tcPr>
            <w:tcW w:w="5000" w:type="pct"/>
          </w:tcPr>
          <w:p w14:paraId="7DEED8C3" w14:textId="77777777" w:rsidR="00327047" w:rsidRDefault="00327047" w:rsidP="00A12328">
            <w:pPr>
              <w:pStyle w:val="In-tableHeading"/>
              <w:rPr>
                <w:lang w:val="en-AU"/>
              </w:rPr>
            </w:pPr>
            <w:r>
              <w:rPr>
                <w:lang w:val="en-AU"/>
              </w:rPr>
              <w:t>A. PFS by BICR (DCO 5 January 2024)</w:t>
            </w:r>
          </w:p>
        </w:tc>
      </w:tr>
      <w:tr w:rsidR="00327047" w14:paraId="0B3B5ED3" w14:textId="77777777" w:rsidTr="00327047">
        <w:tc>
          <w:tcPr>
            <w:tcW w:w="5000" w:type="pct"/>
          </w:tcPr>
          <w:p w14:paraId="1C873CFC" w14:textId="77777777" w:rsidR="00327047" w:rsidRDefault="00327047" w:rsidP="00A12328">
            <w:pPr>
              <w:pStyle w:val="In-tableHeading"/>
              <w:rPr>
                <w:lang w:val="en-AU"/>
              </w:rPr>
            </w:pPr>
            <w:r>
              <w:rPr>
                <w:noProof/>
                <w:lang w:val="en-AU"/>
              </w:rPr>
              <w:drawing>
                <wp:inline distT="0" distB="0" distL="0" distR="0" wp14:anchorId="09C9B09E" wp14:editId="30445AA3">
                  <wp:extent cx="5638613" cy="2381250"/>
                  <wp:effectExtent l="0" t="0" r="635" b="0"/>
                  <wp:docPr id="1" name="Picture 1" descr="Figure 1a: Survival outcomes in the LAURA trial - PFS by BICR (DCO 5 January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a: Survival outcomes in the LAURA trial - PFS by BICR (DCO 5 January  2024)&#10;"/>
                          <pic:cNvPicPr/>
                        </pic:nvPicPr>
                        <pic:blipFill>
                          <a:blip r:embed="rId11"/>
                          <a:stretch>
                            <a:fillRect/>
                          </a:stretch>
                        </pic:blipFill>
                        <pic:spPr>
                          <a:xfrm>
                            <a:off x="0" y="0"/>
                            <a:ext cx="5691560" cy="2403610"/>
                          </a:xfrm>
                          <a:prstGeom prst="rect">
                            <a:avLst/>
                          </a:prstGeom>
                        </pic:spPr>
                      </pic:pic>
                    </a:graphicData>
                  </a:graphic>
                </wp:inline>
              </w:drawing>
            </w:r>
          </w:p>
        </w:tc>
      </w:tr>
      <w:tr w:rsidR="00327047" w14:paraId="575D1005" w14:textId="77777777" w:rsidTr="00327047">
        <w:tc>
          <w:tcPr>
            <w:tcW w:w="5000" w:type="pct"/>
          </w:tcPr>
          <w:p w14:paraId="7FB17EDE" w14:textId="77777777" w:rsidR="00327047" w:rsidRDefault="00327047" w:rsidP="00A12328">
            <w:pPr>
              <w:pStyle w:val="In-tableHeading"/>
              <w:rPr>
                <w:rStyle w:val="CommentReference"/>
                <w:rFonts w:eastAsia="Times New Roman"/>
                <w:b/>
                <w:lang w:val="en-AU"/>
              </w:rPr>
            </w:pPr>
            <w:r>
              <w:rPr>
                <w:lang w:val="en-AU"/>
              </w:rPr>
              <w:t>B. OS (DCO 29 November 2024)</w:t>
            </w:r>
          </w:p>
        </w:tc>
      </w:tr>
      <w:tr w:rsidR="00327047" w14:paraId="32858E7F" w14:textId="77777777" w:rsidTr="00327047">
        <w:tc>
          <w:tcPr>
            <w:tcW w:w="5000" w:type="pct"/>
          </w:tcPr>
          <w:p w14:paraId="283C75F2" w14:textId="77777777" w:rsidR="00327047" w:rsidRDefault="00327047" w:rsidP="00A12328">
            <w:pPr>
              <w:pStyle w:val="In-tableHeading"/>
              <w:rPr>
                <w:rStyle w:val="CommentReference"/>
                <w:rFonts w:eastAsia="Times New Roman"/>
                <w:b/>
                <w:lang w:val="en-AU"/>
              </w:rPr>
            </w:pPr>
            <w:r>
              <w:rPr>
                <w:noProof/>
                <w:lang w:val="en-AU"/>
              </w:rPr>
              <w:drawing>
                <wp:inline distT="0" distB="0" distL="0" distR="0" wp14:anchorId="467FD58F" wp14:editId="2DF576E4">
                  <wp:extent cx="5866755" cy="2257425"/>
                  <wp:effectExtent l="0" t="0" r="1270" b="0"/>
                  <wp:docPr id="5" name="Picture 5" descr="Figure 1b: Survival outcomes in the LAURA trial -OS (DCO 29 Nov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b: Survival outcomes in the LAURA trial -OS (DCO 29 November 2024)"/>
                          <pic:cNvPicPr/>
                        </pic:nvPicPr>
                        <pic:blipFill>
                          <a:blip r:embed="rId12"/>
                          <a:stretch>
                            <a:fillRect/>
                          </a:stretch>
                        </pic:blipFill>
                        <pic:spPr>
                          <a:xfrm>
                            <a:off x="0" y="0"/>
                            <a:ext cx="5965876" cy="2295565"/>
                          </a:xfrm>
                          <a:prstGeom prst="rect">
                            <a:avLst/>
                          </a:prstGeom>
                        </pic:spPr>
                      </pic:pic>
                    </a:graphicData>
                  </a:graphic>
                </wp:inline>
              </w:drawing>
            </w:r>
          </w:p>
        </w:tc>
      </w:tr>
    </w:tbl>
    <w:p w14:paraId="48B85FD9" w14:textId="77777777" w:rsidR="00327047" w:rsidRDefault="00327047" w:rsidP="00A12328">
      <w:pPr>
        <w:pStyle w:val="Tabletext"/>
      </w:pPr>
      <w:r>
        <w:t>Source: Figures 2-4, p73 and 2-8, p79 of the submission.</w:t>
      </w:r>
    </w:p>
    <w:p w14:paraId="6441ED22" w14:textId="77777777" w:rsidR="00327047" w:rsidRPr="00F6764D" w:rsidRDefault="00327047" w:rsidP="00A12328">
      <w:pPr>
        <w:pStyle w:val="Tabletext"/>
        <w:spacing w:after="240"/>
      </w:pPr>
      <w:r>
        <w:t>BICR = blinded independent central review; DCO = data cut-off; OS = overall survival</w:t>
      </w:r>
    </w:p>
    <w:p w14:paraId="54940231" w14:textId="5DCBC73C" w:rsidR="00327047" w:rsidRPr="00EE61B1" w:rsidRDefault="00327047" w:rsidP="00A12328">
      <w:pPr>
        <w:pStyle w:val="3-BodyText"/>
        <w:rPr>
          <w:rFonts w:ascii="Calibri" w:hAnsi="Calibri"/>
          <w:iCs/>
        </w:rPr>
      </w:pPr>
      <w:r w:rsidRPr="00F002B6">
        <w:t>Osimertinib was associated with significant benefit compared to placebo</w:t>
      </w:r>
      <w:r w:rsidR="00E81906">
        <w:t xml:space="preserve"> </w:t>
      </w:r>
      <w:r w:rsidR="00E81906" w:rsidRPr="004E1C30">
        <w:t>for PFS</w:t>
      </w:r>
      <w:r w:rsidRPr="00F002B6">
        <w:t xml:space="preserve">, with </w:t>
      </w:r>
      <w:r w:rsidR="00B1590B">
        <w:t>a</w:t>
      </w:r>
      <w:r w:rsidR="00B1590B" w:rsidRPr="00F002B6">
        <w:t xml:space="preserve"> </w:t>
      </w:r>
      <w:r w:rsidR="00B1590B">
        <w:t xml:space="preserve">significant </w:t>
      </w:r>
      <w:r w:rsidRPr="00F002B6">
        <w:t>reduction in disease progression (</w:t>
      </w:r>
      <w:r w:rsidR="00FA5EC7">
        <w:t xml:space="preserve">18-month PFS rate 69% vs 15%, </w:t>
      </w:r>
      <w:r w:rsidRPr="00F002B6">
        <w:t>HR 0.16 [95%CI 0.10, 0.24</w:t>
      </w:r>
      <w:r w:rsidRPr="00893B3C">
        <w:t>]).</w:t>
      </w:r>
      <w:r w:rsidR="00900A66" w:rsidRPr="00893B3C">
        <w:t xml:space="preserve"> It was noted during the evaluation that </w:t>
      </w:r>
      <w:r w:rsidR="00AA4EE5" w:rsidRPr="00893B3C">
        <w:t>the proportional hazards assumption for PFS appeared to be violated, given residual plots indicated time trend</w:t>
      </w:r>
      <w:r w:rsidR="00974B34">
        <w:t>s</w:t>
      </w:r>
      <w:r w:rsidR="00A1094A" w:rsidRPr="00893B3C">
        <w:t xml:space="preserve"> </w:t>
      </w:r>
      <w:r w:rsidR="00D91973" w:rsidRPr="00893B3C">
        <w:t xml:space="preserve">(paragraph </w:t>
      </w:r>
      <w:r w:rsidR="00D91973" w:rsidRPr="00893B3C">
        <w:fldChar w:fldCharType="begin"/>
      </w:r>
      <w:r w:rsidR="00D91973" w:rsidRPr="00893B3C">
        <w:instrText xml:space="preserve"> REF _Ref201391722 \r \h </w:instrText>
      </w:r>
      <w:r w:rsidR="00893B3C" w:rsidRPr="00893B3C">
        <w:instrText xml:space="preserve"> \* MERGEFORMAT </w:instrText>
      </w:r>
      <w:r w:rsidR="00D91973" w:rsidRPr="00893B3C">
        <w:fldChar w:fldCharType="separate"/>
      </w:r>
      <w:r w:rsidR="009F3D59">
        <w:t>6.45</w:t>
      </w:r>
      <w:r w:rsidR="00D91973" w:rsidRPr="00893B3C">
        <w:fldChar w:fldCharType="end"/>
      </w:r>
      <w:r w:rsidR="00D91973" w:rsidRPr="00893B3C">
        <w:t>)</w:t>
      </w:r>
      <w:r w:rsidR="00AA4EE5" w:rsidRPr="00893B3C">
        <w:t xml:space="preserve">. </w:t>
      </w:r>
      <w:r w:rsidR="00D91973" w:rsidRPr="00893B3C">
        <w:t>The hazard ratio should be interpreted with caution.</w:t>
      </w:r>
      <w:r w:rsidRPr="00893B3C">
        <w:t xml:space="preserve"> </w:t>
      </w:r>
      <w:r w:rsidR="00D91973" w:rsidRPr="00893B3C">
        <w:t>T</w:t>
      </w:r>
      <w:r w:rsidR="00E81906" w:rsidRPr="00893B3C">
        <w:t>he evaluation</w:t>
      </w:r>
      <w:r w:rsidR="00D91973" w:rsidRPr="00893B3C">
        <w:t xml:space="preserve"> also</w:t>
      </w:r>
      <w:r w:rsidR="00E81906" w:rsidRPr="00893B3C">
        <w:t xml:space="preserve"> considered that</w:t>
      </w:r>
      <w:r w:rsidR="00E81906">
        <w:rPr>
          <w:iCs/>
        </w:rPr>
        <w:t xml:space="preserve"> </w:t>
      </w:r>
      <w:r w:rsidRPr="00EE61B1">
        <w:rPr>
          <w:iCs/>
        </w:rPr>
        <w:t xml:space="preserve">disease progression in the placebo arm appeared poorer than might be expected in clinical practice in Australia. </w:t>
      </w:r>
    </w:p>
    <w:p w14:paraId="4D24F2FB" w14:textId="1CF0E1C9" w:rsidR="00327047" w:rsidRPr="00EE61B1" w:rsidRDefault="00327047" w:rsidP="00A12328">
      <w:pPr>
        <w:pStyle w:val="3-BodyText"/>
        <w:keepNext/>
        <w:keepLines/>
        <w:rPr>
          <w:rFonts w:ascii="Calibri" w:hAnsi="Calibri"/>
          <w:iCs/>
        </w:rPr>
      </w:pPr>
      <w:bookmarkStart w:id="35" w:name="_Ref201147431"/>
      <w:r w:rsidRPr="00EE61B1">
        <w:rPr>
          <w:iCs/>
        </w:rPr>
        <w:t>To aid interpretation of the LAURA trial results, PFS data from the control arms of PACIFIC, ADAURA, and FLAURA were extracted during the evaluation and presented alongside LAURA in a</w:t>
      </w:r>
      <w:r w:rsidR="00F202B9" w:rsidRPr="00EE61B1">
        <w:rPr>
          <w:iCs/>
        </w:rPr>
        <w:t>n unadjusted, unanchored visual</w:t>
      </w:r>
      <w:r w:rsidRPr="00EE61B1">
        <w:rPr>
          <w:iCs/>
        </w:rPr>
        <w:t xml:space="preserve"> comparison </w:t>
      </w:r>
      <w:r w:rsidR="00D342E5" w:rsidRPr="00EE61B1">
        <w:rPr>
          <w:iCs/>
        </w:rPr>
        <w:t>(</w:t>
      </w:r>
      <w:r w:rsidR="00D342E5" w:rsidRPr="00EE61B1">
        <w:rPr>
          <w:iCs/>
        </w:rPr>
        <w:fldChar w:fldCharType="begin"/>
      </w:r>
      <w:r w:rsidR="00D342E5" w:rsidRPr="00EE61B1">
        <w:rPr>
          <w:iCs/>
        </w:rPr>
        <w:instrText xml:space="preserve"> REF _Ref198205569 \h  \* MERGEFORMAT </w:instrText>
      </w:r>
      <w:r w:rsidR="00D342E5" w:rsidRPr="00EE61B1">
        <w:rPr>
          <w:iCs/>
        </w:rPr>
      </w:r>
      <w:r w:rsidR="00D342E5" w:rsidRPr="00EE61B1">
        <w:rPr>
          <w:iCs/>
        </w:rPr>
        <w:fldChar w:fldCharType="separate"/>
      </w:r>
      <w:r w:rsidR="009F3D59" w:rsidRPr="009F3D59">
        <w:rPr>
          <w:iCs/>
        </w:rPr>
        <w:t xml:space="preserve">Figure </w:t>
      </w:r>
      <w:r w:rsidR="009F3D59" w:rsidRPr="009F3D59">
        <w:rPr>
          <w:iCs/>
          <w:noProof/>
        </w:rPr>
        <w:t>2</w:t>
      </w:r>
      <w:r w:rsidR="00D342E5" w:rsidRPr="00EE61B1">
        <w:rPr>
          <w:iCs/>
        </w:rPr>
        <w:fldChar w:fldCharType="end"/>
      </w:r>
      <w:r w:rsidR="00D342E5" w:rsidRPr="00EE61B1">
        <w:rPr>
          <w:iCs/>
        </w:rPr>
        <w:t>)</w:t>
      </w:r>
      <w:r w:rsidRPr="00EE61B1">
        <w:rPr>
          <w:iCs/>
        </w:rPr>
        <w:t>. While none are a perfect match, these trials offer a reference for interpreting the findings. Specifically:</w:t>
      </w:r>
      <w:bookmarkEnd w:id="35"/>
    </w:p>
    <w:p w14:paraId="1D8A7794" w14:textId="77777777" w:rsidR="00327047" w:rsidRPr="00EE61B1" w:rsidRDefault="00327047" w:rsidP="00A12328">
      <w:pPr>
        <w:pStyle w:val="ListParagraph"/>
        <w:keepNext/>
        <w:keepLines/>
        <w:numPr>
          <w:ilvl w:val="0"/>
          <w:numId w:val="7"/>
        </w:numPr>
        <w:snapToGrid w:val="0"/>
        <w:ind w:left="1134"/>
        <w:rPr>
          <w:iCs/>
        </w:rPr>
      </w:pPr>
      <w:r w:rsidRPr="00EE61B1">
        <w:rPr>
          <w:iCs/>
        </w:rPr>
        <w:t>LAURA subgroups: patients with and without a pre-CRT PET scan.</w:t>
      </w:r>
    </w:p>
    <w:p w14:paraId="641A2DEC" w14:textId="4959524A" w:rsidR="00327047" w:rsidRPr="00DB0647" w:rsidRDefault="00327047" w:rsidP="00A12328">
      <w:pPr>
        <w:pStyle w:val="ListParagraph"/>
        <w:numPr>
          <w:ilvl w:val="0"/>
          <w:numId w:val="7"/>
        </w:numPr>
        <w:snapToGrid w:val="0"/>
        <w:ind w:left="1134"/>
        <w:rPr>
          <w:i/>
        </w:rPr>
      </w:pPr>
      <w:r w:rsidRPr="00EE61B1">
        <w:rPr>
          <w:iCs/>
        </w:rPr>
        <w:t>PACIFIC trial: evaluated durvalumab versus placebo in patients with Stage III NSCLC.</w:t>
      </w:r>
      <w:r w:rsidR="002B736C">
        <w:rPr>
          <w:iCs/>
        </w:rPr>
        <w:t xml:space="preserve"> </w:t>
      </w:r>
      <w:r w:rsidRPr="00EE61B1">
        <w:rPr>
          <w:iCs/>
        </w:rPr>
        <w:t xml:space="preserve">The control arm received placebo, 6.0% of participants had confirmed </w:t>
      </w:r>
      <w:r w:rsidR="00C45A6D" w:rsidRPr="00C45A6D">
        <w:rPr>
          <w:i/>
          <w:iCs/>
        </w:rPr>
        <w:t>EGFR</w:t>
      </w:r>
      <w:r w:rsidRPr="00EE61B1">
        <w:rPr>
          <w:iCs/>
        </w:rPr>
        <w:t xml:space="preserve"> pathogenic variant NSCLC (26.6% had unknown </w:t>
      </w:r>
      <w:r w:rsidR="00C45A6D" w:rsidRPr="00C45A6D">
        <w:rPr>
          <w:i/>
          <w:iCs/>
        </w:rPr>
        <w:t>EGFR</w:t>
      </w:r>
      <w:r w:rsidRPr="00EE61B1">
        <w:rPr>
          <w:iCs/>
        </w:rPr>
        <w:t xml:space="preserve"> status).</w:t>
      </w:r>
      <w:r w:rsidR="00DB0647">
        <w:rPr>
          <w:iCs/>
        </w:rPr>
        <w:t xml:space="preserve"> </w:t>
      </w:r>
      <w:r w:rsidR="00DB0647" w:rsidRPr="00893B3C">
        <w:rPr>
          <w:iCs/>
        </w:rPr>
        <w:t xml:space="preserve">The PSCR stated that </w:t>
      </w:r>
      <w:r w:rsidR="000C1946" w:rsidRPr="00893B3C">
        <w:rPr>
          <w:iCs/>
        </w:rPr>
        <w:t xml:space="preserve">the placebo arm of the PACIFIC trial would </w:t>
      </w:r>
      <w:r w:rsidR="00C3495B" w:rsidRPr="00893B3C">
        <w:rPr>
          <w:iCs/>
        </w:rPr>
        <w:t xml:space="preserve">not be expected to have </w:t>
      </w:r>
      <w:r w:rsidR="00AD52F1" w:rsidRPr="00893B3C">
        <w:rPr>
          <w:iCs/>
        </w:rPr>
        <w:t>a comparable</w:t>
      </w:r>
      <w:r w:rsidR="00C3495B" w:rsidRPr="00893B3C">
        <w:rPr>
          <w:iCs/>
        </w:rPr>
        <w:t xml:space="preserve"> PFS risk as that for the LAURA trial </w:t>
      </w:r>
      <w:r w:rsidR="00B30B52" w:rsidRPr="00893B3C">
        <w:rPr>
          <w:iCs/>
        </w:rPr>
        <w:t xml:space="preserve">due to </w:t>
      </w:r>
      <w:r w:rsidR="00173562" w:rsidRPr="00893B3C">
        <w:rPr>
          <w:iCs/>
        </w:rPr>
        <w:t xml:space="preserve">different </w:t>
      </w:r>
      <w:r w:rsidR="00173562">
        <w:rPr>
          <w:i/>
        </w:rPr>
        <w:t xml:space="preserve">EGFR </w:t>
      </w:r>
      <w:r w:rsidR="00173562" w:rsidRPr="00893B3C">
        <w:rPr>
          <w:iCs/>
        </w:rPr>
        <w:t>status</w:t>
      </w:r>
      <w:r w:rsidR="00173562">
        <w:rPr>
          <w:i/>
        </w:rPr>
        <w:t>.</w:t>
      </w:r>
    </w:p>
    <w:p w14:paraId="5B60A9AC" w14:textId="26DCE173" w:rsidR="00327047" w:rsidRPr="00893B3C" w:rsidRDefault="00327047" w:rsidP="00A12328">
      <w:pPr>
        <w:pStyle w:val="ListParagraph"/>
        <w:numPr>
          <w:ilvl w:val="0"/>
          <w:numId w:val="7"/>
        </w:numPr>
        <w:snapToGrid w:val="0"/>
        <w:ind w:left="1134"/>
        <w:rPr>
          <w:iCs/>
        </w:rPr>
      </w:pPr>
      <w:r w:rsidRPr="00EE61B1">
        <w:rPr>
          <w:iCs/>
        </w:rPr>
        <w:t xml:space="preserve">FLAURA trial: Compared osimertinib with first- or second-generation </w:t>
      </w:r>
      <w:r w:rsidRPr="009D5821">
        <w:rPr>
          <w:i/>
        </w:rPr>
        <w:t>EGFR</w:t>
      </w:r>
      <w:r w:rsidRPr="00EE61B1">
        <w:rPr>
          <w:iCs/>
        </w:rPr>
        <w:t xml:space="preserve"> TKIs in first line treatment of patients with metastatic Stage IIIB-IV </w:t>
      </w:r>
      <w:r w:rsidRPr="009D5821">
        <w:rPr>
          <w:i/>
        </w:rPr>
        <w:t>EGFR</w:t>
      </w:r>
      <w:r w:rsidRPr="00EE61B1">
        <w:rPr>
          <w:iCs/>
        </w:rPr>
        <w:t xml:space="preserve"> pathogenic variant NSCLC.</w:t>
      </w:r>
      <w:r w:rsidR="00455EB5">
        <w:rPr>
          <w:i/>
        </w:rPr>
        <w:t xml:space="preserve"> </w:t>
      </w:r>
      <w:r w:rsidR="00455EB5" w:rsidRPr="00893B3C">
        <w:rPr>
          <w:iCs/>
        </w:rPr>
        <w:t xml:space="preserve">The PSCR stated that the control arm of the FLAURA trial was active </w:t>
      </w:r>
      <w:r w:rsidR="00455EB5" w:rsidRPr="00893B3C">
        <w:rPr>
          <w:i/>
        </w:rPr>
        <w:t>EGFR</w:t>
      </w:r>
      <w:r w:rsidR="00455EB5" w:rsidRPr="00893B3C">
        <w:rPr>
          <w:iCs/>
        </w:rPr>
        <w:t xml:space="preserve">-TKI and therefore not appropriate for comparison to placebo. </w:t>
      </w:r>
    </w:p>
    <w:p w14:paraId="6A3428A9" w14:textId="24118612" w:rsidR="00327047" w:rsidRPr="00893B3C" w:rsidRDefault="00327047" w:rsidP="00A12328">
      <w:pPr>
        <w:pStyle w:val="ListParagraph"/>
        <w:numPr>
          <w:ilvl w:val="0"/>
          <w:numId w:val="7"/>
        </w:numPr>
        <w:snapToGrid w:val="0"/>
        <w:ind w:left="1134"/>
        <w:rPr>
          <w:rFonts w:ascii="Arial Narrow" w:hAnsi="Arial Narrow"/>
          <w:b/>
          <w:bCs/>
          <w:iCs/>
          <w:snapToGrid/>
          <w:sz w:val="20"/>
          <w:szCs w:val="18"/>
        </w:rPr>
      </w:pPr>
      <w:r w:rsidRPr="00EE61B1">
        <w:rPr>
          <w:iCs/>
        </w:rPr>
        <w:t xml:space="preserve">ADAURA trial: Assessed adjuvant osimertinib versus placebo in patients with resectable Stage IB-IIIA </w:t>
      </w:r>
      <w:r w:rsidRPr="009D5821">
        <w:rPr>
          <w:i/>
        </w:rPr>
        <w:t>EGFR</w:t>
      </w:r>
      <w:r w:rsidRPr="00EE61B1">
        <w:rPr>
          <w:iCs/>
        </w:rPr>
        <w:t xml:space="preserve"> pathogenic variant NSCLC. The control arm depicted in </w:t>
      </w:r>
      <w:r w:rsidR="006A1CFA" w:rsidRPr="00EE61B1">
        <w:rPr>
          <w:iCs/>
        </w:rPr>
        <w:fldChar w:fldCharType="begin"/>
      </w:r>
      <w:r w:rsidR="006A1CFA" w:rsidRPr="00EE61B1">
        <w:rPr>
          <w:iCs/>
        </w:rPr>
        <w:instrText xml:space="preserve"> REF _Ref198205569 \h  \* MERGEFORMAT </w:instrText>
      </w:r>
      <w:r w:rsidR="006A1CFA" w:rsidRPr="00EE61B1">
        <w:rPr>
          <w:iCs/>
        </w:rPr>
      </w:r>
      <w:r w:rsidR="006A1CFA" w:rsidRPr="00EE61B1">
        <w:rPr>
          <w:iCs/>
        </w:rPr>
        <w:fldChar w:fldCharType="separate"/>
      </w:r>
      <w:r w:rsidR="009F3D59" w:rsidRPr="009F3D59">
        <w:rPr>
          <w:iCs/>
        </w:rPr>
        <w:t xml:space="preserve">Figure </w:t>
      </w:r>
      <w:r w:rsidR="009F3D59" w:rsidRPr="009F3D59">
        <w:rPr>
          <w:iCs/>
          <w:noProof/>
        </w:rPr>
        <w:t>2</w:t>
      </w:r>
      <w:r w:rsidR="006A1CFA" w:rsidRPr="00EE61B1">
        <w:rPr>
          <w:iCs/>
        </w:rPr>
        <w:fldChar w:fldCharType="end"/>
      </w:r>
      <w:r w:rsidRPr="00EE61B1">
        <w:rPr>
          <w:iCs/>
        </w:rPr>
        <w:t xml:space="preserve"> includes only the Stage IIIA subgroup.</w:t>
      </w:r>
      <w:r w:rsidR="00602870">
        <w:rPr>
          <w:iCs/>
        </w:rPr>
        <w:t xml:space="preserve"> </w:t>
      </w:r>
      <w:r w:rsidR="00602870" w:rsidRPr="00893B3C">
        <w:rPr>
          <w:iCs/>
        </w:rPr>
        <w:t>The PSCR stated that</w:t>
      </w:r>
      <w:r w:rsidR="00E361FE" w:rsidRPr="00893B3C">
        <w:rPr>
          <w:iCs/>
        </w:rPr>
        <w:t xml:space="preserve"> </w:t>
      </w:r>
      <w:r w:rsidR="002A6F9A" w:rsidRPr="00893B3C">
        <w:rPr>
          <w:iCs/>
        </w:rPr>
        <w:t xml:space="preserve">the ADAURA trial </w:t>
      </w:r>
      <w:r w:rsidR="00063317" w:rsidRPr="00893B3C">
        <w:rPr>
          <w:iCs/>
        </w:rPr>
        <w:t xml:space="preserve">was conducted in the adjuvant setting after tumour removal and therefore </w:t>
      </w:r>
      <w:r w:rsidR="00920BC8" w:rsidRPr="00893B3C">
        <w:rPr>
          <w:iCs/>
        </w:rPr>
        <w:t>PFS in the placebo arm is likely to be better than in</w:t>
      </w:r>
      <w:r w:rsidR="009D7DC3" w:rsidRPr="00893B3C">
        <w:rPr>
          <w:iCs/>
        </w:rPr>
        <w:t xml:space="preserve"> the</w:t>
      </w:r>
      <w:r w:rsidR="00920BC8" w:rsidRPr="00893B3C">
        <w:rPr>
          <w:iCs/>
        </w:rPr>
        <w:t xml:space="preserve"> LAURA</w:t>
      </w:r>
      <w:r w:rsidR="009D7DC3" w:rsidRPr="00893B3C">
        <w:rPr>
          <w:iCs/>
        </w:rPr>
        <w:t xml:space="preserve"> trial</w:t>
      </w:r>
      <w:r w:rsidR="00920BC8" w:rsidRPr="00893B3C">
        <w:rPr>
          <w:iCs/>
        </w:rPr>
        <w:t>.</w:t>
      </w:r>
      <w:r w:rsidR="002B736C">
        <w:rPr>
          <w:iCs/>
        </w:rPr>
        <w:t xml:space="preserve"> </w:t>
      </w:r>
    </w:p>
    <w:p w14:paraId="6E08DA65" w14:textId="172FFAD9" w:rsidR="00327047" w:rsidRDefault="00327047" w:rsidP="00A12328">
      <w:pPr>
        <w:pStyle w:val="Caption"/>
      </w:pPr>
      <w:bookmarkStart w:id="36" w:name="_Ref198205569"/>
      <w:r>
        <w:t xml:space="preserve">Figure </w:t>
      </w:r>
      <w:r w:rsidR="002E1944">
        <w:fldChar w:fldCharType="begin"/>
      </w:r>
      <w:r w:rsidR="002E1944">
        <w:instrText xml:space="preserve"> SEQ Figure \* ARABIC </w:instrText>
      </w:r>
      <w:r w:rsidR="002E1944">
        <w:fldChar w:fldCharType="separate"/>
      </w:r>
      <w:r w:rsidR="009F3D59">
        <w:rPr>
          <w:noProof/>
        </w:rPr>
        <w:t>2</w:t>
      </w:r>
      <w:r w:rsidR="002E1944">
        <w:rPr>
          <w:noProof/>
        </w:rPr>
        <w:fldChar w:fldCharType="end"/>
      </w:r>
      <w:bookmarkEnd w:id="36"/>
      <w:r>
        <w:t>:</w:t>
      </w:r>
      <w:r w:rsidRPr="00FA48A2">
        <w:t xml:space="preserve"> </w:t>
      </w:r>
      <w:r>
        <w:t xml:space="preserve">Comparison of PFS for </w:t>
      </w:r>
      <w:r w:rsidR="00620B5E">
        <w:t>osimertinib</w:t>
      </w:r>
      <w:r w:rsidR="002D24EA">
        <w:t xml:space="preserve"> arm</w:t>
      </w:r>
      <w:r w:rsidR="00620B5E">
        <w:t xml:space="preserve"> in</w:t>
      </w:r>
      <w:r>
        <w:t xml:space="preserve"> LAURA and comparator arms of </w:t>
      </w:r>
      <w:r w:rsidR="00620B5E">
        <w:t>LAURA,</w:t>
      </w:r>
      <w:r>
        <w:t xml:space="preserve"> PACIFIC, ADAURA and FLAURA trials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327047" w:rsidRPr="00560BA8" w14:paraId="1009837D" w14:textId="77777777" w:rsidTr="00327047">
        <w:tc>
          <w:tcPr>
            <w:tcW w:w="9027" w:type="dxa"/>
          </w:tcPr>
          <w:tbl>
            <w:tblPr>
              <w:tblStyle w:val="TableGrid"/>
              <w:tblW w:w="0" w:type="auto"/>
              <w:tblLook w:val="04A0" w:firstRow="1" w:lastRow="0" w:firstColumn="1" w:lastColumn="0" w:noHBand="0" w:noVBand="1"/>
            </w:tblPr>
            <w:tblGrid>
              <w:gridCol w:w="8801"/>
            </w:tblGrid>
            <w:tr w:rsidR="00327047" w14:paraId="34A94EE7" w14:textId="77777777" w:rsidTr="00327047">
              <w:tc>
                <w:tcPr>
                  <w:tcW w:w="8791" w:type="dxa"/>
                </w:tcPr>
                <w:p w14:paraId="64AF5052" w14:textId="77777777" w:rsidR="00327047" w:rsidRDefault="00327047" w:rsidP="00A12328">
                  <w:pPr>
                    <w:pStyle w:val="In-tableHeading"/>
                    <w:keepLines/>
                    <w:tabs>
                      <w:tab w:val="left" w:pos="1230"/>
                    </w:tabs>
                    <w:rPr>
                      <w:lang w:val="en-AU"/>
                    </w:rPr>
                  </w:pPr>
                  <w:r>
                    <w:rPr>
                      <w:noProof/>
                      <w:lang w:val="en-AU"/>
                    </w:rPr>
                    <w:drawing>
                      <wp:inline distT="0" distB="0" distL="0" distR="0" wp14:anchorId="35A23E35" wp14:editId="527CD253">
                        <wp:extent cx="5495925" cy="3152775"/>
                        <wp:effectExtent l="0" t="0" r="9525" b="9525"/>
                        <wp:docPr id="17" name="Picture 17" descr="Figure 2: Comparison of PFS for osimertinib arm in LAURA and comparator arms of LAURA, PACIFIC, ADAURA and FLAURA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2: Comparison of PFS for osimertinib arm in LAURA and comparator arms of LAURA, PACIFIC, ADAURA and FLAURA trials"/>
                                <pic:cNvPicPr>
                                  <a:picLocks noChangeAspect="1" noChangeArrowheads="1"/>
                                </pic:cNvPicPr>
                              </pic:nvPicPr>
                              <pic:blipFill>
                                <a:blip r:embed="rId13"/>
                                <a:stretch>
                                  <a:fillRect/>
                                </a:stretch>
                              </pic:blipFill>
                              <pic:spPr bwMode="auto">
                                <a:xfrm>
                                  <a:off x="0" y="0"/>
                                  <a:ext cx="5496390" cy="3153042"/>
                                </a:xfrm>
                                <a:prstGeom prst="rect">
                                  <a:avLst/>
                                </a:prstGeom>
                                <a:noFill/>
                              </pic:spPr>
                            </pic:pic>
                          </a:graphicData>
                        </a:graphic>
                      </wp:inline>
                    </w:drawing>
                  </w:r>
                </w:p>
              </w:tc>
            </w:tr>
          </w:tbl>
          <w:p w14:paraId="5E44CA15" w14:textId="77777777" w:rsidR="00327047" w:rsidRPr="00560BA8" w:rsidRDefault="00327047" w:rsidP="00A12328">
            <w:pPr>
              <w:pStyle w:val="In-tableHeading"/>
              <w:keepLines/>
              <w:numPr>
                <w:ilvl w:val="0"/>
                <w:numId w:val="7"/>
              </w:numPr>
              <w:tabs>
                <w:tab w:val="left" w:pos="1230"/>
              </w:tabs>
              <w:rPr>
                <w:lang w:val="en-AU"/>
              </w:rPr>
            </w:pPr>
          </w:p>
        </w:tc>
      </w:tr>
    </w:tbl>
    <w:p w14:paraId="58060F8D" w14:textId="5E1E4D13" w:rsidR="00327047" w:rsidRPr="00320544" w:rsidRDefault="00327047" w:rsidP="00A12328">
      <w:pPr>
        <w:pStyle w:val="FooterTableFigure"/>
        <w:keepNext/>
        <w:keepLines/>
        <w:rPr>
          <w:vertAlign w:val="superscript"/>
        </w:rPr>
      </w:pPr>
      <w:r>
        <w:t>Source: Complied during the evaluation using WebPlotDigitizer 5.2</w:t>
      </w:r>
      <w:r>
        <w:rPr>
          <w:vertAlign w:val="superscript"/>
        </w:rPr>
        <w:t>a</w:t>
      </w:r>
      <w:r>
        <w:t>, from Figure 1, Lu 2024</w:t>
      </w:r>
      <w:r>
        <w:rPr>
          <w:vertAlign w:val="superscript"/>
        </w:rPr>
        <w:t>b</w:t>
      </w:r>
      <w:r>
        <w:t>, Figure S3C, Wu 2020</w:t>
      </w:r>
      <w:r>
        <w:rPr>
          <w:vertAlign w:val="superscript"/>
        </w:rPr>
        <w:t>c^</w:t>
      </w:r>
      <w:r>
        <w:t>, Figure 2B, Spigel 2022</w:t>
      </w:r>
      <w:r>
        <w:rPr>
          <w:vertAlign w:val="superscript"/>
        </w:rPr>
        <w:t>d</w:t>
      </w:r>
      <w:r>
        <w:t>, Figure 1A, Soria 2017</w:t>
      </w:r>
      <w:r>
        <w:rPr>
          <w:vertAlign w:val="superscript"/>
        </w:rPr>
        <w:t>e</w:t>
      </w:r>
      <w:r>
        <w:t xml:space="preserve">, and </w:t>
      </w:r>
      <w:r w:rsidR="00396EE9">
        <w:t xml:space="preserve">Figure 1, </w:t>
      </w:r>
      <w:r>
        <w:t>Lu 2024a</w:t>
      </w:r>
      <w:r>
        <w:rPr>
          <w:vertAlign w:val="superscript"/>
        </w:rPr>
        <w:t>f</w:t>
      </w:r>
    </w:p>
    <w:p w14:paraId="7B8F7673" w14:textId="77777777" w:rsidR="00327047" w:rsidRPr="00DC4CA2" w:rsidRDefault="00327047" w:rsidP="00A12328">
      <w:pPr>
        <w:pStyle w:val="FooterTableFigure"/>
        <w:keepNext/>
        <w:keepLines/>
      </w:pPr>
      <w:r>
        <w:t xml:space="preserve">CRT = chemoradiation therapy; </w:t>
      </w:r>
      <w:r w:rsidR="00C45A6D" w:rsidRPr="00C45A6D">
        <w:rPr>
          <w:i/>
        </w:rPr>
        <w:t>EGFR</w:t>
      </w:r>
      <w:r>
        <w:t xml:space="preserve"> = epidermal growth factor receptor; FAS = full analysis set; Gen = generation; OSI = osimertinib; PET = positron emission tomography; PBO = placebo; PFS = progression-free survival; TKI = tyrosine kinase inhibitor.</w:t>
      </w:r>
    </w:p>
    <w:p w14:paraId="49C01F00" w14:textId="77777777" w:rsidR="00327047" w:rsidRDefault="00327047" w:rsidP="00A12328">
      <w:pPr>
        <w:pStyle w:val="FooterTableFigure"/>
        <w:keepNext/>
        <w:keepLines/>
      </w:pPr>
      <w:bookmarkStart w:id="37" w:name="_Hlk197532207"/>
      <w:r>
        <w:rPr>
          <w:vertAlign w:val="superscript"/>
        </w:rPr>
        <w:t>a</w:t>
      </w:r>
      <w:r>
        <w:rPr>
          <w:vertAlign w:val="superscript"/>
        </w:rPr>
        <w:tab/>
      </w:r>
      <w:r>
        <w:t xml:space="preserve">Automeris LLC, California, USA (available at </w:t>
      </w:r>
      <w:r w:rsidRPr="00DC4CA2">
        <w:t>https://automeris.io</w:t>
      </w:r>
      <w:r>
        <w:t xml:space="preserve">) </w:t>
      </w:r>
    </w:p>
    <w:p w14:paraId="6A721B57" w14:textId="77777777" w:rsidR="00327047" w:rsidRDefault="00327047" w:rsidP="00A12328">
      <w:pPr>
        <w:pStyle w:val="FooterTableFigure"/>
        <w:keepNext/>
        <w:keepLines/>
        <w:ind w:left="165" w:hanging="165"/>
      </w:pPr>
      <w:r>
        <w:rPr>
          <w:vertAlign w:val="superscript"/>
        </w:rPr>
        <w:t>b</w:t>
      </w:r>
      <w:r>
        <w:rPr>
          <w:vertAlign w:val="superscript"/>
        </w:rPr>
        <w:tab/>
      </w:r>
      <w:r w:rsidRPr="00D06706">
        <w:t>Lu S, Kato T, Dong X, et al. Osimertinib after Chemoradiotherapy in Stage III </w:t>
      </w:r>
      <w:r w:rsidR="00C45A6D" w:rsidRPr="00C45A6D">
        <w:rPr>
          <w:i/>
        </w:rPr>
        <w:t>EGFR</w:t>
      </w:r>
      <w:r w:rsidRPr="00D06706">
        <w:t>-Mutated NSCLC. N Engl J Med. 2024;391(7):585-597. doi:10.1056/NEJMoa2402614</w:t>
      </w:r>
    </w:p>
    <w:p w14:paraId="368FB85D" w14:textId="77777777" w:rsidR="00327047" w:rsidRPr="00E819FC" w:rsidRDefault="00327047" w:rsidP="00A12328">
      <w:pPr>
        <w:pStyle w:val="FooterTableFigure"/>
        <w:keepNext/>
        <w:keepLines/>
        <w:ind w:left="165" w:hanging="165"/>
        <w:rPr>
          <w:lang w:val="fr-FR"/>
        </w:rPr>
      </w:pPr>
      <w:r w:rsidRPr="00E31FF0">
        <w:rPr>
          <w:vertAlign w:val="superscript"/>
          <w:lang w:val="es-MX"/>
        </w:rPr>
        <w:t>c</w:t>
      </w:r>
      <w:r w:rsidRPr="00E31FF0">
        <w:rPr>
          <w:vertAlign w:val="superscript"/>
          <w:lang w:val="es-MX"/>
        </w:rPr>
        <w:tab/>
      </w:r>
      <w:r w:rsidRPr="00E31FF0">
        <w:rPr>
          <w:lang w:val="es-MX"/>
        </w:rPr>
        <w:t xml:space="preserve">Wu Y-L, Tsuboi M, He J, et al. </w:t>
      </w:r>
      <w:r w:rsidRPr="00D06706">
        <w:t xml:space="preserve">Osimertinib in resected </w:t>
      </w:r>
      <w:r w:rsidR="00C45A6D" w:rsidRPr="00C45A6D">
        <w:rPr>
          <w:i/>
        </w:rPr>
        <w:t>EGFR</w:t>
      </w:r>
      <w:r w:rsidRPr="00D06706">
        <w:t xml:space="preserve">-mutated non–small-cell lung cancer. </w:t>
      </w:r>
      <w:r w:rsidRPr="00E819FC">
        <w:rPr>
          <w:lang w:val="fr-FR"/>
        </w:rPr>
        <w:t>N Engl J Med 2020;383:1711-23. DOI: 10.1056/NEJMoa2027071</w:t>
      </w:r>
    </w:p>
    <w:p w14:paraId="42A0A6DF" w14:textId="77777777" w:rsidR="00327047" w:rsidRDefault="00327047" w:rsidP="00A12328">
      <w:pPr>
        <w:pStyle w:val="FooterTableFigure"/>
        <w:keepNext/>
        <w:keepLines/>
        <w:ind w:left="165" w:hanging="165"/>
      </w:pPr>
      <w:r w:rsidRPr="00E819FC">
        <w:rPr>
          <w:vertAlign w:val="superscript"/>
          <w:lang w:val="fr-FR"/>
        </w:rPr>
        <w:t>d</w:t>
      </w:r>
      <w:r w:rsidRPr="00E819FC">
        <w:rPr>
          <w:lang w:val="fr-FR"/>
        </w:rPr>
        <w:tab/>
        <w:t xml:space="preserve">Spigel DR, Faivre-Finn C, Gray JE, et al. </w:t>
      </w:r>
      <w:r w:rsidRPr="003D1F10">
        <w:t>Five-Year Survival Outcomes From the PACIFIC Trial: Durvalumab After Chemoradiotherapy in Stage III Non-Small-Cell Lung Cancer [published correction appears in J Clin Oncol. 2022 Jun 10;40(17):1965. doi: 10.1200/JCO.22.01023.]. J Clin Oncol. 2022;40(12):1301-1311. doi:10.1200/JCO.21.01308</w:t>
      </w:r>
    </w:p>
    <w:p w14:paraId="2850384B" w14:textId="4052EEBE" w:rsidR="00F039B9" w:rsidRDefault="00327047" w:rsidP="00A12328">
      <w:pPr>
        <w:pStyle w:val="FooterTableFigure"/>
        <w:keepNext/>
        <w:keepLines/>
        <w:ind w:left="165" w:hanging="165"/>
      </w:pPr>
      <w:r w:rsidRPr="009A3771">
        <w:rPr>
          <w:vertAlign w:val="superscript"/>
          <w:lang w:val="it-IT"/>
        </w:rPr>
        <w:t>e</w:t>
      </w:r>
      <w:r w:rsidRPr="009A3771">
        <w:rPr>
          <w:vertAlign w:val="superscript"/>
          <w:lang w:val="it-IT"/>
        </w:rPr>
        <w:tab/>
      </w:r>
      <w:bookmarkStart w:id="38" w:name="_Hlk197509727"/>
      <w:bookmarkStart w:id="39" w:name="_Hlk198637752"/>
      <w:r w:rsidR="00F039B9" w:rsidRPr="009A3771">
        <w:rPr>
          <w:lang w:val="it-IT"/>
        </w:rPr>
        <w:t xml:space="preserve">Soria, J.-C., et al. </w:t>
      </w:r>
      <w:r w:rsidR="00F039B9" w:rsidRPr="00F039B9">
        <w:t xml:space="preserve">(2018). Osimertinib in Untreated </w:t>
      </w:r>
      <w:r w:rsidR="00C45A6D" w:rsidRPr="00C45A6D">
        <w:rPr>
          <w:i/>
        </w:rPr>
        <w:t>EGFR</w:t>
      </w:r>
      <w:r w:rsidR="00F039B9" w:rsidRPr="00F039B9">
        <w:t xml:space="preserve"> -Mutated Advanced Non–Small-Cell Lung Cancer. The New England Journal of Medicine., 378(2), 113–125. </w:t>
      </w:r>
      <w:hyperlink r:id="rId14" w:history="1">
        <w:r w:rsidR="00F039B9" w:rsidRPr="00280184">
          <w:rPr>
            <w:rStyle w:val="Hyperlink"/>
          </w:rPr>
          <w:t>https://doi.org/10.1056/NEJMoa1713137</w:t>
        </w:r>
      </w:hyperlink>
    </w:p>
    <w:p w14:paraId="282E7FBF" w14:textId="34338A5C" w:rsidR="00327047" w:rsidRPr="00320544" w:rsidRDefault="00F039B9" w:rsidP="00A12328">
      <w:pPr>
        <w:pStyle w:val="FooterTableFigure"/>
        <w:keepNext/>
        <w:keepLines/>
        <w:ind w:left="165" w:hanging="165"/>
      </w:pPr>
      <w:r>
        <w:rPr>
          <w:vertAlign w:val="superscript"/>
        </w:rPr>
        <w:t>f</w:t>
      </w:r>
      <w:r>
        <w:rPr>
          <w:vertAlign w:val="superscript"/>
        </w:rPr>
        <w:tab/>
      </w:r>
      <w:r w:rsidR="00327047" w:rsidRPr="00F039B9">
        <w:t>Lu</w:t>
      </w:r>
      <w:r w:rsidR="00327047" w:rsidRPr="00320544">
        <w:t>, S. et al.</w:t>
      </w:r>
      <w:r w:rsidR="00327047">
        <w:t xml:space="preserve"> </w:t>
      </w:r>
      <w:r w:rsidR="00327047" w:rsidRPr="00320544">
        <w:t>Osimertinib after definitive chemoradiotherapy in unresectable stage III epidermal growth factor receptor-mutated non-small-cell lung cancer: analyses of central nervous system efficacy and distant progression from the phase III LAURA study.</w:t>
      </w:r>
    </w:p>
    <w:p w14:paraId="1AE787D9" w14:textId="77777777" w:rsidR="00327047" w:rsidRPr="00320544" w:rsidRDefault="00327047" w:rsidP="00A12328">
      <w:pPr>
        <w:pStyle w:val="FooterTableFigure"/>
        <w:keepNext/>
        <w:keepLines/>
        <w:ind w:firstLine="165"/>
      </w:pPr>
      <w:r w:rsidRPr="00320544">
        <w:t>Annals of Oncology, Volume 35, Issue 12, 1116 - 1125</w:t>
      </w:r>
      <w:bookmarkEnd w:id="38"/>
    </w:p>
    <w:bookmarkEnd w:id="39"/>
    <w:p w14:paraId="7A7A8626" w14:textId="67E16DC3" w:rsidR="00327047" w:rsidRPr="00AB27F8" w:rsidRDefault="00327047" w:rsidP="00A12328">
      <w:pPr>
        <w:pStyle w:val="FooterTableFigure"/>
        <w:keepNext/>
        <w:keepLines/>
        <w:ind w:left="165" w:hanging="165"/>
      </w:pPr>
      <w:r>
        <w:t>^</w:t>
      </w:r>
      <w:r>
        <w:tab/>
        <w:t>The ADAURA trial reported disease-free survival (DFS) after surgical resection with or without chemotherapy consolidation followed by adjuvant osimertinib for up to 3 years. Placebo results for the Stage IIIA subgroup shown.</w:t>
      </w:r>
      <w:bookmarkEnd w:id="37"/>
    </w:p>
    <w:p w14:paraId="2E7E2915" w14:textId="454985C7" w:rsidR="00327047" w:rsidRPr="00893B3C" w:rsidRDefault="00BA746C" w:rsidP="00A12328">
      <w:pPr>
        <w:pStyle w:val="3-BodyText"/>
      </w:pPr>
      <w:r w:rsidRPr="00893B3C">
        <w:t xml:space="preserve">The evaluation </w:t>
      </w:r>
      <w:r w:rsidR="00B76FFE" w:rsidRPr="00893B3C">
        <w:t>noted</w:t>
      </w:r>
      <w:r w:rsidRPr="00893B3C">
        <w:t xml:space="preserve"> that</w:t>
      </w:r>
      <w:r w:rsidR="00B76FFE" w:rsidRPr="00893B3C">
        <w:t xml:space="preserve"> the control arms of the </w:t>
      </w:r>
      <w:r w:rsidR="00457ACA" w:rsidRPr="00893B3C">
        <w:t xml:space="preserve">PACIFIC, ADAURA, and FLAURA trials all </w:t>
      </w:r>
      <w:r w:rsidR="00361F18" w:rsidRPr="00893B3C">
        <w:t xml:space="preserve">demonstrated </w:t>
      </w:r>
      <w:r w:rsidR="00934EC5" w:rsidRPr="00893B3C">
        <w:t xml:space="preserve">more </w:t>
      </w:r>
      <w:r w:rsidR="002006AB" w:rsidRPr="00893B3C">
        <w:t>favourable</w:t>
      </w:r>
      <w:r w:rsidR="00457ACA" w:rsidRPr="00893B3C">
        <w:t xml:space="preserve"> </w:t>
      </w:r>
      <w:r w:rsidR="00D16F40" w:rsidRPr="00893B3C">
        <w:t xml:space="preserve">PFS </w:t>
      </w:r>
      <w:r w:rsidR="00457ACA" w:rsidRPr="00893B3C">
        <w:t xml:space="preserve">than the </w:t>
      </w:r>
      <w:r w:rsidR="00BB369E" w:rsidRPr="00893B3C">
        <w:t>placebo patients in the LAURA trial</w:t>
      </w:r>
      <w:r w:rsidR="00C33449" w:rsidRPr="00893B3C">
        <w:t>. The evaluation considered that</w:t>
      </w:r>
      <w:r w:rsidR="007E4602" w:rsidRPr="00893B3C">
        <w:t xml:space="preserve"> </w:t>
      </w:r>
      <w:r w:rsidR="00557ACF" w:rsidRPr="00893B3C">
        <w:t>the</w:t>
      </w:r>
      <w:r w:rsidR="007E4602" w:rsidRPr="00893B3C">
        <w:t xml:space="preserve"> comparison </w:t>
      </w:r>
      <w:r w:rsidR="00327047" w:rsidRPr="00893B3C">
        <w:t>suggest</w:t>
      </w:r>
      <w:r w:rsidR="007E4602" w:rsidRPr="00893B3C">
        <w:t>s</w:t>
      </w:r>
      <w:r w:rsidR="00327047" w:rsidRPr="00076DEA">
        <w:t xml:space="preserve"> that placebo patients in Australia may have better PFS than those in LAURA, and therefore, the magnitude of the benefit from osimertinib post-CRT may be smaller in the Australian setting than reported in LAURA. </w:t>
      </w:r>
      <w:r w:rsidR="00AB096A" w:rsidRPr="00893B3C">
        <w:t xml:space="preserve">While the ESC </w:t>
      </w:r>
      <w:r w:rsidR="00391933" w:rsidRPr="00893B3C">
        <w:t>acknowledged</w:t>
      </w:r>
      <w:r w:rsidR="00AB096A" w:rsidRPr="00893B3C">
        <w:t xml:space="preserve"> that placebo arms in th</w:t>
      </w:r>
      <w:r w:rsidR="005C29EE" w:rsidRPr="00893B3C">
        <w:t xml:space="preserve">e </w:t>
      </w:r>
      <w:r w:rsidR="0013186D" w:rsidRPr="00893B3C">
        <w:t xml:space="preserve">PACIFIC and ADAURA trials </w:t>
      </w:r>
      <w:r w:rsidR="00BB27E5" w:rsidRPr="00893B3C">
        <w:t>may have</w:t>
      </w:r>
      <w:r w:rsidR="0013186D" w:rsidRPr="00893B3C">
        <w:t xml:space="preserve"> perform</w:t>
      </w:r>
      <w:r w:rsidR="00BB27E5" w:rsidRPr="00893B3C">
        <w:t>ed</w:t>
      </w:r>
      <w:r w:rsidR="0013186D" w:rsidRPr="00893B3C">
        <w:t xml:space="preserve"> better than</w:t>
      </w:r>
      <w:r w:rsidR="00391933" w:rsidRPr="00893B3C">
        <w:t xml:space="preserve"> the placebo arm</w:t>
      </w:r>
      <w:r w:rsidR="0013186D" w:rsidRPr="00893B3C">
        <w:t xml:space="preserve"> </w:t>
      </w:r>
      <w:r w:rsidR="00E27A5C" w:rsidRPr="00893B3C">
        <w:t xml:space="preserve">in the LAURA trial, it considered that </w:t>
      </w:r>
      <w:r w:rsidR="008E4075" w:rsidRPr="00893B3C">
        <w:t xml:space="preserve">the differences in </w:t>
      </w:r>
      <w:r w:rsidR="003978AB" w:rsidRPr="009D5821">
        <w:rPr>
          <w:i/>
          <w:iCs/>
        </w:rPr>
        <w:t>EGFR</w:t>
      </w:r>
      <w:r w:rsidR="003978AB" w:rsidRPr="00893B3C">
        <w:t xml:space="preserve"> status and treatment setting</w:t>
      </w:r>
      <w:r w:rsidR="00CE4C8F" w:rsidRPr="00893B3C">
        <w:t xml:space="preserve"> between the trials</w:t>
      </w:r>
      <w:r w:rsidR="003978AB" w:rsidRPr="00893B3C">
        <w:t xml:space="preserve"> made the clinical importance of </w:t>
      </w:r>
      <w:r w:rsidR="00CE4C8F" w:rsidRPr="00893B3C">
        <w:t>the comparison uncertain.</w:t>
      </w:r>
      <w:r w:rsidR="00AB096A" w:rsidRPr="00893B3C">
        <w:t xml:space="preserve"> </w:t>
      </w:r>
    </w:p>
    <w:p w14:paraId="146A5E6F" w14:textId="6FD831E0" w:rsidR="002504A8" w:rsidRPr="00EE61B1" w:rsidRDefault="00327047" w:rsidP="00A12328">
      <w:pPr>
        <w:pStyle w:val="3-BodyText"/>
        <w:rPr>
          <w:iCs/>
        </w:rPr>
      </w:pPr>
      <w:r>
        <w:t xml:space="preserve">There was no significant difference between osimertinib and placebo in OS at either DCO, </w:t>
      </w:r>
      <w:r w:rsidRPr="00EE61B1">
        <w:rPr>
          <w:iCs/>
        </w:rPr>
        <w:t xml:space="preserve">however the HR point estimates were in favour of </w:t>
      </w:r>
      <w:r w:rsidR="008B0F30" w:rsidRPr="00EE61B1">
        <w:rPr>
          <w:iCs/>
        </w:rPr>
        <w:t>osimertinib,</w:t>
      </w:r>
      <w:r w:rsidRPr="00EE61B1">
        <w:rPr>
          <w:iCs/>
        </w:rPr>
        <w:t xml:space="preserve"> and the confidence interval narrowed between the January 2024 and November 2024 data cuts.</w:t>
      </w:r>
      <w:r w:rsidR="00B43207">
        <w:rPr>
          <w:iCs/>
        </w:rPr>
        <w:t xml:space="preserve"> </w:t>
      </w:r>
      <w:r w:rsidR="00B43207" w:rsidRPr="00893B3C">
        <w:rPr>
          <w:iCs/>
        </w:rPr>
        <w:t>The ESC noted that the</w:t>
      </w:r>
      <w:r>
        <w:t xml:space="preserve"> OS data remained immature</w:t>
      </w:r>
      <w:r w:rsidR="00BB23BE">
        <w:t xml:space="preserve">, with </w:t>
      </w:r>
      <w:r w:rsidR="0050307F">
        <w:t>66</w:t>
      </w:r>
      <w:r w:rsidR="0024075A">
        <w:t xml:space="preserve"> of </w:t>
      </w:r>
      <w:r w:rsidR="00BB23BE">
        <w:t xml:space="preserve">the </w:t>
      </w:r>
      <w:r w:rsidR="0024075A">
        <w:t>2</w:t>
      </w:r>
      <w:r w:rsidR="00DA649E">
        <w:t xml:space="preserve">16 </w:t>
      </w:r>
      <w:r w:rsidR="00DA6942">
        <w:t xml:space="preserve">randomised patients </w:t>
      </w:r>
      <w:r w:rsidR="0050307F">
        <w:t>having</w:t>
      </w:r>
      <w:r w:rsidR="00DA6942">
        <w:t xml:space="preserve"> died</w:t>
      </w:r>
      <w:r w:rsidRPr="00C42502">
        <w:t xml:space="preserve"> (31%).</w:t>
      </w:r>
      <w:r>
        <w:t xml:space="preserve"> The </w:t>
      </w:r>
      <w:r w:rsidR="00EF5977">
        <w:t>KM</w:t>
      </w:r>
      <w:r>
        <w:t xml:space="preserve"> curve for the placebo group sits slightly higher than the curve for the treatment group for the first 31 months after randomisation (</w:t>
      </w:r>
      <w:r w:rsidR="00514A80">
        <w:fldChar w:fldCharType="begin"/>
      </w:r>
      <w:r w:rsidR="00514A80">
        <w:instrText xml:space="preserve"> REF _Ref198133515 \h </w:instrText>
      </w:r>
      <w:r w:rsidR="00514A80">
        <w:fldChar w:fldCharType="separate"/>
      </w:r>
      <w:r w:rsidR="009F3D59" w:rsidRPr="001A4CDD">
        <w:t xml:space="preserve">Figure </w:t>
      </w:r>
      <w:r w:rsidR="009F3D59">
        <w:rPr>
          <w:noProof/>
        </w:rPr>
        <w:t>3</w:t>
      </w:r>
      <w:r w:rsidR="00514A80">
        <w:fldChar w:fldCharType="end"/>
      </w:r>
      <w:r w:rsidRPr="00C42502">
        <w:t>).</w:t>
      </w:r>
      <w:r>
        <w:t xml:space="preserve"> </w:t>
      </w:r>
      <w:r w:rsidRPr="00EE61B1">
        <w:rPr>
          <w:iCs/>
        </w:rPr>
        <w:t>The</w:t>
      </w:r>
      <w:r w:rsidR="00537E20">
        <w:rPr>
          <w:iCs/>
        </w:rPr>
        <w:t xml:space="preserve"> </w:t>
      </w:r>
      <w:r w:rsidR="00537E20" w:rsidRPr="00893B3C">
        <w:rPr>
          <w:iCs/>
        </w:rPr>
        <w:t>evaluation noted that the</w:t>
      </w:r>
      <w:r w:rsidRPr="00EE61B1">
        <w:rPr>
          <w:iCs/>
        </w:rPr>
        <w:t xml:space="preserve"> reason for this was unclear. There was 1 fatal adverse event considered related to osimertinib (pneumonitis), and most deaths (osimertinib arm: 78.6%; placebo arm: 73.3%) were considered to be related to the disease. </w:t>
      </w:r>
      <w:r w:rsidRPr="00893B3C">
        <w:rPr>
          <w:iCs/>
        </w:rPr>
        <w:t xml:space="preserve">The </w:t>
      </w:r>
      <w:r w:rsidR="002400E5" w:rsidRPr="00893B3C">
        <w:rPr>
          <w:iCs/>
        </w:rPr>
        <w:t>ESC noted that the</w:t>
      </w:r>
      <w:r w:rsidR="002400E5">
        <w:rPr>
          <w:iCs/>
        </w:rPr>
        <w:t xml:space="preserve"> </w:t>
      </w:r>
      <w:r w:rsidRPr="00EE61B1">
        <w:rPr>
          <w:iCs/>
        </w:rPr>
        <w:t>crossing of KM curves suggests a violation of the proportional hazards assumption. Therefore, the HR should be interpreted cautiously, as it may not reflect time-varying effects.</w:t>
      </w:r>
      <w:r w:rsidR="002504A8" w:rsidRPr="00EE61B1">
        <w:rPr>
          <w:iCs/>
        </w:rPr>
        <w:t xml:space="preserve"> </w:t>
      </w:r>
    </w:p>
    <w:p w14:paraId="751A88DF" w14:textId="36BED9FB" w:rsidR="003668AE" w:rsidRPr="00EE61B1" w:rsidRDefault="006268DD" w:rsidP="00A12328">
      <w:pPr>
        <w:pStyle w:val="3-BodyText"/>
        <w:rPr>
          <w:iCs/>
        </w:rPr>
      </w:pPr>
      <w:r>
        <w:rPr>
          <w:snapToGrid/>
        </w:rPr>
        <w:t>Pre-specified subgroup</w:t>
      </w:r>
      <w:r w:rsidR="00C8710C" w:rsidRPr="00C42502">
        <w:rPr>
          <w:snapToGrid/>
        </w:rPr>
        <w:t xml:space="preserve"> analyses for PFS are presented in </w:t>
      </w:r>
      <w:r w:rsidR="00C8710C">
        <w:rPr>
          <w:snapToGrid/>
        </w:rPr>
        <w:fldChar w:fldCharType="begin"/>
      </w:r>
      <w:r w:rsidR="00C8710C">
        <w:rPr>
          <w:snapToGrid/>
        </w:rPr>
        <w:instrText xml:space="preserve"> REF _Ref198133515 \h </w:instrText>
      </w:r>
      <w:r w:rsidR="00C8710C">
        <w:rPr>
          <w:snapToGrid/>
        </w:rPr>
      </w:r>
      <w:r w:rsidR="00C8710C">
        <w:rPr>
          <w:snapToGrid/>
        </w:rPr>
        <w:fldChar w:fldCharType="separate"/>
      </w:r>
      <w:r w:rsidR="009F3D59" w:rsidRPr="001A4CDD">
        <w:t xml:space="preserve">Figure </w:t>
      </w:r>
      <w:r w:rsidR="009F3D59">
        <w:rPr>
          <w:noProof/>
        </w:rPr>
        <w:t>3</w:t>
      </w:r>
      <w:r w:rsidR="00C8710C">
        <w:rPr>
          <w:snapToGrid/>
        </w:rPr>
        <w:fldChar w:fldCharType="end"/>
      </w:r>
      <w:r w:rsidR="00C8710C" w:rsidRPr="00C42502">
        <w:rPr>
          <w:snapToGrid/>
        </w:rPr>
        <w:t>.</w:t>
      </w:r>
      <w:r w:rsidR="003668AE">
        <w:rPr>
          <w:snapToGrid/>
        </w:rPr>
        <w:t xml:space="preserve"> </w:t>
      </w:r>
      <w:r w:rsidR="003668AE" w:rsidRPr="001A4CDD">
        <w:t xml:space="preserve">All subgroup analyses conducted </w:t>
      </w:r>
      <w:r w:rsidR="00002A4B">
        <w:t xml:space="preserve">statistically significantly </w:t>
      </w:r>
      <w:r w:rsidR="003668AE" w:rsidRPr="001A4CDD">
        <w:t>favoured osimertinib</w:t>
      </w:r>
      <w:r w:rsidR="0003214F">
        <w:t xml:space="preserve"> except one</w:t>
      </w:r>
      <w:r w:rsidR="003668AE" w:rsidRPr="001A4CDD">
        <w:t xml:space="preserve">, </w:t>
      </w:r>
      <w:r w:rsidR="0003214F">
        <w:t>and</w:t>
      </w:r>
      <w:r w:rsidR="003668AE" w:rsidRPr="001A4CDD">
        <w:t xml:space="preserve"> there were variations in the magnitude of benefit. </w:t>
      </w:r>
      <w:r w:rsidR="003668AE" w:rsidRPr="00EE61B1">
        <w:rPr>
          <w:iCs/>
        </w:rPr>
        <w:t xml:space="preserve">In the non-Asian trial population, the PFS HR was not statistically significant, however this subgroup was small </w:t>
      </w:r>
      <w:r w:rsidR="00FC23C0">
        <w:rPr>
          <w:iCs/>
        </w:rPr>
        <w:br/>
      </w:r>
      <w:r w:rsidR="003668AE" w:rsidRPr="00EE61B1">
        <w:rPr>
          <w:iCs/>
        </w:rPr>
        <w:t>(27 patients in the osimertinib arm and 11 patients in the placebo arm), which may have contributed to the wide confidence interval.</w:t>
      </w:r>
    </w:p>
    <w:p w14:paraId="50CEDAF4" w14:textId="73E076F1" w:rsidR="00327047" w:rsidRPr="001A4CDD" w:rsidRDefault="00327047" w:rsidP="00A12328">
      <w:pPr>
        <w:pStyle w:val="Caption"/>
      </w:pPr>
      <w:bookmarkStart w:id="40" w:name="_Ref198133515"/>
      <w:r w:rsidRPr="001A4CDD">
        <w:t xml:space="preserve">Figure </w:t>
      </w:r>
      <w:r w:rsidR="002E1944">
        <w:fldChar w:fldCharType="begin"/>
      </w:r>
      <w:r w:rsidR="002E1944">
        <w:instrText xml:space="preserve"> SEQ Figure \* ARABIC </w:instrText>
      </w:r>
      <w:r w:rsidR="002E1944">
        <w:fldChar w:fldCharType="separate"/>
      </w:r>
      <w:r w:rsidR="009F3D59">
        <w:rPr>
          <w:noProof/>
        </w:rPr>
        <w:t>3</w:t>
      </w:r>
      <w:r w:rsidR="002E1944">
        <w:rPr>
          <w:noProof/>
        </w:rPr>
        <w:fldChar w:fldCharType="end"/>
      </w:r>
      <w:bookmarkEnd w:id="40"/>
      <w:r w:rsidRPr="001A4CDD">
        <w:t>: Subgroup analysis of PFS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1A4CDD" w:rsidRPr="001A4CDD" w14:paraId="24012BA3" w14:textId="77777777" w:rsidTr="00327047">
        <w:tc>
          <w:tcPr>
            <w:tcW w:w="9017" w:type="dxa"/>
            <w:hideMark/>
          </w:tcPr>
          <w:p w14:paraId="2AB2AF70" w14:textId="77777777" w:rsidR="00327047" w:rsidRPr="001A4CDD" w:rsidRDefault="00327047" w:rsidP="00A12328">
            <w:r w:rsidRPr="001A4CDD">
              <w:rPr>
                <w:noProof/>
              </w:rPr>
              <w:drawing>
                <wp:inline distT="0" distB="0" distL="0" distR="0" wp14:anchorId="2C33EB0D" wp14:editId="4F8196E1">
                  <wp:extent cx="5429250" cy="4314825"/>
                  <wp:effectExtent l="0" t="0" r="0" b="9525"/>
                  <wp:docPr id="18" name="Picture 18" descr="Figure 3: Subgroup analysis of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 Subgroup analysis of PF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4314825"/>
                          </a:xfrm>
                          <a:prstGeom prst="rect">
                            <a:avLst/>
                          </a:prstGeom>
                          <a:noFill/>
                          <a:ln>
                            <a:noFill/>
                          </a:ln>
                        </pic:spPr>
                      </pic:pic>
                    </a:graphicData>
                  </a:graphic>
                </wp:inline>
              </w:drawing>
            </w:r>
          </w:p>
        </w:tc>
      </w:tr>
    </w:tbl>
    <w:p w14:paraId="5BF3DEC9" w14:textId="77777777" w:rsidR="00327047" w:rsidRPr="001A4CDD" w:rsidRDefault="00327047" w:rsidP="00A12328">
      <w:pPr>
        <w:pStyle w:val="FooterTableFigure"/>
      </w:pPr>
      <w:r w:rsidRPr="001A4CDD">
        <w:t>Source: Figure 2, Lu 2024</w:t>
      </w:r>
    </w:p>
    <w:p w14:paraId="4F33BA56" w14:textId="44154285" w:rsidR="00FC23C0" w:rsidRPr="0035199C" w:rsidRDefault="00327047" w:rsidP="00A12328">
      <w:pPr>
        <w:pStyle w:val="FooterTableFigure"/>
      </w:pPr>
      <w:r w:rsidRPr="001A4CDD">
        <w:t xml:space="preserve">CI = confidence interval; CRT = chemoradiation therapy; </w:t>
      </w:r>
      <w:r w:rsidRPr="001A4CDD">
        <w:rPr>
          <w:i/>
        </w:rPr>
        <w:t xml:space="preserve">EGFR </w:t>
      </w:r>
      <w:r w:rsidRPr="001A4CDD">
        <w:t>= epidermal growth factor receptor; NC = not calculable; yr = years</w:t>
      </w:r>
    </w:p>
    <w:p w14:paraId="69D12755" w14:textId="41C51082" w:rsidR="00327047" w:rsidRPr="001A4CDD" w:rsidRDefault="005648AB" w:rsidP="00A12328">
      <w:pPr>
        <w:pStyle w:val="3-BodyText"/>
      </w:pPr>
      <w:r>
        <w:rPr>
          <w:snapToGrid/>
        </w:rPr>
        <w:fldChar w:fldCharType="begin"/>
      </w:r>
      <w:r>
        <w:rPr>
          <w:snapToGrid/>
        </w:rPr>
        <w:instrText xml:space="preserve"> REF _Ref198178970 \h </w:instrText>
      </w:r>
      <w:r>
        <w:rPr>
          <w:snapToGrid/>
        </w:rPr>
      </w:r>
      <w:r>
        <w:rPr>
          <w:snapToGrid/>
        </w:rPr>
        <w:fldChar w:fldCharType="separate"/>
      </w:r>
      <w:r w:rsidR="009F3D59" w:rsidRPr="001A4CDD">
        <w:t xml:space="preserve">Table </w:t>
      </w:r>
      <w:r w:rsidR="009F3D59">
        <w:rPr>
          <w:noProof/>
        </w:rPr>
        <w:t>6</w:t>
      </w:r>
      <w:r>
        <w:rPr>
          <w:snapToGrid/>
        </w:rPr>
        <w:fldChar w:fldCharType="end"/>
      </w:r>
      <w:r w:rsidR="00327047" w:rsidRPr="00C42502">
        <w:rPr>
          <w:snapToGrid/>
        </w:rPr>
        <w:t xml:space="preserve"> summarises the response outcomes for the LAURA trial.</w:t>
      </w:r>
    </w:p>
    <w:p w14:paraId="17DEDE0B" w14:textId="06E05B93" w:rsidR="00327047" w:rsidRPr="001A4CDD" w:rsidRDefault="00327047" w:rsidP="00A12328">
      <w:pPr>
        <w:pStyle w:val="Caption"/>
      </w:pPr>
      <w:bookmarkStart w:id="41" w:name="_Ref198178970"/>
      <w:r w:rsidRPr="001A4CDD">
        <w:t xml:space="preserve">Table </w:t>
      </w:r>
      <w:r w:rsidR="002E1944">
        <w:fldChar w:fldCharType="begin"/>
      </w:r>
      <w:r w:rsidR="002E1944">
        <w:instrText xml:space="preserve"> SEQ Table \* ARABIC </w:instrText>
      </w:r>
      <w:r w:rsidR="002E1944">
        <w:fldChar w:fldCharType="separate"/>
      </w:r>
      <w:r w:rsidR="009F3D59">
        <w:rPr>
          <w:noProof/>
        </w:rPr>
        <w:t>6</w:t>
      </w:r>
      <w:r w:rsidR="002E1944">
        <w:rPr>
          <w:noProof/>
        </w:rPr>
        <w:fldChar w:fldCharType="end"/>
      </w:r>
      <w:bookmarkEnd w:id="41"/>
      <w:r w:rsidRPr="001A4CDD">
        <w:t>: Response outcomes from the LAURA trial</w:t>
      </w:r>
    </w:p>
    <w:tbl>
      <w:tblPr>
        <w:tblStyle w:val="PBAClayout"/>
        <w:tblW w:w="5000" w:type="pct"/>
        <w:tblLook w:val="04A0" w:firstRow="1" w:lastRow="0" w:firstColumn="1" w:lastColumn="0" w:noHBand="0" w:noVBand="1"/>
        <w:tblCaption w:val="Table 6: Response outcomes from the LAURA trial"/>
      </w:tblPr>
      <w:tblGrid>
        <w:gridCol w:w="3297"/>
        <w:gridCol w:w="1982"/>
        <w:gridCol w:w="2146"/>
        <w:gridCol w:w="1592"/>
      </w:tblGrid>
      <w:tr w:rsidR="001A4CDD" w:rsidRPr="001A4CDD" w14:paraId="56ECF6CC" w14:textId="77777777" w:rsidTr="00327047">
        <w:tc>
          <w:tcPr>
            <w:tcW w:w="1828" w:type="pct"/>
            <w:tcBorders>
              <w:bottom w:val="single" w:sz="4" w:space="0" w:color="auto"/>
            </w:tcBorders>
          </w:tcPr>
          <w:p w14:paraId="5BF910A1" w14:textId="77777777" w:rsidR="00327047" w:rsidRPr="00C42502" w:rsidRDefault="00327047" w:rsidP="00A12328">
            <w:pPr>
              <w:pStyle w:val="In-tableHeading"/>
              <w:rPr>
                <w:lang w:val="en-AU"/>
              </w:rPr>
            </w:pPr>
          </w:p>
        </w:tc>
        <w:tc>
          <w:tcPr>
            <w:tcW w:w="1099" w:type="pct"/>
            <w:tcBorders>
              <w:bottom w:val="single" w:sz="4" w:space="0" w:color="auto"/>
            </w:tcBorders>
          </w:tcPr>
          <w:p w14:paraId="54A949A7" w14:textId="77777777" w:rsidR="00F90CBC" w:rsidRDefault="00327047" w:rsidP="00A12328">
            <w:pPr>
              <w:pStyle w:val="In-tableHeading"/>
              <w:jc w:val="center"/>
              <w:rPr>
                <w:lang w:val="en-AU"/>
              </w:rPr>
            </w:pPr>
            <w:r w:rsidRPr="00C42502">
              <w:rPr>
                <w:lang w:val="en-AU"/>
              </w:rPr>
              <w:t xml:space="preserve">Osimertinib </w:t>
            </w:r>
          </w:p>
          <w:p w14:paraId="7CFFD903" w14:textId="2E2ECE33" w:rsidR="00327047" w:rsidRPr="00C42502" w:rsidRDefault="00327047" w:rsidP="00A12328">
            <w:pPr>
              <w:pStyle w:val="In-tableHeading"/>
              <w:jc w:val="center"/>
              <w:rPr>
                <w:lang w:val="en-AU"/>
              </w:rPr>
            </w:pPr>
            <w:r w:rsidRPr="00C42502">
              <w:rPr>
                <w:lang w:val="en-AU"/>
              </w:rPr>
              <w:t>N=143</w:t>
            </w:r>
          </w:p>
        </w:tc>
        <w:tc>
          <w:tcPr>
            <w:tcW w:w="1190" w:type="pct"/>
            <w:tcBorders>
              <w:bottom w:val="single" w:sz="4" w:space="0" w:color="auto"/>
            </w:tcBorders>
          </w:tcPr>
          <w:p w14:paraId="51727B1F" w14:textId="77777777" w:rsidR="00F90CBC" w:rsidRDefault="00327047" w:rsidP="00A12328">
            <w:pPr>
              <w:pStyle w:val="In-tableHeading"/>
              <w:jc w:val="center"/>
              <w:rPr>
                <w:lang w:val="en-AU"/>
              </w:rPr>
            </w:pPr>
            <w:r w:rsidRPr="00C42502">
              <w:rPr>
                <w:lang w:val="en-AU"/>
              </w:rPr>
              <w:t xml:space="preserve">Placebo </w:t>
            </w:r>
          </w:p>
          <w:p w14:paraId="7E3530D6" w14:textId="0977BBF6" w:rsidR="00327047" w:rsidRPr="00C42502" w:rsidRDefault="00327047" w:rsidP="00A12328">
            <w:pPr>
              <w:pStyle w:val="In-tableHeading"/>
              <w:jc w:val="center"/>
              <w:rPr>
                <w:lang w:val="en-AU"/>
              </w:rPr>
            </w:pPr>
            <w:r w:rsidRPr="00C42502">
              <w:rPr>
                <w:lang w:val="en-AU"/>
              </w:rPr>
              <w:t>N=73</w:t>
            </w:r>
          </w:p>
        </w:tc>
        <w:tc>
          <w:tcPr>
            <w:tcW w:w="883" w:type="pct"/>
            <w:tcBorders>
              <w:bottom w:val="single" w:sz="4" w:space="0" w:color="auto"/>
            </w:tcBorders>
          </w:tcPr>
          <w:p w14:paraId="68ECC3F8" w14:textId="77777777" w:rsidR="00F90CBC" w:rsidRDefault="00327047" w:rsidP="00A12328">
            <w:pPr>
              <w:pStyle w:val="In-tableHeading"/>
              <w:jc w:val="center"/>
              <w:rPr>
                <w:lang w:val="en-AU"/>
              </w:rPr>
            </w:pPr>
            <w:r w:rsidRPr="00C42502">
              <w:rPr>
                <w:lang w:val="en-AU"/>
              </w:rPr>
              <w:t xml:space="preserve">OR </w:t>
            </w:r>
          </w:p>
          <w:p w14:paraId="599F7F8C" w14:textId="68FDBA9B" w:rsidR="00327047" w:rsidRPr="00C42502" w:rsidRDefault="00327047" w:rsidP="00A12328">
            <w:pPr>
              <w:pStyle w:val="In-tableHeading"/>
              <w:jc w:val="center"/>
              <w:rPr>
                <w:lang w:val="en-AU"/>
              </w:rPr>
            </w:pPr>
            <w:r w:rsidRPr="00C42502">
              <w:rPr>
                <w:lang w:val="en-AU"/>
              </w:rPr>
              <w:t>(95% CI)</w:t>
            </w:r>
          </w:p>
        </w:tc>
      </w:tr>
      <w:tr w:rsidR="001A4CDD" w:rsidRPr="001A4CDD" w14:paraId="468396D8" w14:textId="77777777" w:rsidTr="00327047">
        <w:tc>
          <w:tcPr>
            <w:tcW w:w="1828" w:type="pct"/>
            <w:tcBorders>
              <w:bottom w:val="nil"/>
            </w:tcBorders>
          </w:tcPr>
          <w:p w14:paraId="5BC4E140" w14:textId="77777777" w:rsidR="00327047" w:rsidRPr="001A4CDD" w:rsidRDefault="00327047" w:rsidP="00A12328">
            <w:pPr>
              <w:pStyle w:val="TableText0"/>
              <w:rPr>
                <w:b/>
              </w:rPr>
            </w:pPr>
            <w:r w:rsidRPr="001A4CDD">
              <w:rPr>
                <w:b/>
              </w:rPr>
              <w:t>Best objective response</w:t>
            </w:r>
          </w:p>
        </w:tc>
        <w:tc>
          <w:tcPr>
            <w:tcW w:w="1099" w:type="pct"/>
            <w:tcBorders>
              <w:bottom w:val="nil"/>
            </w:tcBorders>
          </w:tcPr>
          <w:p w14:paraId="2B0238BB" w14:textId="77777777" w:rsidR="00327047" w:rsidRPr="001A4CDD" w:rsidRDefault="00327047" w:rsidP="00A12328">
            <w:pPr>
              <w:pStyle w:val="TableText0"/>
              <w:jc w:val="center"/>
            </w:pPr>
          </w:p>
        </w:tc>
        <w:tc>
          <w:tcPr>
            <w:tcW w:w="1190" w:type="pct"/>
            <w:tcBorders>
              <w:bottom w:val="nil"/>
            </w:tcBorders>
          </w:tcPr>
          <w:p w14:paraId="0F4727AB" w14:textId="77777777" w:rsidR="00327047" w:rsidRPr="001A4CDD" w:rsidRDefault="00327047" w:rsidP="00A12328">
            <w:pPr>
              <w:pStyle w:val="TableText0"/>
              <w:jc w:val="center"/>
            </w:pPr>
          </w:p>
        </w:tc>
        <w:tc>
          <w:tcPr>
            <w:tcW w:w="883" w:type="pct"/>
            <w:tcBorders>
              <w:bottom w:val="nil"/>
            </w:tcBorders>
          </w:tcPr>
          <w:p w14:paraId="37C97468" w14:textId="77777777" w:rsidR="00327047" w:rsidRPr="001A4CDD" w:rsidRDefault="00327047" w:rsidP="00A12328">
            <w:pPr>
              <w:pStyle w:val="TableText0"/>
              <w:jc w:val="center"/>
            </w:pPr>
          </w:p>
        </w:tc>
      </w:tr>
      <w:tr w:rsidR="001A4CDD" w:rsidRPr="001A4CDD" w14:paraId="23D3A02F" w14:textId="77777777" w:rsidTr="00327047">
        <w:tc>
          <w:tcPr>
            <w:tcW w:w="1828" w:type="pct"/>
            <w:tcBorders>
              <w:top w:val="nil"/>
              <w:bottom w:val="nil"/>
            </w:tcBorders>
          </w:tcPr>
          <w:p w14:paraId="413EA6DF" w14:textId="77777777" w:rsidR="00327047" w:rsidRPr="001A4CDD" w:rsidRDefault="00327047" w:rsidP="00A12328">
            <w:pPr>
              <w:pStyle w:val="TableText0"/>
            </w:pPr>
            <w:r w:rsidRPr="001A4CDD">
              <w:t>Response, n (%) [95% CI]</w:t>
            </w:r>
          </w:p>
        </w:tc>
        <w:tc>
          <w:tcPr>
            <w:tcW w:w="1099" w:type="pct"/>
            <w:tcBorders>
              <w:top w:val="nil"/>
              <w:bottom w:val="nil"/>
            </w:tcBorders>
          </w:tcPr>
          <w:p w14:paraId="1B94A104" w14:textId="77777777" w:rsidR="00327047" w:rsidRPr="001A4CDD" w:rsidRDefault="00327047" w:rsidP="00A12328">
            <w:pPr>
              <w:pStyle w:val="TableText0"/>
              <w:jc w:val="center"/>
            </w:pPr>
            <w:r w:rsidRPr="001A4CDD">
              <w:t>82 (57.3) [48.8, 65.6]</w:t>
            </w:r>
          </w:p>
        </w:tc>
        <w:tc>
          <w:tcPr>
            <w:tcW w:w="1190" w:type="pct"/>
            <w:tcBorders>
              <w:top w:val="nil"/>
              <w:bottom w:val="nil"/>
            </w:tcBorders>
          </w:tcPr>
          <w:p w14:paraId="2FF1CE6D" w14:textId="77777777" w:rsidR="00327047" w:rsidRPr="001A4CDD" w:rsidRDefault="00327047" w:rsidP="00A12328">
            <w:pPr>
              <w:pStyle w:val="TableText0"/>
              <w:jc w:val="center"/>
            </w:pPr>
            <w:r w:rsidRPr="001A4CDD">
              <w:t>24 (32.9) [22.3, 44.9]</w:t>
            </w:r>
          </w:p>
        </w:tc>
        <w:tc>
          <w:tcPr>
            <w:tcW w:w="883" w:type="pct"/>
            <w:tcBorders>
              <w:top w:val="nil"/>
              <w:bottom w:val="nil"/>
            </w:tcBorders>
          </w:tcPr>
          <w:p w14:paraId="6A88F95F" w14:textId="60DF9F0B" w:rsidR="002034E3" w:rsidRPr="002034E3" w:rsidRDefault="00327047" w:rsidP="00A12328">
            <w:pPr>
              <w:pStyle w:val="TableText0"/>
              <w:jc w:val="center"/>
              <w:rPr>
                <w:b/>
              </w:rPr>
            </w:pPr>
            <w:r w:rsidRPr="002034E3">
              <w:rPr>
                <w:b/>
              </w:rPr>
              <w:t>2.77 (1.54, 5.08)</w:t>
            </w:r>
          </w:p>
        </w:tc>
      </w:tr>
      <w:tr w:rsidR="001A4CDD" w:rsidRPr="001A4CDD" w14:paraId="12C2B765" w14:textId="77777777" w:rsidTr="00327047">
        <w:tc>
          <w:tcPr>
            <w:tcW w:w="1828" w:type="pct"/>
            <w:tcBorders>
              <w:top w:val="nil"/>
              <w:bottom w:val="nil"/>
            </w:tcBorders>
            <w:vAlign w:val="top"/>
          </w:tcPr>
          <w:p w14:paraId="08B4E96B" w14:textId="77777777" w:rsidR="00327047" w:rsidRPr="001A4CDD" w:rsidRDefault="00327047" w:rsidP="00A12328">
            <w:pPr>
              <w:pStyle w:val="TableText0"/>
              <w:ind w:left="170"/>
            </w:pPr>
            <w:r w:rsidRPr="001A4CDD">
              <w:t>Complete response</w:t>
            </w:r>
          </w:p>
        </w:tc>
        <w:tc>
          <w:tcPr>
            <w:tcW w:w="1099" w:type="pct"/>
            <w:tcBorders>
              <w:top w:val="nil"/>
              <w:bottom w:val="nil"/>
            </w:tcBorders>
            <w:vAlign w:val="top"/>
          </w:tcPr>
          <w:p w14:paraId="1F6B6625" w14:textId="77777777" w:rsidR="00327047" w:rsidRPr="001A4CDD" w:rsidRDefault="00327047" w:rsidP="00A12328">
            <w:pPr>
              <w:pStyle w:val="TableText0"/>
              <w:jc w:val="center"/>
            </w:pPr>
            <w:r w:rsidRPr="001A4CDD">
              <w:t>3 (2.1)</w:t>
            </w:r>
          </w:p>
        </w:tc>
        <w:tc>
          <w:tcPr>
            <w:tcW w:w="1190" w:type="pct"/>
            <w:tcBorders>
              <w:top w:val="nil"/>
              <w:bottom w:val="nil"/>
            </w:tcBorders>
            <w:vAlign w:val="top"/>
          </w:tcPr>
          <w:p w14:paraId="763A5CB9" w14:textId="77777777" w:rsidR="00327047" w:rsidRPr="001A4CDD" w:rsidRDefault="00327047" w:rsidP="00A12328">
            <w:pPr>
              <w:pStyle w:val="TableText0"/>
              <w:jc w:val="center"/>
            </w:pPr>
            <w:r w:rsidRPr="001A4CDD">
              <w:t>1 (1.4)</w:t>
            </w:r>
          </w:p>
        </w:tc>
        <w:tc>
          <w:tcPr>
            <w:tcW w:w="883" w:type="pct"/>
            <w:tcBorders>
              <w:top w:val="nil"/>
              <w:bottom w:val="nil"/>
            </w:tcBorders>
          </w:tcPr>
          <w:p w14:paraId="380429C2" w14:textId="2E37D21C" w:rsidR="00327047" w:rsidRPr="00FF7DC5" w:rsidRDefault="002034E3" w:rsidP="00A12328">
            <w:pPr>
              <w:pStyle w:val="TableText0"/>
              <w:jc w:val="center"/>
              <w:rPr>
                <w:b/>
                <w:bCs w:val="0"/>
              </w:rPr>
            </w:pPr>
            <w:r w:rsidRPr="00FF7DC5">
              <w:rPr>
                <w:b/>
                <w:bCs w:val="0"/>
              </w:rPr>
              <w:t>p&lt;0.001</w:t>
            </w:r>
          </w:p>
        </w:tc>
      </w:tr>
      <w:tr w:rsidR="001A4CDD" w:rsidRPr="001A4CDD" w14:paraId="4946CB5D" w14:textId="77777777" w:rsidTr="00327047">
        <w:tc>
          <w:tcPr>
            <w:tcW w:w="1828" w:type="pct"/>
            <w:tcBorders>
              <w:top w:val="nil"/>
              <w:bottom w:val="nil"/>
            </w:tcBorders>
            <w:vAlign w:val="top"/>
          </w:tcPr>
          <w:p w14:paraId="53024ED8" w14:textId="77777777" w:rsidR="00327047" w:rsidRPr="001A4CDD" w:rsidRDefault="00327047" w:rsidP="00A12328">
            <w:pPr>
              <w:pStyle w:val="TableText0"/>
              <w:ind w:left="170"/>
            </w:pPr>
            <w:r w:rsidRPr="001A4CDD">
              <w:t>Partial response</w:t>
            </w:r>
          </w:p>
        </w:tc>
        <w:tc>
          <w:tcPr>
            <w:tcW w:w="1099" w:type="pct"/>
            <w:tcBorders>
              <w:top w:val="nil"/>
              <w:bottom w:val="nil"/>
            </w:tcBorders>
            <w:vAlign w:val="top"/>
          </w:tcPr>
          <w:p w14:paraId="1A97944E" w14:textId="77777777" w:rsidR="00327047" w:rsidRPr="001A4CDD" w:rsidRDefault="00327047" w:rsidP="00A12328">
            <w:pPr>
              <w:pStyle w:val="TableText0"/>
              <w:jc w:val="center"/>
            </w:pPr>
            <w:r w:rsidRPr="001A4CDD">
              <w:t>79 (55.2)</w:t>
            </w:r>
          </w:p>
        </w:tc>
        <w:tc>
          <w:tcPr>
            <w:tcW w:w="1190" w:type="pct"/>
            <w:tcBorders>
              <w:top w:val="nil"/>
              <w:bottom w:val="nil"/>
            </w:tcBorders>
            <w:vAlign w:val="top"/>
          </w:tcPr>
          <w:p w14:paraId="44213406" w14:textId="77777777" w:rsidR="00327047" w:rsidRPr="001A4CDD" w:rsidRDefault="00327047" w:rsidP="00A12328">
            <w:pPr>
              <w:pStyle w:val="TableText0"/>
              <w:jc w:val="center"/>
            </w:pPr>
            <w:r w:rsidRPr="001A4CDD">
              <w:t>23 (31.5)</w:t>
            </w:r>
          </w:p>
        </w:tc>
        <w:tc>
          <w:tcPr>
            <w:tcW w:w="883" w:type="pct"/>
            <w:tcBorders>
              <w:top w:val="nil"/>
              <w:bottom w:val="nil"/>
            </w:tcBorders>
          </w:tcPr>
          <w:p w14:paraId="48D5B327" w14:textId="77777777" w:rsidR="00327047" w:rsidRPr="001A4CDD" w:rsidRDefault="00327047" w:rsidP="00A12328">
            <w:pPr>
              <w:pStyle w:val="TableText0"/>
              <w:jc w:val="center"/>
            </w:pPr>
          </w:p>
        </w:tc>
      </w:tr>
      <w:tr w:rsidR="001A4CDD" w:rsidRPr="001A4CDD" w14:paraId="2EECBBEF" w14:textId="77777777" w:rsidTr="00327047">
        <w:tc>
          <w:tcPr>
            <w:tcW w:w="1828" w:type="pct"/>
            <w:tcBorders>
              <w:top w:val="nil"/>
              <w:bottom w:val="nil"/>
            </w:tcBorders>
            <w:vAlign w:val="top"/>
          </w:tcPr>
          <w:p w14:paraId="3BF493B7" w14:textId="77777777" w:rsidR="00327047" w:rsidRPr="001A4CDD" w:rsidRDefault="00327047" w:rsidP="00A12328">
            <w:pPr>
              <w:pStyle w:val="TableText0"/>
              <w:ind w:left="170"/>
            </w:pPr>
            <w:r w:rsidRPr="001A4CDD">
              <w:t>Stable disease (≥8 weeks)</w:t>
            </w:r>
          </w:p>
        </w:tc>
        <w:tc>
          <w:tcPr>
            <w:tcW w:w="1099" w:type="pct"/>
            <w:tcBorders>
              <w:top w:val="nil"/>
              <w:bottom w:val="nil"/>
            </w:tcBorders>
            <w:vAlign w:val="top"/>
          </w:tcPr>
          <w:p w14:paraId="30D3A0A8" w14:textId="77777777" w:rsidR="00327047" w:rsidRPr="001A4CDD" w:rsidRDefault="00327047" w:rsidP="00A12328">
            <w:pPr>
              <w:pStyle w:val="TableText0"/>
              <w:jc w:val="center"/>
            </w:pPr>
            <w:r w:rsidRPr="001A4CDD">
              <w:t>45 (31.5)</w:t>
            </w:r>
          </w:p>
        </w:tc>
        <w:tc>
          <w:tcPr>
            <w:tcW w:w="1190" w:type="pct"/>
            <w:tcBorders>
              <w:top w:val="nil"/>
              <w:bottom w:val="nil"/>
            </w:tcBorders>
            <w:vAlign w:val="top"/>
          </w:tcPr>
          <w:p w14:paraId="41C72A51" w14:textId="77777777" w:rsidR="00327047" w:rsidRPr="001A4CDD" w:rsidRDefault="00327047" w:rsidP="00A12328">
            <w:pPr>
              <w:pStyle w:val="TableText0"/>
              <w:jc w:val="center"/>
            </w:pPr>
            <w:r w:rsidRPr="001A4CDD">
              <w:t>34 (46.6)</w:t>
            </w:r>
          </w:p>
        </w:tc>
        <w:tc>
          <w:tcPr>
            <w:tcW w:w="883" w:type="pct"/>
            <w:tcBorders>
              <w:top w:val="nil"/>
              <w:bottom w:val="nil"/>
            </w:tcBorders>
          </w:tcPr>
          <w:p w14:paraId="10AF44BD" w14:textId="77777777" w:rsidR="00327047" w:rsidRPr="001A4CDD" w:rsidRDefault="00327047" w:rsidP="00A12328">
            <w:pPr>
              <w:pStyle w:val="TableText0"/>
              <w:jc w:val="center"/>
            </w:pPr>
          </w:p>
        </w:tc>
      </w:tr>
      <w:tr w:rsidR="001A4CDD" w:rsidRPr="001A4CDD" w14:paraId="57964129" w14:textId="77777777" w:rsidTr="00327047">
        <w:tc>
          <w:tcPr>
            <w:tcW w:w="1828" w:type="pct"/>
            <w:tcBorders>
              <w:top w:val="nil"/>
              <w:bottom w:val="nil"/>
            </w:tcBorders>
            <w:vAlign w:val="top"/>
          </w:tcPr>
          <w:p w14:paraId="4AF29F48" w14:textId="77777777" w:rsidR="00327047" w:rsidRPr="001A4CDD" w:rsidRDefault="00327047" w:rsidP="00A12328">
            <w:pPr>
              <w:pStyle w:val="TableText0"/>
              <w:ind w:left="170"/>
            </w:pPr>
            <w:r w:rsidRPr="001A4CDD">
              <w:t>Disease progression</w:t>
            </w:r>
          </w:p>
        </w:tc>
        <w:tc>
          <w:tcPr>
            <w:tcW w:w="1099" w:type="pct"/>
            <w:tcBorders>
              <w:top w:val="nil"/>
              <w:bottom w:val="nil"/>
            </w:tcBorders>
            <w:vAlign w:val="top"/>
          </w:tcPr>
          <w:p w14:paraId="58D576BB" w14:textId="77777777" w:rsidR="00327047" w:rsidRPr="001A4CDD" w:rsidRDefault="00327047" w:rsidP="00A12328">
            <w:pPr>
              <w:pStyle w:val="TableText0"/>
              <w:jc w:val="center"/>
            </w:pPr>
            <w:r w:rsidRPr="001A4CDD">
              <w:t>11 (7.7)</w:t>
            </w:r>
          </w:p>
        </w:tc>
        <w:tc>
          <w:tcPr>
            <w:tcW w:w="1190" w:type="pct"/>
            <w:tcBorders>
              <w:top w:val="nil"/>
              <w:bottom w:val="nil"/>
            </w:tcBorders>
            <w:vAlign w:val="top"/>
          </w:tcPr>
          <w:p w14:paraId="1038BB27" w14:textId="77777777" w:rsidR="00327047" w:rsidRPr="001A4CDD" w:rsidRDefault="00327047" w:rsidP="00A12328">
            <w:pPr>
              <w:pStyle w:val="TableText0"/>
              <w:jc w:val="center"/>
            </w:pPr>
            <w:r w:rsidRPr="001A4CDD">
              <w:t>12 (16.4)</w:t>
            </w:r>
          </w:p>
        </w:tc>
        <w:tc>
          <w:tcPr>
            <w:tcW w:w="883" w:type="pct"/>
            <w:tcBorders>
              <w:top w:val="nil"/>
              <w:bottom w:val="nil"/>
            </w:tcBorders>
          </w:tcPr>
          <w:p w14:paraId="6B708B20" w14:textId="77777777" w:rsidR="00327047" w:rsidRPr="001A4CDD" w:rsidRDefault="00327047" w:rsidP="00A12328">
            <w:pPr>
              <w:pStyle w:val="TableText0"/>
              <w:jc w:val="center"/>
            </w:pPr>
          </w:p>
        </w:tc>
      </w:tr>
      <w:tr w:rsidR="001A4CDD" w:rsidRPr="001A4CDD" w14:paraId="1447C2F3" w14:textId="77777777" w:rsidTr="00327047">
        <w:tc>
          <w:tcPr>
            <w:tcW w:w="1828" w:type="pct"/>
            <w:tcBorders>
              <w:top w:val="nil"/>
            </w:tcBorders>
            <w:vAlign w:val="top"/>
          </w:tcPr>
          <w:p w14:paraId="3A4EA985" w14:textId="77777777" w:rsidR="00327047" w:rsidRPr="001A4CDD" w:rsidRDefault="00327047" w:rsidP="00A12328">
            <w:pPr>
              <w:pStyle w:val="TableText0"/>
              <w:ind w:left="170"/>
            </w:pPr>
            <w:r w:rsidRPr="001A4CDD">
              <w:t>Not evaluable</w:t>
            </w:r>
          </w:p>
        </w:tc>
        <w:tc>
          <w:tcPr>
            <w:tcW w:w="1099" w:type="pct"/>
            <w:tcBorders>
              <w:top w:val="nil"/>
            </w:tcBorders>
            <w:vAlign w:val="top"/>
          </w:tcPr>
          <w:p w14:paraId="76CA352B" w14:textId="77777777" w:rsidR="00327047" w:rsidRPr="001A4CDD" w:rsidRDefault="00327047" w:rsidP="00A12328">
            <w:pPr>
              <w:pStyle w:val="TableText0"/>
              <w:jc w:val="center"/>
            </w:pPr>
            <w:r w:rsidRPr="001A4CDD">
              <w:t>5 (3.5)</w:t>
            </w:r>
          </w:p>
        </w:tc>
        <w:tc>
          <w:tcPr>
            <w:tcW w:w="1190" w:type="pct"/>
            <w:tcBorders>
              <w:top w:val="nil"/>
            </w:tcBorders>
            <w:vAlign w:val="top"/>
          </w:tcPr>
          <w:p w14:paraId="4666BB5D" w14:textId="77777777" w:rsidR="00327047" w:rsidRPr="001A4CDD" w:rsidRDefault="00327047" w:rsidP="00A12328">
            <w:pPr>
              <w:pStyle w:val="TableText0"/>
              <w:jc w:val="center"/>
            </w:pPr>
            <w:r w:rsidRPr="001A4CDD">
              <w:t>3 (4.1)</w:t>
            </w:r>
          </w:p>
        </w:tc>
        <w:tc>
          <w:tcPr>
            <w:tcW w:w="883" w:type="pct"/>
            <w:tcBorders>
              <w:top w:val="nil"/>
            </w:tcBorders>
          </w:tcPr>
          <w:p w14:paraId="6E2ECBA7" w14:textId="77777777" w:rsidR="00327047" w:rsidRPr="001A4CDD" w:rsidRDefault="00327047" w:rsidP="00A12328">
            <w:pPr>
              <w:pStyle w:val="TableText0"/>
              <w:jc w:val="center"/>
            </w:pPr>
          </w:p>
        </w:tc>
      </w:tr>
      <w:tr w:rsidR="001A4CDD" w:rsidRPr="001A4CDD" w14:paraId="6E1E96F9" w14:textId="77777777" w:rsidTr="00327047">
        <w:tc>
          <w:tcPr>
            <w:tcW w:w="1828" w:type="pct"/>
            <w:tcBorders>
              <w:bottom w:val="single" w:sz="4" w:space="0" w:color="auto"/>
            </w:tcBorders>
          </w:tcPr>
          <w:p w14:paraId="200EB2BB" w14:textId="77777777" w:rsidR="00327047" w:rsidRPr="001A4CDD" w:rsidRDefault="00327047" w:rsidP="00A12328">
            <w:pPr>
              <w:pStyle w:val="TableText0"/>
            </w:pPr>
            <w:r w:rsidRPr="001A4CDD">
              <w:t>BOR in confirmed responses</w:t>
            </w:r>
            <w:r w:rsidRPr="001A4CDD">
              <w:rPr>
                <w:vertAlign w:val="superscript"/>
              </w:rPr>
              <w:t>a</w:t>
            </w:r>
            <w:r w:rsidRPr="001A4CDD">
              <w:t>, n (%) [95%CI]</w:t>
            </w:r>
          </w:p>
        </w:tc>
        <w:tc>
          <w:tcPr>
            <w:tcW w:w="1099" w:type="pct"/>
            <w:tcBorders>
              <w:bottom w:val="single" w:sz="4" w:space="0" w:color="auto"/>
            </w:tcBorders>
          </w:tcPr>
          <w:p w14:paraId="6EEB6A3A" w14:textId="77777777" w:rsidR="00327047" w:rsidRPr="001A4CDD" w:rsidRDefault="00327047" w:rsidP="00A12328">
            <w:pPr>
              <w:pStyle w:val="TableText0"/>
              <w:jc w:val="center"/>
            </w:pPr>
            <w:r w:rsidRPr="001A4CDD">
              <w:t>77 (53.80) [45.3, 62.2]</w:t>
            </w:r>
          </w:p>
        </w:tc>
        <w:tc>
          <w:tcPr>
            <w:tcW w:w="1190" w:type="pct"/>
            <w:tcBorders>
              <w:bottom w:val="single" w:sz="4" w:space="0" w:color="auto"/>
            </w:tcBorders>
          </w:tcPr>
          <w:p w14:paraId="5857190C" w14:textId="77777777" w:rsidR="00327047" w:rsidRPr="001A4CDD" w:rsidRDefault="00327047" w:rsidP="00A12328">
            <w:pPr>
              <w:pStyle w:val="TableText0"/>
              <w:jc w:val="center"/>
            </w:pPr>
            <w:r w:rsidRPr="001A4CDD">
              <w:t>19 (26.0) [16.5, 37.6]</w:t>
            </w:r>
          </w:p>
        </w:tc>
        <w:tc>
          <w:tcPr>
            <w:tcW w:w="883" w:type="pct"/>
            <w:tcBorders>
              <w:bottom w:val="single" w:sz="4" w:space="0" w:color="auto"/>
            </w:tcBorders>
          </w:tcPr>
          <w:p w14:paraId="242416F0" w14:textId="77777777" w:rsidR="00327047" w:rsidRDefault="00327047" w:rsidP="00A12328">
            <w:pPr>
              <w:pStyle w:val="TableText0"/>
              <w:jc w:val="center"/>
              <w:rPr>
                <w:b/>
              </w:rPr>
            </w:pPr>
            <w:r w:rsidRPr="002034E3">
              <w:rPr>
                <w:b/>
              </w:rPr>
              <w:t>3.33 (1.82, 6.31)</w:t>
            </w:r>
          </w:p>
          <w:p w14:paraId="2068C371" w14:textId="00A386C9" w:rsidR="002034E3" w:rsidRPr="00FF7DC5" w:rsidRDefault="002034E3" w:rsidP="00A12328">
            <w:pPr>
              <w:pStyle w:val="TableText0"/>
              <w:jc w:val="center"/>
              <w:rPr>
                <w:b/>
                <w:bCs w:val="0"/>
              </w:rPr>
            </w:pPr>
            <w:r w:rsidRPr="00FF7DC5">
              <w:rPr>
                <w:b/>
                <w:bCs w:val="0"/>
              </w:rPr>
              <w:t>p&lt;0.001</w:t>
            </w:r>
          </w:p>
        </w:tc>
      </w:tr>
      <w:tr w:rsidR="001A4CDD" w:rsidRPr="001A4CDD" w14:paraId="39DCA16B" w14:textId="77777777" w:rsidTr="00327047">
        <w:tc>
          <w:tcPr>
            <w:tcW w:w="1828" w:type="pct"/>
            <w:tcBorders>
              <w:bottom w:val="nil"/>
            </w:tcBorders>
            <w:vAlign w:val="top"/>
          </w:tcPr>
          <w:p w14:paraId="2692AEE4" w14:textId="77777777" w:rsidR="00327047" w:rsidRPr="001A4CDD" w:rsidRDefault="00327047" w:rsidP="00A12328">
            <w:pPr>
              <w:pStyle w:val="TableText0"/>
              <w:rPr>
                <w:b/>
              </w:rPr>
            </w:pPr>
            <w:r w:rsidRPr="001A4CDD">
              <w:rPr>
                <w:b/>
              </w:rPr>
              <w:t>Duration of response</w:t>
            </w:r>
          </w:p>
        </w:tc>
        <w:tc>
          <w:tcPr>
            <w:tcW w:w="1099" w:type="pct"/>
            <w:tcBorders>
              <w:bottom w:val="nil"/>
            </w:tcBorders>
          </w:tcPr>
          <w:p w14:paraId="644C31F9" w14:textId="77777777" w:rsidR="00327047" w:rsidRPr="001A4CDD" w:rsidRDefault="00327047" w:rsidP="00A12328">
            <w:pPr>
              <w:pStyle w:val="TableText0"/>
              <w:jc w:val="center"/>
            </w:pPr>
          </w:p>
        </w:tc>
        <w:tc>
          <w:tcPr>
            <w:tcW w:w="1190" w:type="pct"/>
            <w:tcBorders>
              <w:bottom w:val="nil"/>
            </w:tcBorders>
          </w:tcPr>
          <w:p w14:paraId="5A2612CB" w14:textId="77777777" w:rsidR="00327047" w:rsidRPr="001A4CDD" w:rsidRDefault="00327047" w:rsidP="00A12328">
            <w:pPr>
              <w:pStyle w:val="TableText0"/>
              <w:jc w:val="center"/>
            </w:pPr>
          </w:p>
        </w:tc>
        <w:tc>
          <w:tcPr>
            <w:tcW w:w="883" w:type="pct"/>
            <w:tcBorders>
              <w:bottom w:val="nil"/>
            </w:tcBorders>
          </w:tcPr>
          <w:p w14:paraId="01ABE0D3" w14:textId="77777777" w:rsidR="00327047" w:rsidRPr="001A4CDD" w:rsidRDefault="00327047" w:rsidP="00A12328">
            <w:pPr>
              <w:pStyle w:val="TableText0"/>
              <w:jc w:val="center"/>
            </w:pPr>
          </w:p>
        </w:tc>
      </w:tr>
      <w:tr w:rsidR="001A4CDD" w:rsidRPr="001A4CDD" w14:paraId="585AFFAB" w14:textId="77777777" w:rsidTr="00327047">
        <w:tc>
          <w:tcPr>
            <w:tcW w:w="1828" w:type="pct"/>
            <w:tcBorders>
              <w:top w:val="nil"/>
              <w:bottom w:val="nil"/>
            </w:tcBorders>
            <w:vAlign w:val="top"/>
          </w:tcPr>
          <w:p w14:paraId="60296A80" w14:textId="77777777" w:rsidR="00327047" w:rsidRPr="001A4CDD" w:rsidRDefault="00327047" w:rsidP="00A12328">
            <w:pPr>
              <w:pStyle w:val="TableText0"/>
            </w:pPr>
            <w:r w:rsidRPr="001A4CDD">
              <w:t>Responders who subsequently progressed or died, n/n (%)</w:t>
            </w:r>
          </w:p>
        </w:tc>
        <w:tc>
          <w:tcPr>
            <w:tcW w:w="1099" w:type="pct"/>
            <w:tcBorders>
              <w:top w:val="nil"/>
              <w:bottom w:val="nil"/>
            </w:tcBorders>
          </w:tcPr>
          <w:p w14:paraId="2FE79F2C" w14:textId="77777777" w:rsidR="00327047" w:rsidRPr="001A4CDD" w:rsidRDefault="00327047" w:rsidP="00A12328">
            <w:pPr>
              <w:pStyle w:val="TableText0"/>
              <w:jc w:val="center"/>
            </w:pPr>
            <w:r w:rsidRPr="001A4CDD">
              <w:t>28/82 (34.1)</w:t>
            </w:r>
          </w:p>
        </w:tc>
        <w:tc>
          <w:tcPr>
            <w:tcW w:w="1190" w:type="pct"/>
            <w:tcBorders>
              <w:top w:val="nil"/>
              <w:bottom w:val="nil"/>
            </w:tcBorders>
          </w:tcPr>
          <w:p w14:paraId="63D21953" w14:textId="77777777" w:rsidR="00327047" w:rsidRPr="001A4CDD" w:rsidRDefault="00327047" w:rsidP="00A12328">
            <w:pPr>
              <w:pStyle w:val="TableText0"/>
              <w:jc w:val="center"/>
            </w:pPr>
            <w:r w:rsidRPr="001A4CDD">
              <w:t>21/24 (87.5)</w:t>
            </w:r>
          </w:p>
        </w:tc>
        <w:tc>
          <w:tcPr>
            <w:tcW w:w="883" w:type="pct"/>
            <w:tcBorders>
              <w:top w:val="nil"/>
              <w:bottom w:val="nil"/>
            </w:tcBorders>
          </w:tcPr>
          <w:p w14:paraId="0E2263CA" w14:textId="53AD9B63" w:rsidR="00327047" w:rsidRPr="001A4CDD" w:rsidRDefault="002034E3" w:rsidP="00A12328">
            <w:pPr>
              <w:pStyle w:val="TableText0"/>
              <w:jc w:val="center"/>
            </w:pPr>
            <w:r>
              <w:t>NR</w:t>
            </w:r>
          </w:p>
        </w:tc>
      </w:tr>
      <w:tr w:rsidR="001A4CDD" w:rsidRPr="001A4CDD" w14:paraId="018598CF" w14:textId="77777777" w:rsidTr="00327047">
        <w:tc>
          <w:tcPr>
            <w:tcW w:w="1828" w:type="pct"/>
            <w:tcBorders>
              <w:top w:val="nil"/>
              <w:bottom w:val="nil"/>
            </w:tcBorders>
            <w:vAlign w:val="top"/>
          </w:tcPr>
          <w:p w14:paraId="360F214F" w14:textId="77777777" w:rsidR="00327047" w:rsidRPr="001A4CDD" w:rsidRDefault="00327047" w:rsidP="00A12328">
            <w:pPr>
              <w:pStyle w:val="TableText0"/>
            </w:pPr>
            <w:r w:rsidRPr="001A4CDD">
              <w:t>Time to onset, weeks, mean (SD); median [range]</w:t>
            </w:r>
          </w:p>
        </w:tc>
        <w:tc>
          <w:tcPr>
            <w:tcW w:w="1099" w:type="pct"/>
            <w:tcBorders>
              <w:top w:val="nil"/>
              <w:bottom w:val="nil"/>
            </w:tcBorders>
          </w:tcPr>
          <w:p w14:paraId="7D7D9389" w14:textId="77777777" w:rsidR="00327047" w:rsidRPr="001A4CDD" w:rsidRDefault="00327047" w:rsidP="00A12328">
            <w:pPr>
              <w:pStyle w:val="TableText0"/>
              <w:jc w:val="center"/>
            </w:pPr>
            <w:r w:rsidRPr="001A4CDD">
              <w:t>25.9 (28.51); 16.00 [6.9, 180.3]</w:t>
            </w:r>
          </w:p>
        </w:tc>
        <w:tc>
          <w:tcPr>
            <w:tcW w:w="1190" w:type="pct"/>
            <w:tcBorders>
              <w:top w:val="nil"/>
              <w:bottom w:val="nil"/>
            </w:tcBorders>
          </w:tcPr>
          <w:p w14:paraId="5591E5AE" w14:textId="77777777" w:rsidR="00327047" w:rsidRPr="001A4CDD" w:rsidRDefault="00327047" w:rsidP="00A12328">
            <w:pPr>
              <w:pStyle w:val="TableText0"/>
              <w:jc w:val="center"/>
            </w:pPr>
            <w:r w:rsidRPr="001A4CDD">
              <w:t>17.23 (10.203); 15.79 [7.6, 40.0]</w:t>
            </w:r>
          </w:p>
        </w:tc>
        <w:tc>
          <w:tcPr>
            <w:tcW w:w="883" w:type="pct"/>
            <w:tcBorders>
              <w:top w:val="nil"/>
              <w:bottom w:val="nil"/>
            </w:tcBorders>
          </w:tcPr>
          <w:p w14:paraId="5925283D" w14:textId="77777777" w:rsidR="00327047" w:rsidRPr="001A4CDD" w:rsidRDefault="00327047" w:rsidP="00A12328">
            <w:pPr>
              <w:pStyle w:val="TableText0"/>
              <w:jc w:val="center"/>
            </w:pPr>
          </w:p>
        </w:tc>
      </w:tr>
      <w:tr w:rsidR="001A4CDD" w:rsidRPr="001A4CDD" w14:paraId="3B004FAF" w14:textId="77777777" w:rsidTr="00327047">
        <w:tc>
          <w:tcPr>
            <w:tcW w:w="1828" w:type="pct"/>
            <w:tcBorders>
              <w:top w:val="nil"/>
              <w:bottom w:val="single" w:sz="4" w:space="0" w:color="auto"/>
            </w:tcBorders>
            <w:vAlign w:val="top"/>
          </w:tcPr>
          <w:p w14:paraId="7D43FF35" w14:textId="77777777" w:rsidR="00327047" w:rsidRPr="001A4CDD" w:rsidRDefault="00327047" w:rsidP="00A12328">
            <w:pPr>
              <w:pStyle w:val="TableText0"/>
            </w:pPr>
            <w:r w:rsidRPr="001A4CDD">
              <w:t>Median DoR, months (95%CI)</w:t>
            </w:r>
          </w:p>
        </w:tc>
        <w:tc>
          <w:tcPr>
            <w:tcW w:w="1099" w:type="pct"/>
            <w:tcBorders>
              <w:top w:val="nil"/>
              <w:bottom w:val="single" w:sz="4" w:space="0" w:color="auto"/>
            </w:tcBorders>
          </w:tcPr>
          <w:p w14:paraId="34A2956F" w14:textId="77777777" w:rsidR="00327047" w:rsidRPr="001A4CDD" w:rsidRDefault="00327047" w:rsidP="00A12328">
            <w:pPr>
              <w:pStyle w:val="TableText0"/>
              <w:jc w:val="center"/>
            </w:pPr>
            <w:r w:rsidRPr="001A4CDD">
              <w:t>36.9 (30.1, NC)</w:t>
            </w:r>
          </w:p>
        </w:tc>
        <w:tc>
          <w:tcPr>
            <w:tcW w:w="1190" w:type="pct"/>
            <w:tcBorders>
              <w:top w:val="nil"/>
              <w:bottom w:val="single" w:sz="4" w:space="0" w:color="auto"/>
            </w:tcBorders>
          </w:tcPr>
          <w:p w14:paraId="5C4B8808" w14:textId="77777777" w:rsidR="00327047" w:rsidRPr="001A4CDD" w:rsidRDefault="00327047" w:rsidP="00A12328">
            <w:pPr>
              <w:pStyle w:val="TableText0"/>
              <w:jc w:val="center"/>
            </w:pPr>
            <w:r w:rsidRPr="001A4CDD">
              <w:t>6.5 (3.6, 8.3)</w:t>
            </w:r>
          </w:p>
        </w:tc>
        <w:tc>
          <w:tcPr>
            <w:tcW w:w="883" w:type="pct"/>
            <w:tcBorders>
              <w:top w:val="nil"/>
              <w:bottom w:val="single" w:sz="4" w:space="0" w:color="auto"/>
            </w:tcBorders>
          </w:tcPr>
          <w:p w14:paraId="58AE8A66" w14:textId="77777777" w:rsidR="00327047" w:rsidRPr="001A4CDD" w:rsidRDefault="00327047" w:rsidP="00A12328">
            <w:pPr>
              <w:pStyle w:val="TableText0"/>
              <w:jc w:val="center"/>
            </w:pPr>
          </w:p>
        </w:tc>
      </w:tr>
      <w:tr w:rsidR="001A4CDD" w:rsidRPr="001A4CDD" w14:paraId="2978E8DA" w14:textId="77777777" w:rsidTr="00327047">
        <w:tc>
          <w:tcPr>
            <w:tcW w:w="1828" w:type="pct"/>
            <w:tcBorders>
              <w:top w:val="single" w:sz="4" w:space="0" w:color="auto"/>
              <w:bottom w:val="nil"/>
            </w:tcBorders>
            <w:vAlign w:val="top"/>
          </w:tcPr>
          <w:p w14:paraId="15FDC43E" w14:textId="77777777" w:rsidR="00327047" w:rsidRPr="001A4CDD" w:rsidRDefault="00327047" w:rsidP="00A12328">
            <w:pPr>
              <w:pStyle w:val="TableText0"/>
              <w:rPr>
                <w:b/>
              </w:rPr>
            </w:pPr>
            <w:r w:rsidRPr="001A4CDD">
              <w:rPr>
                <w:b/>
              </w:rPr>
              <w:t>Depth of Response</w:t>
            </w:r>
          </w:p>
        </w:tc>
        <w:tc>
          <w:tcPr>
            <w:tcW w:w="1099" w:type="pct"/>
            <w:tcBorders>
              <w:top w:val="single" w:sz="4" w:space="0" w:color="auto"/>
              <w:bottom w:val="nil"/>
            </w:tcBorders>
          </w:tcPr>
          <w:p w14:paraId="435E45EE" w14:textId="77777777" w:rsidR="00327047" w:rsidRPr="001A4CDD" w:rsidRDefault="00327047" w:rsidP="00A12328">
            <w:pPr>
              <w:pStyle w:val="TableText0"/>
              <w:jc w:val="center"/>
            </w:pPr>
          </w:p>
        </w:tc>
        <w:tc>
          <w:tcPr>
            <w:tcW w:w="1190" w:type="pct"/>
            <w:tcBorders>
              <w:top w:val="single" w:sz="4" w:space="0" w:color="auto"/>
              <w:bottom w:val="nil"/>
            </w:tcBorders>
          </w:tcPr>
          <w:p w14:paraId="12AD9946" w14:textId="77777777" w:rsidR="00327047" w:rsidRPr="001A4CDD" w:rsidRDefault="00327047" w:rsidP="00A12328">
            <w:pPr>
              <w:pStyle w:val="TableText0"/>
              <w:jc w:val="center"/>
            </w:pPr>
          </w:p>
        </w:tc>
        <w:tc>
          <w:tcPr>
            <w:tcW w:w="883" w:type="pct"/>
            <w:vMerge w:val="restart"/>
            <w:tcBorders>
              <w:top w:val="single" w:sz="4" w:space="0" w:color="auto"/>
            </w:tcBorders>
          </w:tcPr>
          <w:p w14:paraId="28DDD5CB" w14:textId="77777777" w:rsidR="00327047" w:rsidRPr="001A4CDD" w:rsidRDefault="00327047" w:rsidP="00A12328">
            <w:pPr>
              <w:pStyle w:val="TableText0"/>
              <w:jc w:val="center"/>
            </w:pPr>
            <w:r w:rsidRPr="001A4CDD">
              <w:t>Difference in LS means</w:t>
            </w:r>
          </w:p>
          <w:p w14:paraId="615F8B89" w14:textId="16A3A3CA" w:rsidR="00327047" w:rsidRPr="002034E3" w:rsidRDefault="00327047" w:rsidP="00A12328">
            <w:pPr>
              <w:pStyle w:val="TableText0"/>
              <w:jc w:val="center"/>
            </w:pPr>
            <w:r w:rsidRPr="002034E3">
              <w:rPr>
                <w:b/>
              </w:rPr>
              <w:t xml:space="preserve">-16.6 </w:t>
            </w:r>
            <w:r w:rsidR="00A17979">
              <w:rPr>
                <w:b/>
              </w:rPr>
              <w:t>(</w:t>
            </w:r>
            <w:r w:rsidRPr="002034E3">
              <w:rPr>
                <w:b/>
              </w:rPr>
              <w:t>-25.85, -7.41</w:t>
            </w:r>
            <w:r w:rsidR="00A17979">
              <w:rPr>
                <w:b/>
              </w:rPr>
              <w:t>)</w:t>
            </w:r>
            <w:r w:rsidR="002034E3">
              <w:t xml:space="preserve"> </w:t>
            </w:r>
            <w:r w:rsidR="002034E3" w:rsidRPr="00FF7DC5">
              <w:rPr>
                <w:b/>
                <w:bCs w:val="0"/>
              </w:rPr>
              <w:t>p&lt;0.001</w:t>
            </w:r>
          </w:p>
        </w:tc>
      </w:tr>
      <w:tr w:rsidR="001A4CDD" w:rsidRPr="001A4CDD" w14:paraId="692F3535" w14:textId="77777777" w:rsidTr="00327047">
        <w:tc>
          <w:tcPr>
            <w:tcW w:w="1828" w:type="pct"/>
            <w:tcBorders>
              <w:top w:val="nil"/>
              <w:bottom w:val="nil"/>
            </w:tcBorders>
            <w:vAlign w:val="top"/>
          </w:tcPr>
          <w:p w14:paraId="1E89C41F" w14:textId="77777777" w:rsidR="00327047" w:rsidRPr="001A4CDD" w:rsidRDefault="00327047" w:rsidP="00A12328">
            <w:pPr>
              <w:pStyle w:val="TableText0"/>
            </w:pPr>
            <w:r w:rsidRPr="001A4CDD">
              <w:t>Patients with at least 1 post-baseline scan</w:t>
            </w:r>
          </w:p>
        </w:tc>
        <w:tc>
          <w:tcPr>
            <w:tcW w:w="1099" w:type="pct"/>
            <w:tcBorders>
              <w:top w:val="nil"/>
              <w:bottom w:val="nil"/>
            </w:tcBorders>
          </w:tcPr>
          <w:p w14:paraId="26359355" w14:textId="77777777" w:rsidR="00327047" w:rsidRPr="001A4CDD" w:rsidRDefault="00327047" w:rsidP="00A12328">
            <w:pPr>
              <w:pStyle w:val="TableText0"/>
              <w:jc w:val="center"/>
            </w:pPr>
            <w:r w:rsidRPr="001A4CDD">
              <w:t>133</w:t>
            </w:r>
          </w:p>
        </w:tc>
        <w:tc>
          <w:tcPr>
            <w:tcW w:w="1190" w:type="pct"/>
            <w:tcBorders>
              <w:top w:val="nil"/>
              <w:bottom w:val="nil"/>
            </w:tcBorders>
          </w:tcPr>
          <w:p w14:paraId="7061F4F3" w14:textId="77777777" w:rsidR="00327047" w:rsidRPr="001A4CDD" w:rsidRDefault="00327047" w:rsidP="00A12328">
            <w:pPr>
              <w:pStyle w:val="TableText0"/>
              <w:jc w:val="center"/>
            </w:pPr>
            <w:r w:rsidRPr="001A4CDD">
              <w:t>70</w:t>
            </w:r>
          </w:p>
        </w:tc>
        <w:tc>
          <w:tcPr>
            <w:tcW w:w="883" w:type="pct"/>
            <w:vMerge/>
          </w:tcPr>
          <w:p w14:paraId="78FEFCA5" w14:textId="77777777" w:rsidR="00327047" w:rsidRPr="001A4CDD" w:rsidRDefault="00327047" w:rsidP="00A12328">
            <w:pPr>
              <w:pStyle w:val="TableText0"/>
              <w:jc w:val="center"/>
            </w:pPr>
          </w:p>
        </w:tc>
      </w:tr>
      <w:tr w:rsidR="001A4CDD" w:rsidRPr="001A4CDD" w14:paraId="483750D8" w14:textId="77777777" w:rsidTr="00327047">
        <w:tc>
          <w:tcPr>
            <w:tcW w:w="1828" w:type="pct"/>
            <w:tcBorders>
              <w:top w:val="nil"/>
            </w:tcBorders>
            <w:vAlign w:val="top"/>
          </w:tcPr>
          <w:p w14:paraId="5319286A" w14:textId="1F501FEE" w:rsidR="00327047" w:rsidRPr="001A4CDD" w:rsidRDefault="00327047" w:rsidP="00A12328">
            <w:pPr>
              <w:pStyle w:val="TableText0"/>
            </w:pPr>
            <w:r w:rsidRPr="001A4CDD">
              <w:t>Best change in tumour size, unadjusted, %, mean (</w:t>
            </w:r>
            <w:r w:rsidR="004F73C9">
              <w:t>SD</w:t>
            </w:r>
            <w:r w:rsidRPr="001A4CDD">
              <w:t xml:space="preserve">); median </w:t>
            </w:r>
            <w:r w:rsidR="00FC168C">
              <w:t>[</w:t>
            </w:r>
            <w:r w:rsidRPr="001A4CDD">
              <w:t>range</w:t>
            </w:r>
            <w:r w:rsidR="00FC168C">
              <w:t>]</w:t>
            </w:r>
          </w:p>
        </w:tc>
        <w:tc>
          <w:tcPr>
            <w:tcW w:w="1099" w:type="pct"/>
            <w:tcBorders>
              <w:top w:val="nil"/>
            </w:tcBorders>
          </w:tcPr>
          <w:p w14:paraId="07305582" w14:textId="77777777" w:rsidR="00327047" w:rsidRPr="001A4CDD" w:rsidRDefault="00327047" w:rsidP="00A12328">
            <w:pPr>
              <w:pStyle w:val="TableText0"/>
              <w:jc w:val="center"/>
            </w:pPr>
            <w:r w:rsidRPr="001A4CDD">
              <w:t>-41.5 (33.94);</w:t>
            </w:r>
          </w:p>
          <w:p w14:paraId="644D1E63" w14:textId="77777777" w:rsidR="00327047" w:rsidRPr="001A4CDD" w:rsidRDefault="00327047" w:rsidP="00A12328">
            <w:pPr>
              <w:pStyle w:val="TableText0"/>
              <w:jc w:val="center"/>
            </w:pPr>
            <w:r w:rsidRPr="001A4CDD">
              <w:t>-43.3 [-100, 144]</w:t>
            </w:r>
          </w:p>
        </w:tc>
        <w:tc>
          <w:tcPr>
            <w:tcW w:w="1190" w:type="pct"/>
            <w:tcBorders>
              <w:top w:val="nil"/>
            </w:tcBorders>
          </w:tcPr>
          <w:p w14:paraId="7D93A4B6" w14:textId="77777777" w:rsidR="00327047" w:rsidRPr="001A4CDD" w:rsidRDefault="00327047" w:rsidP="00A12328">
            <w:pPr>
              <w:pStyle w:val="TableText0"/>
              <w:jc w:val="center"/>
            </w:pPr>
            <w:r w:rsidRPr="001A4CDD">
              <w:t xml:space="preserve">-23.5 (27.18); </w:t>
            </w:r>
          </w:p>
          <w:p w14:paraId="2422D7C6" w14:textId="77777777" w:rsidR="00327047" w:rsidRPr="001A4CDD" w:rsidRDefault="00327047" w:rsidP="00A12328">
            <w:pPr>
              <w:pStyle w:val="TableText0"/>
              <w:jc w:val="center"/>
            </w:pPr>
            <w:r w:rsidRPr="001A4CDD">
              <w:t>21.9 [-100, 23]</w:t>
            </w:r>
          </w:p>
        </w:tc>
        <w:tc>
          <w:tcPr>
            <w:tcW w:w="883" w:type="pct"/>
            <w:vMerge/>
          </w:tcPr>
          <w:p w14:paraId="67BC91EE" w14:textId="77777777" w:rsidR="00327047" w:rsidRPr="001A4CDD" w:rsidRDefault="00327047" w:rsidP="00A12328">
            <w:pPr>
              <w:pStyle w:val="TableText0"/>
              <w:jc w:val="center"/>
            </w:pPr>
          </w:p>
        </w:tc>
      </w:tr>
    </w:tbl>
    <w:p w14:paraId="0D255234" w14:textId="41B1B617" w:rsidR="00327047" w:rsidRPr="001A4CDD" w:rsidRDefault="00327047" w:rsidP="00A12328">
      <w:pPr>
        <w:pStyle w:val="FooterTableFigure"/>
      </w:pPr>
      <w:r w:rsidRPr="001A4CDD">
        <w:t>Source: Table 2-22, p82 2-23, p 83, 2-24, p 84 of the submission and Table 14.2.7.4, p273 of Attachment 2.2 to the submission.</w:t>
      </w:r>
    </w:p>
    <w:p w14:paraId="6BCF3F4C" w14:textId="53DFC9E5" w:rsidR="00327047" w:rsidRDefault="00327047" w:rsidP="00A12328">
      <w:pPr>
        <w:pStyle w:val="FooterTableFigure"/>
      </w:pPr>
      <w:r w:rsidRPr="001A4CDD">
        <w:t xml:space="preserve">BOR = best objective response; CI = confidence interval; DoR = duration of response; LS = least squares; NC = not calculable; </w:t>
      </w:r>
      <w:r w:rsidR="002034E3">
        <w:t xml:space="preserve">NR = not reported; </w:t>
      </w:r>
      <w:r w:rsidRPr="001A4CDD">
        <w:t xml:space="preserve">OR = odds ratio; SD = standard deviation; </w:t>
      </w:r>
    </w:p>
    <w:p w14:paraId="62C220DD" w14:textId="1D5D4030" w:rsidR="002034E3" w:rsidRPr="001A4CDD" w:rsidRDefault="002034E3" w:rsidP="00A12328">
      <w:pPr>
        <w:pStyle w:val="FooterTableFigure"/>
      </w:pPr>
      <w:r w:rsidRPr="002034E3">
        <w:t>Statistically significant results are shown in bold text.</w:t>
      </w:r>
    </w:p>
    <w:p w14:paraId="08BC3F79" w14:textId="77777777" w:rsidR="00327047" w:rsidRPr="001A4CDD" w:rsidRDefault="00327047" w:rsidP="00A12328">
      <w:pPr>
        <w:pStyle w:val="FooterTableFigure"/>
      </w:pPr>
      <w:r w:rsidRPr="001A4CDD">
        <w:t>a</w:t>
      </w:r>
      <w:r w:rsidRPr="001A4CDD">
        <w:tab/>
        <w:t>Response confirmed after 4 weeks</w:t>
      </w:r>
    </w:p>
    <w:p w14:paraId="38DBB7FC" w14:textId="77777777" w:rsidR="00327047" w:rsidRPr="001A4CDD" w:rsidRDefault="00327047" w:rsidP="00A12328">
      <w:pPr>
        <w:pStyle w:val="3-BodyText"/>
      </w:pPr>
      <w:r w:rsidRPr="00C42502">
        <w:rPr>
          <w:snapToGrid/>
        </w:rPr>
        <w:t xml:space="preserve">Response outcomes were based on BICR assessments. There were a higher proportion of responders in the osimertinib arm than in the placebo arm (57.3% vs 32.9%), and responders in the osimertinib arm had a longer duration of response than responders in the placebo arm (median 36.9 months vs 6.5 months). Patients in the osimertinib arm also had a more favourable depth of response, with a 16.6% greater reduction in tumour size from baseline compared to placebo. </w:t>
      </w:r>
    </w:p>
    <w:p w14:paraId="602E0CC5" w14:textId="26F43E61" w:rsidR="00327047" w:rsidRPr="001A4CDD" w:rsidRDefault="0024522F" w:rsidP="00A12328">
      <w:pPr>
        <w:pStyle w:val="3-BodyText"/>
        <w:rPr>
          <w:rFonts w:ascii="Arial Narrow" w:hAnsi="Arial Narrow"/>
          <w:b/>
          <w:sz w:val="20"/>
        </w:rPr>
      </w:pPr>
      <w:r>
        <w:rPr>
          <w:snapToGrid/>
        </w:rPr>
        <w:fldChar w:fldCharType="begin"/>
      </w:r>
      <w:r>
        <w:rPr>
          <w:snapToGrid/>
        </w:rPr>
        <w:instrText xml:space="preserve"> REF _Ref198179315 \h </w:instrText>
      </w:r>
      <w:r>
        <w:rPr>
          <w:snapToGrid/>
        </w:rPr>
      </w:r>
      <w:r>
        <w:rPr>
          <w:snapToGrid/>
        </w:rPr>
        <w:fldChar w:fldCharType="separate"/>
      </w:r>
      <w:r w:rsidR="009F3D59" w:rsidRPr="001A4CDD">
        <w:t xml:space="preserve">Table </w:t>
      </w:r>
      <w:r w:rsidR="009F3D59">
        <w:rPr>
          <w:noProof/>
        </w:rPr>
        <w:t>7</w:t>
      </w:r>
      <w:r>
        <w:rPr>
          <w:snapToGrid/>
        </w:rPr>
        <w:fldChar w:fldCharType="end"/>
      </w:r>
      <w:r w:rsidR="00327047" w:rsidRPr="00C42502">
        <w:rPr>
          <w:snapToGrid/>
        </w:rPr>
        <w:t xml:space="preserve"> summarises the other reported time-to-event outcomes: </w:t>
      </w:r>
      <w:r w:rsidR="007D5CC6">
        <w:rPr>
          <w:snapToGrid/>
        </w:rPr>
        <w:t>CNS</w:t>
      </w:r>
      <w:r w:rsidR="00327047" w:rsidRPr="00C42502">
        <w:rPr>
          <w:snapToGrid/>
        </w:rPr>
        <w:t xml:space="preserve"> PFS, time to death or distant metastases</w:t>
      </w:r>
      <w:r w:rsidR="007D5CC6">
        <w:rPr>
          <w:snapToGrid/>
        </w:rPr>
        <w:t xml:space="preserve"> (TTDM)</w:t>
      </w:r>
      <w:r w:rsidR="00327047" w:rsidRPr="00C42502">
        <w:rPr>
          <w:snapToGrid/>
        </w:rPr>
        <w:t>, time to study treatment discontinuation or death</w:t>
      </w:r>
      <w:r w:rsidR="00C02559">
        <w:rPr>
          <w:snapToGrid/>
        </w:rPr>
        <w:t xml:space="preserve"> (T</w:t>
      </w:r>
      <w:r w:rsidR="006525E6">
        <w:rPr>
          <w:snapToGrid/>
        </w:rPr>
        <w:t xml:space="preserve">TD) </w:t>
      </w:r>
      <w:r w:rsidR="00327047" w:rsidRPr="00C42502">
        <w:rPr>
          <w:snapToGrid/>
        </w:rPr>
        <w:t>, time to first- and second subsequent treatments</w:t>
      </w:r>
      <w:r w:rsidR="004C553B">
        <w:rPr>
          <w:snapToGrid/>
        </w:rPr>
        <w:t xml:space="preserve"> (T</w:t>
      </w:r>
      <w:r w:rsidR="00D36030">
        <w:rPr>
          <w:snapToGrid/>
        </w:rPr>
        <w:t>FST</w:t>
      </w:r>
      <w:r w:rsidR="00216DA6">
        <w:rPr>
          <w:snapToGrid/>
        </w:rPr>
        <w:t xml:space="preserve"> and</w:t>
      </w:r>
      <w:r w:rsidR="00D36030">
        <w:rPr>
          <w:snapToGrid/>
        </w:rPr>
        <w:t xml:space="preserve"> T</w:t>
      </w:r>
      <w:r w:rsidR="00216DA6">
        <w:rPr>
          <w:snapToGrid/>
        </w:rPr>
        <w:t>SST, respectively</w:t>
      </w:r>
      <w:r w:rsidR="00D36030">
        <w:rPr>
          <w:snapToGrid/>
        </w:rPr>
        <w:t>)</w:t>
      </w:r>
      <w:r w:rsidR="00327047" w:rsidRPr="00C42502">
        <w:rPr>
          <w:snapToGrid/>
        </w:rPr>
        <w:t>, and second PFS</w:t>
      </w:r>
      <w:r w:rsidR="003B2049">
        <w:rPr>
          <w:snapToGrid/>
        </w:rPr>
        <w:t xml:space="preserve"> (defined as </w:t>
      </w:r>
      <w:r w:rsidR="00E10BD3">
        <w:rPr>
          <w:snapToGrid/>
        </w:rPr>
        <w:t>time from randomisation to death or the progression event following the first objective disease progression, subsequent to the first subsequent therapy)</w:t>
      </w:r>
      <w:r w:rsidR="00327047" w:rsidRPr="00C42502">
        <w:rPr>
          <w:snapToGrid/>
        </w:rPr>
        <w:t xml:space="preserve">. </w:t>
      </w:r>
      <w:r w:rsidR="000D529D">
        <w:rPr>
          <w:snapToGrid/>
        </w:rPr>
        <w:fldChar w:fldCharType="begin"/>
      </w:r>
      <w:r w:rsidR="000D529D">
        <w:rPr>
          <w:snapToGrid/>
        </w:rPr>
        <w:instrText xml:space="preserve"> REF _Ref198179459 \h </w:instrText>
      </w:r>
      <w:r w:rsidR="000D529D">
        <w:rPr>
          <w:snapToGrid/>
        </w:rPr>
      </w:r>
      <w:r w:rsidR="000D529D">
        <w:rPr>
          <w:snapToGrid/>
        </w:rPr>
        <w:fldChar w:fldCharType="separate"/>
      </w:r>
      <w:r w:rsidR="009F3D59" w:rsidRPr="001A4CDD">
        <w:t xml:space="preserve">Figure </w:t>
      </w:r>
      <w:r w:rsidR="009F3D59">
        <w:rPr>
          <w:noProof/>
        </w:rPr>
        <w:t>4</w:t>
      </w:r>
      <w:r w:rsidR="000D529D">
        <w:rPr>
          <w:snapToGrid/>
        </w:rPr>
        <w:fldChar w:fldCharType="end"/>
      </w:r>
      <w:r w:rsidR="00327047" w:rsidRPr="00C42502">
        <w:rPr>
          <w:snapToGrid/>
        </w:rPr>
        <w:t xml:space="preserve"> presents the cumulative incidence plot for the TTDM competing risk analysis. </w:t>
      </w:r>
    </w:p>
    <w:p w14:paraId="61ACD3AE" w14:textId="73503B58" w:rsidR="00327047" w:rsidRPr="001A4CDD" w:rsidRDefault="00327047" w:rsidP="00A12328">
      <w:pPr>
        <w:pStyle w:val="Caption"/>
      </w:pPr>
      <w:bookmarkStart w:id="42" w:name="_Ref198179315"/>
      <w:r w:rsidRPr="001A4CDD">
        <w:t xml:space="preserve">Table </w:t>
      </w:r>
      <w:r w:rsidR="002E1944">
        <w:fldChar w:fldCharType="begin"/>
      </w:r>
      <w:r w:rsidR="002E1944">
        <w:instrText xml:space="preserve"> SEQ Table \* ARABIC </w:instrText>
      </w:r>
      <w:r w:rsidR="002E1944">
        <w:fldChar w:fldCharType="separate"/>
      </w:r>
      <w:r w:rsidR="009F3D59">
        <w:rPr>
          <w:noProof/>
        </w:rPr>
        <w:t>7</w:t>
      </w:r>
      <w:r w:rsidR="002E1944">
        <w:rPr>
          <w:noProof/>
        </w:rPr>
        <w:fldChar w:fldCharType="end"/>
      </w:r>
      <w:bookmarkEnd w:id="42"/>
      <w:r w:rsidRPr="001A4CDD">
        <w:t>: Secondary time-to-event outcomes</w:t>
      </w:r>
    </w:p>
    <w:tbl>
      <w:tblPr>
        <w:tblStyle w:val="PBAClayout"/>
        <w:tblW w:w="0" w:type="auto"/>
        <w:tblLook w:val="04A0" w:firstRow="1" w:lastRow="0" w:firstColumn="1" w:lastColumn="0" w:noHBand="0" w:noVBand="1"/>
        <w:tblCaption w:val="Table 7: Secondary time-to-event outcomes"/>
      </w:tblPr>
      <w:tblGrid>
        <w:gridCol w:w="2830"/>
        <w:gridCol w:w="1701"/>
        <w:gridCol w:w="1843"/>
        <w:gridCol w:w="1276"/>
        <w:gridCol w:w="1367"/>
      </w:tblGrid>
      <w:tr w:rsidR="001A4CDD" w:rsidRPr="001A4CDD" w14:paraId="11410773" w14:textId="77777777" w:rsidTr="00327047">
        <w:tc>
          <w:tcPr>
            <w:tcW w:w="2830" w:type="dxa"/>
            <w:tcBorders>
              <w:bottom w:val="single" w:sz="4" w:space="0" w:color="auto"/>
            </w:tcBorders>
          </w:tcPr>
          <w:p w14:paraId="3E41AC8D" w14:textId="77777777" w:rsidR="00327047" w:rsidRPr="00C42502" w:rsidRDefault="00327047" w:rsidP="00A12328">
            <w:pPr>
              <w:pStyle w:val="In-tableHeading"/>
              <w:rPr>
                <w:lang w:val="en-AU"/>
              </w:rPr>
            </w:pPr>
          </w:p>
        </w:tc>
        <w:tc>
          <w:tcPr>
            <w:tcW w:w="1701" w:type="dxa"/>
            <w:tcBorders>
              <w:bottom w:val="single" w:sz="4" w:space="0" w:color="auto"/>
            </w:tcBorders>
          </w:tcPr>
          <w:p w14:paraId="78857E1A" w14:textId="77777777" w:rsidR="00327047" w:rsidRPr="00C42502" w:rsidRDefault="00327047" w:rsidP="00A12328">
            <w:pPr>
              <w:pStyle w:val="In-tableHeading"/>
              <w:jc w:val="center"/>
              <w:rPr>
                <w:lang w:val="en-AU"/>
              </w:rPr>
            </w:pPr>
            <w:r w:rsidRPr="00C42502">
              <w:rPr>
                <w:lang w:val="en-AU"/>
              </w:rPr>
              <w:t>Osimertinib N=143</w:t>
            </w:r>
          </w:p>
        </w:tc>
        <w:tc>
          <w:tcPr>
            <w:tcW w:w="1843" w:type="dxa"/>
            <w:tcBorders>
              <w:bottom w:val="single" w:sz="4" w:space="0" w:color="auto"/>
            </w:tcBorders>
          </w:tcPr>
          <w:p w14:paraId="3443A654" w14:textId="77777777" w:rsidR="00327047" w:rsidRPr="00C42502" w:rsidRDefault="00327047" w:rsidP="00A12328">
            <w:pPr>
              <w:pStyle w:val="In-tableHeading"/>
              <w:jc w:val="center"/>
              <w:rPr>
                <w:lang w:val="en-AU"/>
              </w:rPr>
            </w:pPr>
            <w:r w:rsidRPr="00C42502">
              <w:rPr>
                <w:lang w:val="en-AU"/>
              </w:rPr>
              <w:t>Placebo N=73</w:t>
            </w:r>
          </w:p>
        </w:tc>
        <w:tc>
          <w:tcPr>
            <w:tcW w:w="1276" w:type="dxa"/>
            <w:tcBorders>
              <w:bottom w:val="single" w:sz="4" w:space="0" w:color="auto"/>
            </w:tcBorders>
          </w:tcPr>
          <w:p w14:paraId="2250BA29" w14:textId="77777777" w:rsidR="00327047" w:rsidRPr="00C42502" w:rsidRDefault="00327047" w:rsidP="00A12328">
            <w:pPr>
              <w:pStyle w:val="In-tableHeading"/>
              <w:jc w:val="center"/>
              <w:rPr>
                <w:lang w:val="en-AU"/>
              </w:rPr>
            </w:pPr>
            <w:r w:rsidRPr="00C42502">
              <w:rPr>
                <w:lang w:val="en-AU"/>
              </w:rPr>
              <w:t>Absolute difference</w:t>
            </w:r>
          </w:p>
        </w:tc>
        <w:tc>
          <w:tcPr>
            <w:tcW w:w="1367" w:type="dxa"/>
            <w:tcBorders>
              <w:bottom w:val="single" w:sz="4" w:space="0" w:color="auto"/>
            </w:tcBorders>
          </w:tcPr>
          <w:p w14:paraId="0E0281FA" w14:textId="77777777" w:rsidR="00327047" w:rsidRPr="00C42502" w:rsidRDefault="00327047" w:rsidP="00A12328">
            <w:pPr>
              <w:pStyle w:val="In-tableHeading"/>
              <w:jc w:val="center"/>
              <w:rPr>
                <w:lang w:val="en-AU"/>
              </w:rPr>
            </w:pPr>
            <w:r w:rsidRPr="00C42502">
              <w:rPr>
                <w:lang w:val="en-AU"/>
              </w:rPr>
              <w:t>HR (95% CI)</w:t>
            </w:r>
          </w:p>
        </w:tc>
      </w:tr>
      <w:tr w:rsidR="001A4CDD" w:rsidRPr="001A4CDD" w14:paraId="01BFFEFB" w14:textId="77777777" w:rsidTr="00327047">
        <w:tc>
          <w:tcPr>
            <w:tcW w:w="2830" w:type="dxa"/>
            <w:tcBorders>
              <w:bottom w:val="nil"/>
            </w:tcBorders>
          </w:tcPr>
          <w:p w14:paraId="06C78007" w14:textId="77777777" w:rsidR="00327047" w:rsidRPr="00C42502" w:rsidRDefault="00327047" w:rsidP="00A12328">
            <w:pPr>
              <w:pStyle w:val="In-tableHeading"/>
              <w:rPr>
                <w:vertAlign w:val="superscript"/>
                <w:lang w:val="en-AU"/>
              </w:rPr>
            </w:pPr>
            <w:r w:rsidRPr="00C42502">
              <w:rPr>
                <w:lang w:val="en-AU"/>
              </w:rPr>
              <w:t>CNS PFS</w:t>
            </w:r>
            <w:r w:rsidRPr="00C42502">
              <w:rPr>
                <w:vertAlign w:val="superscript"/>
                <w:lang w:val="en-AU"/>
              </w:rPr>
              <w:t>a</w:t>
            </w:r>
          </w:p>
        </w:tc>
        <w:tc>
          <w:tcPr>
            <w:tcW w:w="1701" w:type="dxa"/>
            <w:tcBorders>
              <w:bottom w:val="nil"/>
            </w:tcBorders>
          </w:tcPr>
          <w:p w14:paraId="2E873754" w14:textId="77777777" w:rsidR="00327047" w:rsidRPr="00C42502" w:rsidRDefault="00327047" w:rsidP="00A12328">
            <w:pPr>
              <w:pStyle w:val="In-tableHeading"/>
              <w:jc w:val="center"/>
              <w:rPr>
                <w:lang w:val="en-AU"/>
              </w:rPr>
            </w:pPr>
          </w:p>
        </w:tc>
        <w:tc>
          <w:tcPr>
            <w:tcW w:w="1843" w:type="dxa"/>
            <w:tcBorders>
              <w:bottom w:val="nil"/>
            </w:tcBorders>
          </w:tcPr>
          <w:p w14:paraId="1462607E" w14:textId="77777777" w:rsidR="00327047" w:rsidRPr="00C42502" w:rsidRDefault="00327047" w:rsidP="00A12328">
            <w:pPr>
              <w:pStyle w:val="In-tableHeading"/>
              <w:jc w:val="center"/>
              <w:rPr>
                <w:lang w:val="en-AU"/>
              </w:rPr>
            </w:pPr>
          </w:p>
        </w:tc>
        <w:tc>
          <w:tcPr>
            <w:tcW w:w="1276" w:type="dxa"/>
            <w:tcBorders>
              <w:bottom w:val="nil"/>
            </w:tcBorders>
          </w:tcPr>
          <w:p w14:paraId="1D1C867C" w14:textId="77777777" w:rsidR="00327047" w:rsidRPr="00C42502" w:rsidRDefault="00327047" w:rsidP="00A12328">
            <w:pPr>
              <w:pStyle w:val="In-tableHeading"/>
              <w:jc w:val="center"/>
              <w:rPr>
                <w:lang w:val="en-AU"/>
              </w:rPr>
            </w:pPr>
          </w:p>
        </w:tc>
        <w:tc>
          <w:tcPr>
            <w:tcW w:w="1367" w:type="dxa"/>
            <w:tcBorders>
              <w:bottom w:val="nil"/>
            </w:tcBorders>
          </w:tcPr>
          <w:p w14:paraId="6A600C2D" w14:textId="77777777" w:rsidR="00327047" w:rsidRPr="00C42502" w:rsidRDefault="00327047" w:rsidP="00A12328">
            <w:pPr>
              <w:pStyle w:val="In-tableHeading"/>
              <w:jc w:val="center"/>
              <w:rPr>
                <w:lang w:val="en-AU"/>
              </w:rPr>
            </w:pPr>
          </w:p>
        </w:tc>
      </w:tr>
      <w:tr w:rsidR="001A4CDD" w:rsidRPr="001A4CDD" w14:paraId="1B19256D" w14:textId="77777777" w:rsidTr="00327047">
        <w:tc>
          <w:tcPr>
            <w:tcW w:w="2830" w:type="dxa"/>
            <w:tcBorders>
              <w:top w:val="nil"/>
              <w:bottom w:val="nil"/>
            </w:tcBorders>
            <w:vAlign w:val="top"/>
          </w:tcPr>
          <w:p w14:paraId="3DA5947D" w14:textId="77777777" w:rsidR="00327047" w:rsidRPr="00C42502" w:rsidRDefault="00327047" w:rsidP="00A12328">
            <w:pPr>
              <w:pStyle w:val="In-tableHeading"/>
              <w:rPr>
                <w:b w:val="0"/>
                <w:lang w:val="en-AU"/>
              </w:rPr>
            </w:pPr>
            <w:r w:rsidRPr="00C42502">
              <w:rPr>
                <w:b w:val="0"/>
                <w:lang w:val="en-AU"/>
              </w:rPr>
              <w:t>Number (%) with event</w:t>
            </w:r>
          </w:p>
        </w:tc>
        <w:tc>
          <w:tcPr>
            <w:tcW w:w="1701" w:type="dxa"/>
            <w:tcBorders>
              <w:top w:val="nil"/>
              <w:bottom w:val="nil"/>
            </w:tcBorders>
            <w:vAlign w:val="top"/>
          </w:tcPr>
          <w:p w14:paraId="143E46D2" w14:textId="77777777" w:rsidR="00327047" w:rsidRPr="00C42502" w:rsidRDefault="00327047" w:rsidP="00A12328">
            <w:pPr>
              <w:pStyle w:val="In-tableHeading"/>
              <w:jc w:val="center"/>
              <w:rPr>
                <w:b w:val="0"/>
                <w:lang w:val="en-AU"/>
              </w:rPr>
            </w:pPr>
            <w:r w:rsidRPr="00C42502">
              <w:rPr>
                <w:b w:val="0"/>
                <w:lang w:val="en-AU"/>
              </w:rPr>
              <w:t>29 (20.3)</w:t>
            </w:r>
          </w:p>
        </w:tc>
        <w:tc>
          <w:tcPr>
            <w:tcW w:w="1843" w:type="dxa"/>
            <w:tcBorders>
              <w:top w:val="nil"/>
              <w:bottom w:val="nil"/>
            </w:tcBorders>
            <w:vAlign w:val="top"/>
          </w:tcPr>
          <w:p w14:paraId="342FB4BD" w14:textId="77777777" w:rsidR="00327047" w:rsidRPr="00C42502" w:rsidRDefault="00327047" w:rsidP="00A12328">
            <w:pPr>
              <w:pStyle w:val="In-tableHeading"/>
              <w:jc w:val="center"/>
              <w:rPr>
                <w:b w:val="0"/>
                <w:lang w:val="en-AU"/>
              </w:rPr>
            </w:pPr>
            <w:r w:rsidRPr="00C42502">
              <w:rPr>
                <w:b w:val="0"/>
                <w:lang w:val="en-AU"/>
              </w:rPr>
              <w:t>30 (41.1)</w:t>
            </w:r>
          </w:p>
        </w:tc>
        <w:tc>
          <w:tcPr>
            <w:tcW w:w="1276" w:type="dxa"/>
            <w:tcBorders>
              <w:top w:val="nil"/>
              <w:bottom w:val="nil"/>
            </w:tcBorders>
          </w:tcPr>
          <w:p w14:paraId="25359752" w14:textId="77777777" w:rsidR="00327047" w:rsidRPr="00C42502" w:rsidRDefault="00327047" w:rsidP="00A12328">
            <w:pPr>
              <w:pStyle w:val="In-tableHeading"/>
              <w:jc w:val="center"/>
              <w:rPr>
                <w:lang w:val="en-AU"/>
              </w:rPr>
            </w:pPr>
          </w:p>
        </w:tc>
        <w:tc>
          <w:tcPr>
            <w:tcW w:w="1367" w:type="dxa"/>
            <w:tcBorders>
              <w:top w:val="nil"/>
              <w:bottom w:val="nil"/>
            </w:tcBorders>
          </w:tcPr>
          <w:p w14:paraId="13FAE468" w14:textId="77777777" w:rsidR="00327047" w:rsidRPr="00C42502" w:rsidRDefault="00327047" w:rsidP="00A12328">
            <w:pPr>
              <w:pStyle w:val="In-tableHeading"/>
              <w:jc w:val="center"/>
              <w:rPr>
                <w:lang w:val="en-AU"/>
              </w:rPr>
            </w:pPr>
          </w:p>
        </w:tc>
      </w:tr>
      <w:tr w:rsidR="001A4CDD" w:rsidRPr="001A4CDD" w14:paraId="6C2C5486" w14:textId="77777777" w:rsidTr="00327047">
        <w:tc>
          <w:tcPr>
            <w:tcW w:w="2830" w:type="dxa"/>
            <w:tcBorders>
              <w:top w:val="nil"/>
              <w:bottom w:val="nil"/>
            </w:tcBorders>
            <w:vAlign w:val="top"/>
          </w:tcPr>
          <w:p w14:paraId="2EBD908E" w14:textId="77777777" w:rsidR="00327047" w:rsidRPr="00C42502" w:rsidRDefault="00327047" w:rsidP="00A12328">
            <w:pPr>
              <w:pStyle w:val="In-tableHeading"/>
              <w:ind w:left="170"/>
              <w:rPr>
                <w:b w:val="0"/>
                <w:lang w:val="en-AU"/>
              </w:rPr>
            </w:pPr>
            <w:r w:rsidRPr="00C42502">
              <w:rPr>
                <w:b w:val="0"/>
                <w:szCs w:val="20"/>
                <w:lang w:val="en-AU"/>
              </w:rPr>
              <w:t xml:space="preserve">CNS RECIST </w:t>
            </w:r>
            <w:r w:rsidRPr="00C42502">
              <w:rPr>
                <w:b w:val="0"/>
                <w:spacing w:val="-2"/>
                <w:szCs w:val="20"/>
                <w:lang w:val="en-AU"/>
              </w:rPr>
              <w:t>progression</w:t>
            </w:r>
          </w:p>
        </w:tc>
        <w:tc>
          <w:tcPr>
            <w:tcW w:w="1701" w:type="dxa"/>
            <w:tcBorders>
              <w:top w:val="nil"/>
              <w:bottom w:val="nil"/>
            </w:tcBorders>
            <w:vAlign w:val="top"/>
          </w:tcPr>
          <w:p w14:paraId="395F55C7" w14:textId="77777777" w:rsidR="00327047" w:rsidRPr="00C42502" w:rsidRDefault="00327047" w:rsidP="00A12328">
            <w:pPr>
              <w:pStyle w:val="In-tableHeading"/>
              <w:jc w:val="center"/>
              <w:rPr>
                <w:b w:val="0"/>
                <w:lang w:val="en-AU"/>
              </w:rPr>
            </w:pPr>
            <w:r w:rsidRPr="00C42502">
              <w:rPr>
                <w:b w:val="0"/>
                <w:lang w:val="en-AU"/>
              </w:rPr>
              <w:t>18 (12.6)</w:t>
            </w:r>
          </w:p>
        </w:tc>
        <w:tc>
          <w:tcPr>
            <w:tcW w:w="1843" w:type="dxa"/>
            <w:tcBorders>
              <w:top w:val="nil"/>
              <w:bottom w:val="nil"/>
            </w:tcBorders>
            <w:vAlign w:val="top"/>
          </w:tcPr>
          <w:p w14:paraId="196A83FE" w14:textId="77777777" w:rsidR="00327047" w:rsidRPr="00C42502" w:rsidRDefault="00327047" w:rsidP="00A12328">
            <w:pPr>
              <w:pStyle w:val="In-tableHeading"/>
              <w:jc w:val="center"/>
              <w:rPr>
                <w:b w:val="0"/>
                <w:lang w:val="en-AU"/>
              </w:rPr>
            </w:pPr>
            <w:r w:rsidRPr="00C42502">
              <w:rPr>
                <w:b w:val="0"/>
                <w:lang w:val="en-AU"/>
              </w:rPr>
              <w:t>26 (35.6)</w:t>
            </w:r>
          </w:p>
        </w:tc>
        <w:tc>
          <w:tcPr>
            <w:tcW w:w="1276" w:type="dxa"/>
            <w:tcBorders>
              <w:top w:val="nil"/>
              <w:bottom w:val="nil"/>
            </w:tcBorders>
          </w:tcPr>
          <w:p w14:paraId="265672CE" w14:textId="77777777" w:rsidR="00327047" w:rsidRPr="00C42502" w:rsidRDefault="00327047" w:rsidP="00A12328">
            <w:pPr>
              <w:pStyle w:val="In-tableHeading"/>
              <w:jc w:val="center"/>
              <w:rPr>
                <w:lang w:val="en-AU"/>
              </w:rPr>
            </w:pPr>
          </w:p>
        </w:tc>
        <w:tc>
          <w:tcPr>
            <w:tcW w:w="1367" w:type="dxa"/>
            <w:tcBorders>
              <w:top w:val="nil"/>
              <w:bottom w:val="nil"/>
            </w:tcBorders>
          </w:tcPr>
          <w:p w14:paraId="5D7EFFE8" w14:textId="77777777" w:rsidR="00327047" w:rsidRPr="00C42502" w:rsidRDefault="00327047" w:rsidP="00A12328">
            <w:pPr>
              <w:pStyle w:val="In-tableHeading"/>
              <w:jc w:val="center"/>
              <w:rPr>
                <w:lang w:val="en-AU"/>
              </w:rPr>
            </w:pPr>
          </w:p>
        </w:tc>
      </w:tr>
      <w:tr w:rsidR="001A4CDD" w:rsidRPr="001A4CDD" w14:paraId="4A1523EC" w14:textId="77777777" w:rsidTr="00327047">
        <w:tc>
          <w:tcPr>
            <w:tcW w:w="2830" w:type="dxa"/>
            <w:tcBorders>
              <w:top w:val="nil"/>
              <w:bottom w:val="nil"/>
            </w:tcBorders>
            <w:vAlign w:val="top"/>
          </w:tcPr>
          <w:p w14:paraId="7BB3926F" w14:textId="77777777" w:rsidR="00327047" w:rsidRPr="00C42502" w:rsidRDefault="00327047" w:rsidP="00A12328">
            <w:pPr>
              <w:pStyle w:val="In-tableHeading"/>
              <w:ind w:left="170"/>
              <w:rPr>
                <w:b w:val="0"/>
                <w:lang w:val="en-AU"/>
              </w:rPr>
            </w:pPr>
            <w:r w:rsidRPr="00C42502">
              <w:rPr>
                <w:b w:val="0"/>
                <w:szCs w:val="20"/>
                <w:lang w:val="en-AU"/>
              </w:rPr>
              <w:t>CNS Target</w:t>
            </w:r>
            <w:r w:rsidRPr="00C42502">
              <w:rPr>
                <w:b w:val="0"/>
                <w:spacing w:val="-6"/>
                <w:szCs w:val="20"/>
                <w:lang w:val="en-AU"/>
              </w:rPr>
              <w:t xml:space="preserve"> </w:t>
            </w:r>
            <w:r w:rsidRPr="00C42502">
              <w:rPr>
                <w:b w:val="0"/>
                <w:szCs w:val="20"/>
                <w:lang w:val="en-AU"/>
              </w:rPr>
              <w:t>lesions</w:t>
            </w:r>
            <w:r w:rsidRPr="00C42502">
              <w:rPr>
                <w:b w:val="0"/>
                <w:szCs w:val="20"/>
                <w:vertAlign w:val="superscript"/>
                <w:lang w:val="en-AU"/>
              </w:rPr>
              <w:t>b,c</w:t>
            </w:r>
          </w:p>
        </w:tc>
        <w:tc>
          <w:tcPr>
            <w:tcW w:w="1701" w:type="dxa"/>
            <w:tcBorders>
              <w:top w:val="nil"/>
              <w:bottom w:val="nil"/>
            </w:tcBorders>
            <w:vAlign w:val="top"/>
          </w:tcPr>
          <w:p w14:paraId="3305B2F9" w14:textId="77777777" w:rsidR="00327047" w:rsidRPr="00C42502" w:rsidRDefault="00327047" w:rsidP="00A12328">
            <w:pPr>
              <w:pStyle w:val="In-tableHeading"/>
              <w:jc w:val="center"/>
              <w:rPr>
                <w:b w:val="0"/>
                <w:lang w:val="en-AU"/>
              </w:rPr>
            </w:pPr>
            <w:r w:rsidRPr="00C42502">
              <w:rPr>
                <w:b w:val="0"/>
                <w:lang w:val="en-AU"/>
              </w:rPr>
              <w:t>0</w:t>
            </w:r>
          </w:p>
        </w:tc>
        <w:tc>
          <w:tcPr>
            <w:tcW w:w="1843" w:type="dxa"/>
            <w:tcBorders>
              <w:top w:val="nil"/>
              <w:bottom w:val="nil"/>
            </w:tcBorders>
            <w:vAlign w:val="top"/>
          </w:tcPr>
          <w:p w14:paraId="7CAFBDAA" w14:textId="77777777" w:rsidR="00327047" w:rsidRPr="00C42502" w:rsidRDefault="00327047" w:rsidP="00A12328">
            <w:pPr>
              <w:pStyle w:val="In-tableHeading"/>
              <w:jc w:val="center"/>
              <w:rPr>
                <w:b w:val="0"/>
                <w:lang w:val="en-AU"/>
              </w:rPr>
            </w:pPr>
            <w:r w:rsidRPr="00C42502">
              <w:rPr>
                <w:b w:val="0"/>
                <w:lang w:val="en-AU"/>
              </w:rPr>
              <w:t>0</w:t>
            </w:r>
          </w:p>
        </w:tc>
        <w:tc>
          <w:tcPr>
            <w:tcW w:w="1276" w:type="dxa"/>
            <w:tcBorders>
              <w:top w:val="nil"/>
              <w:bottom w:val="nil"/>
            </w:tcBorders>
          </w:tcPr>
          <w:p w14:paraId="7D0C2056" w14:textId="77777777" w:rsidR="00327047" w:rsidRPr="00C42502" w:rsidRDefault="00327047" w:rsidP="00A12328">
            <w:pPr>
              <w:pStyle w:val="In-tableHeading"/>
              <w:jc w:val="center"/>
              <w:rPr>
                <w:lang w:val="en-AU"/>
              </w:rPr>
            </w:pPr>
          </w:p>
        </w:tc>
        <w:tc>
          <w:tcPr>
            <w:tcW w:w="1367" w:type="dxa"/>
            <w:tcBorders>
              <w:top w:val="nil"/>
              <w:bottom w:val="nil"/>
            </w:tcBorders>
          </w:tcPr>
          <w:p w14:paraId="55416D91" w14:textId="77777777" w:rsidR="00327047" w:rsidRPr="00C42502" w:rsidRDefault="00327047" w:rsidP="00A12328">
            <w:pPr>
              <w:pStyle w:val="In-tableHeading"/>
              <w:jc w:val="center"/>
              <w:rPr>
                <w:lang w:val="en-AU"/>
              </w:rPr>
            </w:pPr>
          </w:p>
        </w:tc>
      </w:tr>
      <w:tr w:rsidR="001A4CDD" w:rsidRPr="001A4CDD" w14:paraId="6813A65D" w14:textId="77777777" w:rsidTr="00327047">
        <w:tc>
          <w:tcPr>
            <w:tcW w:w="2830" w:type="dxa"/>
            <w:tcBorders>
              <w:top w:val="nil"/>
              <w:bottom w:val="nil"/>
            </w:tcBorders>
            <w:vAlign w:val="top"/>
          </w:tcPr>
          <w:p w14:paraId="2810032E" w14:textId="77777777" w:rsidR="00327047" w:rsidRPr="00E819FC" w:rsidRDefault="00327047" w:rsidP="00A12328">
            <w:pPr>
              <w:pStyle w:val="In-tableHeading"/>
              <w:ind w:left="170"/>
              <w:rPr>
                <w:b w:val="0"/>
                <w:lang w:val="fr-FR"/>
              </w:rPr>
            </w:pPr>
            <w:r w:rsidRPr="00E819FC">
              <w:rPr>
                <w:b w:val="0"/>
                <w:szCs w:val="20"/>
                <w:lang w:val="fr-FR"/>
              </w:rPr>
              <w:t>CNS Non-target</w:t>
            </w:r>
            <w:r w:rsidRPr="00E819FC">
              <w:rPr>
                <w:b w:val="0"/>
                <w:spacing w:val="-7"/>
                <w:szCs w:val="20"/>
                <w:lang w:val="fr-FR"/>
              </w:rPr>
              <w:t xml:space="preserve"> </w:t>
            </w:r>
            <w:r w:rsidRPr="00E819FC">
              <w:rPr>
                <w:b w:val="0"/>
                <w:szCs w:val="20"/>
                <w:lang w:val="fr-FR"/>
              </w:rPr>
              <w:t>lesions</w:t>
            </w:r>
            <w:r w:rsidRPr="00E819FC">
              <w:rPr>
                <w:b w:val="0"/>
                <w:szCs w:val="20"/>
                <w:vertAlign w:val="superscript"/>
                <w:lang w:val="fr-FR"/>
              </w:rPr>
              <w:t>b,c</w:t>
            </w:r>
          </w:p>
        </w:tc>
        <w:tc>
          <w:tcPr>
            <w:tcW w:w="1701" w:type="dxa"/>
            <w:tcBorders>
              <w:top w:val="nil"/>
              <w:bottom w:val="nil"/>
            </w:tcBorders>
            <w:vAlign w:val="top"/>
          </w:tcPr>
          <w:p w14:paraId="0956CB83" w14:textId="77777777" w:rsidR="00327047" w:rsidRPr="00C42502" w:rsidRDefault="00327047" w:rsidP="00A12328">
            <w:pPr>
              <w:pStyle w:val="In-tableHeading"/>
              <w:jc w:val="center"/>
              <w:rPr>
                <w:b w:val="0"/>
                <w:lang w:val="en-AU"/>
              </w:rPr>
            </w:pPr>
            <w:r w:rsidRPr="00C42502">
              <w:rPr>
                <w:b w:val="0"/>
                <w:lang w:val="en-AU"/>
              </w:rPr>
              <w:t>1 (0.7)</w:t>
            </w:r>
          </w:p>
        </w:tc>
        <w:tc>
          <w:tcPr>
            <w:tcW w:w="1843" w:type="dxa"/>
            <w:tcBorders>
              <w:top w:val="nil"/>
              <w:bottom w:val="nil"/>
            </w:tcBorders>
            <w:vAlign w:val="top"/>
          </w:tcPr>
          <w:p w14:paraId="61CA2539" w14:textId="77777777" w:rsidR="00327047" w:rsidRPr="00C42502" w:rsidRDefault="00327047" w:rsidP="00A12328">
            <w:pPr>
              <w:pStyle w:val="In-tableHeading"/>
              <w:jc w:val="center"/>
              <w:rPr>
                <w:b w:val="0"/>
                <w:lang w:val="en-AU"/>
              </w:rPr>
            </w:pPr>
            <w:r w:rsidRPr="00C42502">
              <w:rPr>
                <w:b w:val="0"/>
                <w:lang w:val="en-AU"/>
              </w:rPr>
              <w:t>0</w:t>
            </w:r>
          </w:p>
        </w:tc>
        <w:tc>
          <w:tcPr>
            <w:tcW w:w="1276" w:type="dxa"/>
            <w:tcBorders>
              <w:top w:val="nil"/>
              <w:bottom w:val="nil"/>
            </w:tcBorders>
          </w:tcPr>
          <w:p w14:paraId="2302E43C" w14:textId="77777777" w:rsidR="00327047" w:rsidRPr="00C42502" w:rsidRDefault="00327047" w:rsidP="00A12328">
            <w:pPr>
              <w:pStyle w:val="In-tableHeading"/>
              <w:jc w:val="center"/>
              <w:rPr>
                <w:lang w:val="en-AU"/>
              </w:rPr>
            </w:pPr>
          </w:p>
        </w:tc>
        <w:tc>
          <w:tcPr>
            <w:tcW w:w="1367" w:type="dxa"/>
            <w:tcBorders>
              <w:top w:val="nil"/>
              <w:bottom w:val="nil"/>
            </w:tcBorders>
          </w:tcPr>
          <w:p w14:paraId="40FA942F" w14:textId="77777777" w:rsidR="00327047" w:rsidRPr="00C42502" w:rsidRDefault="00327047" w:rsidP="00A12328">
            <w:pPr>
              <w:pStyle w:val="In-tableHeading"/>
              <w:jc w:val="center"/>
              <w:rPr>
                <w:lang w:val="en-AU"/>
              </w:rPr>
            </w:pPr>
          </w:p>
        </w:tc>
      </w:tr>
      <w:tr w:rsidR="001A4CDD" w:rsidRPr="001A4CDD" w14:paraId="2FD001B8" w14:textId="77777777" w:rsidTr="00327047">
        <w:tc>
          <w:tcPr>
            <w:tcW w:w="2830" w:type="dxa"/>
            <w:tcBorders>
              <w:top w:val="nil"/>
              <w:bottom w:val="nil"/>
            </w:tcBorders>
            <w:vAlign w:val="top"/>
          </w:tcPr>
          <w:p w14:paraId="54E22F13" w14:textId="77777777" w:rsidR="00327047" w:rsidRPr="00C42502" w:rsidRDefault="00327047" w:rsidP="00A12328">
            <w:pPr>
              <w:pStyle w:val="In-tableHeading"/>
              <w:ind w:left="170"/>
              <w:rPr>
                <w:b w:val="0"/>
                <w:lang w:val="en-AU"/>
              </w:rPr>
            </w:pPr>
            <w:r w:rsidRPr="00C42502">
              <w:rPr>
                <w:b w:val="0"/>
                <w:szCs w:val="20"/>
                <w:lang w:val="en-AU"/>
              </w:rPr>
              <w:t>CNS New</w:t>
            </w:r>
            <w:r w:rsidRPr="00C42502">
              <w:rPr>
                <w:b w:val="0"/>
                <w:spacing w:val="-6"/>
                <w:szCs w:val="20"/>
                <w:lang w:val="en-AU"/>
              </w:rPr>
              <w:t xml:space="preserve"> </w:t>
            </w:r>
            <w:r w:rsidRPr="00C42502">
              <w:rPr>
                <w:b w:val="0"/>
                <w:szCs w:val="20"/>
                <w:lang w:val="en-AU"/>
              </w:rPr>
              <w:t>lesions</w:t>
            </w:r>
            <w:r w:rsidRPr="00C42502">
              <w:rPr>
                <w:b w:val="0"/>
                <w:szCs w:val="20"/>
                <w:vertAlign w:val="superscript"/>
                <w:lang w:val="en-AU"/>
              </w:rPr>
              <w:t>b</w:t>
            </w:r>
          </w:p>
        </w:tc>
        <w:tc>
          <w:tcPr>
            <w:tcW w:w="1701" w:type="dxa"/>
            <w:tcBorders>
              <w:top w:val="nil"/>
              <w:bottom w:val="nil"/>
            </w:tcBorders>
            <w:vAlign w:val="top"/>
          </w:tcPr>
          <w:p w14:paraId="0434DE52" w14:textId="77777777" w:rsidR="00327047" w:rsidRPr="00C42502" w:rsidRDefault="00327047" w:rsidP="00A12328">
            <w:pPr>
              <w:pStyle w:val="In-tableHeading"/>
              <w:jc w:val="center"/>
              <w:rPr>
                <w:b w:val="0"/>
                <w:lang w:val="en-AU"/>
              </w:rPr>
            </w:pPr>
            <w:r w:rsidRPr="00C42502">
              <w:rPr>
                <w:b w:val="0"/>
                <w:lang w:val="en-AU"/>
              </w:rPr>
              <w:t>17 (11.9)</w:t>
            </w:r>
          </w:p>
        </w:tc>
        <w:tc>
          <w:tcPr>
            <w:tcW w:w="1843" w:type="dxa"/>
            <w:tcBorders>
              <w:top w:val="nil"/>
              <w:bottom w:val="nil"/>
            </w:tcBorders>
            <w:vAlign w:val="top"/>
          </w:tcPr>
          <w:p w14:paraId="7B41B146" w14:textId="77777777" w:rsidR="00327047" w:rsidRPr="00C42502" w:rsidRDefault="00327047" w:rsidP="00A12328">
            <w:pPr>
              <w:pStyle w:val="In-tableHeading"/>
              <w:jc w:val="center"/>
              <w:rPr>
                <w:b w:val="0"/>
                <w:lang w:val="en-AU"/>
              </w:rPr>
            </w:pPr>
            <w:r w:rsidRPr="00C42502">
              <w:rPr>
                <w:b w:val="0"/>
                <w:lang w:val="en-AU"/>
              </w:rPr>
              <w:t>26 (35.6)</w:t>
            </w:r>
          </w:p>
        </w:tc>
        <w:tc>
          <w:tcPr>
            <w:tcW w:w="1276" w:type="dxa"/>
            <w:tcBorders>
              <w:top w:val="nil"/>
              <w:bottom w:val="nil"/>
            </w:tcBorders>
          </w:tcPr>
          <w:p w14:paraId="223AC131" w14:textId="77777777" w:rsidR="00327047" w:rsidRPr="00C42502" w:rsidRDefault="00327047" w:rsidP="00A12328">
            <w:pPr>
              <w:pStyle w:val="In-tableHeading"/>
              <w:jc w:val="center"/>
              <w:rPr>
                <w:lang w:val="en-AU"/>
              </w:rPr>
            </w:pPr>
          </w:p>
        </w:tc>
        <w:tc>
          <w:tcPr>
            <w:tcW w:w="1367" w:type="dxa"/>
            <w:tcBorders>
              <w:top w:val="nil"/>
              <w:bottom w:val="nil"/>
            </w:tcBorders>
          </w:tcPr>
          <w:p w14:paraId="43124AE5" w14:textId="77777777" w:rsidR="00327047" w:rsidRPr="00C42502" w:rsidRDefault="00327047" w:rsidP="00A12328">
            <w:pPr>
              <w:pStyle w:val="In-tableHeading"/>
              <w:jc w:val="center"/>
              <w:rPr>
                <w:lang w:val="en-AU"/>
              </w:rPr>
            </w:pPr>
          </w:p>
        </w:tc>
      </w:tr>
      <w:tr w:rsidR="001A4CDD" w:rsidRPr="001A4CDD" w14:paraId="6DA576B4" w14:textId="77777777" w:rsidTr="00327047">
        <w:tc>
          <w:tcPr>
            <w:tcW w:w="2830" w:type="dxa"/>
            <w:tcBorders>
              <w:top w:val="nil"/>
              <w:bottom w:val="nil"/>
            </w:tcBorders>
            <w:vAlign w:val="top"/>
          </w:tcPr>
          <w:p w14:paraId="59DEB11B" w14:textId="77777777" w:rsidR="00327047" w:rsidRPr="00C42502" w:rsidRDefault="00327047" w:rsidP="00A12328">
            <w:pPr>
              <w:pStyle w:val="In-tableHeading"/>
              <w:ind w:left="170"/>
              <w:rPr>
                <w:b w:val="0"/>
                <w:lang w:val="en-AU"/>
              </w:rPr>
            </w:pPr>
            <w:r w:rsidRPr="00C42502">
              <w:rPr>
                <w:b w:val="0"/>
                <w:szCs w:val="20"/>
                <w:lang w:val="en-AU"/>
              </w:rPr>
              <w:t>Death</w:t>
            </w:r>
            <w:r w:rsidRPr="00C42502">
              <w:rPr>
                <w:b w:val="0"/>
                <w:spacing w:val="-3"/>
                <w:szCs w:val="20"/>
                <w:lang w:val="en-AU"/>
              </w:rPr>
              <w:t xml:space="preserve"> </w:t>
            </w:r>
            <w:r w:rsidRPr="00C42502">
              <w:rPr>
                <w:b w:val="0"/>
                <w:szCs w:val="20"/>
                <w:lang w:val="en-AU"/>
              </w:rPr>
              <w:t>in</w:t>
            </w:r>
            <w:r w:rsidRPr="00C42502">
              <w:rPr>
                <w:b w:val="0"/>
                <w:spacing w:val="-2"/>
                <w:szCs w:val="20"/>
                <w:lang w:val="en-AU"/>
              </w:rPr>
              <w:t xml:space="preserve"> </w:t>
            </w:r>
            <w:r w:rsidRPr="00C42502">
              <w:rPr>
                <w:b w:val="0"/>
                <w:szCs w:val="20"/>
                <w:lang w:val="en-AU"/>
              </w:rPr>
              <w:t>the</w:t>
            </w:r>
            <w:r w:rsidRPr="00C42502">
              <w:rPr>
                <w:b w:val="0"/>
                <w:spacing w:val="-4"/>
                <w:szCs w:val="20"/>
                <w:lang w:val="en-AU"/>
              </w:rPr>
              <w:t xml:space="preserve"> </w:t>
            </w:r>
            <w:r w:rsidRPr="00C42502">
              <w:rPr>
                <w:b w:val="0"/>
                <w:szCs w:val="20"/>
                <w:lang w:val="en-AU"/>
              </w:rPr>
              <w:t>absence</w:t>
            </w:r>
            <w:r w:rsidRPr="00C42502">
              <w:rPr>
                <w:b w:val="0"/>
                <w:spacing w:val="-5"/>
                <w:szCs w:val="20"/>
                <w:lang w:val="en-AU"/>
              </w:rPr>
              <w:t xml:space="preserve"> </w:t>
            </w:r>
            <w:r w:rsidRPr="00C42502">
              <w:rPr>
                <w:b w:val="0"/>
                <w:szCs w:val="20"/>
                <w:lang w:val="en-AU"/>
              </w:rPr>
              <w:t>of</w:t>
            </w:r>
            <w:r w:rsidRPr="00C42502">
              <w:rPr>
                <w:b w:val="0"/>
                <w:spacing w:val="-2"/>
                <w:szCs w:val="20"/>
                <w:lang w:val="en-AU"/>
              </w:rPr>
              <w:t xml:space="preserve"> progression</w:t>
            </w:r>
          </w:p>
        </w:tc>
        <w:tc>
          <w:tcPr>
            <w:tcW w:w="1701" w:type="dxa"/>
            <w:tcBorders>
              <w:top w:val="nil"/>
              <w:bottom w:val="nil"/>
            </w:tcBorders>
            <w:vAlign w:val="top"/>
          </w:tcPr>
          <w:p w14:paraId="4F3D3AAA" w14:textId="77777777" w:rsidR="00327047" w:rsidRPr="00C42502" w:rsidRDefault="00327047" w:rsidP="00A12328">
            <w:pPr>
              <w:pStyle w:val="In-tableHeading"/>
              <w:jc w:val="center"/>
              <w:rPr>
                <w:b w:val="0"/>
                <w:lang w:val="en-AU"/>
              </w:rPr>
            </w:pPr>
            <w:r w:rsidRPr="00C42502">
              <w:rPr>
                <w:b w:val="0"/>
                <w:lang w:val="en-AU"/>
              </w:rPr>
              <w:t>11 (7.7)</w:t>
            </w:r>
          </w:p>
        </w:tc>
        <w:tc>
          <w:tcPr>
            <w:tcW w:w="1843" w:type="dxa"/>
            <w:tcBorders>
              <w:top w:val="nil"/>
              <w:bottom w:val="nil"/>
            </w:tcBorders>
            <w:vAlign w:val="top"/>
          </w:tcPr>
          <w:p w14:paraId="7B006E23" w14:textId="77777777" w:rsidR="00327047" w:rsidRPr="00C42502" w:rsidRDefault="00327047" w:rsidP="00A12328">
            <w:pPr>
              <w:pStyle w:val="In-tableHeading"/>
              <w:jc w:val="center"/>
              <w:rPr>
                <w:b w:val="0"/>
                <w:lang w:val="en-AU"/>
              </w:rPr>
            </w:pPr>
            <w:r w:rsidRPr="00C42502">
              <w:rPr>
                <w:b w:val="0"/>
                <w:lang w:val="en-AU"/>
              </w:rPr>
              <w:t>4 (5.5)</w:t>
            </w:r>
          </w:p>
        </w:tc>
        <w:tc>
          <w:tcPr>
            <w:tcW w:w="1276" w:type="dxa"/>
            <w:tcBorders>
              <w:top w:val="nil"/>
              <w:bottom w:val="nil"/>
            </w:tcBorders>
          </w:tcPr>
          <w:p w14:paraId="5A8E2182" w14:textId="77777777" w:rsidR="00327047" w:rsidRPr="00C42502" w:rsidRDefault="00327047" w:rsidP="00A12328">
            <w:pPr>
              <w:pStyle w:val="In-tableHeading"/>
              <w:jc w:val="center"/>
              <w:rPr>
                <w:lang w:val="en-AU"/>
              </w:rPr>
            </w:pPr>
          </w:p>
        </w:tc>
        <w:tc>
          <w:tcPr>
            <w:tcW w:w="1367" w:type="dxa"/>
            <w:tcBorders>
              <w:top w:val="nil"/>
              <w:bottom w:val="nil"/>
            </w:tcBorders>
          </w:tcPr>
          <w:p w14:paraId="19A86E8A" w14:textId="77777777" w:rsidR="00327047" w:rsidRPr="00C42502" w:rsidRDefault="00327047" w:rsidP="00A12328">
            <w:pPr>
              <w:pStyle w:val="In-tableHeading"/>
              <w:jc w:val="center"/>
              <w:rPr>
                <w:lang w:val="en-AU"/>
              </w:rPr>
            </w:pPr>
          </w:p>
        </w:tc>
      </w:tr>
      <w:tr w:rsidR="001A4CDD" w:rsidRPr="001A4CDD" w14:paraId="1CC3FE27" w14:textId="77777777" w:rsidTr="00327047">
        <w:tc>
          <w:tcPr>
            <w:tcW w:w="2830" w:type="dxa"/>
            <w:tcBorders>
              <w:top w:val="nil"/>
              <w:bottom w:val="nil"/>
            </w:tcBorders>
          </w:tcPr>
          <w:p w14:paraId="7FC7B7AB" w14:textId="77777777" w:rsidR="00327047" w:rsidRPr="00C42502" w:rsidRDefault="00327047" w:rsidP="00A12328">
            <w:pPr>
              <w:pStyle w:val="In-tableHeading"/>
              <w:ind w:left="170"/>
              <w:rPr>
                <w:b w:val="0"/>
                <w:lang w:val="en-AU"/>
              </w:rPr>
            </w:pPr>
            <w:r w:rsidRPr="00C42502">
              <w:rPr>
                <w:b w:val="0"/>
                <w:lang w:val="en-AU"/>
              </w:rPr>
              <w:t xml:space="preserve">Censored </w:t>
            </w:r>
          </w:p>
        </w:tc>
        <w:tc>
          <w:tcPr>
            <w:tcW w:w="1701" w:type="dxa"/>
            <w:tcBorders>
              <w:top w:val="nil"/>
              <w:bottom w:val="nil"/>
            </w:tcBorders>
          </w:tcPr>
          <w:p w14:paraId="2BDE2B0F" w14:textId="77777777" w:rsidR="00327047" w:rsidRPr="00C42502" w:rsidRDefault="00327047" w:rsidP="00A12328">
            <w:pPr>
              <w:pStyle w:val="In-tableHeading"/>
              <w:jc w:val="center"/>
              <w:rPr>
                <w:b w:val="0"/>
                <w:lang w:val="en-AU"/>
              </w:rPr>
            </w:pPr>
            <w:r w:rsidRPr="00C42502">
              <w:rPr>
                <w:b w:val="0"/>
                <w:lang w:val="en-AU"/>
              </w:rPr>
              <w:t>114 (79.7)</w:t>
            </w:r>
          </w:p>
        </w:tc>
        <w:tc>
          <w:tcPr>
            <w:tcW w:w="1843" w:type="dxa"/>
            <w:tcBorders>
              <w:top w:val="nil"/>
              <w:bottom w:val="nil"/>
            </w:tcBorders>
          </w:tcPr>
          <w:p w14:paraId="0526B5BF" w14:textId="77777777" w:rsidR="00327047" w:rsidRPr="00C42502" w:rsidRDefault="00327047" w:rsidP="00A12328">
            <w:pPr>
              <w:pStyle w:val="In-tableHeading"/>
              <w:jc w:val="center"/>
              <w:rPr>
                <w:b w:val="0"/>
                <w:lang w:val="en-AU"/>
              </w:rPr>
            </w:pPr>
            <w:r w:rsidRPr="00C42502">
              <w:rPr>
                <w:b w:val="0"/>
                <w:lang w:val="en-AU"/>
              </w:rPr>
              <w:t>43 (58.9)</w:t>
            </w:r>
          </w:p>
        </w:tc>
        <w:tc>
          <w:tcPr>
            <w:tcW w:w="1276" w:type="dxa"/>
            <w:tcBorders>
              <w:top w:val="nil"/>
              <w:bottom w:val="nil"/>
            </w:tcBorders>
          </w:tcPr>
          <w:p w14:paraId="391704F4" w14:textId="77777777" w:rsidR="00327047" w:rsidRPr="00C42502" w:rsidRDefault="00327047" w:rsidP="00A12328">
            <w:pPr>
              <w:pStyle w:val="In-tableHeading"/>
              <w:jc w:val="center"/>
              <w:rPr>
                <w:lang w:val="en-AU"/>
              </w:rPr>
            </w:pPr>
          </w:p>
        </w:tc>
        <w:tc>
          <w:tcPr>
            <w:tcW w:w="1367" w:type="dxa"/>
            <w:tcBorders>
              <w:top w:val="nil"/>
              <w:bottom w:val="nil"/>
            </w:tcBorders>
          </w:tcPr>
          <w:p w14:paraId="4325D0B1" w14:textId="77777777" w:rsidR="00327047" w:rsidRPr="00C42502" w:rsidRDefault="00327047" w:rsidP="00A12328">
            <w:pPr>
              <w:pStyle w:val="In-tableHeading"/>
              <w:jc w:val="center"/>
              <w:rPr>
                <w:lang w:val="en-AU"/>
              </w:rPr>
            </w:pPr>
          </w:p>
        </w:tc>
      </w:tr>
      <w:tr w:rsidR="001A4CDD" w:rsidRPr="001A4CDD" w14:paraId="0B16865C" w14:textId="77777777" w:rsidTr="00327047">
        <w:tc>
          <w:tcPr>
            <w:tcW w:w="2830" w:type="dxa"/>
            <w:tcBorders>
              <w:top w:val="nil"/>
              <w:bottom w:val="nil"/>
            </w:tcBorders>
            <w:vAlign w:val="top"/>
          </w:tcPr>
          <w:p w14:paraId="25F9EE91" w14:textId="77777777" w:rsidR="00327047" w:rsidRPr="00C42502" w:rsidRDefault="00327047" w:rsidP="00A12328">
            <w:pPr>
              <w:pStyle w:val="In-tableHeading"/>
              <w:rPr>
                <w:b w:val="0"/>
                <w:lang w:val="en-AU"/>
              </w:rPr>
            </w:pPr>
            <w:r w:rsidRPr="00C42502">
              <w:rPr>
                <w:b w:val="0"/>
                <w:lang w:val="en-AU"/>
              </w:rPr>
              <w:t>Median, months [95%CI]</w:t>
            </w:r>
          </w:p>
        </w:tc>
        <w:tc>
          <w:tcPr>
            <w:tcW w:w="1701" w:type="dxa"/>
            <w:tcBorders>
              <w:top w:val="nil"/>
              <w:bottom w:val="nil"/>
            </w:tcBorders>
            <w:vAlign w:val="top"/>
          </w:tcPr>
          <w:p w14:paraId="004206B3" w14:textId="77777777" w:rsidR="00327047" w:rsidRPr="00C42502" w:rsidRDefault="00327047" w:rsidP="00A12328">
            <w:pPr>
              <w:pStyle w:val="In-tableHeading"/>
              <w:jc w:val="center"/>
              <w:rPr>
                <w:b w:val="0"/>
                <w:lang w:val="en-AU"/>
              </w:rPr>
            </w:pPr>
            <w:r w:rsidRPr="00C42502">
              <w:rPr>
                <w:b w:val="0"/>
                <w:lang w:val="en-AU"/>
              </w:rPr>
              <w:t>NC (NC, NC)</w:t>
            </w:r>
          </w:p>
        </w:tc>
        <w:tc>
          <w:tcPr>
            <w:tcW w:w="1843" w:type="dxa"/>
            <w:tcBorders>
              <w:top w:val="nil"/>
              <w:bottom w:val="nil"/>
            </w:tcBorders>
            <w:vAlign w:val="top"/>
          </w:tcPr>
          <w:p w14:paraId="0007A23A" w14:textId="77777777" w:rsidR="00327047" w:rsidRPr="00C42502" w:rsidRDefault="00327047" w:rsidP="00A12328">
            <w:pPr>
              <w:pStyle w:val="In-tableHeading"/>
              <w:jc w:val="center"/>
              <w:rPr>
                <w:b w:val="0"/>
                <w:lang w:val="en-AU"/>
              </w:rPr>
            </w:pPr>
            <w:r w:rsidRPr="00C42502">
              <w:rPr>
                <w:b w:val="0"/>
                <w:lang w:val="en-AU"/>
              </w:rPr>
              <w:t>14.88 (7.36, NC)</w:t>
            </w:r>
          </w:p>
        </w:tc>
        <w:tc>
          <w:tcPr>
            <w:tcW w:w="1276" w:type="dxa"/>
            <w:tcBorders>
              <w:top w:val="nil"/>
              <w:bottom w:val="nil"/>
            </w:tcBorders>
            <w:vAlign w:val="top"/>
          </w:tcPr>
          <w:p w14:paraId="3FE72A18" w14:textId="77777777" w:rsidR="00327047" w:rsidRPr="00C42502" w:rsidRDefault="00327047" w:rsidP="00A12328">
            <w:pPr>
              <w:pStyle w:val="In-tableHeading"/>
              <w:jc w:val="center"/>
              <w:rPr>
                <w:b w:val="0"/>
                <w:lang w:val="en-AU"/>
              </w:rPr>
            </w:pPr>
            <w:r w:rsidRPr="00C42502">
              <w:rPr>
                <w:b w:val="0"/>
                <w:lang w:val="en-AU"/>
              </w:rPr>
              <w:t>NC</w:t>
            </w:r>
          </w:p>
        </w:tc>
        <w:tc>
          <w:tcPr>
            <w:tcW w:w="1367" w:type="dxa"/>
            <w:tcBorders>
              <w:top w:val="nil"/>
              <w:bottom w:val="nil"/>
            </w:tcBorders>
            <w:vAlign w:val="top"/>
          </w:tcPr>
          <w:p w14:paraId="2246A437" w14:textId="77777777" w:rsidR="00327047" w:rsidRPr="00D300EB" w:rsidRDefault="00327047" w:rsidP="00A12328">
            <w:pPr>
              <w:pStyle w:val="In-tableHeading"/>
              <w:jc w:val="center"/>
              <w:rPr>
                <w:lang w:val="en-AU"/>
              </w:rPr>
            </w:pPr>
            <w:r w:rsidRPr="00D300EB">
              <w:rPr>
                <w:lang w:val="en-AU"/>
              </w:rPr>
              <w:t>0.17 (0.09, 0.32)</w:t>
            </w:r>
          </w:p>
        </w:tc>
      </w:tr>
      <w:tr w:rsidR="001A4CDD" w:rsidRPr="001A4CDD" w14:paraId="678372CD" w14:textId="77777777" w:rsidTr="00327047">
        <w:tc>
          <w:tcPr>
            <w:tcW w:w="2830" w:type="dxa"/>
            <w:tcBorders>
              <w:top w:val="nil"/>
              <w:bottom w:val="nil"/>
            </w:tcBorders>
          </w:tcPr>
          <w:p w14:paraId="7A2D299F" w14:textId="77777777" w:rsidR="00327047" w:rsidRPr="00C42502" w:rsidRDefault="00327047" w:rsidP="00A12328">
            <w:pPr>
              <w:pStyle w:val="In-tableHeading"/>
              <w:rPr>
                <w:b w:val="0"/>
                <w:lang w:val="en-AU"/>
              </w:rPr>
            </w:pPr>
            <w:r w:rsidRPr="00C42502">
              <w:rPr>
                <w:b w:val="0"/>
                <w:lang w:val="en-AU"/>
              </w:rPr>
              <w:t>CNS PFS rate</w:t>
            </w:r>
            <w:r w:rsidRPr="00C42502">
              <w:rPr>
                <w:lang w:val="en-AU"/>
              </w:rPr>
              <w:t xml:space="preserve">, </w:t>
            </w:r>
            <w:r w:rsidRPr="00C42502">
              <w:rPr>
                <w:b w:val="0"/>
                <w:lang w:val="en-AU"/>
              </w:rPr>
              <w:t>% (95%CI)</w:t>
            </w:r>
            <w:r w:rsidRPr="00C42502">
              <w:rPr>
                <w:lang w:val="en-AU"/>
              </w:rPr>
              <w:t xml:space="preserve"> </w:t>
            </w:r>
          </w:p>
        </w:tc>
        <w:tc>
          <w:tcPr>
            <w:tcW w:w="1701" w:type="dxa"/>
            <w:tcBorders>
              <w:top w:val="nil"/>
              <w:bottom w:val="nil"/>
            </w:tcBorders>
          </w:tcPr>
          <w:p w14:paraId="31A2AD6D" w14:textId="77777777" w:rsidR="00327047" w:rsidRPr="00C42502" w:rsidRDefault="00327047" w:rsidP="00A12328">
            <w:pPr>
              <w:pStyle w:val="In-tableHeading"/>
              <w:jc w:val="center"/>
              <w:rPr>
                <w:b w:val="0"/>
                <w:lang w:val="en-AU"/>
              </w:rPr>
            </w:pPr>
          </w:p>
        </w:tc>
        <w:tc>
          <w:tcPr>
            <w:tcW w:w="1843" w:type="dxa"/>
            <w:tcBorders>
              <w:top w:val="nil"/>
              <w:bottom w:val="nil"/>
            </w:tcBorders>
          </w:tcPr>
          <w:p w14:paraId="48E40165" w14:textId="77777777" w:rsidR="00327047" w:rsidRPr="00C42502" w:rsidRDefault="00327047" w:rsidP="00A12328">
            <w:pPr>
              <w:pStyle w:val="In-tableHeading"/>
              <w:jc w:val="center"/>
              <w:rPr>
                <w:b w:val="0"/>
                <w:lang w:val="en-AU"/>
              </w:rPr>
            </w:pPr>
          </w:p>
        </w:tc>
        <w:tc>
          <w:tcPr>
            <w:tcW w:w="1276" w:type="dxa"/>
            <w:tcBorders>
              <w:top w:val="nil"/>
              <w:bottom w:val="nil"/>
            </w:tcBorders>
          </w:tcPr>
          <w:p w14:paraId="6E164E83" w14:textId="77777777" w:rsidR="00327047" w:rsidRPr="00C42502" w:rsidRDefault="00327047" w:rsidP="00A12328">
            <w:pPr>
              <w:pStyle w:val="In-tableHeading"/>
              <w:jc w:val="center"/>
              <w:rPr>
                <w:b w:val="0"/>
                <w:lang w:val="en-AU"/>
              </w:rPr>
            </w:pPr>
          </w:p>
        </w:tc>
        <w:tc>
          <w:tcPr>
            <w:tcW w:w="1367" w:type="dxa"/>
            <w:tcBorders>
              <w:top w:val="nil"/>
              <w:bottom w:val="nil"/>
            </w:tcBorders>
          </w:tcPr>
          <w:p w14:paraId="68CEFB16" w14:textId="75B991FB" w:rsidR="00327047" w:rsidRPr="00BC6586" w:rsidRDefault="00D300EB" w:rsidP="00A12328">
            <w:pPr>
              <w:pStyle w:val="In-tableHeading"/>
              <w:jc w:val="center"/>
              <w:rPr>
                <w:bCs/>
                <w:lang w:val="en-AU"/>
              </w:rPr>
            </w:pPr>
            <w:r w:rsidRPr="00BC6586">
              <w:rPr>
                <w:bCs/>
                <w:lang w:val="en-AU"/>
              </w:rPr>
              <w:t>p&lt;0.001</w:t>
            </w:r>
          </w:p>
        </w:tc>
      </w:tr>
      <w:tr w:rsidR="001A4CDD" w:rsidRPr="001A4CDD" w14:paraId="1BA89ED5" w14:textId="77777777" w:rsidTr="00327047">
        <w:tc>
          <w:tcPr>
            <w:tcW w:w="2830" w:type="dxa"/>
            <w:tcBorders>
              <w:top w:val="nil"/>
              <w:bottom w:val="nil"/>
            </w:tcBorders>
          </w:tcPr>
          <w:p w14:paraId="38D80D52" w14:textId="77777777" w:rsidR="00327047" w:rsidRPr="00C42502" w:rsidRDefault="00327047" w:rsidP="00A12328">
            <w:pPr>
              <w:pStyle w:val="In-tableHeading"/>
              <w:ind w:left="170"/>
              <w:rPr>
                <w:b w:val="0"/>
                <w:lang w:val="en-AU"/>
              </w:rPr>
            </w:pPr>
            <w:r w:rsidRPr="00C42502">
              <w:rPr>
                <w:b w:val="0"/>
                <w:lang w:val="en-AU"/>
              </w:rPr>
              <w:t>12 months</w:t>
            </w:r>
          </w:p>
        </w:tc>
        <w:tc>
          <w:tcPr>
            <w:tcW w:w="1701" w:type="dxa"/>
            <w:tcBorders>
              <w:top w:val="nil"/>
              <w:bottom w:val="nil"/>
            </w:tcBorders>
            <w:vAlign w:val="top"/>
          </w:tcPr>
          <w:p w14:paraId="5383DD60" w14:textId="77777777" w:rsidR="00327047" w:rsidRPr="00C42502" w:rsidRDefault="00327047" w:rsidP="00A12328">
            <w:pPr>
              <w:pStyle w:val="In-tableHeading"/>
              <w:jc w:val="center"/>
              <w:rPr>
                <w:b w:val="0"/>
                <w:lang w:val="en-AU"/>
              </w:rPr>
            </w:pPr>
            <w:r w:rsidRPr="00C42502">
              <w:rPr>
                <w:b w:val="0"/>
                <w:lang w:val="en-AU"/>
              </w:rPr>
              <w:t>86.7 (79.4, 91.5)</w:t>
            </w:r>
          </w:p>
        </w:tc>
        <w:tc>
          <w:tcPr>
            <w:tcW w:w="1843" w:type="dxa"/>
            <w:tcBorders>
              <w:top w:val="nil"/>
              <w:bottom w:val="nil"/>
            </w:tcBorders>
            <w:vAlign w:val="top"/>
          </w:tcPr>
          <w:p w14:paraId="04D09CDF" w14:textId="77777777" w:rsidR="00327047" w:rsidRPr="00C42502" w:rsidRDefault="00327047" w:rsidP="00A12328">
            <w:pPr>
              <w:pStyle w:val="In-tableHeading"/>
              <w:jc w:val="center"/>
              <w:rPr>
                <w:b w:val="0"/>
                <w:lang w:val="en-AU"/>
              </w:rPr>
            </w:pPr>
            <w:r w:rsidRPr="00C42502">
              <w:rPr>
                <w:b w:val="0"/>
                <w:lang w:val="en-AU"/>
              </w:rPr>
              <w:t>53.0 (38.3, 65.6)</w:t>
            </w:r>
          </w:p>
        </w:tc>
        <w:tc>
          <w:tcPr>
            <w:tcW w:w="1276" w:type="dxa"/>
            <w:tcBorders>
              <w:top w:val="nil"/>
              <w:bottom w:val="nil"/>
            </w:tcBorders>
          </w:tcPr>
          <w:p w14:paraId="521EC731" w14:textId="77777777" w:rsidR="00327047" w:rsidRPr="00C42502" w:rsidRDefault="00327047" w:rsidP="00A12328">
            <w:pPr>
              <w:pStyle w:val="In-tableHeading"/>
              <w:jc w:val="center"/>
              <w:rPr>
                <w:b w:val="0"/>
                <w:lang w:val="en-AU"/>
              </w:rPr>
            </w:pPr>
            <w:r w:rsidRPr="00C42502">
              <w:rPr>
                <w:b w:val="0"/>
                <w:lang w:val="en-AU"/>
              </w:rPr>
              <w:t>33.7</w:t>
            </w:r>
          </w:p>
        </w:tc>
        <w:tc>
          <w:tcPr>
            <w:tcW w:w="1367" w:type="dxa"/>
            <w:tcBorders>
              <w:top w:val="nil"/>
              <w:bottom w:val="nil"/>
            </w:tcBorders>
          </w:tcPr>
          <w:p w14:paraId="01CC74C7" w14:textId="77777777" w:rsidR="00327047" w:rsidRPr="00C42502" w:rsidRDefault="00327047" w:rsidP="00A12328">
            <w:pPr>
              <w:pStyle w:val="In-tableHeading"/>
              <w:jc w:val="center"/>
              <w:rPr>
                <w:b w:val="0"/>
                <w:lang w:val="en-AU"/>
              </w:rPr>
            </w:pPr>
          </w:p>
        </w:tc>
      </w:tr>
      <w:tr w:rsidR="001A4CDD" w:rsidRPr="001A4CDD" w14:paraId="59A15C37" w14:textId="77777777" w:rsidTr="00327047">
        <w:tc>
          <w:tcPr>
            <w:tcW w:w="2830" w:type="dxa"/>
            <w:tcBorders>
              <w:top w:val="nil"/>
              <w:bottom w:val="single" w:sz="4" w:space="0" w:color="auto"/>
            </w:tcBorders>
          </w:tcPr>
          <w:p w14:paraId="2EE20F20" w14:textId="77777777" w:rsidR="00327047" w:rsidRPr="00C42502" w:rsidRDefault="00327047" w:rsidP="00A12328">
            <w:pPr>
              <w:pStyle w:val="In-tableHeading"/>
              <w:ind w:left="170"/>
              <w:rPr>
                <w:b w:val="0"/>
                <w:lang w:val="en-AU"/>
              </w:rPr>
            </w:pPr>
            <w:r w:rsidRPr="00C42502">
              <w:rPr>
                <w:b w:val="0"/>
                <w:lang w:val="en-AU"/>
              </w:rPr>
              <w:t>24 months</w:t>
            </w:r>
          </w:p>
        </w:tc>
        <w:tc>
          <w:tcPr>
            <w:tcW w:w="1701" w:type="dxa"/>
            <w:tcBorders>
              <w:top w:val="nil"/>
              <w:bottom w:val="single" w:sz="4" w:space="0" w:color="auto"/>
            </w:tcBorders>
            <w:vAlign w:val="top"/>
          </w:tcPr>
          <w:p w14:paraId="316AFC84" w14:textId="77777777" w:rsidR="00327047" w:rsidRPr="00C42502" w:rsidRDefault="00327047" w:rsidP="00A12328">
            <w:pPr>
              <w:pStyle w:val="In-tableHeading"/>
              <w:jc w:val="center"/>
              <w:rPr>
                <w:b w:val="0"/>
                <w:lang w:val="en-AU"/>
              </w:rPr>
            </w:pPr>
            <w:r w:rsidRPr="00C42502">
              <w:rPr>
                <w:b w:val="0"/>
                <w:lang w:val="en-AU"/>
              </w:rPr>
              <w:t>82.7 (74.7, 88.5)</w:t>
            </w:r>
          </w:p>
        </w:tc>
        <w:tc>
          <w:tcPr>
            <w:tcW w:w="1843" w:type="dxa"/>
            <w:tcBorders>
              <w:top w:val="nil"/>
              <w:bottom w:val="single" w:sz="4" w:space="0" w:color="auto"/>
            </w:tcBorders>
            <w:vAlign w:val="top"/>
          </w:tcPr>
          <w:p w14:paraId="70662F23" w14:textId="77777777" w:rsidR="00327047" w:rsidRPr="00C42502" w:rsidRDefault="00327047" w:rsidP="00A12328">
            <w:pPr>
              <w:pStyle w:val="In-tableHeading"/>
              <w:jc w:val="center"/>
              <w:rPr>
                <w:b w:val="0"/>
                <w:lang w:val="en-AU"/>
              </w:rPr>
            </w:pPr>
            <w:r w:rsidRPr="00C42502">
              <w:rPr>
                <w:b w:val="0"/>
                <w:lang w:val="en-AU"/>
              </w:rPr>
              <w:t>43.3 (28.0, 57.7)</w:t>
            </w:r>
          </w:p>
        </w:tc>
        <w:tc>
          <w:tcPr>
            <w:tcW w:w="1276" w:type="dxa"/>
            <w:tcBorders>
              <w:top w:val="nil"/>
              <w:bottom w:val="single" w:sz="4" w:space="0" w:color="auto"/>
            </w:tcBorders>
          </w:tcPr>
          <w:p w14:paraId="1B2B5418" w14:textId="77777777" w:rsidR="00327047" w:rsidRPr="00C42502" w:rsidRDefault="00327047" w:rsidP="00A12328">
            <w:pPr>
              <w:pStyle w:val="In-tableHeading"/>
              <w:jc w:val="center"/>
              <w:rPr>
                <w:b w:val="0"/>
                <w:lang w:val="en-AU"/>
              </w:rPr>
            </w:pPr>
            <w:r w:rsidRPr="00C42502">
              <w:rPr>
                <w:b w:val="0"/>
                <w:lang w:val="en-AU"/>
              </w:rPr>
              <w:t>39.4</w:t>
            </w:r>
          </w:p>
        </w:tc>
        <w:tc>
          <w:tcPr>
            <w:tcW w:w="1367" w:type="dxa"/>
            <w:tcBorders>
              <w:top w:val="nil"/>
              <w:bottom w:val="single" w:sz="4" w:space="0" w:color="auto"/>
            </w:tcBorders>
          </w:tcPr>
          <w:p w14:paraId="6845D24A" w14:textId="77777777" w:rsidR="00327047" w:rsidRPr="00C42502" w:rsidRDefault="00327047" w:rsidP="00A12328">
            <w:pPr>
              <w:pStyle w:val="In-tableHeading"/>
              <w:jc w:val="center"/>
              <w:rPr>
                <w:b w:val="0"/>
                <w:lang w:val="en-AU"/>
              </w:rPr>
            </w:pPr>
          </w:p>
        </w:tc>
      </w:tr>
      <w:tr w:rsidR="001A4CDD" w:rsidRPr="001A4CDD" w14:paraId="43A0995B" w14:textId="77777777" w:rsidTr="00327047">
        <w:tc>
          <w:tcPr>
            <w:tcW w:w="2830" w:type="dxa"/>
            <w:tcBorders>
              <w:bottom w:val="nil"/>
            </w:tcBorders>
            <w:vAlign w:val="top"/>
          </w:tcPr>
          <w:p w14:paraId="1E5B8313" w14:textId="77777777" w:rsidR="00327047" w:rsidRPr="001A4CDD" w:rsidRDefault="00327047" w:rsidP="00A12328">
            <w:pPr>
              <w:pStyle w:val="TableText0"/>
              <w:rPr>
                <w:b/>
              </w:rPr>
            </w:pPr>
            <w:r w:rsidRPr="001A4CDD">
              <w:rPr>
                <w:b/>
              </w:rPr>
              <w:t>TTDM</w:t>
            </w:r>
          </w:p>
        </w:tc>
        <w:tc>
          <w:tcPr>
            <w:tcW w:w="1701" w:type="dxa"/>
            <w:tcBorders>
              <w:bottom w:val="nil"/>
            </w:tcBorders>
            <w:vAlign w:val="top"/>
          </w:tcPr>
          <w:p w14:paraId="37C02241" w14:textId="77777777" w:rsidR="00327047" w:rsidRPr="001A4CDD" w:rsidRDefault="00327047" w:rsidP="00A12328">
            <w:pPr>
              <w:pStyle w:val="TableText0"/>
              <w:jc w:val="center"/>
            </w:pPr>
          </w:p>
        </w:tc>
        <w:tc>
          <w:tcPr>
            <w:tcW w:w="1843" w:type="dxa"/>
            <w:tcBorders>
              <w:bottom w:val="nil"/>
            </w:tcBorders>
            <w:vAlign w:val="top"/>
          </w:tcPr>
          <w:p w14:paraId="60EEF3D9" w14:textId="77777777" w:rsidR="00327047" w:rsidRPr="001A4CDD" w:rsidRDefault="00327047" w:rsidP="00A12328">
            <w:pPr>
              <w:pStyle w:val="TableText0"/>
              <w:jc w:val="center"/>
            </w:pPr>
          </w:p>
        </w:tc>
        <w:tc>
          <w:tcPr>
            <w:tcW w:w="1276" w:type="dxa"/>
            <w:tcBorders>
              <w:bottom w:val="nil"/>
            </w:tcBorders>
          </w:tcPr>
          <w:p w14:paraId="4A0DBCAC" w14:textId="77777777" w:rsidR="00327047" w:rsidRPr="001A4CDD" w:rsidRDefault="00327047" w:rsidP="00A12328">
            <w:pPr>
              <w:pStyle w:val="TableText0"/>
              <w:jc w:val="center"/>
            </w:pPr>
          </w:p>
        </w:tc>
        <w:tc>
          <w:tcPr>
            <w:tcW w:w="1367" w:type="dxa"/>
            <w:tcBorders>
              <w:bottom w:val="nil"/>
            </w:tcBorders>
          </w:tcPr>
          <w:p w14:paraId="0C0C0175" w14:textId="77777777" w:rsidR="00327047" w:rsidRPr="001A4CDD" w:rsidRDefault="00327047" w:rsidP="00A12328">
            <w:pPr>
              <w:pStyle w:val="TableText0"/>
              <w:jc w:val="center"/>
            </w:pPr>
          </w:p>
        </w:tc>
      </w:tr>
      <w:tr w:rsidR="001A4CDD" w:rsidRPr="001A4CDD" w14:paraId="670DA5F6" w14:textId="77777777" w:rsidTr="00327047">
        <w:tc>
          <w:tcPr>
            <w:tcW w:w="2830" w:type="dxa"/>
            <w:tcBorders>
              <w:top w:val="nil"/>
              <w:bottom w:val="nil"/>
            </w:tcBorders>
            <w:vAlign w:val="top"/>
          </w:tcPr>
          <w:p w14:paraId="03280636" w14:textId="77777777" w:rsidR="00327047" w:rsidRPr="001A4CDD" w:rsidRDefault="00327047" w:rsidP="00A12328">
            <w:pPr>
              <w:pStyle w:val="TableText0"/>
              <w:ind w:left="170"/>
            </w:pPr>
            <w:r w:rsidRPr="001A4CDD">
              <w:t>Number (%) with event</w:t>
            </w:r>
          </w:p>
        </w:tc>
        <w:tc>
          <w:tcPr>
            <w:tcW w:w="1701" w:type="dxa"/>
            <w:tcBorders>
              <w:top w:val="nil"/>
              <w:bottom w:val="nil"/>
            </w:tcBorders>
            <w:vAlign w:val="top"/>
          </w:tcPr>
          <w:p w14:paraId="31830A67" w14:textId="77777777" w:rsidR="00327047" w:rsidRPr="001A4CDD" w:rsidRDefault="00327047" w:rsidP="00A12328">
            <w:pPr>
              <w:pStyle w:val="TableText0"/>
              <w:jc w:val="center"/>
            </w:pPr>
            <w:r w:rsidRPr="001A4CDD">
              <w:t>33 (23.1)</w:t>
            </w:r>
          </w:p>
        </w:tc>
        <w:tc>
          <w:tcPr>
            <w:tcW w:w="1843" w:type="dxa"/>
            <w:tcBorders>
              <w:top w:val="nil"/>
              <w:bottom w:val="nil"/>
            </w:tcBorders>
            <w:vAlign w:val="top"/>
          </w:tcPr>
          <w:p w14:paraId="0B32E186" w14:textId="77777777" w:rsidR="00327047" w:rsidRPr="001A4CDD" w:rsidRDefault="00327047" w:rsidP="00A12328">
            <w:pPr>
              <w:pStyle w:val="TableText0"/>
              <w:jc w:val="center"/>
            </w:pPr>
            <w:r w:rsidRPr="001A4CDD">
              <w:t>31 (42.5)</w:t>
            </w:r>
          </w:p>
        </w:tc>
        <w:tc>
          <w:tcPr>
            <w:tcW w:w="1276" w:type="dxa"/>
            <w:tcBorders>
              <w:top w:val="nil"/>
              <w:bottom w:val="nil"/>
            </w:tcBorders>
          </w:tcPr>
          <w:p w14:paraId="3A027C77" w14:textId="77777777" w:rsidR="00327047" w:rsidRPr="001A4CDD" w:rsidRDefault="00327047" w:rsidP="00A12328">
            <w:pPr>
              <w:pStyle w:val="TableText0"/>
              <w:jc w:val="center"/>
            </w:pPr>
          </w:p>
        </w:tc>
        <w:tc>
          <w:tcPr>
            <w:tcW w:w="1367" w:type="dxa"/>
            <w:tcBorders>
              <w:top w:val="nil"/>
              <w:bottom w:val="nil"/>
            </w:tcBorders>
          </w:tcPr>
          <w:p w14:paraId="0C6DB035" w14:textId="0A142049" w:rsidR="00327047" w:rsidRPr="001A4CDD" w:rsidRDefault="00D300EB" w:rsidP="00A12328">
            <w:pPr>
              <w:pStyle w:val="TableText0"/>
              <w:jc w:val="center"/>
            </w:pPr>
            <w:r w:rsidRPr="00D300EB">
              <w:rPr>
                <w:b/>
              </w:rPr>
              <w:t>0.21 (0.11, 0.38)</w:t>
            </w:r>
          </w:p>
        </w:tc>
      </w:tr>
      <w:tr w:rsidR="001A4CDD" w:rsidRPr="001A4CDD" w14:paraId="7F56F5CF" w14:textId="77777777" w:rsidTr="00327047">
        <w:tc>
          <w:tcPr>
            <w:tcW w:w="2830" w:type="dxa"/>
            <w:tcBorders>
              <w:top w:val="nil"/>
              <w:bottom w:val="single" w:sz="4" w:space="0" w:color="auto"/>
            </w:tcBorders>
            <w:vAlign w:val="top"/>
          </w:tcPr>
          <w:p w14:paraId="11A4BDDD" w14:textId="77777777" w:rsidR="00327047" w:rsidRPr="001A4CDD" w:rsidRDefault="00327047" w:rsidP="00A12328">
            <w:pPr>
              <w:pStyle w:val="TableText0"/>
              <w:ind w:left="170"/>
            </w:pPr>
            <w:r w:rsidRPr="001A4CDD">
              <w:t>Median, months [95%CI]</w:t>
            </w:r>
          </w:p>
        </w:tc>
        <w:tc>
          <w:tcPr>
            <w:tcW w:w="1701" w:type="dxa"/>
            <w:tcBorders>
              <w:top w:val="nil"/>
              <w:bottom w:val="single" w:sz="4" w:space="0" w:color="auto"/>
            </w:tcBorders>
            <w:vAlign w:val="top"/>
          </w:tcPr>
          <w:p w14:paraId="7814858C" w14:textId="77777777" w:rsidR="00327047" w:rsidRPr="001A4CDD" w:rsidRDefault="00327047" w:rsidP="00A12328">
            <w:pPr>
              <w:pStyle w:val="TableText0"/>
              <w:jc w:val="center"/>
            </w:pPr>
            <w:r w:rsidRPr="001A4CDD">
              <w:t>NC [39.29, NC]</w:t>
            </w:r>
          </w:p>
        </w:tc>
        <w:tc>
          <w:tcPr>
            <w:tcW w:w="1843" w:type="dxa"/>
            <w:tcBorders>
              <w:top w:val="nil"/>
              <w:bottom w:val="single" w:sz="4" w:space="0" w:color="auto"/>
            </w:tcBorders>
            <w:vAlign w:val="top"/>
          </w:tcPr>
          <w:p w14:paraId="465449E4" w14:textId="77777777" w:rsidR="00327047" w:rsidRPr="001A4CDD" w:rsidRDefault="00327047" w:rsidP="00A12328">
            <w:pPr>
              <w:pStyle w:val="TableText0"/>
              <w:jc w:val="center"/>
            </w:pPr>
            <w:r w:rsidRPr="001A4CDD">
              <w:t>13.04 [9.03, NC]</w:t>
            </w:r>
          </w:p>
        </w:tc>
        <w:tc>
          <w:tcPr>
            <w:tcW w:w="1276" w:type="dxa"/>
            <w:tcBorders>
              <w:top w:val="nil"/>
              <w:bottom w:val="single" w:sz="4" w:space="0" w:color="auto"/>
            </w:tcBorders>
          </w:tcPr>
          <w:p w14:paraId="2AA37763" w14:textId="77777777" w:rsidR="00327047" w:rsidRPr="001A4CDD" w:rsidRDefault="00327047" w:rsidP="00A12328">
            <w:pPr>
              <w:pStyle w:val="TableText0"/>
              <w:jc w:val="center"/>
            </w:pPr>
            <w:r w:rsidRPr="001A4CDD">
              <w:t>NC</w:t>
            </w:r>
          </w:p>
        </w:tc>
        <w:tc>
          <w:tcPr>
            <w:tcW w:w="1367" w:type="dxa"/>
            <w:tcBorders>
              <w:top w:val="nil"/>
              <w:bottom w:val="single" w:sz="4" w:space="0" w:color="auto"/>
            </w:tcBorders>
          </w:tcPr>
          <w:p w14:paraId="5C27D659" w14:textId="46949D80" w:rsidR="00327047" w:rsidRPr="00BC6586" w:rsidRDefault="00D300EB" w:rsidP="00A12328">
            <w:pPr>
              <w:pStyle w:val="TableText0"/>
              <w:jc w:val="center"/>
              <w:rPr>
                <w:b/>
                <w:bCs w:val="0"/>
              </w:rPr>
            </w:pPr>
            <w:r w:rsidRPr="00BC6586">
              <w:rPr>
                <w:b/>
                <w:bCs w:val="0"/>
              </w:rPr>
              <w:t xml:space="preserve">p&lt;0.001 </w:t>
            </w:r>
          </w:p>
        </w:tc>
      </w:tr>
      <w:tr w:rsidR="001A4CDD" w:rsidRPr="001A4CDD" w14:paraId="70844DF2" w14:textId="77777777" w:rsidTr="00327047">
        <w:tc>
          <w:tcPr>
            <w:tcW w:w="2830" w:type="dxa"/>
            <w:tcBorders>
              <w:bottom w:val="nil"/>
            </w:tcBorders>
            <w:vAlign w:val="top"/>
          </w:tcPr>
          <w:p w14:paraId="46211277" w14:textId="77777777" w:rsidR="00327047" w:rsidRPr="001A4CDD" w:rsidRDefault="00327047" w:rsidP="00A12328">
            <w:pPr>
              <w:pStyle w:val="TableText0"/>
            </w:pPr>
            <w:r w:rsidRPr="001A4CDD">
              <w:t>TTDM competing risks analysis</w:t>
            </w:r>
          </w:p>
        </w:tc>
        <w:tc>
          <w:tcPr>
            <w:tcW w:w="1701" w:type="dxa"/>
            <w:tcBorders>
              <w:bottom w:val="nil"/>
            </w:tcBorders>
            <w:vAlign w:val="top"/>
          </w:tcPr>
          <w:p w14:paraId="7DCE3A44" w14:textId="77777777" w:rsidR="00327047" w:rsidRPr="001A4CDD" w:rsidRDefault="00327047" w:rsidP="00A12328">
            <w:pPr>
              <w:pStyle w:val="TableText0"/>
              <w:jc w:val="center"/>
            </w:pPr>
          </w:p>
        </w:tc>
        <w:tc>
          <w:tcPr>
            <w:tcW w:w="1843" w:type="dxa"/>
            <w:tcBorders>
              <w:bottom w:val="nil"/>
            </w:tcBorders>
            <w:vAlign w:val="top"/>
          </w:tcPr>
          <w:p w14:paraId="6B9E3724" w14:textId="77777777" w:rsidR="00327047" w:rsidRPr="001A4CDD" w:rsidRDefault="00327047" w:rsidP="00A12328">
            <w:pPr>
              <w:pStyle w:val="TableText0"/>
              <w:jc w:val="center"/>
            </w:pPr>
          </w:p>
        </w:tc>
        <w:tc>
          <w:tcPr>
            <w:tcW w:w="1276" w:type="dxa"/>
            <w:tcBorders>
              <w:bottom w:val="nil"/>
            </w:tcBorders>
          </w:tcPr>
          <w:p w14:paraId="2FB64469" w14:textId="77777777" w:rsidR="00327047" w:rsidRPr="001A4CDD" w:rsidRDefault="00327047" w:rsidP="00A12328">
            <w:pPr>
              <w:pStyle w:val="TableText0"/>
              <w:jc w:val="center"/>
            </w:pPr>
          </w:p>
        </w:tc>
        <w:tc>
          <w:tcPr>
            <w:tcW w:w="1367" w:type="dxa"/>
            <w:tcBorders>
              <w:bottom w:val="nil"/>
            </w:tcBorders>
          </w:tcPr>
          <w:p w14:paraId="7E6B2C02" w14:textId="77777777" w:rsidR="00327047" w:rsidRPr="001A4CDD" w:rsidRDefault="00327047" w:rsidP="00A12328">
            <w:pPr>
              <w:pStyle w:val="TableText0"/>
              <w:jc w:val="center"/>
            </w:pPr>
          </w:p>
        </w:tc>
      </w:tr>
      <w:tr w:rsidR="001A4CDD" w:rsidRPr="001A4CDD" w14:paraId="7D812F04" w14:textId="77777777" w:rsidTr="00327047">
        <w:tc>
          <w:tcPr>
            <w:tcW w:w="2830" w:type="dxa"/>
            <w:tcBorders>
              <w:top w:val="nil"/>
              <w:bottom w:val="nil"/>
            </w:tcBorders>
            <w:vAlign w:val="top"/>
          </w:tcPr>
          <w:p w14:paraId="1EAF3B9F" w14:textId="77777777" w:rsidR="00327047" w:rsidRPr="001A4CDD" w:rsidRDefault="00327047" w:rsidP="00A12328">
            <w:pPr>
              <w:pStyle w:val="TableText0"/>
            </w:pPr>
            <w:r w:rsidRPr="001A4CDD">
              <w:t>Number (%) with event</w:t>
            </w:r>
          </w:p>
        </w:tc>
        <w:tc>
          <w:tcPr>
            <w:tcW w:w="1701" w:type="dxa"/>
            <w:tcBorders>
              <w:top w:val="nil"/>
              <w:bottom w:val="nil"/>
            </w:tcBorders>
            <w:vAlign w:val="top"/>
          </w:tcPr>
          <w:p w14:paraId="438EFC3B" w14:textId="77777777" w:rsidR="00327047" w:rsidRPr="001A4CDD" w:rsidRDefault="00327047" w:rsidP="00A12328">
            <w:pPr>
              <w:pStyle w:val="TableText0"/>
              <w:jc w:val="center"/>
            </w:pPr>
            <w:r w:rsidRPr="001A4CDD">
              <w:t>57 (39.9)</w:t>
            </w:r>
          </w:p>
        </w:tc>
        <w:tc>
          <w:tcPr>
            <w:tcW w:w="1843" w:type="dxa"/>
            <w:tcBorders>
              <w:top w:val="nil"/>
              <w:bottom w:val="nil"/>
            </w:tcBorders>
            <w:vAlign w:val="top"/>
          </w:tcPr>
          <w:p w14:paraId="5F6F497C" w14:textId="77777777" w:rsidR="00327047" w:rsidRPr="001A4CDD" w:rsidRDefault="00327047" w:rsidP="00A12328">
            <w:pPr>
              <w:pStyle w:val="TableText0"/>
              <w:jc w:val="center"/>
            </w:pPr>
            <w:r w:rsidRPr="001A4CDD">
              <w:t>63 (86.3)</w:t>
            </w:r>
          </w:p>
        </w:tc>
        <w:tc>
          <w:tcPr>
            <w:tcW w:w="1276" w:type="dxa"/>
            <w:tcBorders>
              <w:top w:val="nil"/>
              <w:bottom w:val="nil"/>
            </w:tcBorders>
          </w:tcPr>
          <w:p w14:paraId="4B630305" w14:textId="77777777" w:rsidR="00327047" w:rsidRPr="001A4CDD" w:rsidRDefault="00327047" w:rsidP="00A12328">
            <w:pPr>
              <w:pStyle w:val="TableText0"/>
              <w:jc w:val="center"/>
            </w:pPr>
          </w:p>
        </w:tc>
        <w:tc>
          <w:tcPr>
            <w:tcW w:w="1367" w:type="dxa"/>
            <w:tcBorders>
              <w:top w:val="nil"/>
              <w:bottom w:val="nil"/>
            </w:tcBorders>
          </w:tcPr>
          <w:p w14:paraId="3077C304" w14:textId="77777777" w:rsidR="00327047" w:rsidRPr="001A4CDD" w:rsidRDefault="00327047" w:rsidP="00A12328">
            <w:pPr>
              <w:pStyle w:val="TableText0"/>
              <w:jc w:val="center"/>
            </w:pPr>
          </w:p>
        </w:tc>
      </w:tr>
      <w:tr w:rsidR="001A4CDD" w:rsidRPr="001A4CDD" w14:paraId="3F1483DF" w14:textId="77777777" w:rsidTr="00327047">
        <w:tc>
          <w:tcPr>
            <w:tcW w:w="2830" w:type="dxa"/>
            <w:tcBorders>
              <w:top w:val="nil"/>
              <w:bottom w:val="nil"/>
            </w:tcBorders>
            <w:vAlign w:val="top"/>
          </w:tcPr>
          <w:p w14:paraId="5FF59FFE" w14:textId="77777777" w:rsidR="00327047" w:rsidRPr="001A4CDD" w:rsidRDefault="00327047" w:rsidP="00A12328">
            <w:pPr>
              <w:pStyle w:val="TableText0"/>
              <w:ind w:left="170"/>
            </w:pPr>
            <w:r w:rsidRPr="001A4CDD">
              <w:t>Distant metastases</w:t>
            </w:r>
          </w:p>
        </w:tc>
        <w:tc>
          <w:tcPr>
            <w:tcW w:w="1701" w:type="dxa"/>
            <w:tcBorders>
              <w:top w:val="nil"/>
              <w:bottom w:val="nil"/>
            </w:tcBorders>
            <w:vAlign w:val="top"/>
          </w:tcPr>
          <w:p w14:paraId="6D07B0B5" w14:textId="77777777" w:rsidR="00327047" w:rsidRPr="001A4CDD" w:rsidRDefault="00327047" w:rsidP="00A12328">
            <w:pPr>
              <w:pStyle w:val="TableText0"/>
              <w:jc w:val="center"/>
            </w:pPr>
            <w:r w:rsidRPr="001A4CDD">
              <w:t>23 (16.1)</w:t>
            </w:r>
          </w:p>
        </w:tc>
        <w:tc>
          <w:tcPr>
            <w:tcW w:w="1843" w:type="dxa"/>
            <w:tcBorders>
              <w:top w:val="nil"/>
              <w:bottom w:val="nil"/>
            </w:tcBorders>
            <w:vAlign w:val="top"/>
          </w:tcPr>
          <w:p w14:paraId="5B12FCFF" w14:textId="77777777" w:rsidR="00327047" w:rsidRPr="001A4CDD" w:rsidRDefault="00327047" w:rsidP="00A12328">
            <w:pPr>
              <w:pStyle w:val="TableText0"/>
              <w:jc w:val="center"/>
            </w:pPr>
            <w:r w:rsidRPr="001A4CDD">
              <w:t>27 (37.0)</w:t>
            </w:r>
          </w:p>
        </w:tc>
        <w:tc>
          <w:tcPr>
            <w:tcW w:w="1276" w:type="dxa"/>
            <w:tcBorders>
              <w:top w:val="nil"/>
              <w:bottom w:val="nil"/>
            </w:tcBorders>
          </w:tcPr>
          <w:p w14:paraId="0280BC8D" w14:textId="77777777" w:rsidR="00327047" w:rsidRPr="001A4CDD" w:rsidRDefault="00327047" w:rsidP="00A12328">
            <w:pPr>
              <w:pStyle w:val="TableText0"/>
              <w:jc w:val="center"/>
            </w:pPr>
          </w:p>
        </w:tc>
        <w:tc>
          <w:tcPr>
            <w:tcW w:w="1367" w:type="dxa"/>
            <w:tcBorders>
              <w:top w:val="nil"/>
              <w:bottom w:val="nil"/>
            </w:tcBorders>
          </w:tcPr>
          <w:p w14:paraId="1FCE0EA5" w14:textId="77777777" w:rsidR="00327047" w:rsidRPr="001A4CDD" w:rsidRDefault="00327047" w:rsidP="00A12328">
            <w:pPr>
              <w:pStyle w:val="TableText0"/>
              <w:jc w:val="center"/>
            </w:pPr>
          </w:p>
        </w:tc>
      </w:tr>
      <w:tr w:rsidR="001A4CDD" w:rsidRPr="001A4CDD" w14:paraId="3F508AE6" w14:textId="77777777" w:rsidTr="00327047">
        <w:tc>
          <w:tcPr>
            <w:tcW w:w="2830" w:type="dxa"/>
            <w:tcBorders>
              <w:top w:val="nil"/>
              <w:bottom w:val="nil"/>
            </w:tcBorders>
            <w:vAlign w:val="top"/>
          </w:tcPr>
          <w:p w14:paraId="1113C7C6" w14:textId="77777777" w:rsidR="00327047" w:rsidRPr="001A4CDD" w:rsidRDefault="00327047" w:rsidP="00A12328">
            <w:pPr>
              <w:pStyle w:val="TableText0"/>
              <w:ind w:left="170"/>
            </w:pPr>
            <w:r w:rsidRPr="001A4CDD">
              <w:t>Local progression</w:t>
            </w:r>
          </w:p>
        </w:tc>
        <w:tc>
          <w:tcPr>
            <w:tcW w:w="1701" w:type="dxa"/>
            <w:tcBorders>
              <w:top w:val="nil"/>
              <w:bottom w:val="nil"/>
            </w:tcBorders>
            <w:vAlign w:val="top"/>
          </w:tcPr>
          <w:p w14:paraId="3EE3AE87" w14:textId="77777777" w:rsidR="00327047" w:rsidRPr="001A4CDD" w:rsidRDefault="00327047" w:rsidP="00A12328">
            <w:pPr>
              <w:pStyle w:val="TableText0"/>
              <w:jc w:val="center"/>
            </w:pPr>
            <w:r w:rsidRPr="001A4CDD">
              <w:t>30 (21.0)</w:t>
            </w:r>
          </w:p>
        </w:tc>
        <w:tc>
          <w:tcPr>
            <w:tcW w:w="1843" w:type="dxa"/>
            <w:tcBorders>
              <w:top w:val="nil"/>
              <w:bottom w:val="nil"/>
            </w:tcBorders>
            <w:vAlign w:val="top"/>
          </w:tcPr>
          <w:p w14:paraId="3FAB4257" w14:textId="77777777" w:rsidR="00327047" w:rsidRPr="001A4CDD" w:rsidRDefault="00327047" w:rsidP="00A12328">
            <w:pPr>
              <w:pStyle w:val="TableText0"/>
              <w:jc w:val="center"/>
            </w:pPr>
            <w:r w:rsidRPr="001A4CDD">
              <w:t>35 (47.9)</w:t>
            </w:r>
          </w:p>
        </w:tc>
        <w:tc>
          <w:tcPr>
            <w:tcW w:w="1276" w:type="dxa"/>
            <w:tcBorders>
              <w:top w:val="nil"/>
              <w:bottom w:val="nil"/>
            </w:tcBorders>
          </w:tcPr>
          <w:p w14:paraId="281CE085" w14:textId="77777777" w:rsidR="00327047" w:rsidRPr="001A4CDD" w:rsidRDefault="00327047" w:rsidP="00A12328">
            <w:pPr>
              <w:pStyle w:val="TableText0"/>
              <w:jc w:val="center"/>
            </w:pPr>
          </w:p>
        </w:tc>
        <w:tc>
          <w:tcPr>
            <w:tcW w:w="1367" w:type="dxa"/>
            <w:tcBorders>
              <w:top w:val="nil"/>
              <w:bottom w:val="nil"/>
            </w:tcBorders>
          </w:tcPr>
          <w:p w14:paraId="76DE0AC8" w14:textId="77777777" w:rsidR="00327047" w:rsidRPr="001A4CDD" w:rsidRDefault="00327047" w:rsidP="00A12328">
            <w:pPr>
              <w:pStyle w:val="TableText0"/>
              <w:jc w:val="center"/>
            </w:pPr>
          </w:p>
        </w:tc>
      </w:tr>
      <w:tr w:rsidR="001A4CDD" w:rsidRPr="001A4CDD" w14:paraId="45598CA5" w14:textId="77777777" w:rsidTr="00327047">
        <w:tc>
          <w:tcPr>
            <w:tcW w:w="2830" w:type="dxa"/>
            <w:tcBorders>
              <w:top w:val="nil"/>
              <w:bottom w:val="nil"/>
            </w:tcBorders>
            <w:vAlign w:val="top"/>
          </w:tcPr>
          <w:p w14:paraId="0FED774B" w14:textId="77777777" w:rsidR="00327047" w:rsidRPr="001A4CDD" w:rsidRDefault="00327047" w:rsidP="00A12328">
            <w:pPr>
              <w:pStyle w:val="TableText0"/>
              <w:ind w:left="170"/>
            </w:pPr>
            <w:r w:rsidRPr="001A4CDD">
              <w:t>Death in the absence of distant metastasis or progression</w:t>
            </w:r>
          </w:p>
        </w:tc>
        <w:tc>
          <w:tcPr>
            <w:tcW w:w="1701" w:type="dxa"/>
            <w:tcBorders>
              <w:top w:val="nil"/>
              <w:bottom w:val="nil"/>
            </w:tcBorders>
            <w:vAlign w:val="top"/>
          </w:tcPr>
          <w:p w14:paraId="240634A4" w14:textId="77777777" w:rsidR="00327047" w:rsidRPr="001A4CDD" w:rsidRDefault="00327047" w:rsidP="00A12328">
            <w:pPr>
              <w:pStyle w:val="TableText0"/>
              <w:jc w:val="center"/>
            </w:pPr>
            <w:r w:rsidRPr="001A4CDD">
              <w:t>4 92.8)</w:t>
            </w:r>
          </w:p>
        </w:tc>
        <w:tc>
          <w:tcPr>
            <w:tcW w:w="1843" w:type="dxa"/>
            <w:tcBorders>
              <w:top w:val="nil"/>
              <w:bottom w:val="nil"/>
            </w:tcBorders>
            <w:vAlign w:val="top"/>
          </w:tcPr>
          <w:p w14:paraId="1D1E3A7E" w14:textId="77777777" w:rsidR="00327047" w:rsidRPr="001A4CDD" w:rsidRDefault="00327047" w:rsidP="00A12328">
            <w:pPr>
              <w:pStyle w:val="TableText0"/>
              <w:jc w:val="center"/>
            </w:pPr>
            <w:r w:rsidRPr="001A4CDD">
              <w:t>1 91.4)</w:t>
            </w:r>
          </w:p>
        </w:tc>
        <w:tc>
          <w:tcPr>
            <w:tcW w:w="1276" w:type="dxa"/>
            <w:tcBorders>
              <w:top w:val="nil"/>
              <w:bottom w:val="nil"/>
            </w:tcBorders>
          </w:tcPr>
          <w:p w14:paraId="2BB6AF1E" w14:textId="77777777" w:rsidR="00327047" w:rsidRPr="001A4CDD" w:rsidRDefault="00327047" w:rsidP="00A12328">
            <w:pPr>
              <w:pStyle w:val="TableText0"/>
              <w:jc w:val="center"/>
            </w:pPr>
          </w:p>
        </w:tc>
        <w:tc>
          <w:tcPr>
            <w:tcW w:w="1367" w:type="dxa"/>
            <w:tcBorders>
              <w:top w:val="nil"/>
              <w:bottom w:val="nil"/>
            </w:tcBorders>
          </w:tcPr>
          <w:p w14:paraId="1A68E658" w14:textId="77777777" w:rsidR="00327047" w:rsidRPr="001A4CDD" w:rsidRDefault="00327047" w:rsidP="00A12328">
            <w:pPr>
              <w:pStyle w:val="TableText0"/>
              <w:jc w:val="center"/>
            </w:pPr>
            <w:r w:rsidRPr="001A4CDD">
              <w:t>-</w:t>
            </w:r>
          </w:p>
        </w:tc>
      </w:tr>
      <w:tr w:rsidR="001A4CDD" w:rsidRPr="001A4CDD" w14:paraId="6C623472" w14:textId="77777777" w:rsidTr="00327047">
        <w:tc>
          <w:tcPr>
            <w:tcW w:w="2830" w:type="dxa"/>
            <w:tcBorders>
              <w:top w:val="nil"/>
              <w:bottom w:val="nil"/>
            </w:tcBorders>
            <w:vAlign w:val="top"/>
          </w:tcPr>
          <w:p w14:paraId="17756525" w14:textId="77777777" w:rsidR="00327047" w:rsidRPr="001A4CDD" w:rsidRDefault="00327047" w:rsidP="00A12328">
            <w:pPr>
              <w:pStyle w:val="TableText0"/>
              <w:ind w:left="170"/>
            </w:pPr>
            <w:r w:rsidRPr="001A4CDD">
              <w:t>Censored</w:t>
            </w:r>
          </w:p>
        </w:tc>
        <w:tc>
          <w:tcPr>
            <w:tcW w:w="1701" w:type="dxa"/>
            <w:tcBorders>
              <w:top w:val="nil"/>
              <w:bottom w:val="nil"/>
            </w:tcBorders>
            <w:vAlign w:val="top"/>
          </w:tcPr>
          <w:p w14:paraId="0DB5EFB2" w14:textId="77777777" w:rsidR="00327047" w:rsidRPr="001A4CDD" w:rsidRDefault="00327047" w:rsidP="00A12328">
            <w:pPr>
              <w:pStyle w:val="TableText0"/>
              <w:jc w:val="center"/>
            </w:pPr>
            <w:r w:rsidRPr="001A4CDD">
              <w:t>86 (60.1)</w:t>
            </w:r>
          </w:p>
        </w:tc>
        <w:tc>
          <w:tcPr>
            <w:tcW w:w="1843" w:type="dxa"/>
            <w:tcBorders>
              <w:top w:val="nil"/>
              <w:bottom w:val="nil"/>
            </w:tcBorders>
            <w:vAlign w:val="top"/>
          </w:tcPr>
          <w:p w14:paraId="17B93C6F" w14:textId="77777777" w:rsidR="00327047" w:rsidRPr="001A4CDD" w:rsidRDefault="00327047" w:rsidP="00A12328">
            <w:pPr>
              <w:pStyle w:val="TableText0"/>
              <w:jc w:val="center"/>
            </w:pPr>
            <w:r w:rsidRPr="001A4CDD">
              <w:t>10 (13.7)</w:t>
            </w:r>
          </w:p>
        </w:tc>
        <w:tc>
          <w:tcPr>
            <w:tcW w:w="1276" w:type="dxa"/>
            <w:tcBorders>
              <w:top w:val="nil"/>
              <w:bottom w:val="nil"/>
            </w:tcBorders>
          </w:tcPr>
          <w:p w14:paraId="38502DB7" w14:textId="77777777" w:rsidR="00327047" w:rsidRPr="001A4CDD" w:rsidRDefault="00327047" w:rsidP="00A12328">
            <w:pPr>
              <w:pStyle w:val="TableText0"/>
              <w:jc w:val="center"/>
            </w:pPr>
          </w:p>
        </w:tc>
        <w:tc>
          <w:tcPr>
            <w:tcW w:w="1367" w:type="dxa"/>
            <w:tcBorders>
              <w:top w:val="nil"/>
              <w:bottom w:val="nil"/>
            </w:tcBorders>
          </w:tcPr>
          <w:p w14:paraId="76F69294" w14:textId="77777777" w:rsidR="00327047" w:rsidRPr="001A4CDD" w:rsidRDefault="00327047" w:rsidP="00A12328">
            <w:pPr>
              <w:pStyle w:val="TableText0"/>
              <w:jc w:val="center"/>
            </w:pPr>
          </w:p>
        </w:tc>
      </w:tr>
      <w:tr w:rsidR="001A4CDD" w:rsidRPr="001A4CDD" w14:paraId="308D8F93" w14:textId="77777777" w:rsidTr="00327047">
        <w:tc>
          <w:tcPr>
            <w:tcW w:w="2830" w:type="dxa"/>
            <w:tcBorders>
              <w:top w:val="nil"/>
              <w:bottom w:val="nil"/>
            </w:tcBorders>
            <w:vAlign w:val="top"/>
          </w:tcPr>
          <w:p w14:paraId="0E82DCD9" w14:textId="77777777" w:rsidR="00327047" w:rsidRPr="001A4CDD" w:rsidRDefault="00327047" w:rsidP="00A12328">
            <w:pPr>
              <w:pStyle w:val="TableText0"/>
            </w:pPr>
            <w:r w:rsidRPr="001A4CDD">
              <w:t>Cumulative incidence rate (95%CI)</w:t>
            </w:r>
          </w:p>
        </w:tc>
        <w:tc>
          <w:tcPr>
            <w:tcW w:w="1701" w:type="dxa"/>
            <w:tcBorders>
              <w:top w:val="nil"/>
              <w:bottom w:val="nil"/>
            </w:tcBorders>
            <w:vAlign w:val="top"/>
          </w:tcPr>
          <w:p w14:paraId="4D5F25CE" w14:textId="77777777" w:rsidR="00327047" w:rsidRPr="001A4CDD" w:rsidRDefault="00327047" w:rsidP="00A12328">
            <w:pPr>
              <w:pStyle w:val="TableText0"/>
              <w:jc w:val="center"/>
            </w:pPr>
          </w:p>
        </w:tc>
        <w:tc>
          <w:tcPr>
            <w:tcW w:w="1843" w:type="dxa"/>
            <w:tcBorders>
              <w:top w:val="nil"/>
              <w:bottom w:val="nil"/>
            </w:tcBorders>
            <w:vAlign w:val="top"/>
          </w:tcPr>
          <w:p w14:paraId="563A39C9" w14:textId="77777777" w:rsidR="00327047" w:rsidRPr="001A4CDD" w:rsidRDefault="00327047" w:rsidP="00A12328">
            <w:pPr>
              <w:pStyle w:val="TableText0"/>
              <w:jc w:val="center"/>
            </w:pPr>
          </w:p>
        </w:tc>
        <w:tc>
          <w:tcPr>
            <w:tcW w:w="1276" w:type="dxa"/>
            <w:tcBorders>
              <w:top w:val="nil"/>
              <w:bottom w:val="nil"/>
            </w:tcBorders>
          </w:tcPr>
          <w:p w14:paraId="12C7A7B8" w14:textId="77777777" w:rsidR="00327047" w:rsidRPr="001A4CDD" w:rsidRDefault="00327047" w:rsidP="00A12328">
            <w:pPr>
              <w:pStyle w:val="TableText0"/>
              <w:jc w:val="center"/>
            </w:pPr>
          </w:p>
        </w:tc>
        <w:tc>
          <w:tcPr>
            <w:tcW w:w="1367" w:type="dxa"/>
            <w:tcBorders>
              <w:top w:val="nil"/>
              <w:bottom w:val="nil"/>
            </w:tcBorders>
          </w:tcPr>
          <w:p w14:paraId="1079ED34" w14:textId="77777777" w:rsidR="00327047" w:rsidRPr="001A4CDD" w:rsidRDefault="00327047" w:rsidP="00A12328">
            <w:pPr>
              <w:pStyle w:val="TableText0"/>
              <w:jc w:val="center"/>
            </w:pPr>
          </w:p>
        </w:tc>
      </w:tr>
      <w:tr w:rsidR="001A4CDD" w:rsidRPr="001A4CDD" w14:paraId="000B2084" w14:textId="77777777" w:rsidTr="00327047">
        <w:tc>
          <w:tcPr>
            <w:tcW w:w="2830" w:type="dxa"/>
            <w:tcBorders>
              <w:top w:val="nil"/>
              <w:bottom w:val="nil"/>
            </w:tcBorders>
            <w:vAlign w:val="top"/>
          </w:tcPr>
          <w:p w14:paraId="41C9D045" w14:textId="77777777" w:rsidR="00327047" w:rsidRPr="001A4CDD" w:rsidRDefault="00327047" w:rsidP="00A12328">
            <w:pPr>
              <w:pStyle w:val="TableText0"/>
              <w:ind w:left="170"/>
            </w:pPr>
            <w:r w:rsidRPr="001A4CDD">
              <w:t>12 months</w:t>
            </w:r>
          </w:p>
        </w:tc>
        <w:tc>
          <w:tcPr>
            <w:tcW w:w="1701" w:type="dxa"/>
            <w:tcBorders>
              <w:top w:val="nil"/>
              <w:bottom w:val="nil"/>
            </w:tcBorders>
            <w:vAlign w:val="top"/>
          </w:tcPr>
          <w:p w14:paraId="7647C70C" w14:textId="77777777" w:rsidR="00327047" w:rsidRPr="001A4CDD" w:rsidRDefault="00327047" w:rsidP="00A12328">
            <w:pPr>
              <w:pStyle w:val="TableText0"/>
              <w:jc w:val="center"/>
            </w:pPr>
            <w:r w:rsidRPr="001A4CDD">
              <w:t>0.11 (0.06, 0.17)</w:t>
            </w:r>
          </w:p>
        </w:tc>
        <w:tc>
          <w:tcPr>
            <w:tcW w:w="1843" w:type="dxa"/>
            <w:tcBorders>
              <w:top w:val="nil"/>
              <w:bottom w:val="nil"/>
            </w:tcBorders>
            <w:vAlign w:val="top"/>
          </w:tcPr>
          <w:p w14:paraId="3AAC0B59" w14:textId="77777777" w:rsidR="00327047" w:rsidRPr="001A4CDD" w:rsidRDefault="00327047" w:rsidP="00A12328">
            <w:pPr>
              <w:pStyle w:val="TableText0"/>
              <w:jc w:val="center"/>
            </w:pPr>
            <w:r w:rsidRPr="001A4CDD">
              <w:t>0.37 (0.26, 0.48)</w:t>
            </w:r>
          </w:p>
        </w:tc>
        <w:tc>
          <w:tcPr>
            <w:tcW w:w="1276" w:type="dxa"/>
            <w:tcBorders>
              <w:top w:val="nil"/>
              <w:bottom w:val="nil"/>
            </w:tcBorders>
          </w:tcPr>
          <w:p w14:paraId="753C3610" w14:textId="77777777" w:rsidR="00327047" w:rsidRPr="001A4CDD" w:rsidRDefault="00327047" w:rsidP="00A12328">
            <w:pPr>
              <w:pStyle w:val="TableText0"/>
              <w:jc w:val="center"/>
            </w:pPr>
            <w:r w:rsidRPr="001A4CDD">
              <w:t>0.26</w:t>
            </w:r>
          </w:p>
        </w:tc>
        <w:tc>
          <w:tcPr>
            <w:tcW w:w="1367" w:type="dxa"/>
            <w:tcBorders>
              <w:top w:val="nil"/>
              <w:bottom w:val="nil"/>
            </w:tcBorders>
          </w:tcPr>
          <w:p w14:paraId="21F2F0C3" w14:textId="77777777" w:rsidR="00327047" w:rsidRPr="001A4CDD" w:rsidRDefault="00327047" w:rsidP="00A12328">
            <w:pPr>
              <w:pStyle w:val="TableText0"/>
              <w:jc w:val="center"/>
            </w:pPr>
          </w:p>
        </w:tc>
      </w:tr>
      <w:tr w:rsidR="001A4CDD" w:rsidRPr="001A4CDD" w14:paraId="3ACAA9B6" w14:textId="77777777" w:rsidTr="00327047">
        <w:tc>
          <w:tcPr>
            <w:tcW w:w="2830" w:type="dxa"/>
            <w:tcBorders>
              <w:top w:val="nil"/>
              <w:bottom w:val="single" w:sz="4" w:space="0" w:color="auto"/>
            </w:tcBorders>
            <w:vAlign w:val="top"/>
          </w:tcPr>
          <w:p w14:paraId="45EB19DB" w14:textId="77777777" w:rsidR="00327047" w:rsidRPr="001A4CDD" w:rsidRDefault="00327047" w:rsidP="00A12328">
            <w:pPr>
              <w:pStyle w:val="TableText0"/>
              <w:ind w:left="170"/>
            </w:pPr>
            <w:r w:rsidRPr="001A4CDD">
              <w:t>24 months</w:t>
            </w:r>
          </w:p>
        </w:tc>
        <w:tc>
          <w:tcPr>
            <w:tcW w:w="1701" w:type="dxa"/>
            <w:tcBorders>
              <w:top w:val="nil"/>
              <w:bottom w:val="single" w:sz="4" w:space="0" w:color="auto"/>
            </w:tcBorders>
            <w:vAlign w:val="top"/>
          </w:tcPr>
          <w:p w14:paraId="674BBF59" w14:textId="77777777" w:rsidR="00327047" w:rsidRPr="001A4CDD" w:rsidRDefault="00327047" w:rsidP="00A12328">
            <w:pPr>
              <w:pStyle w:val="TableText0"/>
              <w:jc w:val="center"/>
            </w:pPr>
            <w:r w:rsidRPr="001A4CDD">
              <w:t>0.14 (0.09, 0.21)</w:t>
            </w:r>
          </w:p>
        </w:tc>
        <w:tc>
          <w:tcPr>
            <w:tcW w:w="1843" w:type="dxa"/>
            <w:tcBorders>
              <w:top w:val="nil"/>
              <w:bottom w:val="single" w:sz="4" w:space="0" w:color="auto"/>
            </w:tcBorders>
            <w:vAlign w:val="top"/>
          </w:tcPr>
          <w:p w14:paraId="5FF8AA2C" w14:textId="77777777" w:rsidR="00327047" w:rsidRPr="001A4CDD" w:rsidRDefault="00327047" w:rsidP="00A12328">
            <w:pPr>
              <w:pStyle w:val="TableText0"/>
              <w:jc w:val="center"/>
            </w:pPr>
            <w:r w:rsidRPr="001A4CDD">
              <w:t>0.39 (0.27, 0.50)</w:t>
            </w:r>
          </w:p>
        </w:tc>
        <w:tc>
          <w:tcPr>
            <w:tcW w:w="1276" w:type="dxa"/>
            <w:tcBorders>
              <w:top w:val="nil"/>
              <w:bottom w:val="single" w:sz="4" w:space="0" w:color="auto"/>
            </w:tcBorders>
          </w:tcPr>
          <w:p w14:paraId="61A548F4" w14:textId="77777777" w:rsidR="00327047" w:rsidRPr="001A4CDD" w:rsidRDefault="00327047" w:rsidP="00A12328">
            <w:pPr>
              <w:pStyle w:val="TableText0"/>
              <w:jc w:val="center"/>
            </w:pPr>
            <w:r w:rsidRPr="001A4CDD">
              <w:t>0.25</w:t>
            </w:r>
          </w:p>
        </w:tc>
        <w:tc>
          <w:tcPr>
            <w:tcW w:w="1367" w:type="dxa"/>
            <w:tcBorders>
              <w:top w:val="nil"/>
              <w:bottom w:val="single" w:sz="4" w:space="0" w:color="auto"/>
            </w:tcBorders>
          </w:tcPr>
          <w:p w14:paraId="1CEC92DB" w14:textId="77777777" w:rsidR="00327047" w:rsidRPr="001A4CDD" w:rsidRDefault="00327047" w:rsidP="00A12328">
            <w:pPr>
              <w:pStyle w:val="TableText0"/>
              <w:jc w:val="center"/>
            </w:pPr>
          </w:p>
        </w:tc>
      </w:tr>
      <w:tr w:rsidR="001A4CDD" w:rsidRPr="001A4CDD" w14:paraId="225A871D" w14:textId="77777777" w:rsidTr="00327047">
        <w:tc>
          <w:tcPr>
            <w:tcW w:w="2830" w:type="dxa"/>
            <w:tcBorders>
              <w:bottom w:val="nil"/>
            </w:tcBorders>
            <w:vAlign w:val="top"/>
          </w:tcPr>
          <w:p w14:paraId="0BDD6FE8" w14:textId="77777777" w:rsidR="00327047" w:rsidRPr="001A4CDD" w:rsidRDefault="00327047" w:rsidP="00A12328">
            <w:pPr>
              <w:pStyle w:val="TableText0"/>
              <w:rPr>
                <w:b/>
              </w:rPr>
            </w:pPr>
            <w:r w:rsidRPr="001A4CDD">
              <w:rPr>
                <w:b/>
              </w:rPr>
              <w:t>TTD</w:t>
            </w:r>
          </w:p>
        </w:tc>
        <w:tc>
          <w:tcPr>
            <w:tcW w:w="1701" w:type="dxa"/>
            <w:tcBorders>
              <w:bottom w:val="nil"/>
            </w:tcBorders>
            <w:vAlign w:val="top"/>
          </w:tcPr>
          <w:p w14:paraId="491AC104" w14:textId="77777777" w:rsidR="00327047" w:rsidRPr="001A4CDD" w:rsidRDefault="00327047" w:rsidP="00A12328">
            <w:pPr>
              <w:pStyle w:val="TableText0"/>
              <w:jc w:val="center"/>
            </w:pPr>
          </w:p>
        </w:tc>
        <w:tc>
          <w:tcPr>
            <w:tcW w:w="1843" w:type="dxa"/>
            <w:tcBorders>
              <w:bottom w:val="nil"/>
            </w:tcBorders>
            <w:vAlign w:val="top"/>
          </w:tcPr>
          <w:p w14:paraId="226B96F7" w14:textId="77777777" w:rsidR="00327047" w:rsidRPr="001A4CDD" w:rsidRDefault="00327047" w:rsidP="00A12328">
            <w:pPr>
              <w:pStyle w:val="TableText0"/>
              <w:jc w:val="center"/>
            </w:pPr>
          </w:p>
        </w:tc>
        <w:tc>
          <w:tcPr>
            <w:tcW w:w="1276" w:type="dxa"/>
            <w:tcBorders>
              <w:bottom w:val="nil"/>
            </w:tcBorders>
          </w:tcPr>
          <w:p w14:paraId="148B3369" w14:textId="77777777" w:rsidR="00327047" w:rsidRPr="001A4CDD" w:rsidRDefault="00327047" w:rsidP="00A12328">
            <w:pPr>
              <w:pStyle w:val="TableText0"/>
              <w:jc w:val="center"/>
            </w:pPr>
          </w:p>
        </w:tc>
        <w:tc>
          <w:tcPr>
            <w:tcW w:w="1367" w:type="dxa"/>
            <w:tcBorders>
              <w:bottom w:val="nil"/>
            </w:tcBorders>
          </w:tcPr>
          <w:p w14:paraId="3B400708" w14:textId="77777777" w:rsidR="00327047" w:rsidRPr="001A4CDD" w:rsidRDefault="00327047" w:rsidP="00A12328">
            <w:pPr>
              <w:pStyle w:val="TableText0"/>
              <w:jc w:val="center"/>
            </w:pPr>
          </w:p>
        </w:tc>
      </w:tr>
      <w:tr w:rsidR="00D300EB" w:rsidRPr="001A4CDD" w14:paraId="73A5DFE7" w14:textId="77777777" w:rsidTr="00327047">
        <w:tc>
          <w:tcPr>
            <w:tcW w:w="2830" w:type="dxa"/>
            <w:tcBorders>
              <w:top w:val="nil"/>
              <w:bottom w:val="nil"/>
            </w:tcBorders>
            <w:vAlign w:val="top"/>
          </w:tcPr>
          <w:p w14:paraId="05FE28C6" w14:textId="77777777" w:rsidR="00D300EB" w:rsidRPr="001A4CDD" w:rsidRDefault="00D300EB" w:rsidP="00A12328">
            <w:pPr>
              <w:pStyle w:val="TableText0"/>
              <w:ind w:left="170"/>
            </w:pPr>
            <w:r w:rsidRPr="001A4CDD">
              <w:t>Number (%) with event</w:t>
            </w:r>
          </w:p>
        </w:tc>
        <w:tc>
          <w:tcPr>
            <w:tcW w:w="1701" w:type="dxa"/>
            <w:tcBorders>
              <w:top w:val="nil"/>
              <w:bottom w:val="nil"/>
            </w:tcBorders>
            <w:vAlign w:val="top"/>
          </w:tcPr>
          <w:p w14:paraId="026EE11E" w14:textId="77777777" w:rsidR="00D300EB" w:rsidRPr="001A4CDD" w:rsidRDefault="00D300EB" w:rsidP="00A12328">
            <w:pPr>
              <w:pStyle w:val="TableText0"/>
              <w:jc w:val="center"/>
            </w:pPr>
            <w:r w:rsidRPr="001A4CDD">
              <w:t>63 (44.1)</w:t>
            </w:r>
          </w:p>
        </w:tc>
        <w:tc>
          <w:tcPr>
            <w:tcW w:w="1843" w:type="dxa"/>
            <w:tcBorders>
              <w:top w:val="nil"/>
              <w:bottom w:val="nil"/>
            </w:tcBorders>
            <w:vAlign w:val="top"/>
          </w:tcPr>
          <w:p w14:paraId="72BEDD50" w14:textId="77777777" w:rsidR="00D300EB" w:rsidRPr="001A4CDD" w:rsidRDefault="00D300EB" w:rsidP="00A12328">
            <w:pPr>
              <w:pStyle w:val="TableText0"/>
              <w:jc w:val="center"/>
            </w:pPr>
            <w:r w:rsidRPr="001A4CDD">
              <w:t>66 (90.4)</w:t>
            </w:r>
          </w:p>
        </w:tc>
        <w:tc>
          <w:tcPr>
            <w:tcW w:w="1276" w:type="dxa"/>
            <w:tcBorders>
              <w:top w:val="nil"/>
              <w:bottom w:val="nil"/>
            </w:tcBorders>
          </w:tcPr>
          <w:p w14:paraId="1F3D46B8" w14:textId="77777777" w:rsidR="00D300EB" w:rsidRPr="001A4CDD" w:rsidRDefault="00D300EB" w:rsidP="00A12328">
            <w:pPr>
              <w:pStyle w:val="TableText0"/>
              <w:jc w:val="center"/>
            </w:pPr>
          </w:p>
        </w:tc>
        <w:tc>
          <w:tcPr>
            <w:tcW w:w="1367" w:type="dxa"/>
            <w:tcBorders>
              <w:top w:val="nil"/>
              <w:bottom w:val="nil"/>
            </w:tcBorders>
          </w:tcPr>
          <w:p w14:paraId="0CCEC69B" w14:textId="48C7F87D" w:rsidR="00D300EB" w:rsidRPr="00D300EB" w:rsidRDefault="00D300EB" w:rsidP="00A12328">
            <w:pPr>
              <w:pStyle w:val="TableText0"/>
              <w:jc w:val="center"/>
              <w:rPr>
                <w:b/>
              </w:rPr>
            </w:pPr>
            <w:r w:rsidRPr="00D300EB">
              <w:rPr>
                <w:b/>
              </w:rPr>
              <w:t>0.21 (0.14, 0.32)</w:t>
            </w:r>
          </w:p>
        </w:tc>
      </w:tr>
      <w:tr w:rsidR="00D300EB" w:rsidRPr="001A4CDD" w14:paraId="0D1ECE9D" w14:textId="77777777" w:rsidTr="00327047">
        <w:tc>
          <w:tcPr>
            <w:tcW w:w="2830" w:type="dxa"/>
            <w:tcBorders>
              <w:top w:val="nil"/>
              <w:bottom w:val="single" w:sz="4" w:space="0" w:color="auto"/>
            </w:tcBorders>
            <w:vAlign w:val="top"/>
          </w:tcPr>
          <w:p w14:paraId="3D8B9894" w14:textId="77777777" w:rsidR="00D300EB" w:rsidRPr="001A4CDD" w:rsidRDefault="00D300EB" w:rsidP="00A12328">
            <w:pPr>
              <w:pStyle w:val="TableText0"/>
              <w:ind w:left="170"/>
            </w:pPr>
            <w:r w:rsidRPr="001A4CDD">
              <w:t>Median, months [95%CI]</w:t>
            </w:r>
          </w:p>
        </w:tc>
        <w:tc>
          <w:tcPr>
            <w:tcW w:w="1701" w:type="dxa"/>
            <w:tcBorders>
              <w:top w:val="nil"/>
              <w:bottom w:val="single" w:sz="4" w:space="0" w:color="auto"/>
            </w:tcBorders>
          </w:tcPr>
          <w:p w14:paraId="2F6942C1" w14:textId="77777777" w:rsidR="00D300EB" w:rsidRPr="001A4CDD" w:rsidRDefault="00D300EB" w:rsidP="00A12328">
            <w:pPr>
              <w:pStyle w:val="TableText0"/>
              <w:jc w:val="center"/>
            </w:pPr>
            <w:r w:rsidRPr="001A4CDD">
              <w:t>40.28 [32.72, NC]</w:t>
            </w:r>
          </w:p>
        </w:tc>
        <w:tc>
          <w:tcPr>
            <w:tcW w:w="1843" w:type="dxa"/>
            <w:tcBorders>
              <w:top w:val="nil"/>
              <w:bottom w:val="single" w:sz="4" w:space="0" w:color="auto"/>
            </w:tcBorders>
          </w:tcPr>
          <w:p w14:paraId="7432A98C" w14:textId="77777777" w:rsidR="00D300EB" w:rsidRPr="001A4CDD" w:rsidRDefault="00D300EB" w:rsidP="00A12328">
            <w:pPr>
              <w:pStyle w:val="TableText0"/>
              <w:jc w:val="center"/>
            </w:pPr>
            <w:r w:rsidRPr="001A4CDD">
              <w:t>8.31 [6.14, 11.10]</w:t>
            </w:r>
          </w:p>
        </w:tc>
        <w:tc>
          <w:tcPr>
            <w:tcW w:w="1276" w:type="dxa"/>
            <w:tcBorders>
              <w:top w:val="nil"/>
              <w:bottom w:val="single" w:sz="4" w:space="0" w:color="auto"/>
            </w:tcBorders>
          </w:tcPr>
          <w:p w14:paraId="569F4BFB" w14:textId="77777777" w:rsidR="00D300EB" w:rsidRPr="001A4CDD" w:rsidRDefault="00D300EB" w:rsidP="00A12328">
            <w:pPr>
              <w:pStyle w:val="TableText0"/>
              <w:jc w:val="center"/>
            </w:pPr>
            <w:r w:rsidRPr="001A4CDD">
              <w:t>31.97</w:t>
            </w:r>
          </w:p>
        </w:tc>
        <w:tc>
          <w:tcPr>
            <w:tcW w:w="1367" w:type="dxa"/>
            <w:tcBorders>
              <w:top w:val="nil"/>
              <w:bottom w:val="single" w:sz="4" w:space="0" w:color="auto"/>
            </w:tcBorders>
          </w:tcPr>
          <w:p w14:paraId="3832BA38" w14:textId="6A00E3C5" w:rsidR="00D300EB" w:rsidRPr="00BC6586" w:rsidRDefault="00D300EB" w:rsidP="00A12328">
            <w:pPr>
              <w:pStyle w:val="TableText0"/>
              <w:jc w:val="center"/>
              <w:rPr>
                <w:b/>
                <w:bCs w:val="0"/>
              </w:rPr>
            </w:pPr>
            <w:r w:rsidRPr="00BC6586">
              <w:rPr>
                <w:b/>
                <w:bCs w:val="0"/>
              </w:rPr>
              <w:t>p&lt;0.001</w:t>
            </w:r>
          </w:p>
        </w:tc>
      </w:tr>
      <w:tr w:rsidR="00D300EB" w:rsidRPr="001A4CDD" w14:paraId="00B2C999" w14:textId="77777777" w:rsidTr="00327047">
        <w:tc>
          <w:tcPr>
            <w:tcW w:w="2830" w:type="dxa"/>
            <w:tcBorders>
              <w:bottom w:val="nil"/>
              <w:right w:val="single" w:sz="4" w:space="0" w:color="auto"/>
            </w:tcBorders>
            <w:vAlign w:val="top"/>
          </w:tcPr>
          <w:p w14:paraId="71E90F76" w14:textId="77777777" w:rsidR="00D300EB" w:rsidRPr="001A4CDD" w:rsidRDefault="00D300EB" w:rsidP="00A12328">
            <w:pPr>
              <w:pStyle w:val="TableText0"/>
              <w:rPr>
                <w:b/>
              </w:rPr>
            </w:pPr>
            <w:r w:rsidRPr="001A4CDD">
              <w:rPr>
                <w:b/>
              </w:rPr>
              <w:t>TFST</w:t>
            </w:r>
          </w:p>
        </w:tc>
        <w:tc>
          <w:tcPr>
            <w:tcW w:w="1701" w:type="dxa"/>
            <w:tcBorders>
              <w:left w:val="single" w:sz="4" w:space="0" w:color="auto"/>
              <w:bottom w:val="nil"/>
              <w:right w:val="single" w:sz="4" w:space="0" w:color="auto"/>
            </w:tcBorders>
          </w:tcPr>
          <w:p w14:paraId="15030513" w14:textId="77777777" w:rsidR="00D300EB" w:rsidRPr="001A4CDD" w:rsidRDefault="00D300EB" w:rsidP="00A12328">
            <w:pPr>
              <w:pStyle w:val="TableText0"/>
              <w:jc w:val="center"/>
            </w:pPr>
          </w:p>
        </w:tc>
        <w:tc>
          <w:tcPr>
            <w:tcW w:w="1843" w:type="dxa"/>
            <w:tcBorders>
              <w:left w:val="single" w:sz="4" w:space="0" w:color="auto"/>
              <w:bottom w:val="nil"/>
              <w:right w:val="single" w:sz="4" w:space="0" w:color="auto"/>
            </w:tcBorders>
          </w:tcPr>
          <w:p w14:paraId="2FE67043" w14:textId="77777777" w:rsidR="00D300EB" w:rsidRPr="001A4CDD" w:rsidRDefault="00D300EB" w:rsidP="00A12328">
            <w:pPr>
              <w:pStyle w:val="TableText0"/>
              <w:jc w:val="center"/>
            </w:pPr>
          </w:p>
        </w:tc>
        <w:tc>
          <w:tcPr>
            <w:tcW w:w="1276" w:type="dxa"/>
            <w:tcBorders>
              <w:left w:val="single" w:sz="4" w:space="0" w:color="auto"/>
              <w:bottom w:val="nil"/>
              <w:right w:val="single" w:sz="4" w:space="0" w:color="auto"/>
            </w:tcBorders>
          </w:tcPr>
          <w:p w14:paraId="366D8352" w14:textId="77777777" w:rsidR="00D300EB" w:rsidRPr="001A4CDD" w:rsidRDefault="00D300EB" w:rsidP="00A12328">
            <w:pPr>
              <w:pStyle w:val="TableText0"/>
              <w:jc w:val="center"/>
            </w:pPr>
          </w:p>
        </w:tc>
        <w:tc>
          <w:tcPr>
            <w:tcW w:w="1367" w:type="dxa"/>
            <w:tcBorders>
              <w:left w:val="single" w:sz="4" w:space="0" w:color="auto"/>
              <w:bottom w:val="nil"/>
            </w:tcBorders>
          </w:tcPr>
          <w:p w14:paraId="2253B77C" w14:textId="77777777" w:rsidR="00D300EB" w:rsidRPr="001A4CDD" w:rsidRDefault="00D300EB" w:rsidP="00A12328">
            <w:pPr>
              <w:pStyle w:val="TableText0"/>
              <w:jc w:val="center"/>
            </w:pPr>
          </w:p>
        </w:tc>
      </w:tr>
      <w:tr w:rsidR="00D300EB" w:rsidRPr="001A4CDD" w14:paraId="42F29BD0" w14:textId="77777777" w:rsidTr="00327047">
        <w:tc>
          <w:tcPr>
            <w:tcW w:w="2830" w:type="dxa"/>
            <w:tcBorders>
              <w:top w:val="nil"/>
              <w:bottom w:val="nil"/>
              <w:right w:val="single" w:sz="4" w:space="0" w:color="auto"/>
            </w:tcBorders>
            <w:vAlign w:val="top"/>
          </w:tcPr>
          <w:p w14:paraId="65EC92E0" w14:textId="77777777" w:rsidR="00D300EB" w:rsidRPr="001A4CDD" w:rsidRDefault="00D300EB" w:rsidP="00A12328">
            <w:pPr>
              <w:pStyle w:val="TableText0"/>
              <w:ind w:left="170"/>
            </w:pPr>
            <w:r w:rsidRPr="001A4CDD">
              <w:t>Number (%) with event</w:t>
            </w:r>
          </w:p>
        </w:tc>
        <w:tc>
          <w:tcPr>
            <w:tcW w:w="1701" w:type="dxa"/>
            <w:tcBorders>
              <w:top w:val="nil"/>
              <w:left w:val="single" w:sz="4" w:space="0" w:color="auto"/>
              <w:bottom w:val="nil"/>
              <w:right w:val="single" w:sz="4" w:space="0" w:color="auto"/>
            </w:tcBorders>
          </w:tcPr>
          <w:p w14:paraId="3FCB803B" w14:textId="77777777" w:rsidR="00D300EB" w:rsidRPr="001A4CDD" w:rsidRDefault="00D300EB" w:rsidP="00A12328">
            <w:pPr>
              <w:pStyle w:val="TableText0"/>
              <w:jc w:val="center"/>
            </w:pPr>
            <w:r w:rsidRPr="001A4CDD">
              <w:t>53 (37.1)</w:t>
            </w:r>
          </w:p>
        </w:tc>
        <w:tc>
          <w:tcPr>
            <w:tcW w:w="1843" w:type="dxa"/>
            <w:tcBorders>
              <w:top w:val="nil"/>
              <w:left w:val="single" w:sz="4" w:space="0" w:color="auto"/>
              <w:bottom w:val="nil"/>
              <w:right w:val="single" w:sz="4" w:space="0" w:color="auto"/>
            </w:tcBorders>
          </w:tcPr>
          <w:p w14:paraId="7D03291A" w14:textId="77777777" w:rsidR="00D300EB" w:rsidRPr="001A4CDD" w:rsidRDefault="00D300EB" w:rsidP="00A12328">
            <w:pPr>
              <w:pStyle w:val="TableText0"/>
              <w:jc w:val="center"/>
            </w:pPr>
            <w:r w:rsidRPr="001A4CDD">
              <w:t>61 (83.6)</w:t>
            </w:r>
          </w:p>
        </w:tc>
        <w:tc>
          <w:tcPr>
            <w:tcW w:w="1276" w:type="dxa"/>
            <w:tcBorders>
              <w:top w:val="nil"/>
              <w:left w:val="single" w:sz="4" w:space="0" w:color="auto"/>
              <w:bottom w:val="nil"/>
              <w:right w:val="single" w:sz="4" w:space="0" w:color="auto"/>
            </w:tcBorders>
          </w:tcPr>
          <w:p w14:paraId="7D4CCA32" w14:textId="77777777" w:rsidR="00D300EB" w:rsidRPr="001A4CDD" w:rsidRDefault="00D300EB" w:rsidP="00A12328">
            <w:pPr>
              <w:pStyle w:val="TableText0"/>
              <w:jc w:val="center"/>
            </w:pPr>
          </w:p>
        </w:tc>
        <w:tc>
          <w:tcPr>
            <w:tcW w:w="1367" w:type="dxa"/>
            <w:tcBorders>
              <w:top w:val="nil"/>
              <w:left w:val="single" w:sz="4" w:space="0" w:color="auto"/>
              <w:bottom w:val="nil"/>
            </w:tcBorders>
          </w:tcPr>
          <w:p w14:paraId="05F5D4D5" w14:textId="4AE97D52" w:rsidR="00D300EB" w:rsidRPr="00D300EB" w:rsidRDefault="00D300EB" w:rsidP="00A12328">
            <w:pPr>
              <w:pStyle w:val="TableText0"/>
              <w:jc w:val="center"/>
              <w:rPr>
                <w:b/>
              </w:rPr>
            </w:pPr>
            <w:r w:rsidRPr="00D300EB">
              <w:rPr>
                <w:b/>
              </w:rPr>
              <w:t>0.13 (0.08, 0.21)</w:t>
            </w:r>
          </w:p>
        </w:tc>
      </w:tr>
      <w:tr w:rsidR="00D300EB" w:rsidRPr="001A4CDD" w14:paraId="4B51610F" w14:textId="77777777" w:rsidTr="00327047">
        <w:tc>
          <w:tcPr>
            <w:tcW w:w="2830" w:type="dxa"/>
            <w:tcBorders>
              <w:top w:val="nil"/>
              <w:bottom w:val="single" w:sz="4" w:space="0" w:color="auto"/>
              <w:right w:val="single" w:sz="4" w:space="0" w:color="auto"/>
            </w:tcBorders>
            <w:vAlign w:val="top"/>
          </w:tcPr>
          <w:p w14:paraId="70504962" w14:textId="77777777" w:rsidR="00D300EB" w:rsidRPr="001A4CDD" w:rsidRDefault="00D300EB" w:rsidP="00A12328">
            <w:pPr>
              <w:pStyle w:val="TableText0"/>
              <w:ind w:left="170"/>
            </w:pPr>
            <w:r w:rsidRPr="001A4CDD">
              <w:t>Median, months [95%CI]</w:t>
            </w:r>
          </w:p>
        </w:tc>
        <w:tc>
          <w:tcPr>
            <w:tcW w:w="1701" w:type="dxa"/>
            <w:tcBorders>
              <w:top w:val="nil"/>
              <w:left w:val="single" w:sz="4" w:space="0" w:color="auto"/>
              <w:bottom w:val="single" w:sz="4" w:space="0" w:color="auto"/>
              <w:right w:val="single" w:sz="4" w:space="0" w:color="auto"/>
            </w:tcBorders>
          </w:tcPr>
          <w:p w14:paraId="531C381A" w14:textId="77777777" w:rsidR="00D300EB" w:rsidRPr="001A4CDD" w:rsidRDefault="00D300EB" w:rsidP="00A12328">
            <w:pPr>
              <w:pStyle w:val="TableText0"/>
              <w:jc w:val="center"/>
            </w:pPr>
            <w:r w:rsidRPr="001A4CDD">
              <w:t>43.83 [38.87, NC]</w:t>
            </w:r>
          </w:p>
        </w:tc>
        <w:tc>
          <w:tcPr>
            <w:tcW w:w="1843" w:type="dxa"/>
            <w:tcBorders>
              <w:top w:val="nil"/>
              <w:left w:val="single" w:sz="4" w:space="0" w:color="auto"/>
              <w:bottom w:val="single" w:sz="4" w:space="0" w:color="auto"/>
              <w:right w:val="single" w:sz="4" w:space="0" w:color="auto"/>
            </w:tcBorders>
          </w:tcPr>
          <w:p w14:paraId="7CA10EE4" w14:textId="77777777" w:rsidR="00D300EB" w:rsidRPr="001A4CDD" w:rsidRDefault="00D300EB" w:rsidP="00A12328">
            <w:pPr>
              <w:pStyle w:val="TableText0"/>
              <w:jc w:val="center"/>
            </w:pPr>
            <w:r w:rsidRPr="001A4CDD">
              <w:t>9.46 [6.60, 11.53]</w:t>
            </w:r>
          </w:p>
        </w:tc>
        <w:tc>
          <w:tcPr>
            <w:tcW w:w="1276" w:type="dxa"/>
            <w:tcBorders>
              <w:top w:val="nil"/>
              <w:left w:val="single" w:sz="4" w:space="0" w:color="auto"/>
              <w:bottom w:val="single" w:sz="4" w:space="0" w:color="auto"/>
              <w:right w:val="single" w:sz="4" w:space="0" w:color="auto"/>
            </w:tcBorders>
          </w:tcPr>
          <w:p w14:paraId="49C52BAD" w14:textId="77777777" w:rsidR="00D300EB" w:rsidRPr="001A4CDD" w:rsidRDefault="00D300EB" w:rsidP="00A12328">
            <w:pPr>
              <w:pStyle w:val="TableText0"/>
              <w:jc w:val="center"/>
            </w:pPr>
            <w:r w:rsidRPr="001A4CDD">
              <w:t>34.37</w:t>
            </w:r>
          </w:p>
        </w:tc>
        <w:tc>
          <w:tcPr>
            <w:tcW w:w="1367" w:type="dxa"/>
            <w:tcBorders>
              <w:top w:val="nil"/>
              <w:left w:val="single" w:sz="4" w:space="0" w:color="auto"/>
              <w:bottom w:val="single" w:sz="4" w:space="0" w:color="auto"/>
            </w:tcBorders>
          </w:tcPr>
          <w:p w14:paraId="2C296696" w14:textId="01651D70" w:rsidR="00D300EB" w:rsidRPr="00BC6586" w:rsidRDefault="00D300EB" w:rsidP="00A12328">
            <w:pPr>
              <w:pStyle w:val="TableText0"/>
              <w:jc w:val="center"/>
              <w:rPr>
                <w:b/>
                <w:bCs w:val="0"/>
              </w:rPr>
            </w:pPr>
            <w:r w:rsidRPr="00BC6586">
              <w:rPr>
                <w:b/>
                <w:bCs w:val="0"/>
              </w:rPr>
              <w:t>p&lt;0.001</w:t>
            </w:r>
          </w:p>
        </w:tc>
      </w:tr>
      <w:tr w:rsidR="00D300EB" w:rsidRPr="001A4CDD" w14:paraId="4C72EFEC" w14:textId="77777777" w:rsidTr="00327047">
        <w:tc>
          <w:tcPr>
            <w:tcW w:w="2830" w:type="dxa"/>
            <w:tcBorders>
              <w:top w:val="single" w:sz="4" w:space="0" w:color="auto"/>
              <w:bottom w:val="nil"/>
              <w:right w:val="single" w:sz="4" w:space="0" w:color="auto"/>
            </w:tcBorders>
            <w:vAlign w:val="top"/>
          </w:tcPr>
          <w:p w14:paraId="0C054AC1" w14:textId="77777777" w:rsidR="00D300EB" w:rsidRPr="001A4CDD" w:rsidRDefault="00D300EB" w:rsidP="00A12328">
            <w:pPr>
              <w:pStyle w:val="TableText0"/>
              <w:rPr>
                <w:b/>
              </w:rPr>
            </w:pPr>
            <w:r w:rsidRPr="001A4CDD">
              <w:rPr>
                <w:b/>
              </w:rPr>
              <w:t>TSST</w:t>
            </w:r>
          </w:p>
        </w:tc>
        <w:tc>
          <w:tcPr>
            <w:tcW w:w="1701" w:type="dxa"/>
            <w:tcBorders>
              <w:top w:val="single" w:sz="4" w:space="0" w:color="auto"/>
              <w:left w:val="single" w:sz="4" w:space="0" w:color="auto"/>
              <w:bottom w:val="nil"/>
              <w:right w:val="single" w:sz="4" w:space="0" w:color="auto"/>
            </w:tcBorders>
          </w:tcPr>
          <w:p w14:paraId="42117A79" w14:textId="77777777" w:rsidR="00D300EB" w:rsidRPr="001A4CDD" w:rsidRDefault="00D300EB" w:rsidP="00A12328">
            <w:pPr>
              <w:pStyle w:val="TableText0"/>
              <w:jc w:val="center"/>
            </w:pPr>
          </w:p>
        </w:tc>
        <w:tc>
          <w:tcPr>
            <w:tcW w:w="1843" w:type="dxa"/>
            <w:tcBorders>
              <w:top w:val="single" w:sz="4" w:space="0" w:color="auto"/>
              <w:left w:val="single" w:sz="4" w:space="0" w:color="auto"/>
              <w:bottom w:val="nil"/>
              <w:right w:val="single" w:sz="4" w:space="0" w:color="auto"/>
            </w:tcBorders>
          </w:tcPr>
          <w:p w14:paraId="33943BD0" w14:textId="77777777" w:rsidR="00D300EB" w:rsidRPr="001A4CDD" w:rsidRDefault="00D300EB" w:rsidP="00A12328">
            <w:pPr>
              <w:pStyle w:val="TableText0"/>
              <w:jc w:val="center"/>
            </w:pPr>
          </w:p>
        </w:tc>
        <w:tc>
          <w:tcPr>
            <w:tcW w:w="1276" w:type="dxa"/>
            <w:tcBorders>
              <w:top w:val="single" w:sz="4" w:space="0" w:color="auto"/>
              <w:left w:val="single" w:sz="4" w:space="0" w:color="auto"/>
              <w:bottom w:val="nil"/>
              <w:right w:val="single" w:sz="4" w:space="0" w:color="auto"/>
            </w:tcBorders>
          </w:tcPr>
          <w:p w14:paraId="58C77BD1" w14:textId="77777777" w:rsidR="00D300EB" w:rsidRPr="001A4CDD" w:rsidRDefault="00D300EB" w:rsidP="00A12328">
            <w:pPr>
              <w:pStyle w:val="TableText0"/>
              <w:jc w:val="center"/>
            </w:pPr>
          </w:p>
        </w:tc>
        <w:tc>
          <w:tcPr>
            <w:tcW w:w="1367" w:type="dxa"/>
            <w:tcBorders>
              <w:top w:val="single" w:sz="4" w:space="0" w:color="auto"/>
              <w:left w:val="single" w:sz="4" w:space="0" w:color="auto"/>
              <w:bottom w:val="nil"/>
            </w:tcBorders>
          </w:tcPr>
          <w:p w14:paraId="77E5F849" w14:textId="77777777" w:rsidR="00D300EB" w:rsidRPr="001A4CDD" w:rsidRDefault="00D300EB" w:rsidP="00A12328">
            <w:pPr>
              <w:pStyle w:val="TableText0"/>
              <w:jc w:val="center"/>
            </w:pPr>
          </w:p>
        </w:tc>
      </w:tr>
      <w:tr w:rsidR="00D300EB" w:rsidRPr="001A4CDD" w14:paraId="71065F97" w14:textId="77777777" w:rsidTr="00327047">
        <w:tc>
          <w:tcPr>
            <w:tcW w:w="2830" w:type="dxa"/>
            <w:tcBorders>
              <w:top w:val="nil"/>
              <w:bottom w:val="nil"/>
              <w:right w:val="single" w:sz="4" w:space="0" w:color="auto"/>
            </w:tcBorders>
            <w:vAlign w:val="top"/>
          </w:tcPr>
          <w:p w14:paraId="706AFDAF" w14:textId="77777777" w:rsidR="00D300EB" w:rsidRPr="001A4CDD" w:rsidRDefault="00D300EB" w:rsidP="00A12328">
            <w:pPr>
              <w:pStyle w:val="TableText0"/>
              <w:ind w:left="170"/>
            </w:pPr>
            <w:r w:rsidRPr="001A4CDD">
              <w:t>Number (%) with event</w:t>
            </w:r>
          </w:p>
        </w:tc>
        <w:tc>
          <w:tcPr>
            <w:tcW w:w="1701" w:type="dxa"/>
            <w:tcBorders>
              <w:top w:val="nil"/>
              <w:left w:val="single" w:sz="4" w:space="0" w:color="auto"/>
              <w:bottom w:val="nil"/>
              <w:right w:val="single" w:sz="4" w:space="0" w:color="auto"/>
            </w:tcBorders>
          </w:tcPr>
          <w:p w14:paraId="53931151" w14:textId="77777777" w:rsidR="00D300EB" w:rsidRPr="001A4CDD" w:rsidRDefault="00D300EB" w:rsidP="00A12328">
            <w:pPr>
              <w:pStyle w:val="TableText0"/>
              <w:jc w:val="center"/>
            </w:pPr>
            <w:r w:rsidRPr="001A4CDD">
              <w:t>32 (22.4)</w:t>
            </w:r>
          </w:p>
        </w:tc>
        <w:tc>
          <w:tcPr>
            <w:tcW w:w="1843" w:type="dxa"/>
            <w:tcBorders>
              <w:top w:val="nil"/>
              <w:left w:val="single" w:sz="4" w:space="0" w:color="auto"/>
              <w:bottom w:val="nil"/>
              <w:right w:val="single" w:sz="4" w:space="0" w:color="auto"/>
            </w:tcBorders>
          </w:tcPr>
          <w:p w14:paraId="4C0C3C3F" w14:textId="77777777" w:rsidR="00D300EB" w:rsidRPr="001A4CDD" w:rsidRDefault="00D300EB" w:rsidP="00A12328">
            <w:pPr>
              <w:pStyle w:val="TableText0"/>
              <w:jc w:val="center"/>
            </w:pPr>
            <w:r w:rsidRPr="001A4CDD">
              <w:t>24 (32.9)</w:t>
            </w:r>
          </w:p>
        </w:tc>
        <w:tc>
          <w:tcPr>
            <w:tcW w:w="1276" w:type="dxa"/>
            <w:tcBorders>
              <w:top w:val="nil"/>
              <w:left w:val="single" w:sz="4" w:space="0" w:color="auto"/>
              <w:bottom w:val="nil"/>
              <w:right w:val="single" w:sz="4" w:space="0" w:color="auto"/>
            </w:tcBorders>
          </w:tcPr>
          <w:p w14:paraId="0C702557" w14:textId="77777777" w:rsidR="00D300EB" w:rsidRPr="001A4CDD" w:rsidRDefault="00D300EB" w:rsidP="00A12328">
            <w:pPr>
              <w:pStyle w:val="TableText0"/>
              <w:jc w:val="center"/>
            </w:pPr>
          </w:p>
        </w:tc>
        <w:tc>
          <w:tcPr>
            <w:tcW w:w="1367" w:type="dxa"/>
            <w:tcBorders>
              <w:top w:val="nil"/>
              <w:left w:val="single" w:sz="4" w:space="0" w:color="auto"/>
              <w:bottom w:val="nil"/>
            </w:tcBorders>
          </w:tcPr>
          <w:p w14:paraId="45553606" w14:textId="56604C1E" w:rsidR="00D300EB" w:rsidRPr="00D300EB" w:rsidRDefault="00D300EB" w:rsidP="00A12328">
            <w:pPr>
              <w:pStyle w:val="TableText0"/>
              <w:jc w:val="center"/>
              <w:rPr>
                <w:b/>
              </w:rPr>
            </w:pPr>
            <w:r w:rsidRPr="00D300EB">
              <w:rPr>
                <w:b/>
              </w:rPr>
              <w:t>0.51 (0.28, 0.91)</w:t>
            </w:r>
          </w:p>
        </w:tc>
      </w:tr>
      <w:tr w:rsidR="00D300EB" w:rsidRPr="001A4CDD" w14:paraId="55C3E158" w14:textId="77777777" w:rsidTr="00327047">
        <w:tc>
          <w:tcPr>
            <w:tcW w:w="2830" w:type="dxa"/>
            <w:tcBorders>
              <w:top w:val="nil"/>
              <w:bottom w:val="single" w:sz="4" w:space="0" w:color="auto"/>
              <w:right w:val="single" w:sz="4" w:space="0" w:color="auto"/>
            </w:tcBorders>
            <w:vAlign w:val="top"/>
          </w:tcPr>
          <w:p w14:paraId="1C8E14C6" w14:textId="77777777" w:rsidR="00D300EB" w:rsidRPr="001A4CDD" w:rsidRDefault="00D300EB" w:rsidP="00A12328">
            <w:pPr>
              <w:pStyle w:val="TableText0"/>
              <w:ind w:left="170"/>
            </w:pPr>
            <w:r w:rsidRPr="001A4CDD">
              <w:t>Median, months [95%CI]</w:t>
            </w:r>
          </w:p>
        </w:tc>
        <w:tc>
          <w:tcPr>
            <w:tcW w:w="1701" w:type="dxa"/>
            <w:tcBorders>
              <w:top w:val="nil"/>
              <w:left w:val="single" w:sz="4" w:space="0" w:color="auto"/>
              <w:bottom w:val="single" w:sz="4" w:space="0" w:color="auto"/>
              <w:right w:val="single" w:sz="4" w:space="0" w:color="auto"/>
            </w:tcBorders>
          </w:tcPr>
          <w:p w14:paraId="11BFBF95" w14:textId="77777777" w:rsidR="00D300EB" w:rsidRPr="001A4CDD" w:rsidRDefault="00D300EB" w:rsidP="00A12328">
            <w:pPr>
              <w:pStyle w:val="TableText0"/>
              <w:jc w:val="center"/>
            </w:pPr>
            <w:r w:rsidRPr="001A4CDD">
              <w:t>NC [44.42, NC]</w:t>
            </w:r>
          </w:p>
        </w:tc>
        <w:tc>
          <w:tcPr>
            <w:tcW w:w="1843" w:type="dxa"/>
            <w:tcBorders>
              <w:top w:val="nil"/>
              <w:left w:val="single" w:sz="4" w:space="0" w:color="auto"/>
              <w:bottom w:val="single" w:sz="4" w:space="0" w:color="auto"/>
              <w:right w:val="single" w:sz="4" w:space="0" w:color="auto"/>
            </w:tcBorders>
          </w:tcPr>
          <w:p w14:paraId="04256DD5" w14:textId="77777777" w:rsidR="00D300EB" w:rsidRPr="001A4CDD" w:rsidRDefault="00D300EB" w:rsidP="00A12328">
            <w:pPr>
              <w:pStyle w:val="TableText0"/>
              <w:jc w:val="center"/>
            </w:pPr>
            <w:r w:rsidRPr="001A4CDD">
              <w:t>47.38 [34.14, NC]</w:t>
            </w:r>
          </w:p>
        </w:tc>
        <w:tc>
          <w:tcPr>
            <w:tcW w:w="1276" w:type="dxa"/>
            <w:tcBorders>
              <w:top w:val="nil"/>
              <w:left w:val="single" w:sz="4" w:space="0" w:color="auto"/>
              <w:bottom w:val="single" w:sz="4" w:space="0" w:color="auto"/>
              <w:right w:val="single" w:sz="4" w:space="0" w:color="auto"/>
            </w:tcBorders>
          </w:tcPr>
          <w:p w14:paraId="2AF3286C" w14:textId="77777777" w:rsidR="00D300EB" w:rsidRPr="001A4CDD" w:rsidRDefault="00D300EB" w:rsidP="00A12328">
            <w:pPr>
              <w:pStyle w:val="TableText0"/>
              <w:jc w:val="center"/>
            </w:pPr>
            <w:r w:rsidRPr="001A4CDD">
              <w:t>NC</w:t>
            </w:r>
          </w:p>
        </w:tc>
        <w:tc>
          <w:tcPr>
            <w:tcW w:w="1367" w:type="dxa"/>
            <w:tcBorders>
              <w:top w:val="nil"/>
              <w:left w:val="single" w:sz="4" w:space="0" w:color="auto"/>
              <w:bottom w:val="single" w:sz="4" w:space="0" w:color="auto"/>
            </w:tcBorders>
          </w:tcPr>
          <w:p w14:paraId="4D6278DF" w14:textId="7933B750" w:rsidR="00D300EB" w:rsidRPr="00BC6586" w:rsidRDefault="00D300EB" w:rsidP="00A12328">
            <w:pPr>
              <w:pStyle w:val="TableText0"/>
              <w:jc w:val="center"/>
              <w:rPr>
                <w:b/>
                <w:bCs w:val="0"/>
              </w:rPr>
            </w:pPr>
            <w:r w:rsidRPr="00BC6586">
              <w:rPr>
                <w:b/>
                <w:bCs w:val="0"/>
              </w:rPr>
              <w:t>p&lt;0.001</w:t>
            </w:r>
          </w:p>
        </w:tc>
      </w:tr>
      <w:tr w:rsidR="00D300EB" w:rsidRPr="001A4CDD" w14:paraId="7D83C2F3" w14:textId="77777777" w:rsidTr="00327047">
        <w:tc>
          <w:tcPr>
            <w:tcW w:w="2830" w:type="dxa"/>
            <w:tcBorders>
              <w:top w:val="single" w:sz="4" w:space="0" w:color="auto"/>
              <w:bottom w:val="nil"/>
            </w:tcBorders>
            <w:vAlign w:val="top"/>
          </w:tcPr>
          <w:p w14:paraId="56A8E11B" w14:textId="77777777" w:rsidR="00D300EB" w:rsidRPr="001A4CDD" w:rsidRDefault="00D300EB" w:rsidP="00A12328">
            <w:pPr>
              <w:pStyle w:val="TableText0"/>
              <w:rPr>
                <w:b/>
              </w:rPr>
            </w:pPr>
            <w:r w:rsidRPr="001A4CDD">
              <w:rPr>
                <w:b/>
              </w:rPr>
              <w:t>Second PFS</w:t>
            </w:r>
          </w:p>
        </w:tc>
        <w:tc>
          <w:tcPr>
            <w:tcW w:w="1701" w:type="dxa"/>
            <w:tcBorders>
              <w:top w:val="single" w:sz="4" w:space="0" w:color="auto"/>
              <w:bottom w:val="nil"/>
            </w:tcBorders>
          </w:tcPr>
          <w:p w14:paraId="27D0B77B" w14:textId="77777777" w:rsidR="00D300EB" w:rsidRPr="001A4CDD" w:rsidRDefault="00D300EB" w:rsidP="00A12328">
            <w:pPr>
              <w:pStyle w:val="TableText0"/>
              <w:jc w:val="center"/>
            </w:pPr>
          </w:p>
        </w:tc>
        <w:tc>
          <w:tcPr>
            <w:tcW w:w="1843" w:type="dxa"/>
            <w:tcBorders>
              <w:top w:val="single" w:sz="4" w:space="0" w:color="auto"/>
              <w:bottom w:val="nil"/>
            </w:tcBorders>
          </w:tcPr>
          <w:p w14:paraId="0D1BA807" w14:textId="77777777" w:rsidR="00D300EB" w:rsidRPr="001A4CDD" w:rsidRDefault="00D300EB" w:rsidP="00A12328">
            <w:pPr>
              <w:pStyle w:val="TableText0"/>
              <w:jc w:val="center"/>
            </w:pPr>
          </w:p>
        </w:tc>
        <w:tc>
          <w:tcPr>
            <w:tcW w:w="1276" w:type="dxa"/>
            <w:tcBorders>
              <w:top w:val="single" w:sz="4" w:space="0" w:color="auto"/>
              <w:bottom w:val="nil"/>
            </w:tcBorders>
          </w:tcPr>
          <w:p w14:paraId="7909CCD0" w14:textId="77777777" w:rsidR="00D300EB" w:rsidRPr="001A4CDD" w:rsidRDefault="00D300EB" w:rsidP="00A12328">
            <w:pPr>
              <w:pStyle w:val="TableText0"/>
              <w:jc w:val="center"/>
            </w:pPr>
          </w:p>
        </w:tc>
        <w:tc>
          <w:tcPr>
            <w:tcW w:w="1367" w:type="dxa"/>
            <w:tcBorders>
              <w:top w:val="single" w:sz="4" w:space="0" w:color="auto"/>
              <w:bottom w:val="nil"/>
            </w:tcBorders>
          </w:tcPr>
          <w:p w14:paraId="08033137" w14:textId="77777777" w:rsidR="00D300EB" w:rsidRPr="001A4CDD" w:rsidRDefault="00D300EB" w:rsidP="00A12328">
            <w:pPr>
              <w:pStyle w:val="TableText0"/>
              <w:jc w:val="center"/>
            </w:pPr>
          </w:p>
        </w:tc>
      </w:tr>
      <w:tr w:rsidR="00D300EB" w:rsidRPr="001A4CDD" w14:paraId="0D5A498D" w14:textId="77777777" w:rsidTr="00327047">
        <w:tc>
          <w:tcPr>
            <w:tcW w:w="2830" w:type="dxa"/>
            <w:tcBorders>
              <w:top w:val="nil"/>
              <w:bottom w:val="nil"/>
            </w:tcBorders>
            <w:vAlign w:val="top"/>
          </w:tcPr>
          <w:p w14:paraId="42DAD86B" w14:textId="77777777" w:rsidR="00D300EB" w:rsidRPr="001A4CDD" w:rsidRDefault="00D300EB" w:rsidP="00A12328">
            <w:pPr>
              <w:pStyle w:val="TableText0"/>
              <w:ind w:left="170"/>
              <w:rPr>
                <w:b/>
              </w:rPr>
            </w:pPr>
            <w:r w:rsidRPr="001A4CDD">
              <w:t>Number (%) with event</w:t>
            </w:r>
          </w:p>
        </w:tc>
        <w:tc>
          <w:tcPr>
            <w:tcW w:w="1701" w:type="dxa"/>
            <w:tcBorders>
              <w:top w:val="nil"/>
              <w:bottom w:val="nil"/>
            </w:tcBorders>
          </w:tcPr>
          <w:p w14:paraId="60AD4953" w14:textId="77777777" w:rsidR="00D300EB" w:rsidRPr="001A4CDD" w:rsidRDefault="00D300EB" w:rsidP="00A12328">
            <w:pPr>
              <w:pStyle w:val="TableText0"/>
              <w:jc w:val="center"/>
            </w:pPr>
            <w:r w:rsidRPr="001A4CDD">
              <w:t>34 (23.8)</w:t>
            </w:r>
          </w:p>
        </w:tc>
        <w:tc>
          <w:tcPr>
            <w:tcW w:w="1843" w:type="dxa"/>
            <w:tcBorders>
              <w:top w:val="nil"/>
              <w:bottom w:val="nil"/>
            </w:tcBorders>
          </w:tcPr>
          <w:p w14:paraId="72E2E7CA" w14:textId="77777777" w:rsidR="00D300EB" w:rsidRPr="001A4CDD" w:rsidRDefault="00D300EB" w:rsidP="00A12328">
            <w:pPr>
              <w:pStyle w:val="TableText0"/>
              <w:jc w:val="center"/>
            </w:pPr>
            <w:r w:rsidRPr="001A4CDD">
              <w:t>24 (32.9)</w:t>
            </w:r>
          </w:p>
        </w:tc>
        <w:tc>
          <w:tcPr>
            <w:tcW w:w="1276" w:type="dxa"/>
            <w:tcBorders>
              <w:top w:val="nil"/>
              <w:bottom w:val="nil"/>
            </w:tcBorders>
          </w:tcPr>
          <w:p w14:paraId="05E32D24" w14:textId="77777777" w:rsidR="00D300EB" w:rsidRPr="001A4CDD" w:rsidRDefault="00D300EB" w:rsidP="00A12328">
            <w:pPr>
              <w:pStyle w:val="TableText0"/>
              <w:jc w:val="center"/>
            </w:pPr>
          </w:p>
        </w:tc>
        <w:tc>
          <w:tcPr>
            <w:tcW w:w="1367" w:type="dxa"/>
            <w:tcBorders>
              <w:top w:val="nil"/>
              <w:bottom w:val="nil"/>
            </w:tcBorders>
          </w:tcPr>
          <w:p w14:paraId="7747822F" w14:textId="2819761F" w:rsidR="00D300EB" w:rsidRPr="001A4CDD" w:rsidRDefault="00D300EB" w:rsidP="00A12328">
            <w:pPr>
              <w:pStyle w:val="TableText0"/>
              <w:jc w:val="center"/>
            </w:pPr>
            <w:r w:rsidRPr="001A4CDD">
              <w:t>0.62 (0.35, 1.08)</w:t>
            </w:r>
          </w:p>
        </w:tc>
      </w:tr>
      <w:tr w:rsidR="00D300EB" w:rsidRPr="001A4CDD" w14:paraId="4B6F44FC" w14:textId="77777777" w:rsidTr="00327047">
        <w:tc>
          <w:tcPr>
            <w:tcW w:w="2830" w:type="dxa"/>
            <w:tcBorders>
              <w:top w:val="nil"/>
            </w:tcBorders>
            <w:vAlign w:val="top"/>
          </w:tcPr>
          <w:p w14:paraId="5BC45F18" w14:textId="77777777" w:rsidR="00D300EB" w:rsidRPr="001A4CDD" w:rsidRDefault="00D300EB" w:rsidP="00A12328">
            <w:pPr>
              <w:pStyle w:val="TableText0"/>
              <w:ind w:left="170"/>
            </w:pPr>
            <w:r w:rsidRPr="001A4CDD">
              <w:t>Median, months [95%CI]</w:t>
            </w:r>
          </w:p>
        </w:tc>
        <w:tc>
          <w:tcPr>
            <w:tcW w:w="1701" w:type="dxa"/>
            <w:tcBorders>
              <w:top w:val="nil"/>
            </w:tcBorders>
          </w:tcPr>
          <w:p w14:paraId="1780F064" w14:textId="77777777" w:rsidR="00D300EB" w:rsidRPr="001A4CDD" w:rsidRDefault="00D300EB" w:rsidP="00A12328">
            <w:pPr>
              <w:pStyle w:val="TableText0"/>
              <w:jc w:val="center"/>
            </w:pPr>
            <w:r w:rsidRPr="001A4CDD">
              <w:t>48.20 [44.42, NC]</w:t>
            </w:r>
          </w:p>
        </w:tc>
        <w:tc>
          <w:tcPr>
            <w:tcW w:w="1843" w:type="dxa"/>
            <w:tcBorders>
              <w:top w:val="nil"/>
            </w:tcBorders>
          </w:tcPr>
          <w:p w14:paraId="4892E98B" w14:textId="77777777" w:rsidR="00D300EB" w:rsidRPr="001A4CDD" w:rsidRDefault="00D300EB" w:rsidP="00A12328">
            <w:pPr>
              <w:pStyle w:val="TableText0"/>
              <w:jc w:val="center"/>
            </w:pPr>
            <w:r w:rsidRPr="001A4CDD">
              <w:t>47.38 [28.22, NC]</w:t>
            </w:r>
          </w:p>
        </w:tc>
        <w:tc>
          <w:tcPr>
            <w:tcW w:w="1276" w:type="dxa"/>
            <w:tcBorders>
              <w:top w:val="nil"/>
            </w:tcBorders>
          </w:tcPr>
          <w:p w14:paraId="471662B2" w14:textId="77777777" w:rsidR="00D300EB" w:rsidRPr="001A4CDD" w:rsidRDefault="00D300EB" w:rsidP="00A12328">
            <w:pPr>
              <w:pStyle w:val="TableText0"/>
              <w:jc w:val="center"/>
            </w:pPr>
            <w:r w:rsidRPr="001A4CDD">
              <w:t>0.82</w:t>
            </w:r>
          </w:p>
        </w:tc>
        <w:tc>
          <w:tcPr>
            <w:tcW w:w="1367" w:type="dxa"/>
            <w:tcBorders>
              <w:top w:val="nil"/>
            </w:tcBorders>
          </w:tcPr>
          <w:p w14:paraId="40D52167" w14:textId="541F47A4" w:rsidR="00D300EB" w:rsidRPr="001A4CDD" w:rsidRDefault="00D300EB" w:rsidP="00A12328">
            <w:pPr>
              <w:pStyle w:val="TableText0"/>
              <w:jc w:val="center"/>
            </w:pPr>
            <w:r>
              <w:t>p=0.088</w:t>
            </w:r>
          </w:p>
        </w:tc>
      </w:tr>
    </w:tbl>
    <w:p w14:paraId="06B645DA" w14:textId="747FF0C8" w:rsidR="00327047" w:rsidRPr="001A4CDD" w:rsidRDefault="00327047" w:rsidP="00A12328">
      <w:pPr>
        <w:pStyle w:val="TableFigureFooter"/>
      </w:pPr>
      <w:r w:rsidRPr="001A4CDD">
        <w:t>Source: Table 2-21, p81 of the submission, Table 14.2.8.1, p277, 14.2.8.2, p278, 14.2.9.2.1, p283, 14.2.9.1.1, p281 of Attachment 2.2 ‘csr-section-14-tables-figures’ of the submission</w:t>
      </w:r>
      <w:r w:rsidR="000D7944">
        <w:t>.</w:t>
      </w:r>
    </w:p>
    <w:p w14:paraId="19A2688E" w14:textId="28217B18" w:rsidR="00327047" w:rsidRDefault="00327047" w:rsidP="00A12328">
      <w:pPr>
        <w:pStyle w:val="TableFigureFooter"/>
      </w:pPr>
      <w:r w:rsidRPr="001A4CDD">
        <w:t>BICR = Blinded Independent Central Review; CI = confidence interval; CNS = central nervous system; HR = hazard ratio; NC = not calculable; PFS = progression-free survival; TFST = time to first subsequent treatment; TSST = time to second subsequent treatment; TTD = time to study treatment discontinuation or death; TTDM = time to death or distant metastases.</w:t>
      </w:r>
    </w:p>
    <w:p w14:paraId="59584C74" w14:textId="77B71F4E" w:rsidR="00D300EB" w:rsidRPr="001A4CDD" w:rsidRDefault="00D300EB" w:rsidP="00A12328">
      <w:pPr>
        <w:pStyle w:val="TableFigureFooter"/>
      </w:pPr>
      <w:r w:rsidRPr="00D300EB">
        <w:t>Statistically significant results are shown in bold text.</w:t>
      </w:r>
    </w:p>
    <w:p w14:paraId="0691D772" w14:textId="77777777" w:rsidR="00327047" w:rsidRPr="001A4CDD" w:rsidRDefault="00327047" w:rsidP="00A12328">
      <w:pPr>
        <w:pStyle w:val="TableFigureFooter"/>
        <w:ind w:left="165" w:hanging="165"/>
      </w:pPr>
      <w:bookmarkStart w:id="43" w:name="_Hlk197532328"/>
      <w:r w:rsidRPr="001A4CDD">
        <w:rPr>
          <w:vertAlign w:val="superscript"/>
        </w:rPr>
        <w:t>a</w:t>
      </w:r>
      <w:r w:rsidRPr="001A4CDD">
        <w:rPr>
          <w:vertAlign w:val="superscript"/>
        </w:rPr>
        <w:tab/>
      </w:r>
      <w:r w:rsidRPr="001A4CDD">
        <w:rPr>
          <w:vertAlign w:val="superscript"/>
        </w:rPr>
        <w:tab/>
      </w:r>
      <w:r w:rsidRPr="001A4CDD">
        <w:t>CNS PFS events that did not occur within 2 scheduled visits (plus visit window) of the last non-missing assessment (or randomisation) are censored.</w:t>
      </w:r>
    </w:p>
    <w:p w14:paraId="2402EB4F" w14:textId="77777777" w:rsidR="00327047" w:rsidRPr="001A4CDD" w:rsidRDefault="00327047" w:rsidP="00A12328">
      <w:pPr>
        <w:pStyle w:val="TableFigureFooter"/>
      </w:pPr>
      <w:r w:rsidRPr="001A4CDD">
        <w:rPr>
          <w:vertAlign w:val="superscript"/>
        </w:rPr>
        <w:t>b</w:t>
      </w:r>
      <w:r w:rsidRPr="001A4CDD">
        <w:rPr>
          <w:vertAlign w:val="superscript"/>
        </w:rPr>
        <w:tab/>
      </w:r>
      <w:r w:rsidRPr="001A4CDD">
        <w:t>Target lesions, non-target lesions and new lesions are not mutually exclusive categories.</w:t>
      </w:r>
    </w:p>
    <w:p w14:paraId="1F0A06B3" w14:textId="77777777" w:rsidR="00327047" w:rsidRPr="001A4CDD" w:rsidRDefault="00327047" w:rsidP="00A12328">
      <w:pPr>
        <w:pStyle w:val="TableFigureFooter"/>
        <w:ind w:left="170" w:hanging="170"/>
      </w:pPr>
      <w:r w:rsidRPr="001A4CDD">
        <w:rPr>
          <w:vertAlign w:val="superscript"/>
        </w:rPr>
        <w:t>c</w:t>
      </w:r>
      <w:r w:rsidRPr="001A4CDD">
        <w:rPr>
          <w:vertAlign w:val="superscript"/>
        </w:rPr>
        <w:tab/>
      </w:r>
      <w:r w:rsidRPr="001A4CDD">
        <w:t>It is noted that whilst patients were free of CNS disease at baseline according to the Investigator, the neuroradiologist BICR reader could independently assign target and non-target lesions during CNS BICR assessment.</w:t>
      </w:r>
    </w:p>
    <w:p w14:paraId="5EAFC210" w14:textId="3A669283" w:rsidR="00327047" w:rsidRPr="001A4CDD" w:rsidRDefault="00327047" w:rsidP="00A12328">
      <w:pPr>
        <w:pStyle w:val="Caption"/>
      </w:pPr>
      <w:bookmarkStart w:id="44" w:name="_Ref198179459"/>
      <w:bookmarkEnd w:id="43"/>
      <w:r w:rsidRPr="001A4CDD">
        <w:t xml:space="preserve">Figure </w:t>
      </w:r>
      <w:r w:rsidR="002E1944">
        <w:fldChar w:fldCharType="begin"/>
      </w:r>
      <w:r w:rsidR="002E1944">
        <w:instrText xml:space="preserve"> SEQ Figure \* ARABIC </w:instrText>
      </w:r>
      <w:r w:rsidR="002E1944">
        <w:fldChar w:fldCharType="separate"/>
      </w:r>
      <w:r w:rsidR="009F3D59">
        <w:rPr>
          <w:noProof/>
        </w:rPr>
        <w:t>4</w:t>
      </w:r>
      <w:r w:rsidR="002E1944">
        <w:rPr>
          <w:noProof/>
        </w:rPr>
        <w:fldChar w:fldCharType="end"/>
      </w:r>
      <w:bookmarkEnd w:id="44"/>
      <w:r w:rsidRPr="001A4CDD">
        <w:t xml:space="preserve">: </w:t>
      </w:r>
      <w:r w:rsidRPr="00C42502">
        <w:t>Cumulative incidence plot of TTDM, competing risk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27"/>
      </w:tblGrid>
      <w:tr w:rsidR="00327047" w:rsidRPr="001A4CDD" w14:paraId="0F14615F" w14:textId="77777777" w:rsidTr="00327047">
        <w:tc>
          <w:tcPr>
            <w:tcW w:w="9027" w:type="dxa"/>
          </w:tcPr>
          <w:p w14:paraId="17B4D321" w14:textId="77777777" w:rsidR="00327047" w:rsidRPr="001A4CDD" w:rsidRDefault="00327047" w:rsidP="00A12328">
            <w:r w:rsidRPr="001A4CDD">
              <w:rPr>
                <w:noProof/>
              </w:rPr>
              <w:drawing>
                <wp:inline distT="0" distB="0" distL="0" distR="0" wp14:anchorId="7C1EF23F" wp14:editId="4E28C3A0">
                  <wp:extent cx="5732145" cy="2708910"/>
                  <wp:effectExtent l="0" t="0" r="1905" b="0"/>
                  <wp:docPr id="19" name="Picture 19" descr="Figure 4: Cumulative incidence plot of TTDM, competing risk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4: Cumulative incidence plot of TTDM, competing risk analysis"/>
                          <pic:cNvPicPr/>
                        </pic:nvPicPr>
                        <pic:blipFill>
                          <a:blip r:embed="rId16"/>
                          <a:stretch>
                            <a:fillRect/>
                          </a:stretch>
                        </pic:blipFill>
                        <pic:spPr>
                          <a:xfrm>
                            <a:off x="0" y="0"/>
                            <a:ext cx="5732145" cy="2708910"/>
                          </a:xfrm>
                          <a:prstGeom prst="rect">
                            <a:avLst/>
                          </a:prstGeom>
                        </pic:spPr>
                      </pic:pic>
                    </a:graphicData>
                  </a:graphic>
                </wp:inline>
              </w:drawing>
            </w:r>
          </w:p>
        </w:tc>
      </w:tr>
    </w:tbl>
    <w:p w14:paraId="1BE83ED3" w14:textId="77777777" w:rsidR="00327047" w:rsidRPr="00C42502" w:rsidRDefault="00327047" w:rsidP="00A12328">
      <w:pPr>
        <w:pStyle w:val="In-tableHeading"/>
        <w:rPr>
          <w:lang w:val="en-AU"/>
        </w:rPr>
      </w:pPr>
    </w:p>
    <w:p w14:paraId="37BED8CE" w14:textId="77777777" w:rsidR="00327047" w:rsidRPr="001A4CDD" w:rsidRDefault="00327047" w:rsidP="00A12328">
      <w:pPr>
        <w:pStyle w:val="TableFigureFooter"/>
      </w:pPr>
      <w:r w:rsidRPr="001A4CDD">
        <w:t>Source: Figure 14.2.8.4, p280 of Attachment 2.2 ‘csr-section-14-tables-figures’ of the submission.</w:t>
      </w:r>
    </w:p>
    <w:p w14:paraId="465554CD" w14:textId="55E978D9" w:rsidR="00327047" w:rsidRPr="001C2EC2" w:rsidRDefault="00327047" w:rsidP="00A12328">
      <w:pPr>
        <w:pStyle w:val="TableFigureFooter"/>
      </w:pPr>
      <w:r w:rsidRPr="001A4CDD">
        <w:t>TTDM = time to death or distant metastases.</w:t>
      </w:r>
      <w:r w:rsidRPr="00C42502">
        <w:t xml:space="preserve"> </w:t>
      </w:r>
    </w:p>
    <w:p w14:paraId="52A30E12" w14:textId="5449E677" w:rsidR="00327047" w:rsidRPr="001A4CDD" w:rsidRDefault="00327047" w:rsidP="00A12328">
      <w:pPr>
        <w:pStyle w:val="3-BodyText"/>
      </w:pPr>
      <w:r w:rsidRPr="001A4CDD">
        <w:t>The efficacy of osimertinib in the CNS has been demonstrated in the ADAURA (early stage, adjuvant setting) and FLAURA (late stage, first-line setting) trials (</w:t>
      </w:r>
      <w:r w:rsidR="00F038DE">
        <w:t xml:space="preserve">osimertinib </w:t>
      </w:r>
      <w:r w:rsidRPr="001A4CDD">
        <w:t xml:space="preserve">PI). In the LAURA trial, new CNS lesions accounted for the majority of CNS PFS events in both arms (17/29 events in the osimertinib arm and 26/30 events in the placebo arm). At DCO 5 </w:t>
      </w:r>
      <w:r w:rsidR="008B0F30" w:rsidRPr="001A4CDD">
        <w:t>January</w:t>
      </w:r>
      <w:r w:rsidRPr="001A4CDD">
        <w:t xml:space="preserve"> 2024, after a median 24.64 months follow-up, the median CNS PFS had not yet been reached in the osimertinib </w:t>
      </w:r>
      <w:r w:rsidR="00FC23C0" w:rsidRPr="001A4CDD">
        <w:t>arm and</w:t>
      </w:r>
      <w:r w:rsidRPr="001A4CDD">
        <w:t xml:space="preserve"> was 14.88 months </w:t>
      </w:r>
      <w:r w:rsidR="00FC23C0">
        <w:br/>
      </w:r>
      <w:r w:rsidRPr="001A4CDD">
        <w:t>(95%CI 7.36, NC) in the placebo arm, after a median 5.72 months follow-up.</w:t>
      </w:r>
    </w:p>
    <w:p w14:paraId="545F9AF6" w14:textId="54D2DA4D" w:rsidR="00327047" w:rsidRPr="00C1050C" w:rsidRDefault="00327047" w:rsidP="00A12328">
      <w:pPr>
        <w:pStyle w:val="3-BodyText"/>
        <w:rPr>
          <w:iCs/>
        </w:rPr>
      </w:pPr>
      <w:r w:rsidRPr="001A4CDD">
        <w:t xml:space="preserve">Patients in the osimertinib arm had significantly </w:t>
      </w:r>
      <w:bookmarkStart w:id="45" w:name="_Hlk197532451"/>
      <w:r w:rsidR="00E10BD3">
        <w:t>longer</w:t>
      </w:r>
      <w:r w:rsidR="00E10BD3" w:rsidRPr="001A4CDD">
        <w:t xml:space="preserve"> </w:t>
      </w:r>
      <w:r w:rsidRPr="001A4CDD">
        <w:t>TTDM, TTD, TFST</w:t>
      </w:r>
      <w:r w:rsidR="00073C5C">
        <w:t>,</w:t>
      </w:r>
      <w:r w:rsidRPr="001A4CDD">
        <w:t xml:space="preserve"> and TSST </w:t>
      </w:r>
      <w:bookmarkEnd w:id="45"/>
      <w:r w:rsidRPr="001A4CDD">
        <w:t>than those in the placebo arm.</w:t>
      </w:r>
      <w:r w:rsidRPr="001A4CDD">
        <w:rPr>
          <w:i/>
        </w:rPr>
        <w:t xml:space="preserve"> </w:t>
      </w:r>
      <w:r w:rsidRPr="00F76C9E">
        <w:rPr>
          <w:iCs/>
        </w:rPr>
        <w:t xml:space="preserve">However, </w:t>
      </w:r>
      <w:r w:rsidR="00B01AA7" w:rsidRPr="00F76C9E">
        <w:rPr>
          <w:iCs/>
        </w:rPr>
        <w:t xml:space="preserve">while </w:t>
      </w:r>
      <w:r w:rsidRPr="00F76C9E">
        <w:rPr>
          <w:iCs/>
        </w:rPr>
        <w:t xml:space="preserve">the HR for second PFS favoured osimertinib, </w:t>
      </w:r>
      <w:r w:rsidR="00B01AA7" w:rsidRPr="00F76C9E">
        <w:rPr>
          <w:iCs/>
        </w:rPr>
        <w:t xml:space="preserve">it </w:t>
      </w:r>
      <w:r w:rsidRPr="00F76C9E">
        <w:rPr>
          <w:iCs/>
        </w:rPr>
        <w:t xml:space="preserve">was not statistically significant (HR 0.62: 95%CI 0.35, 1.08), though second PFS data were immature (26.9%). The </w:t>
      </w:r>
      <w:r w:rsidR="00B60393">
        <w:rPr>
          <w:iCs/>
        </w:rPr>
        <w:t xml:space="preserve">evaluation noted that the </w:t>
      </w:r>
      <w:r w:rsidRPr="00F76C9E">
        <w:rPr>
          <w:iCs/>
        </w:rPr>
        <w:t>results for TSST and second PFS may not be generalisable to the Australian population due to the differences between the subsequent treatments received by those in the trial</w:t>
      </w:r>
      <w:r w:rsidR="00FD3809">
        <w:rPr>
          <w:iCs/>
        </w:rPr>
        <w:t xml:space="preserve"> </w:t>
      </w:r>
      <w:r w:rsidR="00FD3809" w:rsidRPr="00893B3C">
        <w:rPr>
          <w:iCs/>
        </w:rPr>
        <w:t>in the osimertinib arm</w:t>
      </w:r>
      <w:r w:rsidRPr="00F76C9E">
        <w:rPr>
          <w:iCs/>
        </w:rPr>
        <w:t xml:space="preserve"> and those likely to be received in </w:t>
      </w:r>
      <w:r w:rsidRPr="00C1050C">
        <w:rPr>
          <w:iCs/>
        </w:rPr>
        <w:t>Australia.</w:t>
      </w:r>
    </w:p>
    <w:p w14:paraId="72C8A1B6" w14:textId="271C7B63" w:rsidR="00327047" w:rsidRPr="001A4CDD" w:rsidRDefault="00E211F4" w:rsidP="00A12328">
      <w:pPr>
        <w:pStyle w:val="3-BodyText"/>
        <w:rPr>
          <w:i/>
        </w:rPr>
      </w:pPr>
      <w:r>
        <w:fldChar w:fldCharType="begin"/>
      </w:r>
      <w:r>
        <w:instrText xml:space="preserve"> REF _Ref198180058 \h </w:instrText>
      </w:r>
      <w:r>
        <w:fldChar w:fldCharType="separate"/>
      </w:r>
      <w:r w:rsidR="009F3D59" w:rsidRPr="001A4CDD">
        <w:t xml:space="preserve">Table </w:t>
      </w:r>
      <w:r w:rsidR="009F3D59">
        <w:rPr>
          <w:noProof/>
        </w:rPr>
        <w:t>8</w:t>
      </w:r>
      <w:r>
        <w:fldChar w:fldCharType="end"/>
      </w:r>
      <w:r w:rsidR="00327047" w:rsidRPr="001A4CDD">
        <w:t xml:space="preserve"> summarises the patient reported outcomes from the LAURA trial.</w:t>
      </w:r>
    </w:p>
    <w:p w14:paraId="15F0B4DC" w14:textId="5018DAAF" w:rsidR="00327047" w:rsidRPr="001A4CDD" w:rsidRDefault="00327047" w:rsidP="00A12328">
      <w:pPr>
        <w:pStyle w:val="Caption"/>
      </w:pPr>
      <w:bookmarkStart w:id="46" w:name="_Ref198180058"/>
      <w:r w:rsidRPr="001A4CDD">
        <w:t xml:space="preserve">Table </w:t>
      </w:r>
      <w:r w:rsidR="002E1944">
        <w:fldChar w:fldCharType="begin"/>
      </w:r>
      <w:r w:rsidR="002E1944">
        <w:instrText xml:space="preserve"> SEQ Table \* ARABIC </w:instrText>
      </w:r>
      <w:r w:rsidR="002E1944">
        <w:fldChar w:fldCharType="separate"/>
      </w:r>
      <w:r w:rsidR="009F3D59">
        <w:rPr>
          <w:noProof/>
        </w:rPr>
        <w:t>8</w:t>
      </w:r>
      <w:r w:rsidR="002E1944">
        <w:rPr>
          <w:noProof/>
        </w:rPr>
        <w:fldChar w:fldCharType="end"/>
      </w:r>
      <w:bookmarkEnd w:id="46"/>
      <w:r w:rsidRPr="001A4CDD">
        <w:t>: Patient reported outcomes</w:t>
      </w:r>
    </w:p>
    <w:tbl>
      <w:tblPr>
        <w:tblStyle w:val="TableGrid"/>
        <w:tblW w:w="0" w:type="auto"/>
        <w:jc w:val="center"/>
        <w:tblCellMar>
          <w:left w:w="28" w:type="dxa"/>
          <w:right w:w="28" w:type="dxa"/>
        </w:tblCellMar>
        <w:tblLook w:val="04A0" w:firstRow="1" w:lastRow="0" w:firstColumn="1" w:lastColumn="0" w:noHBand="0" w:noVBand="1"/>
        <w:tblCaption w:val="Table 8: Patient reported outcomes"/>
      </w:tblPr>
      <w:tblGrid>
        <w:gridCol w:w="1413"/>
        <w:gridCol w:w="1163"/>
        <w:gridCol w:w="538"/>
        <w:gridCol w:w="1276"/>
        <w:gridCol w:w="1701"/>
        <w:gridCol w:w="1559"/>
        <w:gridCol w:w="1367"/>
      </w:tblGrid>
      <w:tr w:rsidR="001A4CDD" w:rsidRPr="001A4CDD" w14:paraId="3C872180" w14:textId="77777777" w:rsidTr="00327047">
        <w:trPr>
          <w:trHeight w:val="445"/>
          <w:jc w:val="center"/>
        </w:trPr>
        <w:tc>
          <w:tcPr>
            <w:tcW w:w="1413" w:type="dxa"/>
            <w:vMerge w:val="restart"/>
            <w:tcBorders>
              <w:top w:val="single" w:sz="4" w:space="0" w:color="auto"/>
              <w:left w:val="single" w:sz="4" w:space="0" w:color="auto"/>
              <w:bottom w:val="single" w:sz="4" w:space="0" w:color="auto"/>
              <w:right w:val="single" w:sz="4" w:space="0" w:color="auto"/>
            </w:tcBorders>
            <w:hideMark/>
          </w:tcPr>
          <w:p w14:paraId="4E572B92" w14:textId="77777777" w:rsidR="00327047" w:rsidRPr="001A4CDD" w:rsidRDefault="00327047" w:rsidP="00A12328">
            <w:pPr>
              <w:pStyle w:val="Tabletext"/>
              <w:keepNext/>
              <w:rPr>
                <w:b/>
              </w:rPr>
            </w:pPr>
            <w:r w:rsidRPr="001A4CDD">
              <w:rPr>
                <w:b/>
              </w:rPr>
              <w:t>PRO scale</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012F5D1B" w14:textId="77777777" w:rsidR="00327047" w:rsidRPr="001A4CDD" w:rsidRDefault="00327047" w:rsidP="00A12328">
            <w:pPr>
              <w:pStyle w:val="Tabletext"/>
              <w:keepNext/>
              <w:jc w:val="center"/>
              <w:rPr>
                <w:b/>
              </w:rPr>
            </w:pPr>
            <w:r w:rsidRPr="001A4CDD">
              <w:rPr>
                <w:b/>
              </w:rPr>
              <w:t>Treatment arm</w:t>
            </w:r>
          </w:p>
        </w:tc>
        <w:tc>
          <w:tcPr>
            <w:tcW w:w="538" w:type="dxa"/>
            <w:vMerge w:val="restart"/>
            <w:tcBorders>
              <w:top w:val="single" w:sz="4" w:space="0" w:color="auto"/>
              <w:left w:val="single" w:sz="4" w:space="0" w:color="auto"/>
              <w:bottom w:val="single" w:sz="4" w:space="0" w:color="auto"/>
              <w:right w:val="single" w:sz="4" w:space="0" w:color="auto"/>
            </w:tcBorders>
            <w:hideMark/>
          </w:tcPr>
          <w:p w14:paraId="111378DA" w14:textId="77777777" w:rsidR="00327047" w:rsidRPr="001A4CDD" w:rsidRDefault="00327047" w:rsidP="00A12328">
            <w:pPr>
              <w:pStyle w:val="Tabletext"/>
              <w:keepNext/>
              <w:jc w:val="center"/>
              <w:rPr>
                <w:b/>
              </w:rPr>
            </w:pPr>
            <w:r w:rsidRPr="001A4CDD">
              <w:rPr>
                <w:b/>
              </w:rPr>
              <w:t>N</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31004D6" w14:textId="77777777" w:rsidR="00327047" w:rsidRPr="001A4CDD" w:rsidRDefault="00327047" w:rsidP="00A12328">
            <w:pPr>
              <w:pStyle w:val="Tabletext"/>
              <w:keepNext/>
              <w:jc w:val="center"/>
              <w:rPr>
                <w:b/>
              </w:rPr>
            </w:pPr>
            <w:r w:rsidRPr="001A4CDD">
              <w:rPr>
                <w:b/>
              </w:rPr>
              <w:t>Number (%) of patients with events</w:t>
            </w:r>
          </w:p>
        </w:tc>
        <w:tc>
          <w:tcPr>
            <w:tcW w:w="3260" w:type="dxa"/>
            <w:gridSpan w:val="2"/>
            <w:tcBorders>
              <w:top w:val="single" w:sz="4" w:space="0" w:color="auto"/>
              <w:left w:val="single" w:sz="4" w:space="0" w:color="auto"/>
              <w:bottom w:val="single" w:sz="4" w:space="0" w:color="auto"/>
              <w:right w:val="single" w:sz="4" w:space="0" w:color="auto"/>
            </w:tcBorders>
            <w:hideMark/>
          </w:tcPr>
          <w:p w14:paraId="08964938" w14:textId="2D7F8B56" w:rsidR="00327047" w:rsidRPr="001A4CDD" w:rsidRDefault="00327047" w:rsidP="00A12328">
            <w:pPr>
              <w:pStyle w:val="Tabletext"/>
              <w:keepNext/>
              <w:jc w:val="center"/>
              <w:rPr>
                <w:b/>
              </w:rPr>
            </w:pPr>
            <w:r w:rsidRPr="001A4CDD">
              <w:rPr>
                <w:b/>
              </w:rPr>
              <w:t>Patients without deterioration, % (95%CI)</w:t>
            </w:r>
          </w:p>
        </w:tc>
        <w:tc>
          <w:tcPr>
            <w:tcW w:w="1367" w:type="dxa"/>
            <w:vMerge w:val="restart"/>
            <w:tcBorders>
              <w:top w:val="single" w:sz="4" w:space="0" w:color="auto"/>
              <w:left w:val="single" w:sz="4" w:space="0" w:color="auto"/>
              <w:bottom w:val="single" w:sz="4" w:space="0" w:color="auto"/>
              <w:right w:val="single" w:sz="4" w:space="0" w:color="auto"/>
            </w:tcBorders>
            <w:hideMark/>
          </w:tcPr>
          <w:p w14:paraId="08839F69" w14:textId="77777777" w:rsidR="00327047" w:rsidRPr="001A4CDD" w:rsidRDefault="00327047" w:rsidP="00A12328">
            <w:pPr>
              <w:pStyle w:val="Tabletext"/>
              <w:keepNext/>
              <w:jc w:val="center"/>
              <w:rPr>
                <w:b/>
              </w:rPr>
            </w:pPr>
            <w:r w:rsidRPr="001A4CDD">
              <w:rPr>
                <w:b/>
              </w:rPr>
              <w:t>HR (95% CI)</w:t>
            </w:r>
          </w:p>
        </w:tc>
      </w:tr>
      <w:tr w:rsidR="001A4CDD" w:rsidRPr="001A4CDD" w14:paraId="6F994589"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CFCFD" w14:textId="77777777" w:rsidR="00327047" w:rsidRPr="001A4CDD" w:rsidRDefault="00327047" w:rsidP="00A12328">
            <w:pPr>
              <w:keepNext/>
              <w:jc w:val="left"/>
              <w:rPr>
                <w:rFonts w:ascii="Arial Narrow" w:hAnsi="Arial Narrow"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22AA9" w14:textId="77777777" w:rsidR="00327047" w:rsidRPr="001A4CDD" w:rsidRDefault="00327047" w:rsidP="00A12328">
            <w:pPr>
              <w:keepNext/>
              <w:jc w:val="left"/>
              <w:rPr>
                <w:rFonts w:ascii="Arial Narrow" w:hAnsi="Arial Narrow"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B6A71" w14:textId="77777777" w:rsidR="00327047" w:rsidRPr="001A4CDD" w:rsidRDefault="00327047" w:rsidP="00A12328">
            <w:pPr>
              <w:keepNext/>
              <w:jc w:val="left"/>
              <w:rPr>
                <w:rFonts w:ascii="Arial Narrow" w:hAnsi="Arial Narrow"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F2ABF" w14:textId="77777777" w:rsidR="00327047" w:rsidRPr="001A4CDD" w:rsidRDefault="00327047" w:rsidP="00A12328">
            <w:pPr>
              <w:keepNext/>
              <w:jc w:val="left"/>
              <w:rPr>
                <w:rFonts w:ascii="Arial Narrow" w:hAnsi="Arial Narrow" w:cs="Times New Roman"/>
                <w:b/>
                <w:sz w:val="20"/>
              </w:rPr>
            </w:pPr>
          </w:p>
        </w:tc>
        <w:tc>
          <w:tcPr>
            <w:tcW w:w="1701" w:type="dxa"/>
            <w:tcBorders>
              <w:top w:val="single" w:sz="4" w:space="0" w:color="auto"/>
              <w:left w:val="single" w:sz="4" w:space="0" w:color="auto"/>
              <w:bottom w:val="single" w:sz="4" w:space="0" w:color="auto"/>
              <w:right w:val="single" w:sz="4" w:space="0" w:color="auto"/>
            </w:tcBorders>
            <w:hideMark/>
          </w:tcPr>
          <w:p w14:paraId="15D7B5FC" w14:textId="77777777" w:rsidR="00327047" w:rsidRPr="001A4CDD" w:rsidRDefault="00327047" w:rsidP="00A12328">
            <w:pPr>
              <w:pStyle w:val="Tabletext"/>
              <w:keepNext/>
              <w:jc w:val="center"/>
              <w:rPr>
                <w:b/>
              </w:rPr>
            </w:pPr>
            <w:r w:rsidRPr="001A4CDD">
              <w:rPr>
                <w:b/>
              </w:rPr>
              <w:t>At 6 months</w:t>
            </w:r>
          </w:p>
        </w:tc>
        <w:tc>
          <w:tcPr>
            <w:tcW w:w="1559" w:type="dxa"/>
            <w:tcBorders>
              <w:top w:val="single" w:sz="4" w:space="0" w:color="auto"/>
              <w:left w:val="single" w:sz="4" w:space="0" w:color="auto"/>
              <w:bottom w:val="single" w:sz="4" w:space="0" w:color="auto"/>
              <w:right w:val="single" w:sz="4" w:space="0" w:color="auto"/>
            </w:tcBorders>
            <w:hideMark/>
          </w:tcPr>
          <w:p w14:paraId="0F6D3ACC" w14:textId="77777777" w:rsidR="00327047" w:rsidRPr="001A4CDD" w:rsidRDefault="00327047" w:rsidP="00A12328">
            <w:pPr>
              <w:pStyle w:val="Tabletext"/>
              <w:keepNext/>
              <w:jc w:val="center"/>
              <w:rPr>
                <w:b/>
              </w:rPr>
            </w:pPr>
            <w:r w:rsidRPr="001A4CDD">
              <w:rPr>
                <w:b/>
              </w:rPr>
              <w:t>At 12 months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56B10" w14:textId="77777777" w:rsidR="00327047" w:rsidRPr="001A4CDD" w:rsidRDefault="00327047" w:rsidP="00A12328">
            <w:pPr>
              <w:keepNext/>
              <w:jc w:val="left"/>
              <w:rPr>
                <w:rFonts w:ascii="Arial Narrow" w:hAnsi="Arial Narrow" w:cs="Times New Roman"/>
                <w:b/>
                <w:sz w:val="20"/>
              </w:rPr>
            </w:pPr>
          </w:p>
        </w:tc>
      </w:tr>
      <w:tr w:rsidR="001A4CDD" w:rsidRPr="001A4CDD" w14:paraId="25CCEE87" w14:textId="77777777" w:rsidTr="00327047">
        <w:trPr>
          <w:jc w:val="center"/>
        </w:trPr>
        <w:tc>
          <w:tcPr>
            <w:tcW w:w="1413" w:type="dxa"/>
            <w:tcBorders>
              <w:top w:val="single" w:sz="4" w:space="0" w:color="auto"/>
              <w:left w:val="single" w:sz="4" w:space="0" w:color="auto"/>
              <w:bottom w:val="single" w:sz="4" w:space="0" w:color="auto"/>
              <w:right w:val="nil"/>
            </w:tcBorders>
            <w:hideMark/>
          </w:tcPr>
          <w:p w14:paraId="660D9B5E" w14:textId="64DADE78" w:rsidR="00327047" w:rsidRPr="00290D74" w:rsidRDefault="00327047" w:rsidP="00A12328">
            <w:pPr>
              <w:pStyle w:val="Tabletext"/>
              <w:keepNext/>
              <w:rPr>
                <w:b/>
                <w:vertAlign w:val="superscript"/>
              </w:rPr>
            </w:pPr>
            <w:r w:rsidRPr="001A4CDD">
              <w:rPr>
                <w:b/>
              </w:rPr>
              <w:t>QLQ-C30</w:t>
            </w:r>
            <w:r w:rsidR="00290D74">
              <w:rPr>
                <w:b/>
                <w:vertAlign w:val="superscript"/>
              </w:rPr>
              <w:t>a</w:t>
            </w:r>
          </w:p>
        </w:tc>
        <w:tc>
          <w:tcPr>
            <w:tcW w:w="1163" w:type="dxa"/>
            <w:tcBorders>
              <w:top w:val="single" w:sz="4" w:space="0" w:color="auto"/>
              <w:left w:val="nil"/>
              <w:bottom w:val="single" w:sz="4" w:space="0" w:color="auto"/>
              <w:right w:val="nil"/>
            </w:tcBorders>
          </w:tcPr>
          <w:p w14:paraId="330E5611" w14:textId="77777777" w:rsidR="00327047" w:rsidRPr="001A4CDD" w:rsidRDefault="00327047" w:rsidP="00A12328">
            <w:pPr>
              <w:pStyle w:val="Tabletext"/>
              <w:keepNext/>
            </w:pPr>
          </w:p>
        </w:tc>
        <w:tc>
          <w:tcPr>
            <w:tcW w:w="538" w:type="dxa"/>
            <w:tcBorders>
              <w:top w:val="single" w:sz="4" w:space="0" w:color="auto"/>
              <w:left w:val="nil"/>
              <w:bottom w:val="single" w:sz="4" w:space="0" w:color="auto"/>
              <w:right w:val="nil"/>
            </w:tcBorders>
          </w:tcPr>
          <w:p w14:paraId="480899C0" w14:textId="77777777" w:rsidR="00327047" w:rsidRPr="001A4CDD" w:rsidRDefault="00327047" w:rsidP="00A12328">
            <w:pPr>
              <w:pStyle w:val="Tabletext"/>
              <w:keepNext/>
            </w:pPr>
          </w:p>
        </w:tc>
        <w:tc>
          <w:tcPr>
            <w:tcW w:w="1276" w:type="dxa"/>
            <w:tcBorders>
              <w:top w:val="single" w:sz="4" w:space="0" w:color="auto"/>
              <w:left w:val="nil"/>
              <w:bottom w:val="single" w:sz="4" w:space="0" w:color="auto"/>
              <w:right w:val="nil"/>
            </w:tcBorders>
          </w:tcPr>
          <w:p w14:paraId="0CFF30D9" w14:textId="77777777" w:rsidR="00327047" w:rsidRPr="001A4CDD" w:rsidRDefault="00327047" w:rsidP="00A12328">
            <w:pPr>
              <w:pStyle w:val="Tabletext"/>
              <w:keepNext/>
            </w:pPr>
          </w:p>
        </w:tc>
        <w:tc>
          <w:tcPr>
            <w:tcW w:w="1701" w:type="dxa"/>
            <w:tcBorders>
              <w:top w:val="single" w:sz="4" w:space="0" w:color="auto"/>
              <w:left w:val="nil"/>
              <w:bottom w:val="single" w:sz="4" w:space="0" w:color="auto"/>
              <w:right w:val="nil"/>
            </w:tcBorders>
          </w:tcPr>
          <w:p w14:paraId="35019CFF" w14:textId="77777777" w:rsidR="00327047" w:rsidRPr="001A4CDD" w:rsidRDefault="00327047" w:rsidP="00A12328">
            <w:pPr>
              <w:pStyle w:val="Tabletext"/>
              <w:keepNext/>
            </w:pPr>
          </w:p>
        </w:tc>
        <w:tc>
          <w:tcPr>
            <w:tcW w:w="1559" w:type="dxa"/>
            <w:tcBorders>
              <w:top w:val="single" w:sz="4" w:space="0" w:color="auto"/>
              <w:left w:val="nil"/>
              <w:bottom w:val="single" w:sz="4" w:space="0" w:color="auto"/>
              <w:right w:val="nil"/>
            </w:tcBorders>
          </w:tcPr>
          <w:p w14:paraId="19F0A3E7" w14:textId="77777777" w:rsidR="00327047" w:rsidRPr="001A4CDD" w:rsidRDefault="00327047" w:rsidP="00A12328">
            <w:pPr>
              <w:pStyle w:val="Tabletext"/>
              <w:keepNext/>
            </w:pPr>
          </w:p>
        </w:tc>
        <w:tc>
          <w:tcPr>
            <w:tcW w:w="1367" w:type="dxa"/>
            <w:tcBorders>
              <w:top w:val="single" w:sz="4" w:space="0" w:color="auto"/>
              <w:left w:val="nil"/>
              <w:bottom w:val="single" w:sz="4" w:space="0" w:color="auto"/>
              <w:right w:val="single" w:sz="4" w:space="0" w:color="auto"/>
            </w:tcBorders>
          </w:tcPr>
          <w:p w14:paraId="3FCC9069" w14:textId="77777777" w:rsidR="00327047" w:rsidRPr="001A4CDD" w:rsidRDefault="00327047" w:rsidP="00A12328">
            <w:pPr>
              <w:pStyle w:val="Tabletext"/>
              <w:keepNext/>
            </w:pPr>
          </w:p>
        </w:tc>
      </w:tr>
      <w:tr w:rsidR="001A4CDD" w:rsidRPr="001A4CDD" w14:paraId="6B3AAD23"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41E7777A" w14:textId="77777777" w:rsidR="00327047" w:rsidRPr="001A4CDD" w:rsidRDefault="00327047" w:rsidP="00A12328">
            <w:pPr>
              <w:pStyle w:val="Tabletext"/>
              <w:keepNext/>
            </w:pPr>
            <w:r w:rsidRPr="001A4CDD">
              <w:t>GHS/QoL</w:t>
            </w:r>
          </w:p>
        </w:tc>
        <w:tc>
          <w:tcPr>
            <w:tcW w:w="1163" w:type="dxa"/>
            <w:tcBorders>
              <w:top w:val="single" w:sz="4" w:space="0" w:color="auto"/>
              <w:left w:val="single" w:sz="4" w:space="0" w:color="auto"/>
              <w:bottom w:val="single" w:sz="4" w:space="0" w:color="auto"/>
              <w:right w:val="single" w:sz="4" w:space="0" w:color="auto"/>
            </w:tcBorders>
            <w:hideMark/>
          </w:tcPr>
          <w:p w14:paraId="67DF5344"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7D8A50A2" w14:textId="77777777" w:rsidR="00327047" w:rsidRPr="001A4CDD" w:rsidRDefault="00327047" w:rsidP="00A12328">
            <w:pPr>
              <w:pStyle w:val="Tabletext"/>
              <w:keepNext/>
              <w:jc w:val="center"/>
            </w:pPr>
            <w:r w:rsidRPr="001A4CDD">
              <w:t>131</w:t>
            </w:r>
          </w:p>
        </w:tc>
        <w:tc>
          <w:tcPr>
            <w:tcW w:w="1276" w:type="dxa"/>
            <w:tcBorders>
              <w:top w:val="single" w:sz="4" w:space="0" w:color="auto"/>
              <w:left w:val="single" w:sz="4" w:space="0" w:color="auto"/>
              <w:bottom w:val="single" w:sz="4" w:space="0" w:color="auto"/>
              <w:right w:val="single" w:sz="4" w:space="0" w:color="auto"/>
            </w:tcBorders>
            <w:hideMark/>
          </w:tcPr>
          <w:p w14:paraId="3E445D80" w14:textId="77777777" w:rsidR="00327047" w:rsidRPr="001A4CDD" w:rsidRDefault="00327047" w:rsidP="00A12328">
            <w:pPr>
              <w:pStyle w:val="Tabletext"/>
              <w:keepNext/>
              <w:jc w:val="center"/>
            </w:pPr>
            <w:r w:rsidRPr="001A4CDD">
              <w:t>65 (49.6)</w:t>
            </w:r>
          </w:p>
        </w:tc>
        <w:tc>
          <w:tcPr>
            <w:tcW w:w="1701" w:type="dxa"/>
            <w:tcBorders>
              <w:top w:val="single" w:sz="4" w:space="0" w:color="auto"/>
              <w:left w:val="single" w:sz="4" w:space="0" w:color="auto"/>
              <w:bottom w:val="single" w:sz="4" w:space="0" w:color="auto"/>
              <w:right w:val="single" w:sz="4" w:space="0" w:color="auto"/>
            </w:tcBorders>
            <w:hideMark/>
          </w:tcPr>
          <w:p w14:paraId="5FC3BAB6" w14:textId="77777777" w:rsidR="00327047" w:rsidRPr="001A4CDD" w:rsidRDefault="00327047" w:rsidP="00A12328">
            <w:pPr>
              <w:pStyle w:val="Tabletext"/>
              <w:keepNext/>
              <w:jc w:val="center"/>
            </w:pPr>
            <w:r w:rsidRPr="001A4CDD">
              <w:t>68.0</w:t>
            </w:r>
            <w:r w:rsidRPr="001A4CDD">
              <w:rPr>
                <w:spacing w:val="-4"/>
              </w:rPr>
              <w:t xml:space="preserve"> </w:t>
            </w:r>
            <w:r w:rsidRPr="001A4CDD">
              <w:t>(59.1,</w:t>
            </w:r>
            <w:r w:rsidRPr="001A4CDD">
              <w:rPr>
                <w:spacing w:val="-2"/>
              </w:rPr>
              <w:t xml:space="preserve"> 75.3)</w:t>
            </w:r>
          </w:p>
        </w:tc>
        <w:tc>
          <w:tcPr>
            <w:tcW w:w="1559" w:type="dxa"/>
            <w:tcBorders>
              <w:top w:val="single" w:sz="4" w:space="0" w:color="auto"/>
              <w:left w:val="single" w:sz="4" w:space="0" w:color="auto"/>
              <w:bottom w:val="single" w:sz="4" w:space="0" w:color="auto"/>
              <w:right w:val="single" w:sz="4" w:space="0" w:color="auto"/>
            </w:tcBorders>
            <w:hideMark/>
          </w:tcPr>
          <w:p w14:paraId="72DEAF55" w14:textId="77777777" w:rsidR="00327047" w:rsidRPr="001A4CDD" w:rsidRDefault="00327047" w:rsidP="00A12328">
            <w:pPr>
              <w:pStyle w:val="Tabletext"/>
              <w:keepNext/>
              <w:jc w:val="center"/>
            </w:pPr>
            <w:r w:rsidRPr="001A4CDD">
              <w:t>59.7</w:t>
            </w:r>
            <w:r w:rsidRPr="001A4CDD">
              <w:rPr>
                <w:spacing w:val="-4"/>
              </w:rPr>
              <w:t xml:space="preserve"> </w:t>
            </w:r>
            <w:r w:rsidRPr="001A4CDD">
              <w:t>(50.5,</w:t>
            </w:r>
            <w:r w:rsidRPr="001A4CDD">
              <w:rPr>
                <w:spacing w:val="-2"/>
              </w:rPr>
              <w:t xml:space="preserve"> 67.6)</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63F93A33" w14:textId="77777777" w:rsidR="00327047" w:rsidRPr="001A4CDD" w:rsidRDefault="00327047" w:rsidP="00A12328">
            <w:pPr>
              <w:pStyle w:val="Tabletext"/>
              <w:keepNext/>
              <w:jc w:val="center"/>
            </w:pPr>
            <w:r w:rsidRPr="001A4CDD">
              <w:t>1.14 (0.74, 1.78)</w:t>
            </w:r>
          </w:p>
        </w:tc>
      </w:tr>
      <w:tr w:rsidR="001A4CDD" w:rsidRPr="001A4CDD" w14:paraId="5BDF1237"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10629"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392622D8"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07138B0B" w14:textId="77777777" w:rsidR="00327047" w:rsidRPr="001A4CDD" w:rsidRDefault="00327047" w:rsidP="00A12328">
            <w:pPr>
              <w:pStyle w:val="Tabletext"/>
              <w:keepNext/>
              <w:jc w:val="center"/>
            </w:pPr>
            <w:r w:rsidRPr="001A4CDD">
              <w:t>68</w:t>
            </w:r>
          </w:p>
        </w:tc>
        <w:tc>
          <w:tcPr>
            <w:tcW w:w="1276" w:type="dxa"/>
            <w:tcBorders>
              <w:top w:val="single" w:sz="4" w:space="0" w:color="auto"/>
              <w:left w:val="single" w:sz="4" w:space="0" w:color="auto"/>
              <w:bottom w:val="single" w:sz="4" w:space="0" w:color="auto"/>
              <w:right w:val="single" w:sz="4" w:space="0" w:color="auto"/>
            </w:tcBorders>
            <w:hideMark/>
          </w:tcPr>
          <w:p w14:paraId="13C9DEEB" w14:textId="77777777" w:rsidR="00327047" w:rsidRPr="001A4CDD" w:rsidRDefault="00327047" w:rsidP="00A12328">
            <w:pPr>
              <w:pStyle w:val="Tabletext"/>
              <w:keepNext/>
              <w:jc w:val="center"/>
            </w:pPr>
            <w:r w:rsidRPr="001A4CDD">
              <w:t>28 (41.2)</w:t>
            </w:r>
          </w:p>
        </w:tc>
        <w:tc>
          <w:tcPr>
            <w:tcW w:w="1701" w:type="dxa"/>
            <w:tcBorders>
              <w:top w:val="single" w:sz="4" w:space="0" w:color="auto"/>
              <w:left w:val="single" w:sz="4" w:space="0" w:color="auto"/>
              <w:bottom w:val="single" w:sz="4" w:space="0" w:color="auto"/>
              <w:right w:val="single" w:sz="4" w:space="0" w:color="auto"/>
            </w:tcBorders>
            <w:hideMark/>
          </w:tcPr>
          <w:p w14:paraId="4279A082" w14:textId="77777777" w:rsidR="00327047" w:rsidRPr="001A4CDD" w:rsidRDefault="00327047" w:rsidP="00A12328">
            <w:pPr>
              <w:pStyle w:val="Tabletext"/>
              <w:keepNext/>
              <w:jc w:val="center"/>
            </w:pPr>
            <w:r w:rsidRPr="001A4CDD">
              <w:t>68.1</w:t>
            </w:r>
            <w:r w:rsidRPr="001A4CDD">
              <w:rPr>
                <w:spacing w:val="-4"/>
              </w:rPr>
              <w:t xml:space="preserve"> </w:t>
            </w:r>
            <w:r w:rsidRPr="001A4CDD">
              <w:t>(55.3,</w:t>
            </w:r>
            <w:r w:rsidRPr="001A4CDD">
              <w:rPr>
                <w:spacing w:val="-2"/>
              </w:rPr>
              <w:t xml:space="preserve"> 77.9)</w:t>
            </w:r>
          </w:p>
        </w:tc>
        <w:tc>
          <w:tcPr>
            <w:tcW w:w="1559" w:type="dxa"/>
            <w:tcBorders>
              <w:top w:val="single" w:sz="4" w:space="0" w:color="auto"/>
              <w:left w:val="single" w:sz="4" w:space="0" w:color="auto"/>
              <w:bottom w:val="single" w:sz="4" w:space="0" w:color="auto"/>
              <w:right w:val="single" w:sz="4" w:space="0" w:color="auto"/>
            </w:tcBorders>
            <w:hideMark/>
          </w:tcPr>
          <w:p w14:paraId="4F0F6B79" w14:textId="77777777" w:rsidR="00327047" w:rsidRPr="001A4CDD" w:rsidRDefault="00327047" w:rsidP="00A12328">
            <w:pPr>
              <w:pStyle w:val="Tabletext"/>
              <w:keepNext/>
              <w:jc w:val="center"/>
            </w:pPr>
            <w:r w:rsidRPr="001A4CDD">
              <w:t>58.6</w:t>
            </w:r>
            <w:r w:rsidRPr="001A4CDD">
              <w:rPr>
                <w:spacing w:val="-4"/>
              </w:rPr>
              <w:t xml:space="preserve"> </w:t>
            </w:r>
            <w:r w:rsidRPr="001A4CDD">
              <w:t>(45.1,</w:t>
            </w:r>
            <w:r w:rsidRPr="001A4CDD">
              <w:rPr>
                <w:spacing w:val="-2"/>
              </w:rPr>
              <w:t xml:space="preserve"> 69.8)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AEF67" w14:textId="77777777" w:rsidR="00327047" w:rsidRPr="001A4CDD" w:rsidRDefault="00327047" w:rsidP="00A12328">
            <w:pPr>
              <w:keepNext/>
              <w:jc w:val="left"/>
              <w:rPr>
                <w:rFonts w:ascii="Arial Narrow" w:hAnsi="Arial Narrow" w:cs="Times New Roman"/>
                <w:sz w:val="20"/>
              </w:rPr>
            </w:pPr>
          </w:p>
        </w:tc>
      </w:tr>
      <w:tr w:rsidR="001A4CDD" w:rsidRPr="001A4CDD" w14:paraId="0584F107"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17CAB2FB" w14:textId="77777777" w:rsidR="00327047" w:rsidRPr="001A4CDD" w:rsidRDefault="00327047" w:rsidP="00A12328">
            <w:pPr>
              <w:pStyle w:val="Tabletext"/>
              <w:keepNext/>
            </w:pPr>
            <w:r w:rsidRPr="001A4CDD">
              <w:t>Physical function</w:t>
            </w:r>
          </w:p>
        </w:tc>
        <w:tc>
          <w:tcPr>
            <w:tcW w:w="1163" w:type="dxa"/>
            <w:tcBorders>
              <w:top w:val="single" w:sz="4" w:space="0" w:color="auto"/>
              <w:left w:val="single" w:sz="4" w:space="0" w:color="auto"/>
              <w:bottom w:val="single" w:sz="4" w:space="0" w:color="auto"/>
              <w:right w:val="single" w:sz="4" w:space="0" w:color="auto"/>
            </w:tcBorders>
            <w:hideMark/>
          </w:tcPr>
          <w:p w14:paraId="56410958"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18105DB9" w14:textId="77777777" w:rsidR="00327047" w:rsidRPr="001A4CDD" w:rsidRDefault="00327047" w:rsidP="00A12328">
            <w:pPr>
              <w:pStyle w:val="Tabletext"/>
              <w:keepNext/>
              <w:jc w:val="center"/>
            </w:pPr>
            <w:r w:rsidRPr="001A4CDD">
              <w:t>130</w:t>
            </w:r>
          </w:p>
        </w:tc>
        <w:tc>
          <w:tcPr>
            <w:tcW w:w="1276" w:type="dxa"/>
            <w:tcBorders>
              <w:top w:val="single" w:sz="4" w:space="0" w:color="auto"/>
              <w:left w:val="single" w:sz="4" w:space="0" w:color="auto"/>
              <w:bottom w:val="single" w:sz="4" w:space="0" w:color="auto"/>
              <w:right w:val="single" w:sz="4" w:space="0" w:color="auto"/>
            </w:tcBorders>
            <w:hideMark/>
          </w:tcPr>
          <w:p w14:paraId="46E83323" w14:textId="77777777" w:rsidR="00327047" w:rsidRPr="001A4CDD" w:rsidRDefault="00327047" w:rsidP="00A12328">
            <w:pPr>
              <w:pStyle w:val="Tabletext"/>
              <w:keepNext/>
              <w:jc w:val="center"/>
            </w:pPr>
            <w:r w:rsidRPr="001A4CDD">
              <w:t>56 (43.1)</w:t>
            </w:r>
          </w:p>
        </w:tc>
        <w:tc>
          <w:tcPr>
            <w:tcW w:w="1701" w:type="dxa"/>
            <w:tcBorders>
              <w:top w:val="single" w:sz="4" w:space="0" w:color="auto"/>
              <w:left w:val="single" w:sz="4" w:space="0" w:color="auto"/>
              <w:bottom w:val="single" w:sz="4" w:space="0" w:color="auto"/>
              <w:right w:val="single" w:sz="4" w:space="0" w:color="auto"/>
            </w:tcBorders>
            <w:hideMark/>
          </w:tcPr>
          <w:p w14:paraId="54FE90A4" w14:textId="77777777" w:rsidR="00327047" w:rsidRPr="001A4CDD" w:rsidRDefault="00327047" w:rsidP="00A12328">
            <w:pPr>
              <w:pStyle w:val="Tabletext"/>
              <w:keepNext/>
              <w:jc w:val="center"/>
            </w:pPr>
            <w:r w:rsidRPr="001A4CDD">
              <w:t>68.9</w:t>
            </w:r>
            <w:r w:rsidRPr="001A4CDD">
              <w:rPr>
                <w:spacing w:val="-4"/>
              </w:rPr>
              <w:t xml:space="preserve"> </w:t>
            </w:r>
            <w:r w:rsidRPr="001A4CDD">
              <w:t>(60.0,</w:t>
            </w:r>
            <w:r w:rsidRPr="001A4CDD">
              <w:rPr>
                <w:spacing w:val="-2"/>
              </w:rPr>
              <w:t xml:space="preserve"> 76.3)</w:t>
            </w:r>
          </w:p>
        </w:tc>
        <w:tc>
          <w:tcPr>
            <w:tcW w:w="1559" w:type="dxa"/>
            <w:tcBorders>
              <w:top w:val="single" w:sz="4" w:space="0" w:color="auto"/>
              <w:left w:val="single" w:sz="4" w:space="0" w:color="auto"/>
              <w:bottom w:val="single" w:sz="4" w:space="0" w:color="auto"/>
              <w:right w:val="single" w:sz="4" w:space="0" w:color="auto"/>
            </w:tcBorders>
            <w:hideMark/>
          </w:tcPr>
          <w:p w14:paraId="44FFD5FE" w14:textId="77777777" w:rsidR="00327047" w:rsidRPr="001A4CDD" w:rsidRDefault="00327047" w:rsidP="00A12328">
            <w:pPr>
              <w:pStyle w:val="Tabletext"/>
              <w:keepNext/>
              <w:jc w:val="center"/>
            </w:pPr>
            <w:r w:rsidRPr="001A4CDD">
              <w:t>64.8</w:t>
            </w:r>
            <w:r w:rsidRPr="001A4CDD">
              <w:rPr>
                <w:spacing w:val="-4"/>
              </w:rPr>
              <w:t xml:space="preserve"> </w:t>
            </w:r>
            <w:r w:rsidRPr="001A4CDD">
              <w:t>(55.7,</w:t>
            </w:r>
            <w:r w:rsidRPr="001A4CDD">
              <w:rPr>
                <w:spacing w:val="-3"/>
              </w:rPr>
              <w:t xml:space="preserve"> </w:t>
            </w:r>
            <w:r w:rsidRPr="001A4CDD">
              <w:rPr>
                <w:spacing w:val="-2"/>
              </w:rPr>
              <w:t>72.5)</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25C15920" w14:textId="77777777" w:rsidR="00327047" w:rsidRPr="001A4CDD" w:rsidRDefault="00327047" w:rsidP="00A12328">
            <w:pPr>
              <w:pStyle w:val="Tabletext"/>
              <w:keepNext/>
              <w:jc w:val="center"/>
            </w:pPr>
            <w:r w:rsidRPr="001A4CDD">
              <w:t>1.06 (0.65, 1.71)</w:t>
            </w:r>
          </w:p>
        </w:tc>
      </w:tr>
      <w:tr w:rsidR="001A4CDD" w:rsidRPr="001A4CDD" w14:paraId="18A9769C"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1F4932"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4347F116"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39F89E60" w14:textId="77777777" w:rsidR="00327047" w:rsidRPr="001A4CDD" w:rsidRDefault="00327047" w:rsidP="00A12328">
            <w:pPr>
              <w:pStyle w:val="Tabletext"/>
              <w:keepNext/>
              <w:jc w:val="center"/>
            </w:pPr>
            <w:r w:rsidRPr="001A4CDD">
              <w:t>68</w:t>
            </w:r>
          </w:p>
        </w:tc>
        <w:tc>
          <w:tcPr>
            <w:tcW w:w="1276" w:type="dxa"/>
            <w:tcBorders>
              <w:top w:val="single" w:sz="4" w:space="0" w:color="auto"/>
              <w:left w:val="single" w:sz="4" w:space="0" w:color="auto"/>
              <w:bottom w:val="single" w:sz="4" w:space="0" w:color="auto"/>
              <w:right w:val="single" w:sz="4" w:space="0" w:color="auto"/>
            </w:tcBorders>
            <w:hideMark/>
          </w:tcPr>
          <w:p w14:paraId="11E0AA5C" w14:textId="77777777" w:rsidR="00327047" w:rsidRPr="001A4CDD" w:rsidRDefault="00327047" w:rsidP="00A12328">
            <w:pPr>
              <w:pStyle w:val="Tabletext"/>
              <w:keepNext/>
              <w:jc w:val="center"/>
            </w:pPr>
            <w:r w:rsidRPr="001A4CDD">
              <w:t>24 (35.3)</w:t>
            </w:r>
          </w:p>
        </w:tc>
        <w:tc>
          <w:tcPr>
            <w:tcW w:w="1701" w:type="dxa"/>
            <w:tcBorders>
              <w:top w:val="single" w:sz="4" w:space="0" w:color="auto"/>
              <w:left w:val="single" w:sz="4" w:space="0" w:color="auto"/>
              <w:bottom w:val="single" w:sz="4" w:space="0" w:color="auto"/>
              <w:right w:val="single" w:sz="4" w:space="0" w:color="auto"/>
            </w:tcBorders>
            <w:hideMark/>
          </w:tcPr>
          <w:p w14:paraId="72F44AF5" w14:textId="77777777" w:rsidR="00327047" w:rsidRPr="001A4CDD" w:rsidRDefault="00327047" w:rsidP="00A12328">
            <w:pPr>
              <w:pStyle w:val="Tabletext"/>
              <w:keepNext/>
              <w:jc w:val="center"/>
            </w:pPr>
            <w:r w:rsidRPr="001A4CDD">
              <w:t>74.1</w:t>
            </w:r>
            <w:r w:rsidRPr="001A4CDD">
              <w:rPr>
                <w:spacing w:val="-4"/>
              </w:rPr>
              <w:t xml:space="preserve"> </w:t>
            </w:r>
            <w:r w:rsidRPr="001A4CDD">
              <w:t>(61.7,</w:t>
            </w:r>
            <w:r w:rsidRPr="001A4CDD">
              <w:rPr>
                <w:spacing w:val="-2"/>
              </w:rPr>
              <w:t xml:space="preserve"> 83.1)</w:t>
            </w:r>
          </w:p>
        </w:tc>
        <w:tc>
          <w:tcPr>
            <w:tcW w:w="1559" w:type="dxa"/>
            <w:tcBorders>
              <w:top w:val="single" w:sz="4" w:space="0" w:color="auto"/>
              <w:left w:val="single" w:sz="4" w:space="0" w:color="auto"/>
              <w:bottom w:val="single" w:sz="4" w:space="0" w:color="auto"/>
              <w:right w:val="single" w:sz="4" w:space="0" w:color="auto"/>
            </w:tcBorders>
            <w:hideMark/>
          </w:tcPr>
          <w:p w14:paraId="20EC9A68" w14:textId="77777777" w:rsidR="00327047" w:rsidRPr="001A4CDD" w:rsidRDefault="00327047" w:rsidP="00A12328">
            <w:pPr>
              <w:pStyle w:val="Tabletext"/>
              <w:keepNext/>
              <w:jc w:val="center"/>
            </w:pPr>
            <w:r w:rsidRPr="001A4CDD">
              <w:t>70.3</w:t>
            </w:r>
            <w:r w:rsidRPr="001A4CDD">
              <w:rPr>
                <w:spacing w:val="-4"/>
              </w:rPr>
              <w:t xml:space="preserve"> </w:t>
            </w:r>
            <w:r w:rsidRPr="001A4CDD">
              <w:t>(57.3,</w:t>
            </w:r>
            <w:r w:rsidRPr="001A4CDD">
              <w:rPr>
                <w:spacing w:val="-2"/>
              </w:rPr>
              <w:t xml:space="preserve"> 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C55EF" w14:textId="77777777" w:rsidR="00327047" w:rsidRPr="001A4CDD" w:rsidRDefault="00327047" w:rsidP="00A12328">
            <w:pPr>
              <w:keepNext/>
              <w:jc w:val="left"/>
              <w:rPr>
                <w:rFonts w:ascii="Arial Narrow" w:hAnsi="Arial Narrow" w:cs="Times New Roman"/>
                <w:sz w:val="20"/>
              </w:rPr>
            </w:pPr>
          </w:p>
        </w:tc>
      </w:tr>
      <w:tr w:rsidR="001A4CDD" w:rsidRPr="001A4CDD" w14:paraId="52EB370A"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38380EC5" w14:textId="77777777" w:rsidR="00327047" w:rsidRPr="001A4CDD" w:rsidRDefault="00327047" w:rsidP="00A12328">
            <w:pPr>
              <w:pStyle w:val="Tabletext"/>
              <w:keepNext/>
            </w:pPr>
            <w:r w:rsidRPr="001A4CDD">
              <w:t>Fatigue</w:t>
            </w:r>
          </w:p>
        </w:tc>
        <w:tc>
          <w:tcPr>
            <w:tcW w:w="1163" w:type="dxa"/>
            <w:tcBorders>
              <w:top w:val="single" w:sz="4" w:space="0" w:color="auto"/>
              <w:left w:val="single" w:sz="4" w:space="0" w:color="auto"/>
              <w:bottom w:val="single" w:sz="4" w:space="0" w:color="auto"/>
              <w:right w:val="single" w:sz="4" w:space="0" w:color="auto"/>
            </w:tcBorders>
            <w:hideMark/>
          </w:tcPr>
          <w:p w14:paraId="599B7C13"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3CF3BCF2" w14:textId="77777777" w:rsidR="00327047" w:rsidRPr="001A4CDD" w:rsidRDefault="00327047" w:rsidP="00A12328">
            <w:pPr>
              <w:pStyle w:val="Tabletext"/>
              <w:keepNext/>
              <w:jc w:val="center"/>
            </w:pPr>
            <w:r w:rsidRPr="001A4CDD">
              <w:t>130</w:t>
            </w:r>
          </w:p>
        </w:tc>
        <w:tc>
          <w:tcPr>
            <w:tcW w:w="1276" w:type="dxa"/>
            <w:tcBorders>
              <w:top w:val="single" w:sz="4" w:space="0" w:color="auto"/>
              <w:left w:val="single" w:sz="4" w:space="0" w:color="auto"/>
              <w:bottom w:val="single" w:sz="4" w:space="0" w:color="auto"/>
              <w:right w:val="single" w:sz="4" w:space="0" w:color="auto"/>
            </w:tcBorders>
            <w:hideMark/>
          </w:tcPr>
          <w:p w14:paraId="6DA453CC" w14:textId="77777777" w:rsidR="00327047" w:rsidRPr="001A4CDD" w:rsidRDefault="00327047" w:rsidP="00A12328">
            <w:pPr>
              <w:pStyle w:val="Tabletext"/>
              <w:keepNext/>
              <w:jc w:val="center"/>
            </w:pPr>
            <w:r w:rsidRPr="001A4CDD">
              <w:t>84 (64.6)</w:t>
            </w:r>
          </w:p>
        </w:tc>
        <w:tc>
          <w:tcPr>
            <w:tcW w:w="1701" w:type="dxa"/>
            <w:tcBorders>
              <w:top w:val="single" w:sz="4" w:space="0" w:color="auto"/>
              <w:left w:val="single" w:sz="4" w:space="0" w:color="auto"/>
              <w:bottom w:val="single" w:sz="4" w:space="0" w:color="auto"/>
              <w:right w:val="single" w:sz="4" w:space="0" w:color="auto"/>
            </w:tcBorders>
            <w:hideMark/>
          </w:tcPr>
          <w:p w14:paraId="542FA8AD" w14:textId="77777777" w:rsidR="00327047" w:rsidRPr="001A4CDD" w:rsidRDefault="00327047" w:rsidP="00A12328">
            <w:pPr>
              <w:pStyle w:val="Tabletext"/>
              <w:keepNext/>
              <w:jc w:val="center"/>
            </w:pPr>
            <w:r w:rsidRPr="001A4CDD">
              <w:t>46.9</w:t>
            </w:r>
            <w:r w:rsidRPr="001A4CDD">
              <w:rPr>
                <w:spacing w:val="-4"/>
              </w:rPr>
              <w:t xml:space="preserve"> </w:t>
            </w:r>
            <w:r w:rsidRPr="001A4CDD">
              <w:t>(38.0,</w:t>
            </w:r>
            <w:r w:rsidRPr="001A4CDD">
              <w:rPr>
                <w:spacing w:val="-2"/>
              </w:rPr>
              <w:t xml:space="preserve"> 55.3)</w:t>
            </w:r>
          </w:p>
        </w:tc>
        <w:tc>
          <w:tcPr>
            <w:tcW w:w="1559" w:type="dxa"/>
            <w:tcBorders>
              <w:top w:val="single" w:sz="4" w:space="0" w:color="auto"/>
              <w:left w:val="single" w:sz="4" w:space="0" w:color="auto"/>
              <w:bottom w:val="single" w:sz="4" w:space="0" w:color="auto"/>
              <w:right w:val="single" w:sz="4" w:space="0" w:color="auto"/>
            </w:tcBorders>
            <w:hideMark/>
          </w:tcPr>
          <w:p w14:paraId="4366E085" w14:textId="77777777" w:rsidR="00327047" w:rsidRPr="001A4CDD" w:rsidRDefault="00327047" w:rsidP="00A12328">
            <w:pPr>
              <w:pStyle w:val="Tabletext"/>
              <w:keepNext/>
              <w:jc w:val="center"/>
            </w:pPr>
            <w:r w:rsidRPr="001A4CDD">
              <w:t>42.6</w:t>
            </w:r>
            <w:r w:rsidRPr="001A4CDD">
              <w:rPr>
                <w:spacing w:val="-4"/>
              </w:rPr>
              <w:t xml:space="preserve"> </w:t>
            </w:r>
            <w:r w:rsidRPr="001A4CDD">
              <w:t>(33.8,</w:t>
            </w:r>
            <w:r w:rsidRPr="001A4CDD">
              <w:rPr>
                <w:spacing w:val="-2"/>
              </w:rPr>
              <w:t xml:space="preserve"> 51.1)</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5CC028D4" w14:textId="77777777" w:rsidR="00327047" w:rsidRPr="001A4CDD" w:rsidRDefault="00327047" w:rsidP="00A12328">
            <w:pPr>
              <w:pStyle w:val="Tabletext"/>
              <w:keepNext/>
              <w:jc w:val="center"/>
            </w:pPr>
            <w:r w:rsidRPr="001A4CDD">
              <w:t>1.23 (0.85, 1.80)</w:t>
            </w:r>
          </w:p>
        </w:tc>
      </w:tr>
      <w:tr w:rsidR="001A4CDD" w:rsidRPr="001A4CDD" w14:paraId="123EC05C"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AB554C"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5BF41634"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3E04C1AD" w14:textId="77777777" w:rsidR="00327047" w:rsidRPr="001A4CDD" w:rsidRDefault="00327047" w:rsidP="00A12328">
            <w:pPr>
              <w:pStyle w:val="Tabletext"/>
              <w:keepNext/>
              <w:jc w:val="center"/>
            </w:pPr>
            <w:r w:rsidRPr="001A4CDD">
              <w:t>68</w:t>
            </w:r>
          </w:p>
        </w:tc>
        <w:tc>
          <w:tcPr>
            <w:tcW w:w="1276" w:type="dxa"/>
            <w:tcBorders>
              <w:top w:val="single" w:sz="4" w:space="0" w:color="auto"/>
              <w:left w:val="single" w:sz="4" w:space="0" w:color="auto"/>
              <w:bottom w:val="single" w:sz="4" w:space="0" w:color="auto"/>
              <w:right w:val="single" w:sz="4" w:space="0" w:color="auto"/>
            </w:tcBorders>
            <w:hideMark/>
          </w:tcPr>
          <w:p w14:paraId="5786DC31" w14:textId="77777777" w:rsidR="00327047" w:rsidRPr="001A4CDD" w:rsidRDefault="00327047" w:rsidP="00A12328">
            <w:pPr>
              <w:pStyle w:val="Tabletext"/>
              <w:keepNext/>
              <w:jc w:val="center"/>
            </w:pPr>
            <w:r w:rsidRPr="001A4CDD">
              <w:t>37 (54.4)</w:t>
            </w:r>
          </w:p>
        </w:tc>
        <w:tc>
          <w:tcPr>
            <w:tcW w:w="1701" w:type="dxa"/>
            <w:tcBorders>
              <w:top w:val="single" w:sz="4" w:space="0" w:color="auto"/>
              <w:left w:val="single" w:sz="4" w:space="0" w:color="auto"/>
              <w:bottom w:val="single" w:sz="4" w:space="0" w:color="auto"/>
              <w:right w:val="single" w:sz="4" w:space="0" w:color="auto"/>
            </w:tcBorders>
            <w:hideMark/>
          </w:tcPr>
          <w:p w14:paraId="6BBA358A" w14:textId="77777777" w:rsidR="00327047" w:rsidRPr="001A4CDD" w:rsidRDefault="00327047" w:rsidP="00A12328">
            <w:pPr>
              <w:pStyle w:val="Tabletext"/>
              <w:keepNext/>
              <w:jc w:val="center"/>
            </w:pPr>
            <w:r w:rsidRPr="001A4CDD">
              <w:t>66.7</w:t>
            </w:r>
            <w:r w:rsidRPr="001A4CDD">
              <w:rPr>
                <w:spacing w:val="-4"/>
              </w:rPr>
              <w:t xml:space="preserve"> </w:t>
            </w:r>
            <w:r w:rsidRPr="001A4CDD">
              <w:t>(53.8,</w:t>
            </w:r>
            <w:r w:rsidRPr="001A4CDD">
              <w:rPr>
                <w:spacing w:val="-2"/>
              </w:rPr>
              <w:t xml:space="preserve"> 76.7)</w:t>
            </w:r>
          </w:p>
        </w:tc>
        <w:tc>
          <w:tcPr>
            <w:tcW w:w="1559" w:type="dxa"/>
            <w:tcBorders>
              <w:top w:val="single" w:sz="4" w:space="0" w:color="auto"/>
              <w:left w:val="single" w:sz="4" w:space="0" w:color="auto"/>
              <w:bottom w:val="single" w:sz="4" w:space="0" w:color="auto"/>
              <w:right w:val="single" w:sz="4" w:space="0" w:color="auto"/>
            </w:tcBorders>
            <w:hideMark/>
          </w:tcPr>
          <w:p w14:paraId="61A4E4FE" w14:textId="77777777" w:rsidR="00327047" w:rsidRPr="001A4CDD" w:rsidRDefault="00327047" w:rsidP="00A12328">
            <w:pPr>
              <w:pStyle w:val="Tabletext"/>
              <w:keepNext/>
              <w:jc w:val="center"/>
            </w:pPr>
            <w:r w:rsidRPr="001A4CDD">
              <w:t>51.3</w:t>
            </w:r>
            <w:r w:rsidRPr="001A4CDD">
              <w:rPr>
                <w:spacing w:val="-4"/>
              </w:rPr>
              <w:t xml:space="preserve"> </w:t>
            </w:r>
            <w:r w:rsidRPr="001A4CDD">
              <w:t>(37.9,</w:t>
            </w:r>
            <w:r w:rsidRPr="001A4CDD">
              <w:rPr>
                <w:spacing w:val="-2"/>
              </w:rPr>
              <w:t xml:space="preserve"> 63.2)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1D9D7" w14:textId="77777777" w:rsidR="00327047" w:rsidRPr="001A4CDD" w:rsidRDefault="00327047" w:rsidP="00A12328">
            <w:pPr>
              <w:keepNext/>
              <w:jc w:val="left"/>
              <w:rPr>
                <w:rFonts w:ascii="Arial Narrow" w:hAnsi="Arial Narrow" w:cs="Times New Roman"/>
                <w:sz w:val="20"/>
              </w:rPr>
            </w:pPr>
          </w:p>
        </w:tc>
      </w:tr>
      <w:tr w:rsidR="001A4CDD" w:rsidRPr="001A4CDD" w14:paraId="0FB5E8BE"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0C664631" w14:textId="77777777" w:rsidR="00327047" w:rsidRPr="001A4CDD" w:rsidRDefault="00327047" w:rsidP="00A12328">
            <w:pPr>
              <w:pStyle w:val="Tabletext"/>
              <w:keepNext/>
            </w:pPr>
            <w:r w:rsidRPr="001A4CDD">
              <w:t>Appetite loss</w:t>
            </w:r>
          </w:p>
        </w:tc>
        <w:tc>
          <w:tcPr>
            <w:tcW w:w="1163" w:type="dxa"/>
            <w:tcBorders>
              <w:top w:val="single" w:sz="4" w:space="0" w:color="auto"/>
              <w:left w:val="single" w:sz="4" w:space="0" w:color="auto"/>
              <w:bottom w:val="single" w:sz="4" w:space="0" w:color="auto"/>
              <w:right w:val="single" w:sz="4" w:space="0" w:color="auto"/>
            </w:tcBorders>
            <w:hideMark/>
          </w:tcPr>
          <w:p w14:paraId="4A9F8531"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64C575E6" w14:textId="77777777" w:rsidR="00327047" w:rsidRPr="001A4CDD" w:rsidRDefault="00327047" w:rsidP="00A12328">
            <w:pPr>
              <w:pStyle w:val="Tabletext"/>
              <w:keepNext/>
              <w:jc w:val="center"/>
            </w:pPr>
            <w:r w:rsidRPr="001A4CDD">
              <w:t>130</w:t>
            </w:r>
          </w:p>
        </w:tc>
        <w:tc>
          <w:tcPr>
            <w:tcW w:w="1276" w:type="dxa"/>
            <w:tcBorders>
              <w:top w:val="single" w:sz="4" w:space="0" w:color="auto"/>
              <w:left w:val="single" w:sz="4" w:space="0" w:color="auto"/>
              <w:bottom w:val="single" w:sz="4" w:space="0" w:color="auto"/>
              <w:right w:val="single" w:sz="4" w:space="0" w:color="auto"/>
            </w:tcBorders>
            <w:hideMark/>
          </w:tcPr>
          <w:p w14:paraId="0648F53D" w14:textId="77777777" w:rsidR="00327047" w:rsidRPr="001A4CDD" w:rsidRDefault="00327047" w:rsidP="00A12328">
            <w:pPr>
              <w:pStyle w:val="Tabletext"/>
              <w:keepNext/>
              <w:jc w:val="center"/>
            </w:pPr>
            <w:r w:rsidRPr="001A4CDD">
              <w:t>58 (44.6)</w:t>
            </w:r>
          </w:p>
        </w:tc>
        <w:tc>
          <w:tcPr>
            <w:tcW w:w="1701" w:type="dxa"/>
            <w:tcBorders>
              <w:top w:val="single" w:sz="4" w:space="0" w:color="auto"/>
              <w:left w:val="single" w:sz="4" w:space="0" w:color="auto"/>
              <w:bottom w:val="single" w:sz="4" w:space="0" w:color="auto"/>
              <w:right w:val="single" w:sz="4" w:space="0" w:color="auto"/>
            </w:tcBorders>
            <w:hideMark/>
          </w:tcPr>
          <w:p w14:paraId="37F4E23A" w14:textId="77777777" w:rsidR="00327047" w:rsidRPr="001A4CDD" w:rsidRDefault="00327047" w:rsidP="00A12328">
            <w:pPr>
              <w:pStyle w:val="Tabletext"/>
              <w:keepNext/>
              <w:jc w:val="center"/>
            </w:pPr>
            <w:r w:rsidRPr="001A4CDD">
              <w:t>69.8</w:t>
            </w:r>
            <w:r w:rsidRPr="001A4CDD">
              <w:rPr>
                <w:spacing w:val="-4"/>
              </w:rPr>
              <w:t xml:space="preserve"> </w:t>
            </w:r>
            <w:r w:rsidRPr="001A4CDD">
              <w:t>(60.9,</w:t>
            </w:r>
            <w:r w:rsidRPr="001A4CDD">
              <w:rPr>
                <w:spacing w:val="-2"/>
              </w:rPr>
              <w:t xml:space="preserve"> 77.0)</w:t>
            </w:r>
          </w:p>
        </w:tc>
        <w:tc>
          <w:tcPr>
            <w:tcW w:w="1559" w:type="dxa"/>
            <w:tcBorders>
              <w:top w:val="single" w:sz="4" w:space="0" w:color="auto"/>
              <w:left w:val="single" w:sz="4" w:space="0" w:color="auto"/>
              <w:bottom w:val="single" w:sz="4" w:space="0" w:color="auto"/>
              <w:right w:val="single" w:sz="4" w:space="0" w:color="auto"/>
            </w:tcBorders>
            <w:hideMark/>
          </w:tcPr>
          <w:p w14:paraId="4897A655" w14:textId="77777777" w:rsidR="00327047" w:rsidRPr="001A4CDD" w:rsidRDefault="00327047" w:rsidP="00A12328">
            <w:pPr>
              <w:pStyle w:val="Tabletext"/>
              <w:keepNext/>
              <w:jc w:val="center"/>
            </w:pPr>
            <w:r w:rsidRPr="001A4CDD">
              <w:t>64.7</w:t>
            </w:r>
            <w:r w:rsidRPr="001A4CDD">
              <w:rPr>
                <w:spacing w:val="-4"/>
              </w:rPr>
              <w:t xml:space="preserve"> </w:t>
            </w:r>
            <w:r w:rsidRPr="001A4CDD">
              <w:t>(55.6,</w:t>
            </w:r>
            <w:r w:rsidRPr="001A4CDD">
              <w:rPr>
                <w:spacing w:val="-2"/>
              </w:rPr>
              <w:t xml:space="preserve"> 72.4)</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7CD4EDDB" w14:textId="77777777" w:rsidR="00327047" w:rsidRPr="001A4CDD" w:rsidRDefault="00327047" w:rsidP="00A12328">
            <w:pPr>
              <w:pStyle w:val="Tabletext"/>
              <w:keepNext/>
              <w:jc w:val="center"/>
            </w:pPr>
            <w:r w:rsidRPr="001A4CDD">
              <w:t>1.00 (0.63, 1.58)</w:t>
            </w:r>
          </w:p>
        </w:tc>
      </w:tr>
      <w:tr w:rsidR="001A4CDD" w:rsidRPr="001A4CDD" w14:paraId="64CFFE47"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E7001"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4F0BABEE"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0DCFB3F0" w14:textId="77777777" w:rsidR="00327047" w:rsidRPr="001A4CDD" w:rsidRDefault="00327047" w:rsidP="00A12328">
            <w:pPr>
              <w:pStyle w:val="Tabletext"/>
              <w:keepNext/>
              <w:jc w:val="center"/>
            </w:pPr>
            <w:r w:rsidRPr="001A4CDD">
              <w:t>68</w:t>
            </w:r>
          </w:p>
        </w:tc>
        <w:tc>
          <w:tcPr>
            <w:tcW w:w="1276" w:type="dxa"/>
            <w:tcBorders>
              <w:top w:val="single" w:sz="4" w:space="0" w:color="auto"/>
              <w:left w:val="single" w:sz="4" w:space="0" w:color="auto"/>
              <w:bottom w:val="single" w:sz="4" w:space="0" w:color="auto"/>
              <w:right w:val="single" w:sz="4" w:space="0" w:color="auto"/>
            </w:tcBorders>
            <w:hideMark/>
          </w:tcPr>
          <w:p w14:paraId="7436B5EE" w14:textId="77777777" w:rsidR="00327047" w:rsidRPr="001A4CDD" w:rsidRDefault="00327047" w:rsidP="00A12328">
            <w:pPr>
              <w:pStyle w:val="Tabletext"/>
              <w:keepNext/>
              <w:jc w:val="center"/>
            </w:pPr>
            <w:r w:rsidRPr="001A4CDD">
              <w:t>28 (41.2)</w:t>
            </w:r>
          </w:p>
        </w:tc>
        <w:tc>
          <w:tcPr>
            <w:tcW w:w="1701" w:type="dxa"/>
            <w:tcBorders>
              <w:top w:val="single" w:sz="4" w:space="0" w:color="auto"/>
              <w:left w:val="single" w:sz="4" w:space="0" w:color="auto"/>
              <w:bottom w:val="single" w:sz="4" w:space="0" w:color="auto"/>
              <w:right w:val="single" w:sz="4" w:space="0" w:color="auto"/>
            </w:tcBorders>
            <w:hideMark/>
          </w:tcPr>
          <w:p w14:paraId="71EE710E" w14:textId="77777777" w:rsidR="00327047" w:rsidRPr="001A4CDD" w:rsidRDefault="00327047" w:rsidP="00A12328">
            <w:pPr>
              <w:pStyle w:val="Tabletext"/>
              <w:keepNext/>
              <w:jc w:val="center"/>
            </w:pPr>
            <w:r w:rsidRPr="001A4CDD">
              <w:t>84.7</w:t>
            </w:r>
            <w:r w:rsidRPr="001A4CDD">
              <w:rPr>
                <w:spacing w:val="-4"/>
              </w:rPr>
              <w:t xml:space="preserve"> </w:t>
            </w:r>
            <w:r w:rsidRPr="001A4CDD">
              <w:t>(73.5,</w:t>
            </w:r>
            <w:r w:rsidRPr="001A4CDD">
              <w:rPr>
                <w:spacing w:val="-2"/>
              </w:rPr>
              <w:t xml:space="preserve"> 91.5)</w:t>
            </w:r>
          </w:p>
        </w:tc>
        <w:tc>
          <w:tcPr>
            <w:tcW w:w="1559" w:type="dxa"/>
            <w:tcBorders>
              <w:top w:val="single" w:sz="4" w:space="0" w:color="auto"/>
              <w:left w:val="single" w:sz="4" w:space="0" w:color="auto"/>
              <w:bottom w:val="single" w:sz="4" w:space="0" w:color="auto"/>
              <w:right w:val="single" w:sz="4" w:space="0" w:color="auto"/>
            </w:tcBorders>
            <w:hideMark/>
          </w:tcPr>
          <w:p w14:paraId="63742131" w14:textId="77777777" w:rsidR="00327047" w:rsidRPr="001A4CDD" w:rsidRDefault="00327047" w:rsidP="00A12328">
            <w:pPr>
              <w:pStyle w:val="Tabletext"/>
              <w:keepNext/>
              <w:jc w:val="center"/>
            </w:pPr>
            <w:r w:rsidRPr="001A4CDD">
              <w:t>61.7</w:t>
            </w:r>
            <w:r w:rsidRPr="001A4CDD">
              <w:rPr>
                <w:spacing w:val="-4"/>
              </w:rPr>
              <w:t xml:space="preserve"> </w:t>
            </w:r>
            <w:r w:rsidRPr="001A4CDD">
              <w:t>(47.4,</w:t>
            </w:r>
            <w:r w:rsidRPr="001A4CDD">
              <w:rPr>
                <w:spacing w:val="-2"/>
              </w:rPr>
              <w:t xml:space="preserve"> 73.1)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A3F6C" w14:textId="77777777" w:rsidR="00327047" w:rsidRPr="001A4CDD" w:rsidRDefault="00327047" w:rsidP="00A12328">
            <w:pPr>
              <w:keepNext/>
              <w:jc w:val="left"/>
              <w:rPr>
                <w:rFonts w:ascii="Arial Narrow" w:hAnsi="Arial Narrow" w:cs="Times New Roman"/>
                <w:sz w:val="20"/>
              </w:rPr>
            </w:pPr>
          </w:p>
        </w:tc>
      </w:tr>
      <w:tr w:rsidR="001A4CDD" w:rsidRPr="001A4CDD" w14:paraId="59EC7ED5" w14:textId="77777777" w:rsidTr="00327047">
        <w:trPr>
          <w:jc w:val="center"/>
        </w:trPr>
        <w:tc>
          <w:tcPr>
            <w:tcW w:w="1413" w:type="dxa"/>
            <w:tcBorders>
              <w:top w:val="single" w:sz="4" w:space="0" w:color="auto"/>
              <w:left w:val="single" w:sz="4" w:space="0" w:color="auto"/>
              <w:bottom w:val="single" w:sz="4" w:space="0" w:color="auto"/>
              <w:right w:val="nil"/>
            </w:tcBorders>
            <w:hideMark/>
          </w:tcPr>
          <w:p w14:paraId="1A5AE74D" w14:textId="61474248" w:rsidR="00327047" w:rsidRPr="00290D74" w:rsidRDefault="00327047" w:rsidP="00A12328">
            <w:pPr>
              <w:pStyle w:val="Tabletext"/>
              <w:keepNext/>
              <w:rPr>
                <w:b/>
                <w:vertAlign w:val="superscript"/>
              </w:rPr>
            </w:pPr>
            <w:r w:rsidRPr="001A4CDD">
              <w:rPr>
                <w:b/>
              </w:rPr>
              <w:t>QLQ-LC</w:t>
            </w:r>
            <w:r w:rsidR="00290D74">
              <w:rPr>
                <w:b/>
              </w:rPr>
              <w:t>1</w:t>
            </w:r>
            <w:r w:rsidRPr="001A4CDD">
              <w:rPr>
                <w:b/>
              </w:rPr>
              <w:t>3</w:t>
            </w:r>
            <w:r w:rsidR="00290D74">
              <w:rPr>
                <w:b/>
                <w:vertAlign w:val="superscript"/>
              </w:rPr>
              <w:t>b</w:t>
            </w:r>
          </w:p>
        </w:tc>
        <w:tc>
          <w:tcPr>
            <w:tcW w:w="1163" w:type="dxa"/>
            <w:tcBorders>
              <w:top w:val="single" w:sz="4" w:space="0" w:color="auto"/>
              <w:left w:val="nil"/>
              <w:bottom w:val="single" w:sz="4" w:space="0" w:color="auto"/>
              <w:right w:val="nil"/>
            </w:tcBorders>
          </w:tcPr>
          <w:p w14:paraId="2C6831F7" w14:textId="77777777" w:rsidR="00327047" w:rsidRPr="001A4CDD" w:rsidRDefault="00327047" w:rsidP="00A12328">
            <w:pPr>
              <w:pStyle w:val="Tabletext"/>
              <w:keepNext/>
            </w:pPr>
          </w:p>
        </w:tc>
        <w:tc>
          <w:tcPr>
            <w:tcW w:w="538" w:type="dxa"/>
            <w:tcBorders>
              <w:top w:val="single" w:sz="4" w:space="0" w:color="auto"/>
              <w:left w:val="nil"/>
              <w:bottom w:val="single" w:sz="4" w:space="0" w:color="auto"/>
              <w:right w:val="nil"/>
            </w:tcBorders>
          </w:tcPr>
          <w:p w14:paraId="3451A507" w14:textId="77777777" w:rsidR="00327047" w:rsidRPr="001A4CDD" w:rsidRDefault="00327047" w:rsidP="00A12328">
            <w:pPr>
              <w:pStyle w:val="Tabletext"/>
              <w:keepNext/>
              <w:jc w:val="center"/>
            </w:pPr>
          </w:p>
        </w:tc>
        <w:tc>
          <w:tcPr>
            <w:tcW w:w="1276" w:type="dxa"/>
            <w:tcBorders>
              <w:top w:val="single" w:sz="4" w:space="0" w:color="auto"/>
              <w:left w:val="nil"/>
              <w:bottom w:val="single" w:sz="4" w:space="0" w:color="auto"/>
              <w:right w:val="nil"/>
            </w:tcBorders>
          </w:tcPr>
          <w:p w14:paraId="3B34BE48" w14:textId="77777777" w:rsidR="00327047" w:rsidRPr="001A4CDD" w:rsidRDefault="00327047" w:rsidP="00A12328">
            <w:pPr>
              <w:pStyle w:val="Tabletext"/>
              <w:keepNext/>
              <w:jc w:val="center"/>
            </w:pPr>
          </w:p>
        </w:tc>
        <w:tc>
          <w:tcPr>
            <w:tcW w:w="1701" w:type="dxa"/>
            <w:tcBorders>
              <w:top w:val="single" w:sz="4" w:space="0" w:color="auto"/>
              <w:left w:val="nil"/>
              <w:bottom w:val="single" w:sz="4" w:space="0" w:color="auto"/>
              <w:right w:val="nil"/>
            </w:tcBorders>
          </w:tcPr>
          <w:p w14:paraId="7174A798" w14:textId="77777777" w:rsidR="00327047" w:rsidRPr="001A4CDD" w:rsidRDefault="00327047" w:rsidP="00A12328">
            <w:pPr>
              <w:pStyle w:val="Tabletext"/>
              <w:keepNext/>
              <w:jc w:val="center"/>
            </w:pPr>
          </w:p>
        </w:tc>
        <w:tc>
          <w:tcPr>
            <w:tcW w:w="1559" w:type="dxa"/>
            <w:tcBorders>
              <w:top w:val="single" w:sz="4" w:space="0" w:color="auto"/>
              <w:left w:val="nil"/>
              <w:bottom w:val="single" w:sz="4" w:space="0" w:color="auto"/>
              <w:right w:val="nil"/>
            </w:tcBorders>
          </w:tcPr>
          <w:p w14:paraId="234E7173" w14:textId="77777777" w:rsidR="00327047" w:rsidRPr="001A4CDD" w:rsidRDefault="00327047" w:rsidP="00A12328">
            <w:pPr>
              <w:pStyle w:val="Tabletext"/>
              <w:keepNext/>
              <w:jc w:val="center"/>
            </w:pPr>
          </w:p>
        </w:tc>
        <w:tc>
          <w:tcPr>
            <w:tcW w:w="1367" w:type="dxa"/>
            <w:tcBorders>
              <w:top w:val="single" w:sz="4" w:space="0" w:color="auto"/>
              <w:left w:val="nil"/>
              <w:bottom w:val="single" w:sz="4" w:space="0" w:color="auto"/>
              <w:right w:val="single" w:sz="4" w:space="0" w:color="auto"/>
            </w:tcBorders>
            <w:vAlign w:val="center"/>
          </w:tcPr>
          <w:p w14:paraId="13630CBE" w14:textId="77777777" w:rsidR="00327047" w:rsidRPr="001A4CDD" w:rsidRDefault="00327047" w:rsidP="00A12328">
            <w:pPr>
              <w:pStyle w:val="Tabletext"/>
              <w:keepNext/>
              <w:jc w:val="center"/>
            </w:pPr>
          </w:p>
        </w:tc>
      </w:tr>
      <w:tr w:rsidR="001A4CDD" w:rsidRPr="001A4CDD" w14:paraId="3CA8D101"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60CA98DA" w14:textId="77777777" w:rsidR="00327047" w:rsidRPr="001A4CDD" w:rsidRDefault="00327047" w:rsidP="00A12328">
            <w:pPr>
              <w:pStyle w:val="Tabletext"/>
              <w:keepNext/>
            </w:pPr>
            <w:r w:rsidRPr="001A4CDD">
              <w:t>Dyspnoea</w:t>
            </w:r>
          </w:p>
        </w:tc>
        <w:tc>
          <w:tcPr>
            <w:tcW w:w="1163" w:type="dxa"/>
            <w:tcBorders>
              <w:top w:val="single" w:sz="4" w:space="0" w:color="auto"/>
              <w:left w:val="single" w:sz="4" w:space="0" w:color="auto"/>
              <w:bottom w:val="single" w:sz="4" w:space="0" w:color="auto"/>
              <w:right w:val="single" w:sz="4" w:space="0" w:color="auto"/>
            </w:tcBorders>
            <w:hideMark/>
          </w:tcPr>
          <w:p w14:paraId="5756DD7A"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3A7B7BF2" w14:textId="77777777" w:rsidR="00327047" w:rsidRPr="001A4CDD" w:rsidRDefault="00327047" w:rsidP="00A12328">
            <w:pPr>
              <w:pStyle w:val="Tabletext"/>
              <w:keepNext/>
              <w:jc w:val="center"/>
            </w:pPr>
            <w:r w:rsidRPr="001A4CDD">
              <w:t>131</w:t>
            </w:r>
          </w:p>
        </w:tc>
        <w:tc>
          <w:tcPr>
            <w:tcW w:w="1276" w:type="dxa"/>
            <w:tcBorders>
              <w:top w:val="single" w:sz="4" w:space="0" w:color="auto"/>
              <w:left w:val="single" w:sz="4" w:space="0" w:color="auto"/>
              <w:bottom w:val="single" w:sz="4" w:space="0" w:color="auto"/>
              <w:right w:val="single" w:sz="4" w:space="0" w:color="auto"/>
            </w:tcBorders>
            <w:hideMark/>
          </w:tcPr>
          <w:p w14:paraId="2E4EB899" w14:textId="77777777" w:rsidR="00327047" w:rsidRPr="001A4CDD" w:rsidRDefault="00327047" w:rsidP="00A12328">
            <w:pPr>
              <w:pStyle w:val="Tabletext"/>
              <w:keepNext/>
              <w:jc w:val="center"/>
            </w:pPr>
            <w:r w:rsidRPr="001A4CDD">
              <w:t>96 (73.3)</w:t>
            </w:r>
          </w:p>
        </w:tc>
        <w:tc>
          <w:tcPr>
            <w:tcW w:w="1701" w:type="dxa"/>
            <w:tcBorders>
              <w:top w:val="single" w:sz="4" w:space="0" w:color="auto"/>
              <w:left w:val="single" w:sz="4" w:space="0" w:color="auto"/>
              <w:bottom w:val="single" w:sz="4" w:space="0" w:color="auto"/>
              <w:right w:val="single" w:sz="4" w:space="0" w:color="auto"/>
            </w:tcBorders>
            <w:hideMark/>
          </w:tcPr>
          <w:p w14:paraId="1D0C9C94" w14:textId="77777777" w:rsidR="00327047" w:rsidRPr="001A4CDD" w:rsidRDefault="00327047" w:rsidP="00A12328">
            <w:pPr>
              <w:pStyle w:val="Tabletext"/>
              <w:keepNext/>
              <w:jc w:val="center"/>
            </w:pPr>
            <w:r w:rsidRPr="001A4CDD">
              <w:t>33.2 (25.1, 41.4)</w:t>
            </w:r>
          </w:p>
        </w:tc>
        <w:tc>
          <w:tcPr>
            <w:tcW w:w="1559" w:type="dxa"/>
            <w:tcBorders>
              <w:top w:val="single" w:sz="4" w:space="0" w:color="auto"/>
              <w:left w:val="single" w:sz="4" w:space="0" w:color="auto"/>
              <w:bottom w:val="single" w:sz="4" w:space="0" w:color="auto"/>
              <w:right w:val="single" w:sz="4" w:space="0" w:color="auto"/>
            </w:tcBorders>
            <w:hideMark/>
          </w:tcPr>
          <w:p w14:paraId="07DF88D3" w14:textId="77777777" w:rsidR="00327047" w:rsidRPr="001A4CDD" w:rsidRDefault="00327047" w:rsidP="00A12328">
            <w:pPr>
              <w:pStyle w:val="Tabletext"/>
              <w:keepNext/>
              <w:jc w:val="center"/>
            </w:pPr>
            <w:r w:rsidRPr="001A4CDD">
              <w:t>26.9 (19.4, 35.0)</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2590BCD4" w14:textId="77777777" w:rsidR="00327047" w:rsidRPr="001A4CDD" w:rsidRDefault="00327047" w:rsidP="00A12328">
            <w:pPr>
              <w:pStyle w:val="Tabletext"/>
              <w:keepNext/>
              <w:jc w:val="center"/>
            </w:pPr>
            <w:r w:rsidRPr="001A4CDD">
              <w:t>1.30 (0.91, 1.86)</w:t>
            </w:r>
          </w:p>
        </w:tc>
      </w:tr>
      <w:tr w:rsidR="001A4CDD" w:rsidRPr="001A4CDD" w14:paraId="5EA6F9CB"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6F1D9"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0F58ED8C"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619DD3EC" w14:textId="77777777" w:rsidR="00327047" w:rsidRPr="001A4CDD" w:rsidRDefault="00327047" w:rsidP="00A12328">
            <w:pPr>
              <w:pStyle w:val="Tabletext"/>
              <w:keepNext/>
              <w:jc w:val="center"/>
            </w:pPr>
            <w:r w:rsidRPr="001A4CDD">
              <w:t>68</w:t>
            </w:r>
          </w:p>
        </w:tc>
        <w:tc>
          <w:tcPr>
            <w:tcW w:w="1276" w:type="dxa"/>
            <w:tcBorders>
              <w:top w:val="single" w:sz="4" w:space="0" w:color="auto"/>
              <w:left w:val="single" w:sz="4" w:space="0" w:color="auto"/>
              <w:bottom w:val="single" w:sz="4" w:space="0" w:color="auto"/>
              <w:right w:val="single" w:sz="4" w:space="0" w:color="auto"/>
            </w:tcBorders>
            <w:hideMark/>
          </w:tcPr>
          <w:p w14:paraId="7ED7EA2F" w14:textId="77777777" w:rsidR="00327047" w:rsidRPr="001A4CDD" w:rsidRDefault="00327047" w:rsidP="00A12328">
            <w:pPr>
              <w:pStyle w:val="Tabletext"/>
              <w:keepNext/>
              <w:jc w:val="center"/>
            </w:pPr>
            <w:r w:rsidRPr="001A4CDD">
              <w:t>40 (58.8)</w:t>
            </w:r>
          </w:p>
        </w:tc>
        <w:tc>
          <w:tcPr>
            <w:tcW w:w="1701" w:type="dxa"/>
            <w:tcBorders>
              <w:top w:val="single" w:sz="4" w:space="0" w:color="auto"/>
              <w:left w:val="single" w:sz="4" w:space="0" w:color="auto"/>
              <w:bottom w:val="single" w:sz="4" w:space="0" w:color="auto"/>
              <w:right w:val="single" w:sz="4" w:space="0" w:color="auto"/>
            </w:tcBorders>
            <w:hideMark/>
          </w:tcPr>
          <w:p w14:paraId="3C400B07" w14:textId="77777777" w:rsidR="00327047" w:rsidRPr="001A4CDD" w:rsidRDefault="00327047" w:rsidP="00A12328">
            <w:pPr>
              <w:pStyle w:val="Tabletext"/>
              <w:keepNext/>
              <w:jc w:val="center"/>
            </w:pPr>
            <w:r w:rsidRPr="001A4CDD">
              <w:t>49.8 (37.4, 61.0)</w:t>
            </w:r>
          </w:p>
        </w:tc>
        <w:tc>
          <w:tcPr>
            <w:tcW w:w="1559" w:type="dxa"/>
            <w:tcBorders>
              <w:top w:val="single" w:sz="4" w:space="0" w:color="auto"/>
              <w:left w:val="single" w:sz="4" w:space="0" w:color="auto"/>
              <w:bottom w:val="single" w:sz="4" w:space="0" w:color="auto"/>
              <w:right w:val="single" w:sz="4" w:space="0" w:color="auto"/>
            </w:tcBorders>
            <w:hideMark/>
          </w:tcPr>
          <w:p w14:paraId="7FF3F26A" w14:textId="77777777" w:rsidR="00327047" w:rsidRPr="001A4CDD" w:rsidRDefault="00327047" w:rsidP="00A12328">
            <w:pPr>
              <w:pStyle w:val="Tabletext"/>
              <w:keepNext/>
              <w:jc w:val="center"/>
            </w:pPr>
            <w:r w:rsidRPr="001A4CDD">
              <w:t>45.2 (32.6, 57.0)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7DBC5" w14:textId="77777777" w:rsidR="00327047" w:rsidRPr="001A4CDD" w:rsidRDefault="00327047" w:rsidP="00A12328">
            <w:pPr>
              <w:keepNext/>
              <w:jc w:val="left"/>
              <w:rPr>
                <w:rFonts w:ascii="Arial Narrow" w:hAnsi="Arial Narrow" w:cs="Times New Roman"/>
                <w:sz w:val="20"/>
              </w:rPr>
            </w:pPr>
          </w:p>
        </w:tc>
      </w:tr>
      <w:tr w:rsidR="001A4CDD" w:rsidRPr="001A4CDD" w14:paraId="42CB354E"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46C9C9CC" w14:textId="77777777" w:rsidR="00327047" w:rsidRPr="001A4CDD" w:rsidRDefault="00327047" w:rsidP="00A12328">
            <w:pPr>
              <w:pStyle w:val="Tabletext"/>
              <w:keepNext/>
            </w:pPr>
            <w:r w:rsidRPr="001A4CDD">
              <w:t>Coughing</w:t>
            </w:r>
          </w:p>
        </w:tc>
        <w:tc>
          <w:tcPr>
            <w:tcW w:w="1163" w:type="dxa"/>
            <w:tcBorders>
              <w:top w:val="single" w:sz="4" w:space="0" w:color="auto"/>
              <w:left w:val="single" w:sz="4" w:space="0" w:color="auto"/>
              <w:bottom w:val="single" w:sz="4" w:space="0" w:color="auto"/>
              <w:right w:val="single" w:sz="4" w:space="0" w:color="auto"/>
            </w:tcBorders>
            <w:hideMark/>
          </w:tcPr>
          <w:p w14:paraId="464F63E9"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6EB8C273" w14:textId="77777777" w:rsidR="00327047" w:rsidRPr="001A4CDD" w:rsidRDefault="00327047" w:rsidP="00A12328">
            <w:pPr>
              <w:pStyle w:val="Tabletext"/>
              <w:keepNext/>
              <w:jc w:val="center"/>
            </w:pPr>
            <w:r w:rsidRPr="001A4CDD">
              <w:t>130</w:t>
            </w:r>
          </w:p>
        </w:tc>
        <w:tc>
          <w:tcPr>
            <w:tcW w:w="1276" w:type="dxa"/>
            <w:tcBorders>
              <w:top w:val="single" w:sz="4" w:space="0" w:color="auto"/>
              <w:left w:val="single" w:sz="4" w:space="0" w:color="auto"/>
              <w:bottom w:val="single" w:sz="4" w:space="0" w:color="auto"/>
              <w:right w:val="single" w:sz="4" w:space="0" w:color="auto"/>
            </w:tcBorders>
            <w:hideMark/>
          </w:tcPr>
          <w:p w14:paraId="4108A9B1" w14:textId="77777777" w:rsidR="00327047" w:rsidRPr="001A4CDD" w:rsidRDefault="00327047" w:rsidP="00A12328">
            <w:pPr>
              <w:pStyle w:val="Tabletext"/>
              <w:keepNext/>
              <w:jc w:val="center"/>
            </w:pPr>
            <w:r w:rsidRPr="001A4CDD">
              <w:t>86 (66.2)</w:t>
            </w:r>
          </w:p>
        </w:tc>
        <w:tc>
          <w:tcPr>
            <w:tcW w:w="1701" w:type="dxa"/>
            <w:tcBorders>
              <w:top w:val="single" w:sz="4" w:space="0" w:color="auto"/>
              <w:left w:val="single" w:sz="4" w:space="0" w:color="auto"/>
              <w:bottom w:val="single" w:sz="4" w:space="0" w:color="auto"/>
              <w:right w:val="single" w:sz="4" w:space="0" w:color="auto"/>
            </w:tcBorders>
            <w:hideMark/>
          </w:tcPr>
          <w:p w14:paraId="0462C525" w14:textId="77777777" w:rsidR="00327047" w:rsidRPr="001A4CDD" w:rsidRDefault="00327047" w:rsidP="00A12328">
            <w:pPr>
              <w:pStyle w:val="Tabletext"/>
              <w:keepNext/>
              <w:jc w:val="center"/>
            </w:pPr>
            <w:r w:rsidRPr="001A4CDD">
              <w:t>43.4 (34.7, 51.8)</w:t>
            </w:r>
          </w:p>
        </w:tc>
        <w:tc>
          <w:tcPr>
            <w:tcW w:w="1559" w:type="dxa"/>
            <w:tcBorders>
              <w:top w:val="single" w:sz="4" w:space="0" w:color="auto"/>
              <w:left w:val="single" w:sz="4" w:space="0" w:color="auto"/>
              <w:bottom w:val="single" w:sz="4" w:space="0" w:color="auto"/>
              <w:right w:val="single" w:sz="4" w:space="0" w:color="auto"/>
            </w:tcBorders>
            <w:hideMark/>
          </w:tcPr>
          <w:p w14:paraId="5C31C7C0" w14:textId="77777777" w:rsidR="00327047" w:rsidRPr="001A4CDD" w:rsidRDefault="00327047" w:rsidP="00A12328">
            <w:pPr>
              <w:pStyle w:val="Tabletext"/>
              <w:keepNext/>
              <w:jc w:val="center"/>
            </w:pPr>
            <w:r w:rsidRPr="001A4CDD">
              <w:t>38.2 (29.8, 46.6)</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7CC8EA23" w14:textId="77777777" w:rsidR="00327047" w:rsidRPr="001A4CDD" w:rsidRDefault="00327047" w:rsidP="00A12328">
            <w:pPr>
              <w:pStyle w:val="Tabletext"/>
              <w:keepNext/>
              <w:jc w:val="center"/>
            </w:pPr>
            <w:r w:rsidRPr="001A4CDD">
              <w:t>1.17 (0.81, 1.71)</w:t>
            </w:r>
          </w:p>
        </w:tc>
      </w:tr>
      <w:tr w:rsidR="001A4CDD" w:rsidRPr="001A4CDD" w14:paraId="351E7D4C" w14:textId="77777777" w:rsidTr="00327047">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8BD18"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180AE756"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755988C2" w14:textId="77777777" w:rsidR="00327047" w:rsidRPr="001A4CDD" w:rsidRDefault="00327047" w:rsidP="00A12328">
            <w:pPr>
              <w:pStyle w:val="Tabletext"/>
              <w:keepNext/>
              <w:jc w:val="center"/>
            </w:pPr>
            <w:r w:rsidRPr="001A4CDD">
              <w:t>67</w:t>
            </w:r>
          </w:p>
        </w:tc>
        <w:tc>
          <w:tcPr>
            <w:tcW w:w="1276" w:type="dxa"/>
            <w:tcBorders>
              <w:top w:val="single" w:sz="4" w:space="0" w:color="auto"/>
              <w:left w:val="single" w:sz="4" w:space="0" w:color="auto"/>
              <w:bottom w:val="single" w:sz="4" w:space="0" w:color="auto"/>
              <w:right w:val="single" w:sz="4" w:space="0" w:color="auto"/>
            </w:tcBorders>
            <w:hideMark/>
          </w:tcPr>
          <w:p w14:paraId="06E0755D" w14:textId="77777777" w:rsidR="00327047" w:rsidRPr="001A4CDD" w:rsidRDefault="00327047" w:rsidP="00A12328">
            <w:pPr>
              <w:pStyle w:val="Tabletext"/>
              <w:keepNext/>
              <w:jc w:val="center"/>
            </w:pPr>
            <w:r w:rsidRPr="001A4CDD">
              <w:t>37 (55.2)</w:t>
            </w:r>
          </w:p>
        </w:tc>
        <w:tc>
          <w:tcPr>
            <w:tcW w:w="1701" w:type="dxa"/>
            <w:tcBorders>
              <w:top w:val="single" w:sz="4" w:space="0" w:color="auto"/>
              <w:left w:val="single" w:sz="4" w:space="0" w:color="auto"/>
              <w:bottom w:val="single" w:sz="4" w:space="0" w:color="auto"/>
              <w:right w:val="single" w:sz="4" w:space="0" w:color="auto"/>
            </w:tcBorders>
            <w:hideMark/>
          </w:tcPr>
          <w:p w14:paraId="6C032010" w14:textId="77777777" w:rsidR="00327047" w:rsidRPr="001A4CDD" w:rsidRDefault="00327047" w:rsidP="00A12328">
            <w:pPr>
              <w:pStyle w:val="Tabletext"/>
              <w:keepNext/>
              <w:jc w:val="center"/>
            </w:pPr>
            <w:r w:rsidRPr="001A4CDD">
              <w:t>48.2 (35.7, 59.6)</w:t>
            </w:r>
          </w:p>
        </w:tc>
        <w:tc>
          <w:tcPr>
            <w:tcW w:w="1559" w:type="dxa"/>
            <w:tcBorders>
              <w:top w:val="single" w:sz="4" w:space="0" w:color="auto"/>
              <w:left w:val="single" w:sz="4" w:space="0" w:color="auto"/>
              <w:bottom w:val="single" w:sz="4" w:space="0" w:color="auto"/>
              <w:right w:val="single" w:sz="4" w:space="0" w:color="auto"/>
            </w:tcBorders>
            <w:hideMark/>
          </w:tcPr>
          <w:p w14:paraId="4EF1F741" w14:textId="77777777" w:rsidR="00327047" w:rsidRPr="001A4CDD" w:rsidRDefault="00327047" w:rsidP="00A12328">
            <w:pPr>
              <w:pStyle w:val="Tabletext"/>
              <w:keepNext/>
              <w:jc w:val="center"/>
            </w:pPr>
            <w:r w:rsidRPr="001A4CDD">
              <w:t>46.4 (33.9, 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752C1" w14:textId="77777777" w:rsidR="00327047" w:rsidRPr="001A4CDD" w:rsidRDefault="00327047" w:rsidP="00A12328">
            <w:pPr>
              <w:keepNext/>
              <w:jc w:val="left"/>
              <w:rPr>
                <w:rFonts w:ascii="Arial Narrow" w:hAnsi="Arial Narrow" w:cs="Times New Roman"/>
                <w:sz w:val="20"/>
              </w:rPr>
            </w:pPr>
          </w:p>
        </w:tc>
      </w:tr>
      <w:tr w:rsidR="001A4CDD" w:rsidRPr="001A4CDD" w14:paraId="0531A939" w14:textId="77777777" w:rsidTr="00327047">
        <w:trPr>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6DB99583" w14:textId="77777777" w:rsidR="00327047" w:rsidRPr="001A4CDD" w:rsidRDefault="00327047" w:rsidP="00A12328">
            <w:pPr>
              <w:pStyle w:val="Tabletext"/>
              <w:keepNext/>
            </w:pPr>
            <w:r w:rsidRPr="001A4CDD">
              <w:t>Pain in chest</w:t>
            </w:r>
          </w:p>
        </w:tc>
        <w:tc>
          <w:tcPr>
            <w:tcW w:w="1163" w:type="dxa"/>
            <w:tcBorders>
              <w:top w:val="single" w:sz="4" w:space="0" w:color="auto"/>
              <w:left w:val="single" w:sz="4" w:space="0" w:color="auto"/>
              <w:bottom w:val="single" w:sz="4" w:space="0" w:color="auto"/>
              <w:right w:val="single" w:sz="4" w:space="0" w:color="auto"/>
            </w:tcBorders>
            <w:hideMark/>
          </w:tcPr>
          <w:p w14:paraId="03A9B8AE" w14:textId="77777777" w:rsidR="00327047" w:rsidRPr="001A4CDD" w:rsidRDefault="00327047" w:rsidP="00A12328">
            <w:pPr>
              <w:pStyle w:val="Tabletext"/>
              <w:keepNext/>
            </w:pPr>
            <w:r w:rsidRPr="001A4CDD">
              <w:t>Osimertinib</w:t>
            </w:r>
          </w:p>
        </w:tc>
        <w:tc>
          <w:tcPr>
            <w:tcW w:w="538" w:type="dxa"/>
            <w:tcBorders>
              <w:top w:val="single" w:sz="4" w:space="0" w:color="auto"/>
              <w:left w:val="single" w:sz="4" w:space="0" w:color="auto"/>
              <w:bottom w:val="single" w:sz="4" w:space="0" w:color="auto"/>
              <w:right w:val="single" w:sz="4" w:space="0" w:color="auto"/>
            </w:tcBorders>
            <w:hideMark/>
          </w:tcPr>
          <w:p w14:paraId="211EA8E1" w14:textId="77777777" w:rsidR="00327047" w:rsidRPr="001A4CDD" w:rsidRDefault="00327047" w:rsidP="00A12328">
            <w:pPr>
              <w:pStyle w:val="Tabletext"/>
              <w:keepNext/>
              <w:jc w:val="center"/>
            </w:pPr>
            <w:r w:rsidRPr="001A4CDD">
              <w:t>131</w:t>
            </w:r>
          </w:p>
        </w:tc>
        <w:tc>
          <w:tcPr>
            <w:tcW w:w="1276" w:type="dxa"/>
            <w:tcBorders>
              <w:top w:val="single" w:sz="4" w:space="0" w:color="auto"/>
              <w:left w:val="single" w:sz="4" w:space="0" w:color="auto"/>
              <w:bottom w:val="single" w:sz="4" w:space="0" w:color="auto"/>
              <w:right w:val="single" w:sz="4" w:space="0" w:color="auto"/>
            </w:tcBorders>
            <w:hideMark/>
          </w:tcPr>
          <w:p w14:paraId="30418606" w14:textId="77777777" w:rsidR="00327047" w:rsidRPr="001A4CDD" w:rsidRDefault="00327047" w:rsidP="00A12328">
            <w:pPr>
              <w:pStyle w:val="Tabletext"/>
              <w:keepNext/>
              <w:jc w:val="center"/>
            </w:pPr>
            <w:r w:rsidRPr="001A4CDD">
              <w:t>76 (58.0)</w:t>
            </w:r>
          </w:p>
        </w:tc>
        <w:tc>
          <w:tcPr>
            <w:tcW w:w="1701" w:type="dxa"/>
            <w:tcBorders>
              <w:top w:val="single" w:sz="4" w:space="0" w:color="auto"/>
              <w:left w:val="single" w:sz="4" w:space="0" w:color="auto"/>
              <w:bottom w:val="single" w:sz="4" w:space="0" w:color="auto"/>
              <w:right w:val="single" w:sz="4" w:space="0" w:color="auto"/>
            </w:tcBorders>
            <w:hideMark/>
          </w:tcPr>
          <w:p w14:paraId="5CBF5631" w14:textId="77777777" w:rsidR="00327047" w:rsidRPr="001A4CDD" w:rsidRDefault="00327047" w:rsidP="00A12328">
            <w:pPr>
              <w:pStyle w:val="Tabletext"/>
              <w:keepNext/>
              <w:jc w:val="center"/>
            </w:pPr>
            <w:r w:rsidRPr="001A4CDD">
              <w:t>54.2 (45.2, 62.3)</w:t>
            </w:r>
          </w:p>
        </w:tc>
        <w:tc>
          <w:tcPr>
            <w:tcW w:w="1559" w:type="dxa"/>
            <w:tcBorders>
              <w:top w:val="single" w:sz="4" w:space="0" w:color="auto"/>
              <w:left w:val="single" w:sz="4" w:space="0" w:color="auto"/>
              <w:bottom w:val="single" w:sz="4" w:space="0" w:color="auto"/>
              <w:right w:val="single" w:sz="4" w:space="0" w:color="auto"/>
            </w:tcBorders>
            <w:hideMark/>
          </w:tcPr>
          <w:p w14:paraId="335A709D" w14:textId="77777777" w:rsidR="00327047" w:rsidRPr="001A4CDD" w:rsidRDefault="00327047" w:rsidP="00A12328">
            <w:pPr>
              <w:pStyle w:val="Tabletext"/>
              <w:keepNext/>
              <w:jc w:val="center"/>
            </w:pPr>
            <w:r w:rsidRPr="001A4CDD">
              <w:t>48.2 (39.3, 56.6)</w:t>
            </w:r>
          </w:p>
        </w:tc>
        <w:tc>
          <w:tcPr>
            <w:tcW w:w="1367" w:type="dxa"/>
            <w:vMerge w:val="restart"/>
            <w:tcBorders>
              <w:top w:val="single" w:sz="4" w:space="0" w:color="auto"/>
              <w:left w:val="single" w:sz="4" w:space="0" w:color="auto"/>
              <w:bottom w:val="single" w:sz="4" w:space="0" w:color="auto"/>
              <w:right w:val="single" w:sz="4" w:space="0" w:color="auto"/>
            </w:tcBorders>
            <w:vAlign w:val="center"/>
            <w:hideMark/>
          </w:tcPr>
          <w:p w14:paraId="2F9F1692" w14:textId="77777777" w:rsidR="00327047" w:rsidRPr="001A4CDD" w:rsidRDefault="00327047" w:rsidP="00A12328">
            <w:pPr>
              <w:pStyle w:val="Tabletext"/>
              <w:keepNext/>
              <w:jc w:val="center"/>
            </w:pPr>
            <w:r w:rsidRPr="001A4CDD">
              <w:t>1.46 (0.95, 2.23)</w:t>
            </w:r>
          </w:p>
        </w:tc>
      </w:tr>
      <w:tr w:rsidR="001A4CDD" w:rsidRPr="001A4CDD" w14:paraId="4E501D8D" w14:textId="77777777" w:rsidTr="003270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59C70" w14:textId="77777777" w:rsidR="00327047" w:rsidRPr="001A4CDD" w:rsidRDefault="00327047" w:rsidP="00A12328">
            <w:pPr>
              <w:keepNext/>
              <w:jc w:val="left"/>
              <w:rPr>
                <w:rFonts w:ascii="Arial Narrow" w:hAnsi="Arial Narrow" w:cs="Times New Roman"/>
                <w:sz w:val="20"/>
              </w:rPr>
            </w:pPr>
          </w:p>
        </w:tc>
        <w:tc>
          <w:tcPr>
            <w:tcW w:w="1163" w:type="dxa"/>
            <w:tcBorders>
              <w:top w:val="single" w:sz="4" w:space="0" w:color="auto"/>
              <w:left w:val="single" w:sz="4" w:space="0" w:color="auto"/>
              <w:bottom w:val="single" w:sz="4" w:space="0" w:color="auto"/>
              <w:right w:val="single" w:sz="4" w:space="0" w:color="auto"/>
            </w:tcBorders>
            <w:hideMark/>
          </w:tcPr>
          <w:p w14:paraId="6CBF5F62" w14:textId="77777777" w:rsidR="00327047" w:rsidRPr="001A4CDD" w:rsidRDefault="00327047" w:rsidP="00A12328">
            <w:pPr>
              <w:pStyle w:val="Tabletext"/>
              <w:keepNext/>
            </w:pPr>
            <w:r w:rsidRPr="001A4CDD">
              <w:t>Placebo</w:t>
            </w:r>
          </w:p>
        </w:tc>
        <w:tc>
          <w:tcPr>
            <w:tcW w:w="538" w:type="dxa"/>
            <w:tcBorders>
              <w:top w:val="single" w:sz="4" w:space="0" w:color="auto"/>
              <w:left w:val="single" w:sz="4" w:space="0" w:color="auto"/>
              <w:bottom w:val="single" w:sz="4" w:space="0" w:color="auto"/>
              <w:right w:val="single" w:sz="4" w:space="0" w:color="auto"/>
            </w:tcBorders>
            <w:hideMark/>
          </w:tcPr>
          <w:p w14:paraId="04BB259F" w14:textId="77777777" w:rsidR="00327047" w:rsidRPr="001A4CDD" w:rsidRDefault="00327047" w:rsidP="00A12328">
            <w:pPr>
              <w:pStyle w:val="Tabletext"/>
              <w:keepNext/>
              <w:jc w:val="center"/>
            </w:pPr>
            <w:r w:rsidRPr="001A4CDD">
              <w:t>68</w:t>
            </w:r>
          </w:p>
        </w:tc>
        <w:tc>
          <w:tcPr>
            <w:tcW w:w="1276" w:type="dxa"/>
            <w:tcBorders>
              <w:top w:val="single" w:sz="4" w:space="0" w:color="auto"/>
              <w:left w:val="single" w:sz="4" w:space="0" w:color="auto"/>
              <w:bottom w:val="single" w:sz="4" w:space="0" w:color="auto"/>
              <w:right w:val="single" w:sz="4" w:space="0" w:color="auto"/>
            </w:tcBorders>
            <w:hideMark/>
          </w:tcPr>
          <w:p w14:paraId="1A9EF159" w14:textId="77777777" w:rsidR="00327047" w:rsidRPr="001A4CDD" w:rsidRDefault="00327047" w:rsidP="00A12328">
            <w:pPr>
              <w:pStyle w:val="Tabletext"/>
              <w:keepNext/>
              <w:jc w:val="center"/>
            </w:pPr>
            <w:r w:rsidRPr="001A4CDD">
              <w:t>25 (36.8)</w:t>
            </w:r>
          </w:p>
        </w:tc>
        <w:tc>
          <w:tcPr>
            <w:tcW w:w="1701" w:type="dxa"/>
            <w:tcBorders>
              <w:top w:val="single" w:sz="4" w:space="0" w:color="auto"/>
              <w:left w:val="single" w:sz="4" w:space="0" w:color="auto"/>
              <w:bottom w:val="single" w:sz="4" w:space="0" w:color="auto"/>
              <w:right w:val="single" w:sz="4" w:space="0" w:color="auto"/>
            </w:tcBorders>
            <w:hideMark/>
          </w:tcPr>
          <w:p w14:paraId="5E9D99BA" w14:textId="77777777" w:rsidR="00327047" w:rsidRPr="001A4CDD" w:rsidRDefault="00327047" w:rsidP="00A12328">
            <w:pPr>
              <w:pStyle w:val="Tabletext"/>
              <w:keepNext/>
              <w:jc w:val="center"/>
            </w:pPr>
            <w:r w:rsidRPr="001A4CDD">
              <w:t>70.0 (57.4, 79.5)</w:t>
            </w:r>
          </w:p>
        </w:tc>
        <w:tc>
          <w:tcPr>
            <w:tcW w:w="1559" w:type="dxa"/>
            <w:tcBorders>
              <w:top w:val="single" w:sz="4" w:space="0" w:color="auto"/>
              <w:left w:val="single" w:sz="4" w:space="0" w:color="auto"/>
              <w:bottom w:val="single" w:sz="4" w:space="0" w:color="auto"/>
              <w:right w:val="single" w:sz="4" w:space="0" w:color="auto"/>
            </w:tcBorders>
            <w:hideMark/>
          </w:tcPr>
          <w:p w14:paraId="5F1F6FD3" w14:textId="77777777" w:rsidR="00327047" w:rsidRPr="001A4CDD" w:rsidRDefault="00327047" w:rsidP="00A12328">
            <w:pPr>
              <w:pStyle w:val="Tabletext"/>
              <w:keepNext/>
              <w:jc w:val="center"/>
            </w:pPr>
            <w:r w:rsidRPr="001A4CDD">
              <w:t>66.1 (53.0, 76.3)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1EA23" w14:textId="77777777" w:rsidR="00327047" w:rsidRPr="001A4CDD" w:rsidRDefault="00327047" w:rsidP="00A12328">
            <w:pPr>
              <w:keepNext/>
              <w:jc w:val="left"/>
              <w:rPr>
                <w:rFonts w:ascii="Arial Narrow" w:hAnsi="Arial Narrow" w:cs="Times New Roman"/>
                <w:sz w:val="20"/>
              </w:rPr>
            </w:pPr>
          </w:p>
        </w:tc>
      </w:tr>
    </w:tbl>
    <w:p w14:paraId="728A8615" w14:textId="77777777" w:rsidR="00327047" w:rsidRPr="001A4CDD" w:rsidRDefault="00327047" w:rsidP="00A12328">
      <w:pPr>
        <w:pStyle w:val="TableFigureFooter"/>
        <w:keepNext/>
      </w:pPr>
      <w:r w:rsidRPr="001A4CDD">
        <w:t>Source: Table 2-25, p88 of the submission and Table 25, p126 of the CSR.</w:t>
      </w:r>
    </w:p>
    <w:p w14:paraId="01733890" w14:textId="7DEF52C5" w:rsidR="00327047" w:rsidRDefault="00327047" w:rsidP="00A12328">
      <w:pPr>
        <w:pStyle w:val="TableFigureFooter"/>
        <w:keepNext/>
      </w:pPr>
      <w:r w:rsidRPr="001A4CDD">
        <w:t xml:space="preserve">CI = confidence interval; GHS = global health scale; HR = hazard ratio; PRO = patient reported outcome; </w:t>
      </w:r>
      <w:r w:rsidR="00D300EB">
        <w:t>QLQ</w:t>
      </w:r>
      <w:r w:rsidR="00290D74">
        <w:t xml:space="preserve"> = Quality of Life Questionnaire</w:t>
      </w:r>
      <w:r w:rsidR="00D300EB">
        <w:t xml:space="preserve">; </w:t>
      </w:r>
      <w:r w:rsidRPr="001A4CDD">
        <w:t>QoL = quality of life.</w:t>
      </w:r>
    </w:p>
    <w:p w14:paraId="74E8E93E" w14:textId="0D513782" w:rsidR="00290D74" w:rsidRDefault="00290D74" w:rsidP="00A12328">
      <w:pPr>
        <w:pStyle w:val="TableFigureFooter"/>
        <w:keepNext/>
        <w:ind w:left="165" w:hanging="165"/>
      </w:pPr>
      <w:r>
        <w:rPr>
          <w:vertAlign w:val="superscript"/>
        </w:rPr>
        <w:t>a</w:t>
      </w:r>
      <w:r>
        <w:rPr>
          <w:vertAlign w:val="superscript"/>
        </w:rPr>
        <w:tab/>
      </w:r>
      <w:r>
        <w:t>QLQ-C30 = European Organization for Research and Treatment of Cancer (EORTC) Quality of Life Questionnaire (QLQ) EORTC QLQ-C30</w:t>
      </w:r>
    </w:p>
    <w:p w14:paraId="7FCB214F" w14:textId="207749A0" w:rsidR="00290D74" w:rsidRPr="00290D74" w:rsidRDefault="00290D74" w:rsidP="00A12328">
      <w:pPr>
        <w:pStyle w:val="TableFigureFooter"/>
        <w:keepNext/>
      </w:pPr>
      <w:r>
        <w:rPr>
          <w:vertAlign w:val="superscript"/>
        </w:rPr>
        <w:t>b</w:t>
      </w:r>
      <w:r>
        <w:rPr>
          <w:vertAlign w:val="superscript"/>
        </w:rPr>
        <w:tab/>
      </w:r>
      <w:r>
        <w:t>QLQ-LC13 = lung-cancer specific companion module to QLQ-C30</w:t>
      </w:r>
    </w:p>
    <w:p w14:paraId="3C4DA542" w14:textId="207C4853" w:rsidR="00327047" w:rsidRPr="00F76C9E" w:rsidRDefault="00327047" w:rsidP="00A12328">
      <w:pPr>
        <w:pStyle w:val="3-BodyText"/>
        <w:rPr>
          <w:iCs/>
        </w:rPr>
      </w:pPr>
      <w:r w:rsidRPr="001A4CDD">
        <w:t>Completion rates for both questionnaires were &gt;</w:t>
      </w:r>
      <w:r w:rsidR="004F1438">
        <w:t xml:space="preserve"> </w:t>
      </w:r>
      <w:r w:rsidRPr="001A4CDD">
        <w:t>90% at baseline and were &gt;</w:t>
      </w:r>
      <w:r w:rsidR="004F1438">
        <w:t xml:space="preserve"> </w:t>
      </w:r>
      <w:r w:rsidRPr="001A4CDD">
        <w:t xml:space="preserve">70% until after week 32, however, compliance rates in the placebo arm declined after week 32 as the number of expected completions in the placebo arm dropped below 50% of the cohort. There were no significant differences in time to deterioration between the osimertinib and placebo arms in the domains captured by the EORTC QLQ-C30 and QLQ-LC3 instruments, </w:t>
      </w:r>
      <w:r w:rsidRPr="00F76C9E">
        <w:rPr>
          <w:iCs/>
        </w:rPr>
        <w:t xml:space="preserve">though the point estimates </w:t>
      </w:r>
      <w:r w:rsidR="00290D74" w:rsidRPr="00F76C9E">
        <w:rPr>
          <w:iCs/>
        </w:rPr>
        <w:t>showed higher rates of fatigue, dyspnoea, coughing and pain in chest for osimertinib compared to placebo</w:t>
      </w:r>
      <w:r w:rsidRPr="00F76C9E">
        <w:rPr>
          <w:iCs/>
        </w:rPr>
        <w:t>.</w:t>
      </w:r>
    </w:p>
    <w:p w14:paraId="1452C351" w14:textId="0D19F1B0" w:rsidR="00B60939" w:rsidRPr="00C9624D" w:rsidRDefault="00B60939" w:rsidP="00A12328">
      <w:pPr>
        <w:pStyle w:val="4-SubsectionHeading"/>
      </w:pPr>
      <w:bookmarkStart w:id="47" w:name="_Toc198720637"/>
      <w:r w:rsidRPr="00C9624D">
        <w:t>Comparative harms</w:t>
      </w:r>
      <w:bookmarkEnd w:id="32"/>
      <w:bookmarkEnd w:id="47"/>
    </w:p>
    <w:bookmarkStart w:id="48" w:name="_Toc22897643"/>
    <w:p w14:paraId="7917EA96" w14:textId="12E88C48" w:rsidR="00327047" w:rsidRPr="00B742A5" w:rsidRDefault="00D82EAC" w:rsidP="00A12328">
      <w:pPr>
        <w:pStyle w:val="3-BodyText"/>
      </w:pPr>
      <w:r>
        <w:fldChar w:fldCharType="begin"/>
      </w:r>
      <w:r>
        <w:instrText xml:space="preserve"> REF _Ref198180558 \h </w:instrText>
      </w:r>
      <w:r>
        <w:fldChar w:fldCharType="separate"/>
      </w:r>
      <w:r w:rsidR="009F3D59">
        <w:t xml:space="preserve">Table </w:t>
      </w:r>
      <w:r w:rsidR="009F3D59">
        <w:rPr>
          <w:noProof/>
        </w:rPr>
        <w:t>9</w:t>
      </w:r>
      <w:r>
        <w:fldChar w:fldCharType="end"/>
      </w:r>
      <w:r>
        <w:t xml:space="preserve"> </w:t>
      </w:r>
      <w:r w:rsidR="00327047" w:rsidRPr="006E5879">
        <w:t>presents the key safety data from the LAURA trial.</w:t>
      </w:r>
    </w:p>
    <w:p w14:paraId="258F71E8" w14:textId="1E69E386" w:rsidR="00327047" w:rsidRDefault="00327047" w:rsidP="00A12328">
      <w:pPr>
        <w:pStyle w:val="TableFigureHeading"/>
      </w:pPr>
      <w:bookmarkStart w:id="49" w:name="_Ref198180558"/>
      <w:r>
        <w:t xml:space="preserve">Table </w:t>
      </w:r>
      <w:r w:rsidR="002E1944">
        <w:fldChar w:fldCharType="begin"/>
      </w:r>
      <w:r w:rsidR="002E1944">
        <w:instrText xml:space="preserve"> SEQ Table \* ARABIC </w:instrText>
      </w:r>
      <w:r w:rsidR="002E1944">
        <w:fldChar w:fldCharType="separate"/>
      </w:r>
      <w:r w:rsidR="009F3D59">
        <w:rPr>
          <w:noProof/>
        </w:rPr>
        <w:t>9</w:t>
      </w:r>
      <w:r w:rsidR="002E1944">
        <w:rPr>
          <w:noProof/>
        </w:rPr>
        <w:fldChar w:fldCharType="end"/>
      </w:r>
      <w:bookmarkEnd w:id="49"/>
      <w:r>
        <w:t xml:space="preserve">: </w:t>
      </w:r>
      <w:r w:rsidRPr="006E5879">
        <w:t>Summary of key adverse events in the LAURA trial</w:t>
      </w:r>
    </w:p>
    <w:tbl>
      <w:tblPr>
        <w:tblStyle w:val="PBAClayout"/>
        <w:tblW w:w="5000" w:type="pct"/>
        <w:tblLook w:val="04A0" w:firstRow="1" w:lastRow="0" w:firstColumn="1" w:lastColumn="0" w:noHBand="0" w:noVBand="1"/>
        <w:tblCaption w:val="Table 9: Summary of key adverse events in the LAURA trial"/>
      </w:tblPr>
      <w:tblGrid>
        <w:gridCol w:w="2943"/>
        <w:gridCol w:w="1616"/>
        <w:gridCol w:w="1486"/>
        <w:gridCol w:w="1486"/>
        <w:gridCol w:w="1486"/>
      </w:tblGrid>
      <w:tr w:rsidR="00327047" w:rsidRPr="00080909" w14:paraId="0B75344D" w14:textId="77777777" w:rsidTr="00365CB6">
        <w:tc>
          <w:tcPr>
            <w:tcW w:w="1632" w:type="pct"/>
          </w:tcPr>
          <w:p w14:paraId="0B119D0A" w14:textId="77777777" w:rsidR="00327047" w:rsidRPr="00C42502" w:rsidRDefault="00327047" w:rsidP="00A12328">
            <w:pPr>
              <w:pStyle w:val="In-tableHeading"/>
              <w:rPr>
                <w:lang w:val="en-AU"/>
              </w:rPr>
            </w:pPr>
            <w:r w:rsidRPr="00C42502">
              <w:rPr>
                <w:lang w:val="en-AU"/>
              </w:rPr>
              <w:t>AE Category</w:t>
            </w:r>
          </w:p>
        </w:tc>
        <w:tc>
          <w:tcPr>
            <w:tcW w:w="896" w:type="pct"/>
          </w:tcPr>
          <w:p w14:paraId="3DC22E3F" w14:textId="77777777" w:rsidR="00327047" w:rsidRPr="00E819FC" w:rsidRDefault="00327047" w:rsidP="00A12328">
            <w:pPr>
              <w:pStyle w:val="In-tableHeading"/>
              <w:jc w:val="center"/>
              <w:rPr>
                <w:lang w:val="pt-PT"/>
              </w:rPr>
            </w:pPr>
            <w:r w:rsidRPr="00E819FC">
              <w:rPr>
                <w:lang w:val="pt-PT"/>
              </w:rPr>
              <w:t>Osimertinib N=143</w:t>
            </w:r>
          </w:p>
          <w:p w14:paraId="5D7507C4" w14:textId="77777777" w:rsidR="00327047" w:rsidRPr="00E819FC" w:rsidRDefault="00327047" w:rsidP="00A12328">
            <w:pPr>
              <w:pStyle w:val="In-tableHeading"/>
              <w:jc w:val="center"/>
              <w:rPr>
                <w:lang w:val="pt-PT"/>
              </w:rPr>
            </w:pPr>
            <w:r w:rsidRPr="00E819FC">
              <w:rPr>
                <w:lang w:val="pt-PT"/>
              </w:rPr>
              <w:t>n with event</w:t>
            </w:r>
            <w:r w:rsidRPr="00E819FC">
              <w:rPr>
                <w:vertAlign w:val="superscript"/>
                <w:lang w:val="pt-PT"/>
              </w:rPr>
              <w:t>a</w:t>
            </w:r>
            <w:r w:rsidRPr="00E819FC">
              <w:rPr>
                <w:lang w:val="pt-PT"/>
              </w:rPr>
              <w:t xml:space="preserve"> (%)</w:t>
            </w:r>
          </w:p>
        </w:tc>
        <w:tc>
          <w:tcPr>
            <w:tcW w:w="824" w:type="pct"/>
          </w:tcPr>
          <w:p w14:paraId="6DB7E515" w14:textId="77777777" w:rsidR="00327047" w:rsidRPr="00C42502" w:rsidRDefault="00327047" w:rsidP="00A12328">
            <w:pPr>
              <w:pStyle w:val="In-tableHeading"/>
              <w:jc w:val="center"/>
              <w:rPr>
                <w:lang w:val="en-AU"/>
              </w:rPr>
            </w:pPr>
            <w:r w:rsidRPr="00C42502">
              <w:rPr>
                <w:lang w:val="en-AU"/>
              </w:rPr>
              <w:t>Placebo N=73</w:t>
            </w:r>
          </w:p>
          <w:p w14:paraId="42DC52A3" w14:textId="77777777" w:rsidR="00327047" w:rsidRPr="00C42502" w:rsidRDefault="00327047" w:rsidP="00A12328">
            <w:pPr>
              <w:pStyle w:val="In-tableHeading"/>
              <w:jc w:val="center"/>
              <w:rPr>
                <w:lang w:val="en-AU"/>
              </w:rPr>
            </w:pPr>
            <w:r w:rsidRPr="00C42502">
              <w:rPr>
                <w:lang w:val="en-AU"/>
              </w:rPr>
              <w:t>n with event</w:t>
            </w:r>
            <w:r w:rsidRPr="00C42502">
              <w:rPr>
                <w:vertAlign w:val="superscript"/>
                <w:lang w:val="en-AU"/>
              </w:rPr>
              <w:t>a</w:t>
            </w:r>
            <w:r w:rsidRPr="00C42502">
              <w:rPr>
                <w:lang w:val="en-AU"/>
              </w:rPr>
              <w:t xml:space="preserve"> (%)</w:t>
            </w:r>
          </w:p>
        </w:tc>
        <w:tc>
          <w:tcPr>
            <w:tcW w:w="824" w:type="pct"/>
          </w:tcPr>
          <w:p w14:paraId="195B025F" w14:textId="00907A98" w:rsidR="00327047" w:rsidRPr="00C42502" w:rsidRDefault="00327047" w:rsidP="00A12328">
            <w:pPr>
              <w:pStyle w:val="In-tableHeading"/>
              <w:jc w:val="center"/>
              <w:rPr>
                <w:lang w:val="en-AU"/>
              </w:rPr>
            </w:pPr>
            <w:r w:rsidRPr="00C42502">
              <w:rPr>
                <w:lang w:val="en-AU"/>
              </w:rPr>
              <w:t xml:space="preserve">RR </w:t>
            </w:r>
            <w:r w:rsidR="00605155">
              <w:rPr>
                <w:lang w:val="en-AU"/>
              </w:rPr>
              <w:t>(</w:t>
            </w:r>
            <w:r w:rsidRPr="00C42502">
              <w:rPr>
                <w:lang w:val="en-AU"/>
              </w:rPr>
              <w:t>95%CI</w:t>
            </w:r>
            <w:r w:rsidR="00605155">
              <w:rPr>
                <w:lang w:val="en-AU"/>
              </w:rPr>
              <w:t>)</w:t>
            </w:r>
            <w:r w:rsidR="00D417E9" w:rsidRPr="00510BB5">
              <w:rPr>
                <w:vertAlign w:val="superscript"/>
                <w:lang w:val="en-AU"/>
              </w:rPr>
              <w:t>a</w:t>
            </w:r>
          </w:p>
        </w:tc>
        <w:tc>
          <w:tcPr>
            <w:tcW w:w="824" w:type="pct"/>
          </w:tcPr>
          <w:p w14:paraId="5376B11B" w14:textId="40EC0888" w:rsidR="00327047" w:rsidRPr="00C42502" w:rsidRDefault="00327047" w:rsidP="00A12328">
            <w:pPr>
              <w:pStyle w:val="In-tableHeading"/>
              <w:jc w:val="center"/>
              <w:rPr>
                <w:lang w:val="en-AU"/>
              </w:rPr>
            </w:pPr>
            <w:r w:rsidRPr="00C42502">
              <w:rPr>
                <w:lang w:val="en-AU"/>
              </w:rPr>
              <w:t xml:space="preserve">RD </w:t>
            </w:r>
            <w:r w:rsidR="00605155">
              <w:rPr>
                <w:lang w:val="en-AU"/>
              </w:rPr>
              <w:t>(</w:t>
            </w:r>
            <w:r w:rsidRPr="00C42502">
              <w:rPr>
                <w:lang w:val="en-AU"/>
              </w:rPr>
              <w:t>95%CI</w:t>
            </w:r>
            <w:r w:rsidR="00605155">
              <w:rPr>
                <w:lang w:val="en-AU"/>
              </w:rPr>
              <w:t>)</w:t>
            </w:r>
            <w:r w:rsidR="00510BB5" w:rsidRPr="00510BB5">
              <w:rPr>
                <w:vertAlign w:val="superscript"/>
                <w:lang w:val="en-AU"/>
              </w:rPr>
              <w:t>a</w:t>
            </w:r>
          </w:p>
        </w:tc>
      </w:tr>
      <w:tr w:rsidR="00327047" w14:paraId="2F753DCD" w14:textId="77777777" w:rsidTr="00365CB6">
        <w:tc>
          <w:tcPr>
            <w:tcW w:w="1632" w:type="pct"/>
          </w:tcPr>
          <w:p w14:paraId="2A641922" w14:textId="77777777" w:rsidR="00327047" w:rsidRDefault="00327047" w:rsidP="00A12328">
            <w:pPr>
              <w:pStyle w:val="TableText0"/>
            </w:pPr>
            <w:r>
              <w:t>Any AE</w:t>
            </w:r>
          </w:p>
        </w:tc>
        <w:tc>
          <w:tcPr>
            <w:tcW w:w="896" w:type="pct"/>
          </w:tcPr>
          <w:p w14:paraId="5D24F8CE" w14:textId="77777777" w:rsidR="00327047" w:rsidRDefault="00327047" w:rsidP="00A12328">
            <w:pPr>
              <w:pStyle w:val="TableText0"/>
              <w:jc w:val="center"/>
            </w:pPr>
            <w:r w:rsidRPr="008F4A80">
              <w:t>140 (97.9)</w:t>
            </w:r>
          </w:p>
        </w:tc>
        <w:tc>
          <w:tcPr>
            <w:tcW w:w="824" w:type="pct"/>
          </w:tcPr>
          <w:p w14:paraId="6E69CD4D" w14:textId="77777777" w:rsidR="00327047" w:rsidRDefault="00327047" w:rsidP="00A12328">
            <w:pPr>
              <w:pStyle w:val="TableText0"/>
              <w:jc w:val="center"/>
            </w:pPr>
            <w:r w:rsidRPr="004B755C">
              <w:t>64 (87.7)</w:t>
            </w:r>
          </w:p>
        </w:tc>
        <w:tc>
          <w:tcPr>
            <w:tcW w:w="824" w:type="pct"/>
          </w:tcPr>
          <w:p w14:paraId="6BF5F456" w14:textId="3585B9BF" w:rsidR="00327047" w:rsidRPr="00510BB5" w:rsidRDefault="00327047" w:rsidP="00A12328">
            <w:pPr>
              <w:pStyle w:val="TableText0"/>
              <w:jc w:val="center"/>
              <w:rPr>
                <w:iCs/>
              </w:rPr>
            </w:pPr>
            <w:r w:rsidRPr="00510BB5">
              <w:rPr>
                <w:iCs/>
              </w:rPr>
              <w:t xml:space="preserve">1.12 </w:t>
            </w:r>
            <w:r w:rsidR="00605155" w:rsidRPr="00510BB5">
              <w:rPr>
                <w:iCs/>
              </w:rPr>
              <w:t>(</w:t>
            </w:r>
            <w:r w:rsidRPr="00510BB5">
              <w:rPr>
                <w:iCs/>
              </w:rPr>
              <w:t>1.02, 1.22</w:t>
            </w:r>
            <w:r w:rsidR="00605155" w:rsidRPr="00510BB5">
              <w:rPr>
                <w:iCs/>
              </w:rPr>
              <w:t>)</w:t>
            </w:r>
          </w:p>
        </w:tc>
        <w:tc>
          <w:tcPr>
            <w:tcW w:w="824" w:type="pct"/>
          </w:tcPr>
          <w:p w14:paraId="55AB80B3" w14:textId="682B532E" w:rsidR="00327047" w:rsidRPr="00510BB5" w:rsidRDefault="00327047" w:rsidP="00A12328">
            <w:pPr>
              <w:pStyle w:val="TableText0"/>
              <w:jc w:val="center"/>
              <w:rPr>
                <w:iCs/>
              </w:rPr>
            </w:pPr>
            <w:r w:rsidRPr="00510BB5">
              <w:rPr>
                <w:iCs/>
              </w:rPr>
              <w:t xml:space="preserve">0.10 </w:t>
            </w:r>
            <w:r w:rsidR="00605155" w:rsidRPr="00510BB5">
              <w:rPr>
                <w:iCs/>
              </w:rPr>
              <w:t>(</w:t>
            </w:r>
            <w:r w:rsidRPr="00510BB5">
              <w:rPr>
                <w:iCs/>
              </w:rPr>
              <w:t>0.02, 0.18</w:t>
            </w:r>
            <w:r w:rsidR="00605155" w:rsidRPr="00510BB5">
              <w:rPr>
                <w:iCs/>
              </w:rPr>
              <w:t>)</w:t>
            </w:r>
          </w:p>
        </w:tc>
      </w:tr>
      <w:tr w:rsidR="00327047" w14:paraId="62606CD5" w14:textId="77777777" w:rsidTr="00365CB6">
        <w:tc>
          <w:tcPr>
            <w:tcW w:w="1632" w:type="pct"/>
          </w:tcPr>
          <w:p w14:paraId="3FD0B518" w14:textId="77777777" w:rsidR="00327047" w:rsidRPr="00304ED1" w:rsidRDefault="00327047" w:rsidP="00A12328">
            <w:pPr>
              <w:pStyle w:val="TableText0"/>
              <w:ind w:left="170"/>
              <w:rPr>
                <w:vertAlign w:val="superscript"/>
              </w:rPr>
            </w:pPr>
            <w:r>
              <w:t>Treatment related AE</w:t>
            </w:r>
            <w:r>
              <w:rPr>
                <w:vertAlign w:val="superscript"/>
              </w:rPr>
              <w:t>b</w:t>
            </w:r>
          </w:p>
        </w:tc>
        <w:tc>
          <w:tcPr>
            <w:tcW w:w="896" w:type="pct"/>
          </w:tcPr>
          <w:p w14:paraId="44C02878" w14:textId="77777777" w:rsidR="00327047" w:rsidRDefault="00327047" w:rsidP="00A12328">
            <w:pPr>
              <w:pStyle w:val="TableText0"/>
              <w:jc w:val="center"/>
            </w:pPr>
            <w:r w:rsidRPr="008F4A80">
              <w:t>115 (80.4)</w:t>
            </w:r>
          </w:p>
        </w:tc>
        <w:tc>
          <w:tcPr>
            <w:tcW w:w="824" w:type="pct"/>
          </w:tcPr>
          <w:p w14:paraId="1ADD59C4" w14:textId="77777777" w:rsidR="00327047" w:rsidRDefault="00327047" w:rsidP="00A12328">
            <w:pPr>
              <w:pStyle w:val="TableText0"/>
              <w:jc w:val="center"/>
            </w:pPr>
            <w:r w:rsidRPr="004B755C">
              <w:t>30 (41.1)</w:t>
            </w:r>
          </w:p>
        </w:tc>
        <w:tc>
          <w:tcPr>
            <w:tcW w:w="824" w:type="pct"/>
          </w:tcPr>
          <w:p w14:paraId="38C96355" w14:textId="14EC6B74" w:rsidR="00327047" w:rsidRPr="00510BB5" w:rsidRDefault="00327047" w:rsidP="00A12328">
            <w:pPr>
              <w:pStyle w:val="TableText0"/>
              <w:jc w:val="center"/>
              <w:rPr>
                <w:iCs/>
              </w:rPr>
            </w:pPr>
            <w:r w:rsidRPr="00510BB5">
              <w:rPr>
                <w:iCs/>
              </w:rPr>
              <w:t xml:space="preserve">1.96 </w:t>
            </w:r>
            <w:r w:rsidR="00605155" w:rsidRPr="00510BB5">
              <w:rPr>
                <w:iCs/>
              </w:rPr>
              <w:t>(</w:t>
            </w:r>
            <w:r w:rsidRPr="00510BB5">
              <w:rPr>
                <w:iCs/>
              </w:rPr>
              <w:t>1.47, 2.61</w:t>
            </w:r>
            <w:r w:rsidR="00605155" w:rsidRPr="00510BB5">
              <w:rPr>
                <w:iCs/>
              </w:rPr>
              <w:t>)</w:t>
            </w:r>
          </w:p>
        </w:tc>
        <w:tc>
          <w:tcPr>
            <w:tcW w:w="824" w:type="pct"/>
          </w:tcPr>
          <w:p w14:paraId="20F49763" w14:textId="3DC015AD" w:rsidR="00327047" w:rsidRPr="00510BB5" w:rsidRDefault="00327047" w:rsidP="00A12328">
            <w:pPr>
              <w:pStyle w:val="TableText0"/>
              <w:jc w:val="center"/>
              <w:rPr>
                <w:iCs/>
              </w:rPr>
            </w:pPr>
            <w:r w:rsidRPr="00510BB5">
              <w:rPr>
                <w:iCs/>
              </w:rPr>
              <w:t xml:space="preserve">0.39 </w:t>
            </w:r>
            <w:r w:rsidR="00605155" w:rsidRPr="00510BB5">
              <w:rPr>
                <w:iCs/>
              </w:rPr>
              <w:t>(</w:t>
            </w:r>
            <w:r w:rsidRPr="00510BB5">
              <w:rPr>
                <w:iCs/>
              </w:rPr>
              <w:t>0.26, 0.52</w:t>
            </w:r>
            <w:r w:rsidR="00605155" w:rsidRPr="00510BB5">
              <w:rPr>
                <w:iCs/>
              </w:rPr>
              <w:t>)</w:t>
            </w:r>
          </w:p>
        </w:tc>
      </w:tr>
      <w:tr w:rsidR="00327047" w14:paraId="2CA1B8BB" w14:textId="77777777" w:rsidTr="00365CB6">
        <w:tc>
          <w:tcPr>
            <w:tcW w:w="1632" w:type="pct"/>
          </w:tcPr>
          <w:p w14:paraId="283C063D" w14:textId="77777777" w:rsidR="00327047" w:rsidRDefault="00327047" w:rsidP="00A12328">
            <w:pPr>
              <w:pStyle w:val="TableText0"/>
              <w:ind w:left="170"/>
            </w:pPr>
            <w:r>
              <w:t xml:space="preserve">Grade ≥3 </w:t>
            </w:r>
          </w:p>
        </w:tc>
        <w:tc>
          <w:tcPr>
            <w:tcW w:w="896" w:type="pct"/>
          </w:tcPr>
          <w:p w14:paraId="21C82A5A" w14:textId="77777777" w:rsidR="00327047" w:rsidRDefault="00327047" w:rsidP="00A12328">
            <w:pPr>
              <w:pStyle w:val="TableText0"/>
              <w:jc w:val="center"/>
            </w:pPr>
            <w:r w:rsidRPr="008F4A80">
              <w:t>50 (35.0)</w:t>
            </w:r>
          </w:p>
        </w:tc>
        <w:tc>
          <w:tcPr>
            <w:tcW w:w="824" w:type="pct"/>
          </w:tcPr>
          <w:p w14:paraId="170D9085" w14:textId="77777777" w:rsidR="00327047" w:rsidRDefault="00327047" w:rsidP="00A12328">
            <w:pPr>
              <w:pStyle w:val="TableText0"/>
              <w:jc w:val="center"/>
            </w:pPr>
            <w:r w:rsidRPr="004B755C">
              <w:t>9 (12.3)</w:t>
            </w:r>
          </w:p>
        </w:tc>
        <w:tc>
          <w:tcPr>
            <w:tcW w:w="824" w:type="pct"/>
          </w:tcPr>
          <w:p w14:paraId="7E6DFF47" w14:textId="319369DC" w:rsidR="00327047" w:rsidRPr="00510BB5" w:rsidRDefault="00327047" w:rsidP="00A12328">
            <w:pPr>
              <w:pStyle w:val="TableText0"/>
              <w:jc w:val="center"/>
              <w:rPr>
                <w:iCs/>
              </w:rPr>
            </w:pPr>
            <w:r w:rsidRPr="00510BB5">
              <w:rPr>
                <w:iCs/>
              </w:rPr>
              <w:t xml:space="preserve">2.83 </w:t>
            </w:r>
            <w:r w:rsidR="00605155" w:rsidRPr="00510BB5">
              <w:rPr>
                <w:iCs/>
              </w:rPr>
              <w:t>(</w:t>
            </w:r>
            <w:r w:rsidRPr="00510BB5">
              <w:rPr>
                <w:iCs/>
              </w:rPr>
              <w:t>1.48, 5.44</w:t>
            </w:r>
            <w:r w:rsidR="00605155" w:rsidRPr="00510BB5">
              <w:rPr>
                <w:iCs/>
              </w:rPr>
              <w:t>)</w:t>
            </w:r>
          </w:p>
        </w:tc>
        <w:tc>
          <w:tcPr>
            <w:tcW w:w="824" w:type="pct"/>
          </w:tcPr>
          <w:p w14:paraId="5CE73323" w14:textId="5CB62F70" w:rsidR="00327047" w:rsidRPr="00510BB5" w:rsidRDefault="00327047" w:rsidP="00A12328">
            <w:pPr>
              <w:pStyle w:val="TableText0"/>
              <w:jc w:val="center"/>
              <w:rPr>
                <w:iCs/>
              </w:rPr>
            </w:pPr>
            <w:r w:rsidRPr="00510BB5">
              <w:rPr>
                <w:iCs/>
              </w:rPr>
              <w:t xml:space="preserve">0.23 </w:t>
            </w:r>
            <w:r w:rsidR="00605155" w:rsidRPr="00510BB5">
              <w:rPr>
                <w:iCs/>
              </w:rPr>
              <w:t>(</w:t>
            </w:r>
            <w:r w:rsidRPr="00510BB5">
              <w:rPr>
                <w:iCs/>
              </w:rPr>
              <w:t>0.12, 0.33</w:t>
            </w:r>
            <w:r w:rsidR="00605155" w:rsidRPr="00510BB5">
              <w:rPr>
                <w:iCs/>
              </w:rPr>
              <w:t>)</w:t>
            </w:r>
          </w:p>
        </w:tc>
      </w:tr>
      <w:tr w:rsidR="00327047" w14:paraId="714410E1" w14:textId="77777777" w:rsidTr="00365CB6">
        <w:tc>
          <w:tcPr>
            <w:tcW w:w="1632" w:type="pct"/>
          </w:tcPr>
          <w:p w14:paraId="5338B0CE" w14:textId="77777777" w:rsidR="00327047" w:rsidRPr="00304ED1" w:rsidRDefault="00327047" w:rsidP="00A12328">
            <w:pPr>
              <w:pStyle w:val="TableText0"/>
              <w:ind w:left="170"/>
              <w:rPr>
                <w:vertAlign w:val="superscript"/>
              </w:rPr>
            </w:pPr>
            <w:r>
              <w:t>Grade ≥3 and treatment related</w:t>
            </w:r>
            <w:r>
              <w:rPr>
                <w:vertAlign w:val="superscript"/>
              </w:rPr>
              <w:t>b</w:t>
            </w:r>
          </w:p>
        </w:tc>
        <w:tc>
          <w:tcPr>
            <w:tcW w:w="896" w:type="pct"/>
          </w:tcPr>
          <w:p w14:paraId="40E3A4A1" w14:textId="77777777" w:rsidR="00327047" w:rsidRDefault="00327047" w:rsidP="00A12328">
            <w:pPr>
              <w:pStyle w:val="TableText0"/>
              <w:jc w:val="center"/>
            </w:pPr>
            <w:r w:rsidRPr="008F4A80">
              <w:t>19 (13.3)</w:t>
            </w:r>
          </w:p>
        </w:tc>
        <w:tc>
          <w:tcPr>
            <w:tcW w:w="824" w:type="pct"/>
          </w:tcPr>
          <w:p w14:paraId="782F8D80" w14:textId="77777777" w:rsidR="00327047" w:rsidRDefault="00327047" w:rsidP="00A12328">
            <w:pPr>
              <w:pStyle w:val="TableText0"/>
              <w:jc w:val="center"/>
            </w:pPr>
            <w:r w:rsidRPr="004B755C">
              <w:t>2 (2.7)</w:t>
            </w:r>
          </w:p>
        </w:tc>
        <w:tc>
          <w:tcPr>
            <w:tcW w:w="824" w:type="pct"/>
          </w:tcPr>
          <w:p w14:paraId="53545F9C" w14:textId="398BF83F" w:rsidR="00327047" w:rsidRPr="00510BB5" w:rsidRDefault="00327047" w:rsidP="00A12328">
            <w:pPr>
              <w:pStyle w:val="TableText0"/>
              <w:jc w:val="center"/>
              <w:rPr>
                <w:iCs/>
              </w:rPr>
            </w:pPr>
            <w:r w:rsidRPr="00510BB5">
              <w:rPr>
                <w:iCs/>
              </w:rPr>
              <w:t xml:space="preserve">4.85 </w:t>
            </w:r>
            <w:r w:rsidR="00605155" w:rsidRPr="00510BB5">
              <w:rPr>
                <w:iCs/>
              </w:rPr>
              <w:t>(</w:t>
            </w:r>
            <w:r w:rsidRPr="00510BB5">
              <w:rPr>
                <w:iCs/>
              </w:rPr>
              <w:t>1.16, 20.25</w:t>
            </w:r>
            <w:r w:rsidR="00605155" w:rsidRPr="00510BB5">
              <w:rPr>
                <w:iCs/>
              </w:rPr>
              <w:t>)</w:t>
            </w:r>
          </w:p>
        </w:tc>
        <w:tc>
          <w:tcPr>
            <w:tcW w:w="824" w:type="pct"/>
          </w:tcPr>
          <w:p w14:paraId="66E4C41A" w14:textId="4F2140E5" w:rsidR="00327047" w:rsidRPr="00510BB5" w:rsidRDefault="00327047" w:rsidP="00A12328">
            <w:pPr>
              <w:pStyle w:val="TableText0"/>
              <w:jc w:val="center"/>
              <w:rPr>
                <w:iCs/>
              </w:rPr>
            </w:pPr>
            <w:r w:rsidRPr="00510BB5">
              <w:rPr>
                <w:iCs/>
              </w:rPr>
              <w:t xml:space="preserve">0.11 </w:t>
            </w:r>
            <w:r w:rsidR="00605155" w:rsidRPr="00510BB5">
              <w:rPr>
                <w:iCs/>
              </w:rPr>
              <w:t>(</w:t>
            </w:r>
            <w:r w:rsidRPr="00510BB5">
              <w:rPr>
                <w:iCs/>
              </w:rPr>
              <w:t>0.04, 0.17</w:t>
            </w:r>
            <w:r w:rsidR="00605155" w:rsidRPr="00510BB5">
              <w:rPr>
                <w:iCs/>
              </w:rPr>
              <w:t>)</w:t>
            </w:r>
          </w:p>
        </w:tc>
      </w:tr>
      <w:tr w:rsidR="00327047" w14:paraId="71B36EE7" w14:textId="77777777" w:rsidTr="00365CB6">
        <w:tc>
          <w:tcPr>
            <w:tcW w:w="1632" w:type="pct"/>
          </w:tcPr>
          <w:p w14:paraId="5B48761B" w14:textId="77777777" w:rsidR="00327047" w:rsidRDefault="00327047" w:rsidP="00A12328">
            <w:pPr>
              <w:pStyle w:val="TableText0"/>
              <w:ind w:left="170"/>
            </w:pPr>
            <w:r>
              <w:t>AE with outcome of death</w:t>
            </w:r>
          </w:p>
        </w:tc>
        <w:tc>
          <w:tcPr>
            <w:tcW w:w="896" w:type="pct"/>
          </w:tcPr>
          <w:p w14:paraId="05E7D915" w14:textId="77777777" w:rsidR="00327047" w:rsidRDefault="00327047" w:rsidP="00A12328">
            <w:pPr>
              <w:pStyle w:val="TableText0"/>
              <w:jc w:val="center"/>
            </w:pPr>
            <w:r w:rsidRPr="008F4A80">
              <w:t>3 (2.1)</w:t>
            </w:r>
          </w:p>
        </w:tc>
        <w:tc>
          <w:tcPr>
            <w:tcW w:w="824" w:type="pct"/>
          </w:tcPr>
          <w:p w14:paraId="2A7FA3FE" w14:textId="77777777" w:rsidR="00327047" w:rsidRDefault="00327047" w:rsidP="00A12328">
            <w:pPr>
              <w:pStyle w:val="TableText0"/>
              <w:jc w:val="center"/>
            </w:pPr>
            <w:r w:rsidRPr="004B755C">
              <w:t>2 (2.7)</w:t>
            </w:r>
          </w:p>
        </w:tc>
        <w:tc>
          <w:tcPr>
            <w:tcW w:w="824" w:type="pct"/>
          </w:tcPr>
          <w:p w14:paraId="7DC304F0" w14:textId="6B328974" w:rsidR="00327047" w:rsidRPr="00510BB5" w:rsidRDefault="00327047" w:rsidP="00A12328">
            <w:pPr>
              <w:pStyle w:val="TableText0"/>
              <w:jc w:val="center"/>
              <w:rPr>
                <w:iCs/>
              </w:rPr>
            </w:pPr>
            <w:r w:rsidRPr="00510BB5">
              <w:rPr>
                <w:iCs/>
              </w:rPr>
              <w:t xml:space="preserve">0.76 </w:t>
            </w:r>
            <w:r w:rsidR="00605155" w:rsidRPr="00510BB5">
              <w:rPr>
                <w:iCs/>
              </w:rPr>
              <w:t>(</w:t>
            </w:r>
            <w:r w:rsidRPr="00510BB5">
              <w:rPr>
                <w:iCs/>
              </w:rPr>
              <w:t>0.13, 4.45</w:t>
            </w:r>
            <w:r w:rsidR="00605155" w:rsidRPr="00510BB5">
              <w:rPr>
                <w:iCs/>
              </w:rPr>
              <w:t>)</w:t>
            </w:r>
          </w:p>
        </w:tc>
        <w:tc>
          <w:tcPr>
            <w:tcW w:w="824" w:type="pct"/>
          </w:tcPr>
          <w:p w14:paraId="3DA157D6" w14:textId="246BDBCB" w:rsidR="00327047" w:rsidRPr="00510BB5" w:rsidRDefault="00327047" w:rsidP="00A12328">
            <w:pPr>
              <w:pStyle w:val="TableText0"/>
              <w:jc w:val="center"/>
              <w:rPr>
                <w:iCs/>
              </w:rPr>
            </w:pPr>
            <w:r w:rsidRPr="00510BB5">
              <w:rPr>
                <w:iCs/>
              </w:rPr>
              <w:t xml:space="preserve">-0.01 </w:t>
            </w:r>
            <w:r w:rsidR="00605155" w:rsidRPr="00510BB5">
              <w:rPr>
                <w:iCs/>
              </w:rPr>
              <w:t>(</w:t>
            </w:r>
            <w:r w:rsidRPr="00510BB5">
              <w:rPr>
                <w:iCs/>
              </w:rPr>
              <w:t>-0.05, 0.04</w:t>
            </w:r>
            <w:r w:rsidR="00605155" w:rsidRPr="00510BB5">
              <w:rPr>
                <w:iCs/>
              </w:rPr>
              <w:t>)</w:t>
            </w:r>
          </w:p>
        </w:tc>
      </w:tr>
      <w:tr w:rsidR="00327047" w14:paraId="6AC1BAB9" w14:textId="77777777" w:rsidTr="00365CB6">
        <w:tc>
          <w:tcPr>
            <w:tcW w:w="1632" w:type="pct"/>
          </w:tcPr>
          <w:p w14:paraId="0BB27CAC" w14:textId="77777777" w:rsidR="00327047" w:rsidRPr="00304ED1" w:rsidRDefault="00327047" w:rsidP="00A12328">
            <w:pPr>
              <w:pStyle w:val="TableText0"/>
              <w:ind w:left="170"/>
              <w:rPr>
                <w:vertAlign w:val="superscript"/>
              </w:rPr>
            </w:pPr>
            <w:r>
              <w:t>AE with outcome of death, possibly treatment related</w:t>
            </w:r>
            <w:r>
              <w:rPr>
                <w:vertAlign w:val="superscript"/>
              </w:rPr>
              <w:t>b</w:t>
            </w:r>
          </w:p>
        </w:tc>
        <w:tc>
          <w:tcPr>
            <w:tcW w:w="896" w:type="pct"/>
          </w:tcPr>
          <w:p w14:paraId="59658390" w14:textId="77777777" w:rsidR="00327047" w:rsidRPr="008F4A80" w:rsidRDefault="00327047" w:rsidP="00A12328">
            <w:pPr>
              <w:pStyle w:val="TableText0"/>
              <w:jc w:val="center"/>
            </w:pPr>
            <w:r w:rsidRPr="00304ED1">
              <w:t>1 (0.7)</w:t>
            </w:r>
          </w:p>
        </w:tc>
        <w:tc>
          <w:tcPr>
            <w:tcW w:w="824" w:type="pct"/>
          </w:tcPr>
          <w:p w14:paraId="2675042E" w14:textId="77777777" w:rsidR="00327047" w:rsidRPr="004B755C" w:rsidRDefault="00327047" w:rsidP="00A12328">
            <w:pPr>
              <w:pStyle w:val="TableText0"/>
              <w:jc w:val="center"/>
            </w:pPr>
            <w:r>
              <w:t>0</w:t>
            </w:r>
          </w:p>
        </w:tc>
        <w:tc>
          <w:tcPr>
            <w:tcW w:w="824" w:type="pct"/>
          </w:tcPr>
          <w:p w14:paraId="722E1C85" w14:textId="77777777" w:rsidR="00327047" w:rsidRPr="00510BB5" w:rsidRDefault="00327047" w:rsidP="00A12328">
            <w:pPr>
              <w:pStyle w:val="TableText0"/>
              <w:jc w:val="center"/>
              <w:rPr>
                <w:iCs/>
              </w:rPr>
            </w:pPr>
            <w:r w:rsidRPr="00510BB5">
              <w:rPr>
                <w:iCs/>
              </w:rPr>
              <w:t>NC</w:t>
            </w:r>
          </w:p>
        </w:tc>
        <w:tc>
          <w:tcPr>
            <w:tcW w:w="824" w:type="pct"/>
          </w:tcPr>
          <w:p w14:paraId="6E0902EA" w14:textId="00472068" w:rsidR="00327047" w:rsidRPr="00510BB5" w:rsidRDefault="00327047" w:rsidP="00A12328">
            <w:pPr>
              <w:pStyle w:val="TableText0"/>
              <w:jc w:val="center"/>
              <w:rPr>
                <w:iCs/>
              </w:rPr>
            </w:pPr>
            <w:r w:rsidRPr="00510BB5">
              <w:rPr>
                <w:iCs/>
              </w:rPr>
              <w:t xml:space="preserve">0.01 </w:t>
            </w:r>
            <w:r w:rsidR="00605155" w:rsidRPr="00510BB5">
              <w:rPr>
                <w:iCs/>
              </w:rPr>
              <w:t>(</w:t>
            </w:r>
            <w:r w:rsidRPr="00510BB5">
              <w:rPr>
                <w:iCs/>
              </w:rPr>
              <w:t>-0.01, 0.02</w:t>
            </w:r>
            <w:r w:rsidR="00605155" w:rsidRPr="00510BB5">
              <w:rPr>
                <w:iCs/>
              </w:rPr>
              <w:t>)</w:t>
            </w:r>
          </w:p>
        </w:tc>
      </w:tr>
      <w:tr w:rsidR="00AB16F2" w14:paraId="29F0F1DA" w14:textId="77777777" w:rsidTr="00365CB6">
        <w:tc>
          <w:tcPr>
            <w:tcW w:w="1632" w:type="pct"/>
          </w:tcPr>
          <w:p w14:paraId="3EBFC758" w14:textId="2037B239" w:rsidR="00AB16F2" w:rsidRDefault="00AB16F2" w:rsidP="00A12328">
            <w:pPr>
              <w:pStyle w:val="TableText0"/>
            </w:pPr>
            <w:r>
              <w:t>Commonly reported AEs</w:t>
            </w:r>
          </w:p>
        </w:tc>
        <w:tc>
          <w:tcPr>
            <w:tcW w:w="896" w:type="pct"/>
          </w:tcPr>
          <w:p w14:paraId="5E4F6271" w14:textId="77777777" w:rsidR="00AB16F2" w:rsidRPr="00304ED1" w:rsidRDefault="00AB16F2" w:rsidP="00A12328">
            <w:pPr>
              <w:pStyle w:val="TableText0"/>
              <w:jc w:val="center"/>
            </w:pPr>
          </w:p>
        </w:tc>
        <w:tc>
          <w:tcPr>
            <w:tcW w:w="824" w:type="pct"/>
          </w:tcPr>
          <w:p w14:paraId="26808356" w14:textId="77777777" w:rsidR="00AB16F2" w:rsidRDefault="00AB16F2" w:rsidP="00A12328">
            <w:pPr>
              <w:pStyle w:val="TableText0"/>
              <w:jc w:val="center"/>
            </w:pPr>
          </w:p>
        </w:tc>
        <w:tc>
          <w:tcPr>
            <w:tcW w:w="824" w:type="pct"/>
          </w:tcPr>
          <w:p w14:paraId="2B3B3E81" w14:textId="77777777" w:rsidR="00AB16F2" w:rsidRPr="00510BB5" w:rsidRDefault="00AB16F2" w:rsidP="00A12328">
            <w:pPr>
              <w:pStyle w:val="TableText0"/>
              <w:jc w:val="center"/>
              <w:rPr>
                <w:iCs/>
              </w:rPr>
            </w:pPr>
          </w:p>
        </w:tc>
        <w:tc>
          <w:tcPr>
            <w:tcW w:w="824" w:type="pct"/>
          </w:tcPr>
          <w:p w14:paraId="1AD9A08D" w14:textId="77777777" w:rsidR="00AB16F2" w:rsidRPr="00510BB5" w:rsidRDefault="00AB16F2" w:rsidP="00A12328">
            <w:pPr>
              <w:pStyle w:val="TableText0"/>
              <w:jc w:val="center"/>
              <w:rPr>
                <w:iCs/>
              </w:rPr>
            </w:pPr>
          </w:p>
        </w:tc>
      </w:tr>
      <w:tr w:rsidR="00AB16F2" w14:paraId="367D14A4" w14:textId="77777777" w:rsidTr="00365CB6">
        <w:tc>
          <w:tcPr>
            <w:tcW w:w="1632" w:type="pct"/>
          </w:tcPr>
          <w:p w14:paraId="72199C31" w14:textId="75EAA23A" w:rsidR="00AB16F2" w:rsidRDefault="00AB16F2" w:rsidP="00A12328">
            <w:pPr>
              <w:pStyle w:val="TableText0"/>
              <w:ind w:left="170"/>
            </w:pPr>
            <w:r>
              <w:rPr>
                <w:spacing w:val="-2"/>
              </w:rPr>
              <w:t>Radiation pneumonitis</w:t>
            </w:r>
          </w:p>
        </w:tc>
        <w:tc>
          <w:tcPr>
            <w:tcW w:w="896" w:type="pct"/>
          </w:tcPr>
          <w:p w14:paraId="5B89EC06" w14:textId="455E7CA9" w:rsidR="00AB16F2" w:rsidRPr="00304ED1" w:rsidRDefault="00AB16F2" w:rsidP="00A12328">
            <w:pPr>
              <w:pStyle w:val="TableText0"/>
              <w:jc w:val="center"/>
            </w:pPr>
            <w:r>
              <w:t>68 (47.6)</w:t>
            </w:r>
          </w:p>
        </w:tc>
        <w:tc>
          <w:tcPr>
            <w:tcW w:w="824" w:type="pct"/>
          </w:tcPr>
          <w:p w14:paraId="5530957E" w14:textId="54E14752" w:rsidR="00AB16F2" w:rsidRDefault="00AB16F2" w:rsidP="00A12328">
            <w:pPr>
              <w:pStyle w:val="TableText0"/>
              <w:jc w:val="center"/>
            </w:pPr>
            <w:r>
              <w:t>28 (38.4)</w:t>
            </w:r>
          </w:p>
        </w:tc>
        <w:tc>
          <w:tcPr>
            <w:tcW w:w="824" w:type="pct"/>
          </w:tcPr>
          <w:p w14:paraId="43E3F184" w14:textId="41FEB6E6" w:rsidR="00AB16F2" w:rsidRPr="00510BB5" w:rsidRDefault="00AB16F2" w:rsidP="00A12328">
            <w:pPr>
              <w:pStyle w:val="TableText0"/>
              <w:jc w:val="center"/>
              <w:rPr>
                <w:iCs/>
              </w:rPr>
            </w:pPr>
            <w:r w:rsidRPr="00510BB5">
              <w:rPr>
                <w:iCs/>
              </w:rPr>
              <w:t xml:space="preserve">1.24 </w:t>
            </w:r>
            <w:r w:rsidR="00605155" w:rsidRPr="00510BB5">
              <w:rPr>
                <w:iCs/>
              </w:rPr>
              <w:t>(</w:t>
            </w:r>
            <w:r w:rsidRPr="00510BB5">
              <w:rPr>
                <w:iCs/>
              </w:rPr>
              <w:t>0.88, 1.74</w:t>
            </w:r>
            <w:r w:rsidR="00605155" w:rsidRPr="00510BB5">
              <w:rPr>
                <w:iCs/>
              </w:rPr>
              <w:t>)</w:t>
            </w:r>
          </w:p>
        </w:tc>
        <w:tc>
          <w:tcPr>
            <w:tcW w:w="824" w:type="pct"/>
          </w:tcPr>
          <w:p w14:paraId="1AB540A1" w14:textId="2A1A56F1" w:rsidR="00AB16F2" w:rsidRPr="00510BB5" w:rsidRDefault="00AB16F2" w:rsidP="00A12328">
            <w:pPr>
              <w:pStyle w:val="TableText0"/>
              <w:jc w:val="center"/>
              <w:rPr>
                <w:iCs/>
              </w:rPr>
            </w:pPr>
            <w:r w:rsidRPr="00510BB5">
              <w:rPr>
                <w:iCs/>
              </w:rPr>
              <w:t xml:space="preserve">0.09 </w:t>
            </w:r>
            <w:r w:rsidR="00605155" w:rsidRPr="00510BB5">
              <w:rPr>
                <w:iCs/>
              </w:rPr>
              <w:t>(</w:t>
            </w:r>
            <w:r w:rsidRPr="00510BB5">
              <w:rPr>
                <w:iCs/>
              </w:rPr>
              <w:t>-0.05, 0.23</w:t>
            </w:r>
            <w:r w:rsidR="00605155" w:rsidRPr="00510BB5">
              <w:rPr>
                <w:iCs/>
              </w:rPr>
              <w:t>)</w:t>
            </w:r>
          </w:p>
        </w:tc>
      </w:tr>
      <w:tr w:rsidR="00AB16F2" w14:paraId="0D73B60A" w14:textId="77777777" w:rsidTr="00365CB6">
        <w:tc>
          <w:tcPr>
            <w:tcW w:w="1632" w:type="pct"/>
          </w:tcPr>
          <w:p w14:paraId="7B68B5AB" w14:textId="5BC91FE4" w:rsidR="00AB16F2" w:rsidRDefault="00AB16F2" w:rsidP="00A12328">
            <w:pPr>
              <w:pStyle w:val="TableText0"/>
              <w:ind w:left="170"/>
            </w:pPr>
            <w:r>
              <w:rPr>
                <w:spacing w:val="-2"/>
              </w:rPr>
              <w:t>Diarrhoea</w:t>
            </w:r>
          </w:p>
        </w:tc>
        <w:tc>
          <w:tcPr>
            <w:tcW w:w="896" w:type="pct"/>
          </w:tcPr>
          <w:p w14:paraId="7B0E491E" w14:textId="4DD9560E" w:rsidR="00AB16F2" w:rsidRPr="00304ED1" w:rsidRDefault="00AB16F2" w:rsidP="00A12328">
            <w:pPr>
              <w:pStyle w:val="TableText0"/>
              <w:jc w:val="center"/>
            </w:pPr>
            <w:r>
              <w:t>51 (35.7)</w:t>
            </w:r>
          </w:p>
        </w:tc>
        <w:tc>
          <w:tcPr>
            <w:tcW w:w="824" w:type="pct"/>
          </w:tcPr>
          <w:p w14:paraId="6E180898" w14:textId="25C723F7" w:rsidR="00AB16F2" w:rsidRDefault="00AB16F2" w:rsidP="00A12328">
            <w:pPr>
              <w:pStyle w:val="TableText0"/>
              <w:jc w:val="center"/>
            </w:pPr>
            <w:r>
              <w:t>10 (13.7)</w:t>
            </w:r>
          </w:p>
        </w:tc>
        <w:tc>
          <w:tcPr>
            <w:tcW w:w="824" w:type="pct"/>
          </w:tcPr>
          <w:p w14:paraId="2B0EA36F" w14:textId="66F81A52" w:rsidR="00AB16F2" w:rsidRPr="00510BB5" w:rsidRDefault="00AB16F2" w:rsidP="00A12328">
            <w:pPr>
              <w:pStyle w:val="TableText0"/>
              <w:jc w:val="center"/>
              <w:rPr>
                <w:iCs/>
              </w:rPr>
            </w:pPr>
            <w:r w:rsidRPr="00510BB5">
              <w:rPr>
                <w:iCs/>
              </w:rPr>
              <w:t xml:space="preserve">2.60 </w:t>
            </w:r>
            <w:r w:rsidR="00605155" w:rsidRPr="00510BB5">
              <w:rPr>
                <w:iCs/>
              </w:rPr>
              <w:t>(</w:t>
            </w:r>
            <w:r w:rsidRPr="00510BB5">
              <w:rPr>
                <w:iCs/>
              </w:rPr>
              <w:t>1.41, 4.82</w:t>
            </w:r>
            <w:r w:rsidR="00605155" w:rsidRPr="00510BB5">
              <w:rPr>
                <w:iCs/>
              </w:rPr>
              <w:t>)</w:t>
            </w:r>
          </w:p>
        </w:tc>
        <w:tc>
          <w:tcPr>
            <w:tcW w:w="824" w:type="pct"/>
          </w:tcPr>
          <w:p w14:paraId="6BA0A8AC" w14:textId="1E1172A1" w:rsidR="00AB16F2" w:rsidRPr="00510BB5" w:rsidRDefault="00AB16F2" w:rsidP="00A12328">
            <w:pPr>
              <w:pStyle w:val="TableText0"/>
              <w:jc w:val="center"/>
              <w:rPr>
                <w:iCs/>
              </w:rPr>
            </w:pPr>
            <w:r w:rsidRPr="00510BB5">
              <w:rPr>
                <w:iCs/>
              </w:rPr>
              <w:t xml:space="preserve">0.22 </w:t>
            </w:r>
            <w:r w:rsidR="00605155" w:rsidRPr="00510BB5">
              <w:rPr>
                <w:iCs/>
              </w:rPr>
              <w:t>(</w:t>
            </w:r>
            <w:r w:rsidRPr="00510BB5">
              <w:rPr>
                <w:iCs/>
              </w:rPr>
              <w:t>0.11, 0.33</w:t>
            </w:r>
            <w:r w:rsidR="00605155" w:rsidRPr="00510BB5">
              <w:rPr>
                <w:iCs/>
              </w:rPr>
              <w:t>)</w:t>
            </w:r>
          </w:p>
        </w:tc>
      </w:tr>
      <w:tr w:rsidR="00AB16F2" w14:paraId="4AA367B5" w14:textId="77777777" w:rsidTr="00365CB6">
        <w:tc>
          <w:tcPr>
            <w:tcW w:w="1632" w:type="pct"/>
          </w:tcPr>
          <w:p w14:paraId="38894180" w14:textId="660F2526" w:rsidR="00AB16F2" w:rsidRDefault="00AB16F2" w:rsidP="00A12328">
            <w:pPr>
              <w:pStyle w:val="TableText0"/>
              <w:ind w:left="170"/>
            </w:pPr>
            <w:r>
              <w:rPr>
                <w:spacing w:val="-4"/>
              </w:rPr>
              <w:t>Rash</w:t>
            </w:r>
          </w:p>
        </w:tc>
        <w:tc>
          <w:tcPr>
            <w:tcW w:w="896" w:type="pct"/>
          </w:tcPr>
          <w:p w14:paraId="04A28E0A" w14:textId="6E111059" w:rsidR="00AB16F2" w:rsidRPr="00304ED1" w:rsidRDefault="00AB16F2" w:rsidP="00A12328">
            <w:pPr>
              <w:pStyle w:val="TableText0"/>
              <w:jc w:val="center"/>
            </w:pPr>
            <w:r>
              <w:t>34 (23.8)</w:t>
            </w:r>
          </w:p>
        </w:tc>
        <w:tc>
          <w:tcPr>
            <w:tcW w:w="824" w:type="pct"/>
          </w:tcPr>
          <w:p w14:paraId="6B2FD47F" w14:textId="1FAD159A" w:rsidR="00AB16F2" w:rsidRDefault="00AB16F2" w:rsidP="00A12328">
            <w:pPr>
              <w:pStyle w:val="TableText0"/>
              <w:jc w:val="center"/>
            </w:pPr>
            <w:r>
              <w:t>10 (13.7)</w:t>
            </w:r>
          </w:p>
        </w:tc>
        <w:tc>
          <w:tcPr>
            <w:tcW w:w="824" w:type="pct"/>
          </w:tcPr>
          <w:p w14:paraId="24F7F530" w14:textId="7BF744EC" w:rsidR="00AB16F2" w:rsidRPr="00510BB5" w:rsidRDefault="00AB16F2" w:rsidP="00A12328">
            <w:pPr>
              <w:pStyle w:val="TableText0"/>
              <w:jc w:val="center"/>
              <w:rPr>
                <w:iCs/>
              </w:rPr>
            </w:pPr>
            <w:r w:rsidRPr="00510BB5">
              <w:rPr>
                <w:iCs/>
              </w:rPr>
              <w:t xml:space="preserve">1.74 </w:t>
            </w:r>
            <w:r w:rsidR="00605155" w:rsidRPr="00510BB5">
              <w:rPr>
                <w:iCs/>
              </w:rPr>
              <w:t>(</w:t>
            </w:r>
            <w:r w:rsidRPr="00510BB5">
              <w:rPr>
                <w:iCs/>
              </w:rPr>
              <w:t>0.91, 3.31</w:t>
            </w:r>
            <w:r w:rsidR="00605155" w:rsidRPr="00510BB5">
              <w:rPr>
                <w:iCs/>
              </w:rPr>
              <w:t>)</w:t>
            </w:r>
          </w:p>
        </w:tc>
        <w:tc>
          <w:tcPr>
            <w:tcW w:w="824" w:type="pct"/>
          </w:tcPr>
          <w:p w14:paraId="5785FF63" w14:textId="46E92185" w:rsidR="00AB16F2" w:rsidRPr="00510BB5" w:rsidRDefault="00AB16F2" w:rsidP="00A12328">
            <w:pPr>
              <w:pStyle w:val="TableText0"/>
              <w:jc w:val="center"/>
              <w:rPr>
                <w:iCs/>
              </w:rPr>
            </w:pPr>
            <w:r w:rsidRPr="00510BB5">
              <w:rPr>
                <w:iCs/>
              </w:rPr>
              <w:t xml:space="preserve">0.10 </w:t>
            </w:r>
            <w:r w:rsidR="00605155" w:rsidRPr="00510BB5">
              <w:rPr>
                <w:iCs/>
              </w:rPr>
              <w:t>(</w:t>
            </w:r>
            <w:r w:rsidRPr="00510BB5">
              <w:rPr>
                <w:iCs/>
              </w:rPr>
              <w:t>-0.004, 0.21</w:t>
            </w:r>
            <w:r w:rsidR="00605155" w:rsidRPr="00510BB5">
              <w:rPr>
                <w:iCs/>
              </w:rPr>
              <w:t>)</w:t>
            </w:r>
          </w:p>
        </w:tc>
      </w:tr>
      <w:tr w:rsidR="00AB16F2" w14:paraId="5C2B95B5" w14:textId="77777777" w:rsidTr="00365CB6">
        <w:tc>
          <w:tcPr>
            <w:tcW w:w="1632" w:type="pct"/>
          </w:tcPr>
          <w:p w14:paraId="39C07708" w14:textId="363F876F" w:rsidR="00AB16F2" w:rsidRDefault="00AB16F2" w:rsidP="00A12328">
            <w:pPr>
              <w:pStyle w:val="TableText0"/>
              <w:ind w:left="170"/>
            </w:pPr>
            <w:r>
              <w:rPr>
                <w:spacing w:val="-2"/>
              </w:rPr>
              <w:t>Paronychia</w:t>
            </w:r>
          </w:p>
        </w:tc>
        <w:tc>
          <w:tcPr>
            <w:tcW w:w="896" w:type="pct"/>
          </w:tcPr>
          <w:p w14:paraId="27A34EDE" w14:textId="3E3B7901" w:rsidR="00AB16F2" w:rsidRPr="00304ED1" w:rsidRDefault="00AB16F2" w:rsidP="00A12328">
            <w:pPr>
              <w:pStyle w:val="TableText0"/>
              <w:jc w:val="center"/>
            </w:pPr>
            <w:r>
              <w:t>24 (16.8)</w:t>
            </w:r>
          </w:p>
        </w:tc>
        <w:tc>
          <w:tcPr>
            <w:tcW w:w="824" w:type="pct"/>
          </w:tcPr>
          <w:p w14:paraId="3F155B3D" w14:textId="0A9DE060" w:rsidR="00AB16F2" w:rsidRDefault="00AB16F2" w:rsidP="00A12328">
            <w:pPr>
              <w:pStyle w:val="TableText0"/>
              <w:jc w:val="center"/>
            </w:pPr>
            <w:r>
              <w:t>1 (1.4)</w:t>
            </w:r>
          </w:p>
        </w:tc>
        <w:tc>
          <w:tcPr>
            <w:tcW w:w="824" w:type="pct"/>
          </w:tcPr>
          <w:p w14:paraId="3159FCAB" w14:textId="3C920706" w:rsidR="00AB16F2" w:rsidRPr="00510BB5" w:rsidRDefault="00AB16F2" w:rsidP="00A12328">
            <w:pPr>
              <w:pStyle w:val="TableText0"/>
              <w:jc w:val="center"/>
              <w:rPr>
                <w:iCs/>
              </w:rPr>
            </w:pPr>
            <w:r w:rsidRPr="00510BB5">
              <w:rPr>
                <w:iCs/>
              </w:rPr>
              <w:t xml:space="preserve">12.25 </w:t>
            </w:r>
            <w:r w:rsidR="00605155" w:rsidRPr="00510BB5">
              <w:rPr>
                <w:iCs/>
              </w:rPr>
              <w:t>(</w:t>
            </w:r>
            <w:r w:rsidRPr="00510BB5">
              <w:rPr>
                <w:iCs/>
              </w:rPr>
              <w:t>1.69, 88.77</w:t>
            </w:r>
            <w:r w:rsidR="00605155" w:rsidRPr="00510BB5">
              <w:rPr>
                <w:iCs/>
              </w:rPr>
              <w:t>)</w:t>
            </w:r>
          </w:p>
        </w:tc>
        <w:tc>
          <w:tcPr>
            <w:tcW w:w="824" w:type="pct"/>
          </w:tcPr>
          <w:p w14:paraId="643EE6DD" w14:textId="0F5C1C22" w:rsidR="00AB16F2" w:rsidRPr="00510BB5" w:rsidRDefault="00AB16F2" w:rsidP="00A12328">
            <w:pPr>
              <w:pStyle w:val="TableText0"/>
              <w:jc w:val="center"/>
              <w:rPr>
                <w:iCs/>
              </w:rPr>
            </w:pPr>
            <w:r w:rsidRPr="00510BB5">
              <w:rPr>
                <w:iCs/>
              </w:rPr>
              <w:t xml:space="preserve">0.15 </w:t>
            </w:r>
            <w:r w:rsidR="00605155" w:rsidRPr="00510BB5">
              <w:rPr>
                <w:iCs/>
              </w:rPr>
              <w:t>(</w:t>
            </w:r>
            <w:r w:rsidRPr="00510BB5">
              <w:rPr>
                <w:iCs/>
              </w:rPr>
              <w:t>0.09, 0.22</w:t>
            </w:r>
            <w:r w:rsidR="00605155" w:rsidRPr="00510BB5">
              <w:rPr>
                <w:iCs/>
              </w:rPr>
              <w:t>)</w:t>
            </w:r>
          </w:p>
        </w:tc>
      </w:tr>
      <w:tr w:rsidR="00AB16F2" w14:paraId="14A022C0" w14:textId="77777777" w:rsidTr="00365CB6">
        <w:tc>
          <w:tcPr>
            <w:tcW w:w="1632" w:type="pct"/>
          </w:tcPr>
          <w:p w14:paraId="533AF585" w14:textId="67D08D3F" w:rsidR="00AB16F2" w:rsidRDefault="00AB16F2" w:rsidP="00A12328">
            <w:pPr>
              <w:pStyle w:val="TableText0"/>
              <w:ind w:left="170"/>
            </w:pPr>
            <w:r>
              <w:rPr>
                <w:spacing w:val="-2"/>
              </w:rPr>
              <w:t>Cough</w:t>
            </w:r>
          </w:p>
        </w:tc>
        <w:tc>
          <w:tcPr>
            <w:tcW w:w="896" w:type="pct"/>
          </w:tcPr>
          <w:p w14:paraId="17E9C8DC" w14:textId="46C789B8" w:rsidR="00AB16F2" w:rsidRPr="00304ED1" w:rsidRDefault="00AB16F2" w:rsidP="00A12328">
            <w:pPr>
              <w:pStyle w:val="TableText0"/>
              <w:jc w:val="center"/>
            </w:pPr>
            <w:r>
              <w:t>23 (16.1)</w:t>
            </w:r>
          </w:p>
        </w:tc>
        <w:tc>
          <w:tcPr>
            <w:tcW w:w="824" w:type="pct"/>
          </w:tcPr>
          <w:p w14:paraId="7ECB55B8" w14:textId="6FFB3DE5" w:rsidR="00AB16F2" w:rsidRDefault="00AB16F2" w:rsidP="00A12328">
            <w:pPr>
              <w:pStyle w:val="TableText0"/>
              <w:jc w:val="center"/>
            </w:pPr>
            <w:r>
              <w:t>7 (9.6)</w:t>
            </w:r>
          </w:p>
        </w:tc>
        <w:tc>
          <w:tcPr>
            <w:tcW w:w="824" w:type="pct"/>
          </w:tcPr>
          <w:p w14:paraId="59A45DB7" w14:textId="06C96874" w:rsidR="00AB16F2" w:rsidRPr="00510BB5" w:rsidRDefault="00AB16F2" w:rsidP="00A12328">
            <w:pPr>
              <w:pStyle w:val="TableText0"/>
              <w:jc w:val="center"/>
              <w:rPr>
                <w:iCs/>
              </w:rPr>
            </w:pPr>
            <w:r w:rsidRPr="00510BB5">
              <w:rPr>
                <w:iCs/>
              </w:rPr>
              <w:t xml:space="preserve">1.68 </w:t>
            </w:r>
            <w:r w:rsidR="00605155" w:rsidRPr="00510BB5">
              <w:rPr>
                <w:iCs/>
              </w:rPr>
              <w:t>(</w:t>
            </w:r>
            <w:r w:rsidRPr="00510BB5">
              <w:rPr>
                <w:iCs/>
              </w:rPr>
              <w:t>0.76. 3.72</w:t>
            </w:r>
            <w:r w:rsidR="00605155" w:rsidRPr="00510BB5">
              <w:rPr>
                <w:iCs/>
              </w:rPr>
              <w:t>)</w:t>
            </w:r>
          </w:p>
        </w:tc>
        <w:tc>
          <w:tcPr>
            <w:tcW w:w="824" w:type="pct"/>
          </w:tcPr>
          <w:p w14:paraId="11AC28A6" w14:textId="097F8F0F" w:rsidR="00AB16F2" w:rsidRPr="00510BB5" w:rsidRDefault="00AB16F2" w:rsidP="00A12328">
            <w:pPr>
              <w:pStyle w:val="TableText0"/>
              <w:jc w:val="center"/>
              <w:rPr>
                <w:iCs/>
              </w:rPr>
            </w:pPr>
            <w:r w:rsidRPr="00510BB5">
              <w:rPr>
                <w:iCs/>
              </w:rPr>
              <w:t xml:space="preserve">0.06 </w:t>
            </w:r>
            <w:r w:rsidR="00605155" w:rsidRPr="00510BB5">
              <w:rPr>
                <w:iCs/>
              </w:rPr>
              <w:t>(</w:t>
            </w:r>
            <w:r w:rsidRPr="00510BB5">
              <w:rPr>
                <w:iCs/>
              </w:rPr>
              <w:t>-0.26, 0.16</w:t>
            </w:r>
            <w:r w:rsidR="00605155" w:rsidRPr="00510BB5">
              <w:rPr>
                <w:iCs/>
              </w:rPr>
              <w:t>)</w:t>
            </w:r>
          </w:p>
        </w:tc>
      </w:tr>
      <w:tr w:rsidR="00AB16F2" w14:paraId="5C9B8C01" w14:textId="77777777" w:rsidTr="00365CB6">
        <w:tc>
          <w:tcPr>
            <w:tcW w:w="1632" w:type="pct"/>
          </w:tcPr>
          <w:p w14:paraId="11FDCDD5" w14:textId="05BCDCF2" w:rsidR="00AB16F2" w:rsidRDefault="00AB16F2" w:rsidP="00A12328">
            <w:pPr>
              <w:pStyle w:val="TableText0"/>
              <w:ind w:left="170"/>
            </w:pPr>
            <w:r>
              <w:t>Decreased</w:t>
            </w:r>
            <w:r>
              <w:rPr>
                <w:spacing w:val="-9"/>
              </w:rPr>
              <w:t xml:space="preserve"> </w:t>
            </w:r>
            <w:r>
              <w:rPr>
                <w:spacing w:val="-2"/>
              </w:rPr>
              <w:t>appetite</w:t>
            </w:r>
          </w:p>
        </w:tc>
        <w:tc>
          <w:tcPr>
            <w:tcW w:w="896" w:type="pct"/>
          </w:tcPr>
          <w:p w14:paraId="50CE1621" w14:textId="3974D29B" w:rsidR="00AB16F2" w:rsidRPr="00304ED1" w:rsidRDefault="00AB16F2" w:rsidP="00A12328">
            <w:pPr>
              <w:pStyle w:val="TableText0"/>
              <w:jc w:val="center"/>
            </w:pPr>
            <w:r>
              <w:t>21 (14.7)</w:t>
            </w:r>
          </w:p>
        </w:tc>
        <w:tc>
          <w:tcPr>
            <w:tcW w:w="824" w:type="pct"/>
          </w:tcPr>
          <w:p w14:paraId="0D33E135" w14:textId="51C061F8" w:rsidR="00AB16F2" w:rsidRDefault="00AB16F2" w:rsidP="00A12328">
            <w:pPr>
              <w:pStyle w:val="TableText0"/>
              <w:jc w:val="center"/>
            </w:pPr>
            <w:r>
              <w:t>4 (5.5)</w:t>
            </w:r>
          </w:p>
        </w:tc>
        <w:tc>
          <w:tcPr>
            <w:tcW w:w="824" w:type="pct"/>
          </w:tcPr>
          <w:p w14:paraId="1A537357" w14:textId="790E14BC" w:rsidR="00AB16F2" w:rsidRPr="00510BB5" w:rsidRDefault="00AB16F2" w:rsidP="00A12328">
            <w:pPr>
              <w:pStyle w:val="TableText0"/>
              <w:jc w:val="center"/>
              <w:rPr>
                <w:iCs/>
              </w:rPr>
            </w:pPr>
            <w:r w:rsidRPr="00510BB5">
              <w:rPr>
                <w:iCs/>
              </w:rPr>
              <w:t xml:space="preserve">2.68 </w:t>
            </w:r>
            <w:r w:rsidR="00605155" w:rsidRPr="00510BB5">
              <w:rPr>
                <w:iCs/>
              </w:rPr>
              <w:t>(</w:t>
            </w:r>
            <w:r w:rsidRPr="00510BB5">
              <w:rPr>
                <w:iCs/>
              </w:rPr>
              <w:t>0.96, 7.52</w:t>
            </w:r>
            <w:r w:rsidR="00605155" w:rsidRPr="00510BB5">
              <w:rPr>
                <w:iCs/>
              </w:rPr>
              <w:t>)</w:t>
            </w:r>
          </w:p>
        </w:tc>
        <w:tc>
          <w:tcPr>
            <w:tcW w:w="824" w:type="pct"/>
          </w:tcPr>
          <w:p w14:paraId="0E7C9638" w14:textId="7018CB25" w:rsidR="00AB16F2" w:rsidRPr="00510BB5" w:rsidRDefault="00AB16F2" w:rsidP="00A12328">
            <w:pPr>
              <w:pStyle w:val="TableText0"/>
              <w:jc w:val="center"/>
              <w:rPr>
                <w:iCs/>
              </w:rPr>
            </w:pPr>
            <w:r w:rsidRPr="00510BB5">
              <w:rPr>
                <w:iCs/>
              </w:rPr>
              <w:t xml:space="preserve">0.09 </w:t>
            </w:r>
            <w:r w:rsidR="00605155" w:rsidRPr="00510BB5">
              <w:rPr>
                <w:iCs/>
              </w:rPr>
              <w:t>(</w:t>
            </w:r>
            <w:r w:rsidRPr="00510BB5">
              <w:rPr>
                <w:iCs/>
              </w:rPr>
              <w:t>0.01, 0.17</w:t>
            </w:r>
            <w:r w:rsidR="00605155" w:rsidRPr="00510BB5">
              <w:rPr>
                <w:iCs/>
              </w:rPr>
              <w:t>)</w:t>
            </w:r>
          </w:p>
        </w:tc>
      </w:tr>
      <w:tr w:rsidR="00AB16F2" w14:paraId="170C8E01" w14:textId="77777777" w:rsidTr="00365CB6">
        <w:tc>
          <w:tcPr>
            <w:tcW w:w="1632" w:type="pct"/>
          </w:tcPr>
          <w:p w14:paraId="2BE90D2A" w14:textId="4202BCAF" w:rsidR="00AB16F2" w:rsidRDefault="00AB16F2" w:rsidP="00A12328">
            <w:pPr>
              <w:pStyle w:val="TableText0"/>
              <w:ind w:left="170"/>
            </w:pPr>
            <w:r>
              <w:t>Dry</w:t>
            </w:r>
            <w:r>
              <w:rPr>
                <w:spacing w:val="-3"/>
              </w:rPr>
              <w:t xml:space="preserve"> </w:t>
            </w:r>
            <w:r>
              <w:rPr>
                <w:spacing w:val="-4"/>
              </w:rPr>
              <w:t>skin</w:t>
            </w:r>
          </w:p>
        </w:tc>
        <w:tc>
          <w:tcPr>
            <w:tcW w:w="896" w:type="pct"/>
          </w:tcPr>
          <w:p w14:paraId="26AACCB7" w14:textId="7E0D5D9D" w:rsidR="00AB16F2" w:rsidRPr="00304ED1" w:rsidRDefault="00AB16F2" w:rsidP="00A12328">
            <w:pPr>
              <w:pStyle w:val="TableText0"/>
              <w:jc w:val="center"/>
            </w:pPr>
            <w:r>
              <w:t>18 (12.6)</w:t>
            </w:r>
          </w:p>
        </w:tc>
        <w:tc>
          <w:tcPr>
            <w:tcW w:w="824" w:type="pct"/>
          </w:tcPr>
          <w:p w14:paraId="017C54C3" w14:textId="61CD3A48" w:rsidR="00AB16F2" w:rsidRDefault="00AB16F2" w:rsidP="00A12328">
            <w:pPr>
              <w:pStyle w:val="TableText0"/>
              <w:jc w:val="center"/>
            </w:pPr>
            <w:r>
              <w:t>4 (5.5)</w:t>
            </w:r>
          </w:p>
        </w:tc>
        <w:tc>
          <w:tcPr>
            <w:tcW w:w="824" w:type="pct"/>
          </w:tcPr>
          <w:p w14:paraId="19CC6CDF" w14:textId="750EADF6" w:rsidR="00AB16F2" w:rsidRPr="00510BB5" w:rsidRDefault="00AB16F2" w:rsidP="00A12328">
            <w:pPr>
              <w:pStyle w:val="TableText0"/>
              <w:jc w:val="center"/>
              <w:rPr>
                <w:iCs/>
              </w:rPr>
            </w:pPr>
            <w:r w:rsidRPr="00510BB5">
              <w:rPr>
                <w:iCs/>
              </w:rPr>
              <w:t xml:space="preserve">2.30 </w:t>
            </w:r>
            <w:r w:rsidR="00605155" w:rsidRPr="00510BB5">
              <w:rPr>
                <w:iCs/>
              </w:rPr>
              <w:t>(</w:t>
            </w:r>
            <w:r w:rsidRPr="00510BB5">
              <w:rPr>
                <w:iCs/>
              </w:rPr>
              <w:t>0.81, 6.54</w:t>
            </w:r>
            <w:r w:rsidR="00605155" w:rsidRPr="00510BB5">
              <w:rPr>
                <w:iCs/>
              </w:rPr>
              <w:t>)</w:t>
            </w:r>
          </w:p>
        </w:tc>
        <w:tc>
          <w:tcPr>
            <w:tcW w:w="824" w:type="pct"/>
          </w:tcPr>
          <w:p w14:paraId="52796B0C" w14:textId="34DF8132" w:rsidR="00AB16F2" w:rsidRPr="00510BB5" w:rsidRDefault="00AB16F2" w:rsidP="00A12328">
            <w:pPr>
              <w:pStyle w:val="TableText0"/>
              <w:jc w:val="center"/>
              <w:rPr>
                <w:iCs/>
              </w:rPr>
            </w:pPr>
            <w:r w:rsidRPr="00510BB5">
              <w:rPr>
                <w:iCs/>
              </w:rPr>
              <w:t xml:space="preserve">0.07 </w:t>
            </w:r>
            <w:r w:rsidR="00605155" w:rsidRPr="00510BB5">
              <w:rPr>
                <w:iCs/>
              </w:rPr>
              <w:t>(</w:t>
            </w:r>
            <w:r w:rsidRPr="00510BB5">
              <w:rPr>
                <w:iCs/>
              </w:rPr>
              <w:t>-0.004, 0.15</w:t>
            </w:r>
            <w:r w:rsidR="00605155" w:rsidRPr="00510BB5">
              <w:rPr>
                <w:iCs/>
              </w:rPr>
              <w:t>)</w:t>
            </w:r>
          </w:p>
        </w:tc>
      </w:tr>
      <w:tr w:rsidR="00AB16F2" w14:paraId="195B0068" w14:textId="77777777" w:rsidTr="00365CB6">
        <w:tc>
          <w:tcPr>
            <w:tcW w:w="1632" w:type="pct"/>
          </w:tcPr>
          <w:p w14:paraId="45A36462" w14:textId="3A5B7D2A" w:rsidR="00AB16F2" w:rsidRDefault="00AB16F2" w:rsidP="00A12328">
            <w:pPr>
              <w:pStyle w:val="TableText0"/>
              <w:ind w:left="170"/>
            </w:pPr>
            <w:r>
              <w:rPr>
                <w:spacing w:val="-2"/>
              </w:rPr>
              <w:t>Pruritus</w:t>
            </w:r>
          </w:p>
        </w:tc>
        <w:tc>
          <w:tcPr>
            <w:tcW w:w="896" w:type="pct"/>
          </w:tcPr>
          <w:p w14:paraId="284ECFF5" w14:textId="62DD7CC9" w:rsidR="00AB16F2" w:rsidRPr="00304ED1" w:rsidRDefault="00AB16F2" w:rsidP="00A12328">
            <w:pPr>
              <w:pStyle w:val="TableText0"/>
              <w:jc w:val="center"/>
            </w:pPr>
            <w:r>
              <w:t>18 (12.6)</w:t>
            </w:r>
          </w:p>
        </w:tc>
        <w:tc>
          <w:tcPr>
            <w:tcW w:w="824" w:type="pct"/>
          </w:tcPr>
          <w:p w14:paraId="728CA100" w14:textId="660924A0" w:rsidR="00AB16F2" w:rsidRDefault="00AB16F2" w:rsidP="00A12328">
            <w:pPr>
              <w:pStyle w:val="TableText0"/>
              <w:jc w:val="center"/>
            </w:pPr>
            <w:r>
              <w:t>5 (6.8)</w:t>
            </w:r>
          </w:p>
        </w:tc>
        <w:tc>
          <w:tcPr>
            <w:tcW w:w="824" w:type="pct"/>
          </w:tcPr>
          <w:p w14:paraId="18096348" w14:textId="12CEE50E" w:rsidR="00AB16F2" w:rsidRPr="00510BB5" w:rsidRDefault="00AB16F2" w:rsidP="00A12328">
            <w:pPr>
              <w:pStyle w:val="TableText0"/>
              <w:jc w:val="center"/>
              <w:rPr>
                <w:iCs/>
              </w:rPr>
            </w:pPr>
            <w:r w:rsidRPr="00510BB5">
              <w:rPr>
                <w:iCs/>
              </w:rPr>
              <w:t xml:space="preserve">1.84 </w:t>
            </w:r>
            <w:r w:rsidR="00605155" w:rsidRPr="00510BB5">
              <w:rPr>
                <w:iCs/>
              </w:rPr>
              <w:t>(</w:t>
            </w:r>
            <w:r w:rsidRPr="00510BB5">
              <w:rPr>
                <w:iCs/>
              </w:rPr>
              <w:t>0.71, 4.75</w:t>
            </w:r>
            <w:r w:rsidR="00605155" w:rsidRPr="00510BB5">
              <w:rPr>
                <w:iCs/>
              </w:rPr>
              <w:t>)</w:t>
            </w:r>
          </w:p>
        </w:tc>
        <w:tc>
          <w:tcPr>
            <w:tcW w:w="824" w:type="pct"/>
          </w:tcPr>
          <w:p w14:paraId="3B327262" w14:textId="765D83EA" w:rsidR="00AB16F2" w:rsidRPr="00510BB5" w:rsidRDefault="00AB16F2" w:rsidP="00A12328">
            <w:pPr>
              <w:pStyle w:val="TableText0"/>
              <w:jc w:val="center"/>
              <w:rPr>
                <w:iCs/>
              </w:rPr>
            </w:pPr>
            <w:r w:rsidRPr="00510BB5">
              <w:rPr>
                <w:iCs/>
              </w:rPr>
              <w:t xml:space="preserve">0.06 </w:t>
            </w:r>
            <w:r w:rsidR="00605155" w:rsidRPr="00510BB5">
              <w:rPr>
                <w:iCs/>
              </w:rPr>
              <w:t>(</w:t>
            </w:r>
            <w:r w:rsidRPr="00510BB5">
              <w:rPr>
                <w:iCs/>
              </w:rPr>
              <w:t>-0.22, 0.14</w:t>
            </w:r>
            <w:r w:rsidR="00605155" w:rsidRPr="00510BB5">
              <w:rPr>
                <w:iCs/>
              </w:rPr>
              <w:t>)</w:t>
            </w:r>
          </w:p>
        </w:tc>
      </w:tr>
      <w:tr w:rsidR="00AB16F2" w14:paraId="53FB704E" w14:textId="77777777" w:rsidTr="00365CB6">
        <w:tc>
          <w:tcPr>
            <w:tcW w:w="1632" w:type="pct"/>
          </w:tcPr>
          <w:p w14:paraId="3CFE0798" w14:textId="27DF09DF" w:rsidR="00AB16F2" w:rsidRDefault="00AB16F2" w:rsidP="00A12328">
            <w:pPr>
              <w:pStyle w:val="TableText0"/>
              <w:ind w:left="170"/>
            </w:pPr>
            <w:r>
              <w:rPr>
                <w:spacing w:val="-2"/>
              </w:rPr>
              <w:t>Stomatitis</w:t>
            </w:r>
          </w:p>
        </w:tc>
        <w:tc>
          <w:tcPr>
            <w:tcW w:w="896" w:type="pct"/>
          </w:tcPr>
          <w:p w14:paraId="787624A3" w14:textId="328A7EC3" w:rsidR="00AB16F2" w:rsidRPr="00304ED1" w:rsidRDefault="00AB16F2" w:rsidP="00A12328">
            <w:pPr>
              <w:pStyle w:val="TableText0"/>
              <w:jc w:val="center"/>
            </w:pPr>
            <w:r>
              <w:t>17 (11.9)</w:t>
            </w:r>
          </w:p>
        </w:tc>
        <w:tc>
          <w:tcPr>
            <w:tcW w:w="824" w:type="pct"/>
          </w:tcPr>
          <w:p w14:paraId="676879EC" w14:textId="062DD503" w:rsidR="00AB16F2" w:rsidRDefault="00AB16F2" w:rsidP="00A12328">
            <w:pPr>
              <w:pStyle w:val="TableText0"/>
              <w:jc w:val="center"/>
            </w:pPr>
            <w:r>
              <w:t>2 (2.7)</w:t>
            </w:r>
          </w:p>
        </w:tc>
        <w:tc>
          <w:tcPr>
            <w:tcW w:w="824" w:type="pct"/>
          </w:tcPr>
          <w:p w14:paraId="2E1A448D" w14:textId="54FD284F" w:rsidR="00AB16F2" w:rsidRPr="00510BB5" w:rsidRDefault="00AB16F2" w:rsidP="00A12328">
            <w:pPr>
              <w:pStyle w:val="TableText0"/>
              <w:jc w:val="center"/>
              <w:rPr>
                <w:iCs/>
              </w:rPr>
            </w:pPr>
            <w:r w:rsidRPr="00510BB5">
              <w:rPr>
                <w:iCs/>
              </w:rPr>
              <w:t xml:space="preserve">4.34 </w:t>
            </w:r>
            <w:r w:rsidR="00605155" w:rsidRPr="00510BB5">
              <w:rPr>
                <w:iCs/>
              </w:rPr>
              <w:t>(</w:t>
            </w:r>
            <w:r w:rsidRPr="00510BB5">
              <w:rPr>
                <w:iCs/>
              </w:rPr>
              <w:t>1.03, 18.27</w:t>
            </w:r>
            <w:r w:rsidR="00605155" w:rsidRPr="00510BB5">
              <w:rPr>
                <w:iCs/>
              </w:rPr>
              <w:t>)</w:t>
            </w:r>
          </w:p>
        </w:tc>
        <w:tc>
          <w:tcPr>
            <w:tcW w:w="824" w:type="pct"/>
          </w:tcPr>
          <w:p w14:paraId="40C4ABB1" w14:textId="1A45EC9D" w:rsidR="00AB16F2" w:rsidRPr="00510BB5" w:rsidRDefault="00AB16F2" w:rsidP="00A12328">
            <w:pPr>
              <w:pStyle w:val="TableText0"/>
              <w:jc w:val="center"/>
              <w:rPr>
                <w:iCs/>
              </w:rPr>
            </w:pPr>
            <w:r w:rsidRPr="00510BB5">
              <w:rPr>
                <w:iCs/>
              </w:rPr>
              <w:t xml:space="preserve">0.09 </w:t>
            </w:r>
            <w:r w:rsidR="00605155" w:rsidRPr="00510BB5">
              <w:rPr>
                <w:iCs/>
              </w:rPr>
              <w:t>(</w:t>
            </w:r>
            <w:r w:rsidRPr="00510BB5">
              <w:rPr>
                <w:iCs/>
              </w:rPr>
              <w:t>0.03, 0.16</w:t>
            </w:r>
            <w:r w:rsidR="00605155" w:rsidRPr="00510BB5">
              <w:rPr>
                <w:iCs/>
              </w:rPr>
              <w:t>)</w:t>
            </w:r>
          </w:p>
        </w:tc>
      </w:tr>
      <w:tr w:rsidR="00AB16F2" w14:paraId="740DDEE2" w14:textId="77777777" w:rsidTr="00365CB6">
        <w:tc>
          <w:tcPr>
            <w:tcW w:w="1632" w:type="pct"/>
          </w:tcPr>
          <w:p w14:paraId="1BC28EE8" w14:textId="64290D10" w:rsidR="00AB16F2" w:rsidRDefault="00AB16F2" w:rsidP="00A12328">
            <w:pPr>
              <w:pStyle w:val="TableText0"/>
              <w:ind w:left="170"/>
            </w:pPr>
            <w:r>
              <w:t>White</w:t>
            </w:r>
            <w:r>
              <w:rPr>
                <w:spacing w:val="-5"/>
              </w:rPr>
              <w:t xml:space="preserve"> </w:t>
            </w:r>
            <w:r>
              <w:t>blood</w:t>
            </w:r>
            <w:r>
              <w:rPr>
                <w:spacing w:val="-3"/>
              </w:rPr>
              <w:t xml:space="preserve"> </w:t>
            </w:r>
            <w:r>
              <w:t>cell</w:t>
            </w:r>
            <w:r>
              <w:rPr>
                <w:spacing w:val="-5"/>
              </w:rPr>
              <w:t xml:space="preserve"> </w:t>
            </w:r>
            <w:r>
              <w:t>count</w:t>
            </w:r>
            <w:r>
              <w:rPr>
                <w:spacing w:val="-4"/>
              </w:rPr>
              <w:t xml:space="preserve"> </w:t>
            </w:r>
            <w:r>
              <w:rPr>
                <w:spacing w:val="-2"/>
              </w:rPr>
              <w:t>decreased</w:t>
            </w:r>
          </w:p>
        </w:tc>
        <w:tc>
          <w:tcPr>
            <w:tcW w:w="896" w:type="pct"/>
          </w:tcPr>
          <w:p w14:paraId="11F12789" w14:textId="15E6FDC0" w:rsidR="00AB16F2" w:rsidRPr="00304ED1" w:rsidRDefault="00AB16F2" w:rsidP="00A12328">
            <w:pPr>
              <w:pStyle w:val="TableText0"/>
              <w:jc w:val="center"/>
            </w:pPr>
            <w:r>
              <w:t>17 (11.9)</w:t>
            </w:r>
          </w:p>
        </w:tc>
        <w:tc>
          <w:tcPr>
            <w:tcW w:w="824" w:type="pct"/>
          </w:tcPr>
          <w:p w14:paraId="6B8670A8" w14:textId="59A1678B" w:rsidR="00AB16F2" w:rsidRDefault="00AB16F2" w:rsidP="00A12328">
            <w:pPr>
              <w:pStyle w:val="TableText0"/>
              <w:jc w:val="center"/>
            </w:pPr>
            <w:r>
              <w:t>2 (2.7)</w:t>
            </w:r>
          </w:p>
        </w:tc>
        <w:tc>
          <w:tcPr>
            <w:tcW w:w="824" w:type="pct"/>
          </w:tcPr>
          <w:p w14:paraId="1F9CDE96" w14:textId="2CA8CA05" w:rsidR="00AB16F2" w:rsidRPr="00510BB5" w:rsidRDefault="00AB16F2" w:rsidP="00A12328">
            <w:pPr>
              <w:pStyle w:val="TableText0"/>
              <w:jc w:val="center"/>
              <w:rPr>
                <w:iCs/>
              </w:rPr>
            </w:pPr>
            <w:r w:rsidRPr="00510BB5">
              <w:rPr>
                <w:iCs/>
              </w:rPr>
              <w:t xml:space="preserve">4.34 </w:t>
            </w:r>
            <w:r w:rsidR="00605155" w:rsidRPr="00510BB5">
              <w:rPr>
                <w:iCs/>
              </w:rPr>
              <w:t>(</w:t>
            </w:r>
            <w:r w:rsidRPr="00510BB5">
              <w:rPr>
                <w:iCs/>
              </w:rPr>
              <w:t>1.03, 18.27</w:t>
            </w:r>
            <w:r w:rsidR="00605155" w:rsidRPr="00510BB5">
              <w:rPr>
                <w:iCs/>
              </w:rPr>
              <w:t>)</w:t>
            </w:r>
          </w:p>
        </w:tc>
        <w:tc>
          <w:tcPr>
            <w:tcW w:w="824" w:type="pct"/>
          </w:tcPr>
          <w:p w14:paraId="6013D637" w14:textId="574CEF83" w:rsidR="00AB16F2" w:rsidRPr="00510BB5" w:rsidRDefault="00AB16F2" w:rsidP="00A12328">
            <w:pPr>
              <w:pStyle w:val="TableText0"/>
              <w:jc w:val="center"/>
              <w:rPr>
                <w:iCs/>
              </w:rPr>
            </w:pPr>
            <w:r w:rsidRPr="00510BB5">
              <w:rPr>
                <w:iCs/>
              </w:rPr>
              <w:t xml:space="preserve">0.09 </w:t>
            </w:r>
            <w:r w:rsidR="00605155" w:rsidRPr="00510BB5">
              <w:rPr>
                <w:iCs/>
              </w:rPr>
              <w:t>(</w:t>
            </w:r>
            <w:r w:rsidRPr="00510BB5">
              <w:rPr>
                <w:iCs/>
              </w:rPr>
              <w:t>0.03, 0.16</w:t>
            </w:r>
            <w:r w:rsidR="00605155" w:rsidRPr="00510BB5">
              <w:rPr>
                <w:iCs/>
              </w:rPr>
              <w:t>)</w:t>
            </w:r>
          </w:p>
        </w:tc>
      </w:tr>
      <w:tr w:rsidR="00AB16F2" w14:paraId="2B7AE172" w14:textId="77777777" w:rsidTr="00365CB6">
        <w:tc>
          <w:tcPr>
            <w:tcW w:w="1632" w:type="pct"/>
          </w:tcPr>
          <w:p w14:paraId="252544D1" w14:textId="77777777" w:rsidR="00AB16F2" w:rsidRDefault="00AB16F2" w:rsidP="00A12328">
            <w:pPr>
              <w:pStyle w:val="TableText0"/>
            </w:pPr>
            <w:r>
              <w:t>Any SAE</w:t>
            </w:r>
          </w:p>
        </w:tc>
        <w:tc>
          <w:tcPr>
            <w:tcW w:w="896" w:type="pct"/>
          </w:tcPr>
          <w:p w14:paraId="21CDD833" w14:textId="77777777" w:rsidR="00AB16F2" w:rsidRDefault="00AB16F2" w:rsidP="00A12328">
            <w:pPr>
              <w:pStyle w:val="TableText0"/>
              <w:jc w:val="center"/>
            </w:pPr>
            <w:r w:rsidRPr="00C35852">
              <w:t>55 (38.5)</w:t>
            </w:r>
          </w:p>
        </w:tc>
        <w:tc>
          <w:tcPr>
            <w:tcW w:w="824" w:type="pct"/>
          </w:tcPr>
          <w:p w14:paraId="70EBE0EF" w14:textId="77777777" w:rsidR="00AB16F2" w:rsidRDefault="00AB16F2" w:rsidP="00A12328">
            <w:pPr>
              <w:pStyle w:val="TableText0"/>
              <w:jc w:val="center"/>
            </w:pPr>
            <w:r w:rsidRPr="00B87730">
              <w:t xml:space="preserve">11 </w:t>
            </w:r>
            <w:r w:rsidRPr="00B87730">
              <w:rPr>
                <w:spacing w:val="-2"/>
              </w:rPr>
              <w:t>(15.1)</w:t>
            </w:r>
          </w:p>
        </w:tc>
        <w:tc>
          <w:tcPr>
            <w:tcW w:w="824" w:type="pct"/>
          </w:tcPr>
          <w:p w14:paraId="24212ACF" w14:textId="73DB030A" w:rsidR="00AB16F2" w:rsidRPr="00510BB5" w:rsidRDefault="00AB16F2" w:rsidP="00A12328">
            <w:pPr>
              <w:pStyle w:val="TableText0"/>
              <w:jc w:val="center"/>
              <w:rPr>
                <w:iCs/>
              </w:rPr>
            </w:pPr>
            <w:r w:rsidRPr="00510BB5">
              <w:rPr>
                <w:iCs/>
              </w:rPr>
              <w:t xml:space="preserve">2.55 </w:t>
            </w:r>
            <w:r w:rsidR="00605155" w:rsidRPr="00510BB5">
              <w:rPr>
                <w:iCs/>
              </w:rPr>
              <w:t>(</w:t>
            </w:r>
            <w:r w:rsidRPr="00510BB5">
              <w:rPr>
                <w:iCs/>
              </w:rPr>
              <w:t>1.43, 4.57</w:t>
            </w:r>
            <w:r w:rsidR="00605155" w:rsidRPr="00510BB5">
              <w:rPr>
                <w:iCs/>
              </w:rPr>
              <w:t>)</w:t>
            </w:r>
          </w:p>
        </w:tc>
        <w:tc>
          <w:tcPr>
            <w:tcW w:w="824" w:type="pct"/>
          </w:tcPr>
          <w:p w14:paraId="277415F3" w14:textId="7AFEA6EB" w:rsidR="00AB16F2" w:rsidRPr="00510BB5" w:rsidRDefault="00AB16F2" w:rsidP="00A12328">
            <w:pPr>
              <w:pStyle w:val="TableText0"/>
              <w:jc w:val="center"/>
              <w:rPr>
                <w:iCs/>
              </w:rPr>
            </w:pPr>
            <w:r w:rsidRPr="00510BB5">
              <w:rPr>
                <w:iCs/>
              </w:rPr>
              <w:t xml:space="preserve">0.23 </w:t>
            </w:r>
            <w:r w:rsidR="00605155" w:rsidRPr="00510BB5">
              <w:rPr>
                <w:iCs/>
              </w:rPr>
              <w:t>(</w:t>
            </w:r>
            <w:r w:rsidRPr="00510BB5">
              <w:rPr>
                <w:iCs/>
              </w:rPr>
              <w:t>0.12, 0.35</w:t>
            </w:r>
            <w:r w:rsidR="00605155" w:rsidRPr="00510BB5">
              <w:rPr>
                <w:iCs/>
              </w:rPr>
              <w:t>)</w:t>
            </w:r>
          </w:p>
        </w:tc>
      </w:tr>
      <w:tr w:rsidR="00AB16F2" w14:paraId="2699009C" w14:textId="77777777" w:rsidTr="00365CB6">
        <w:tc>
          <w:tcPr>
            <w:tcW w:w="1632" w:type="pct"/>
          </w:tcPr>
          <w:p w14:paraId="2427A7E9" w14:textId="77777777" w:rsidR="00AB16F2" w:rsidRDefault="00AB16F2" w:rsidP="00A12328">
            <w:pPr>
              <w:pStyle w:val="TableText0"/>
              <w:ind w:left="170"/>
            </w:pPr>
            <w:r>
              <w:t>Treatment related SAE</w:t>
            </w:r>
          </w:p>
        </w:tc>
        <w:tc>
          <w:tcPr>
            <w:tcW w:w="896" w:type="pct"/>
          </w:tcPr>
          <w:p w14:paraId="206152CA" w14:textId="77777777" w:rsidR="00AB16F2" w:rsidRDefault="00AB16F2" w:rsidP="00A12328">
            <w:pPr>
              <w:pStyle w:val="TableText0"/>
              <w:jc w:val="center"/>
            </w:pPr>
            <w:r w:rsidRPr="00C35852">
              <w:t>12 (8.4)</w:t>
            </w:r>
          </w:p>
        </w:tc>
        <w:tc>
          <w:tcPr>
            <w:tcW w:w="824" w:type="pct"/>
          </w:tcPr>
          <w:p w14:paraId="50B1CB40" w14:textId="77777777" w:rsidR="00AB16F2" w:rsidRDefault="00AB16F2" w:rsidP="00A12328">
            <w:pPr>
              <w:pStyle w:val="TableText0"/>
              <w:jc w:val="center"/>
            </w:pPr>
            <w:r w:rsidRPr="00B87730">
              <w:t xml:space="preserve">1 </w:t>
            </w:r>
            <w:r w:rsidRPr="00B87730">
              <w:rPr>
                <w:spacing w:val="-2"/>
              </w:rPr>
              <w:t>(1.4)</w:t>
            </w:r>
          </w:p>
        </w:tc>
        <w:tc>
          <w:tcPr>
            <w:tcW w:w="824" w:type="pct"/>
          </w:tcPr>
          <w:p w14:paraId="4FCF351C" w14:textId="0E7A9F28" w:rsidR="00AB16F2" w:rsidRPr="00510BB5" w:rsidRDefault="00AB16F2" w:rsidP="00A12328">
            <w:pPr>
              <w:pStyle w:val="TableText0"/>
              <w:jc w:val="center"/>
              <w:rPr>
                <w:iCs/>
              </w:rPr>
            </w:pPr>
            <w:r w:rsidRPr="00510BB5">
              <w:rPr>
                <w:iCs/>
              </w:rPr>
              <w:t xml:space="preserve">6.13 </w:t>
            </w:r>
            <w:r w:rsidR="00605155" w:rsidRPr="00510BB5">
              <w:rPr>
                <w:iCs/>
              </w:rPr>
              <w:t>(</w:t>
            </w:r>
            <w:r w:rsidRPr="00510BB5">
              <w:rPr>
                <w:iCs/>
              </w:rPr>
              <w:t>0.81, 46.20</w:t>
            </w:r>
            <w:r w:rsidR="00605155" w:rsidRPr="00510BB5">
              <w:rPr>
                <w:iCs/>
              </w:rPr>
              <w:t>)</w:t>
            </w:r>
          </w:p>
        </w:tc>
        <w:tc>
          <w:tcPr>
            <w:tcW w:w="824" w:type="pct"/>
          </w:tcPr>
          <w:p w14:paraId="5B354B5C" w14:textId="40CA9E6C" w:rsidR="00AB16F2" w:rsidRPr="00510BB5" w:rsidRDefault="00AB16F2" w:rsidP="00A12328">
            <w:pPr>
              <w:pStyle w:val="TableText0"/>
              <w:jc w:val="center"/>
              <w:rPr>
                <w:iCs/>
              </w:rPr>
            </w:pPr>
            <w:r w:rsidRPr="00510BB5">
              <w:rPr>
                <w:iCs/>
              </w:rPr>
              <w:t xml:space="preserve">0.07 </w:t>
            </w:r>
            <w:r w:rsidR="00605155" w:rsidRPr="00510BB5">
              <w:rPr>
                <w:iCs/>
              </w:rPr>
              <w:t>(</w:t>
            </w:r>
            <w:r w:rsidRPr="00510BB5">
              <w:rPr>
                <w:iCs/>
              </w:rPr>
              <w:t>0.18, 0.12</w:t>
            </w:r>
            <w:r w:rsidR="00605155" w:rsidRPr="00510BB5">
              <w:rPr>
                <w:iCs/>
              </w:rPr>
              <w:t>)</w:t>
            </w:r>
          </w:p>
        </w:tc>
      </w:tr>
      <w:tr w:rsidR="00AB16F2" w14:paraId="513A8F58" w14:textId="77777777" w:rsidTr="00365CB6">
        <w:tc>
          <w:tcPr>
            <w:tcW w:w="1632" w:type="pct"/>
          </w:tcPr>
          <w:p w14:paraId="56B921A2" w14:textId="77777777" w:rsidR="00AB16F2" w:rsidRDefault="00AB16F2" w:rsidP="00A12328">
            <w:pPr>
              <w:pStyle w:val="TableText0"/>
            </w:pPr>
            <w:r w:rsidRPr="00287721">
              <w:t>Any AE leading to discontinuation of treatment</w:t>
            </w:r>
          </w:p>
        </w:tc>
        <w:tc>
          <w:tcPr>
            <w:tcW w:w="896" w:type="pct"/>
          </w:tcPr>
          <w:p w14:paraId="174C3033" w14:textId="77777777" w:rsidR="00AB16F2" w:rsidRDefault="00AB16F2" w:rsidP="00A12328">
            <w:pPr>
              <w:pStyle w:val="TableText0"/>
              <w:jc w:val="center"/>
            </w:pPr>
            <w:r w:rsidRPr="00B87730">
              <w:t xml:space="preserve">18 </w:t>
            </w:r>
            <w:r w:rsidRPr="00B87730">
              <w:rPr>
                <w:spacing w:val="-2"/>
              </w:rPr>
              <w:t>(12.6)</w:t>
            </w:r>
          </w:p>
        </w:tc>
        <w:tc>
          <w:tcPr>
            <w:tcW w:w="824" w:type="pct"/>
          </w:tcPr>
          <w:p w14:paraId="60E1E107" w14:textId="77777777" w:rsidR="00AB16F2" w:rsidRDefault="00AB16F2" w:rsidP="00A12328">
            <w:pPr>
              <w:pStyle w:val="TableText0"/>
              <w:jc w:val="center"/>
            </w:pPr>
            <w:r w:rsidRPr="00C55304">
              <w:t>4 (5.5)</w:t>
            </w:r>
          </w:p>
        </w:tc>
        <w:tc>
          <w:tcPr>
            <w:tcW w:w="824" w:type="pct"/>
          </w:tcPr>
          <w:p w14:paraId="5482B4D7" w14:textId="195AF859" w:rsidR="00AB16F2" w:rsidRPr="00510BB5" w:rsidRDefault="00AB16F2" w:rsidP="00A12328">
            <w:pPr>
              <w:pStyle w:val="TableText0"/>
              <w:jc w:val="center"/>
              <w:rPr>
                <w:iCs/>
              </w:rPr>
            </w:pPr>
            <w:r w:rsidRPr="00510BB5">
              <w:rPr>
                <w:iCs/>
              </w:rPr>
              <w:t xml:space="preserve">2.30 </w:t>
            </w:r>
            <w:r w:rsidR="00605155" w:rsidRPr="00510BB5">
              <w:rPr>
                <w:iCs/>
              </w:rPr>
              <w:t>(</w:t>
            </w:r>
            <w:r w:rsidRPr="00510BB5">
              <w:rPr>
                <w:iCs/>
              </w:rPr>
              <w:t>0.81, 6.54</w:t>
            </w:r>
            <w:r w:rsidR="00605155" w:rsidRPr="00510BB5">
              <w:rPr>
                <w:iCs/>
              </w:rPr>
              <w:t>)</w:t>
            </w:r>
          </w:p>
        </w:tc>
        <w:tc>
          <w:tcPr>
            <w:tcW w:w="824" w:type="pct"/>
          </w:tcPr>
          <w:p w14:paraId="35607A24" w14:textId="6BC664FF" w:rsidR="00AB16F2" w:rsidRPr="00510BB5" w:rsidRDefault="00AB16F2" w:rsidP="00A12328">
            <w:pPr>
              <w:pStyle w:val="TableText0"/>
              <w:jc w:val="center"/>
              <w:rPr>
                <w:iCs/>
              </w:rPr>
            </w:pPr>
            <w:r w:rsidRPr="00510BB5">
              <w:rPr>
                <w:iCs/>
              </w:rPr>
              <w:t xml:space="preserve">0.07 </w:t>
            </w:r>
            <w:r w:rsidR="00605155" w:rsidRPr="00510BB5">
              <w:rPr>
                <w:iCs/>
              </w:rPr>
              <w:t>(</w:t>
            </w:r>
            <w:r w:rsidRPr="00510BB5">
              <w:rPr>
                <w:iCs/>
              </w:rPr>
              <w:t>-0.004, 0.15</w:t>
            </w:r>
            <w:r w:rsidR="00605155" w:rsidRPr="00510BB5">
              <w:rPr>
                <w:iCs/>
              </w:rPr>
              <w:t>)</w:t>
            </w:r>
          </w:p>
        </w:tc>
      </w:tr>
      <w:tr w:rsidR="00AB16F2" w14:paraId="25AD5BF4" w14:textId="77777777" w:rsidTr="00365CB6">
        <w:tc>
          <w:tcPr>
            <w:tcW w:w="1632" w:type="pct"/>
          </w:tcPr>
          <w:p w14:paraId="4E99FBC2" w14:textId="77777777" w:rsidR="00AB16F2" w:rsidRPr="00304ED1" w:rsidRDefault="00AB16F2" w:rsidP="00A12328">
            <w:pPr>
              <w:pStyle w:val="TableText0"/>
              <w:ind w:left="170"/>
              <w:rPr>
                <w:vertAlign w:val="superscript"/>
              </w:rPr>
            </w:pPr>
            <w:r w:rsidRPr="00287721">
              <w:t>Any AE leading to discontinuation of treatment possibly related to treatment</w:t>
            </w:r>
            <w:r>
              <w:rPr>
                <w:vertAlign w:val="superscript"/>
              </w:rPr>
              <w:t>b</w:t>
            </w:r>
          </w:p>
        </w:tc>
        <w:tc>
          <w:tcPr>
            <w:tcW w:w="896" w:type="pct"/>
          </w:tcPr>
          <w:p w14:paraId="045C24B0" w14:textId="77777777" w:rsidR="00AB16F2" w:rsidRDefault="00AB16F2" w:rsidP="00A12328">
            <w:pPr>
              <w:pStyle w:val="TableText0"/>
              <w:jc w:val="center"/>
            </w:pPr>
            <w:r w:rsidRPr="00B87730">
              <w:t xml:space="preserve">9 </w:t>
            </w:r>
            <w:r w:rsidRPr="00B87730">
              <w:rPr>
                <w:spacing w:val="-2"/>
              </w:rPr>
              <w:t>(6.3)</w:t>
            </w:r>
          </w:p>
        </w:tc>
        <w:tc>
          <w:tcPr>
            <w:tcW w:w="824" w:type="pct"/>
          </w:tcPr>
          <w:p w14:paraId="5DF813EE" w14:textId="77777777" w:rsidR="00AB16F2" w:rsidRDefault="00AB16F2" w:rsidP="00A12328">
            <w:pPr>
              <w:pStyle w:val="TableText0"/>
              <w:jc w:val="center"/>
            </w:pPr>
            <w:r w:rsidRPr="00C55304">
              <w:t>0</w:t>
            </w:r>
          </w:p>
        </w:tc>
        <w:tc>
          <w:tcPr>
            <w:tcW w:w="824" w:type="pct"/>
          </w:tcPr>
          <w:p w14:paraId="112180CF" w14:textId="77777777" w:rsidR="00AB16F2" w:rsidRPr="00510BB5" w:rsidRDefault="00AB16F2" w:rsidP="00A12328">
            <w:pPr>
              <w:pStyle w:val="TableText0"/>
              <w:jc w:val="center"/>
              <w:rPr>
                <w:iCs/>
              </w:rPr>
            </w:pPr>
            <w:r w:rsidRPr="00510BB5">
              <w:rPr>
                <w:iCs/>
              </w:rPr>
              <w:t>NC</w:t>
            </w:r>
          </w:p>
        </w:tc>
        <w:tc>
          <w:tcPr>
            <w:tcW w:w="824" w:type="pct"/>
          </w:tcPr>
          <w:p w14:paraId="4D573587" w14:textId="474AA3F6" w:rsidR="00AB16F2" w:rsidRPr="00510BB5" w:rsidRDefault="00AB16F2" w:rsidP="00A12328">
            <w:pPr>
              <w:pStyle w:val="TableText0"/>
              <w:jc w:val="center"/>
              <w:rPr>
                <w:iCs/>
              </w:rPr>
            </w:pPr>
            <w:r w:rsidRPr="00510BB5">
              <w:rPr>
                <w:iCs/>
              </w:rPr>
              <w:t xml:space="preserve">0.06 </w:t>
            </w:r>
            <w:r w:rsidR="00605155" w:rsidRPr="00510BB5">
              <w:rPr>
                <w:iCs/>
              </w:rPr>
              <w:t>(</w:t>
            </w:r>
            <w:r w:rsidRPr="00510BB5">
              <w:rPr>
                <w:iCs/>
              </w:rPr>
              <w:t>0.02, 0.10</w:t>
            </w:r>
            <w:r w:rsidR="00605155" w:rsidRPr="00510BB5">
              <w:rPr>
                <w:iCs/>
              </w:rPr>
              <w:t>)</w:t>
            </w:r>
          </w:p>
        </w:tc>
      </w:tr>
      <w:tr w:rsidR="00AB16F2" w14:paraId="5782D7D3" w14:textId="77777777" w:rsidTr="00365CB6">
        <w:tc>
          <w:tcPr>
            <w:tcW w:w="1632" w:type="pct"/>
          </w:tcPr>
          <w:p w14:paraId="06AD664D" w14:textId="77777777" w:rsidR="00AB16F2" w:rsidRDefault="00AB16F2" w:rsidP="00A12328">
            <w:pPr>
              <w:pStyle w:val="TableText0"/>
            </w:pPr>
            <w:r w:rsidRPr="00287721">
              <w:t>Any AE leading to dose modification</w:t>
            </w:r>
          </w:p>
        </w:tc>
        <w:tc>
          <w:tcPr>
            <w:tcW w:w="896" w:type="pct"/>
          </w:tcPr>
          <w:p w14:paraId="453A5676" w14:textId="77777777" w:rsidR="00AB16F2" w:rsidRDefault="00AB16F2" w:rsidP="00A12328">
            <w:pPr>
              <w:pStyle w:val="TableText0"/>
              <w:jc w:val="center"/>
            </w:pPr>
            <w:r w:rsidRPr="00B87730">
              <w:t xml:space="preserve">80 </w:t>
            </w:r>
            <w:r w:rsidRPr="00B87730">
              <w:rPr>
                <w:spacing w:val="-2"/>
              </w:rPr>
              <w:t>(55.9)</w:t>
            </w:r>
          </w:p>
        </w:tc>
        <w:tc>
          <w:tcPr>
            <w:tcW w:w="824" w:type="pct"/>
          </w:tcPr>
          <w:p w14:paraId="6A13D970" w14:textId="77777777" w:rsidR="00AB16F2" w:rsidRDefault="00AB16F2" w:rsidP="00A12328">
            <w:pPr>
              <w:pStyle w:val="TableText0"/>
              <w:jc w:val="center"/>
            </w:pPr>
            <w:r w:rsidRPr="00C55304">
              <w:t>18 (24.7)</w:t>
            </w:r>
          </w:p>
        </w:tc>
        <w:tc>
          <w:tcPr>
            <w:tcW w:w="824" w:type="pct"/>
          </w:tcPr>
          <w:p w14:paraId="16897F19" w14:textId="0EAF53E3" w:rsidR="00AB16F2" w:rsidRPr="00510BB5" w:rsidRDefault="00AB16F2" w:rsidP="00A12328">
            <w:pPr>
              <w:pStyle w:val="TableText0"/>
              <w:jc w:val="center"/>
              <w:rPr>
                <w:iCs/>
              </w:rPr>
            </w:pPr>
            <w:r w:rsidRPr="00510BB5">
              <w:rPr>
                <w:iCs/>
              </w:rPr>
              <w:t xml:space="preserve">2.27 </w:t>
            </w:r>
            <w:r w:rsidR="00605155" w:rsidRPr="00510BB5">
              <w:rPr>
                <w:iCs/>
              </w:rPr>
              <w:t>(</w:t>
            </w:r>
            <w:r w:rsidRPr="00510BB5">
              <w:rPr>
                <w:iCs/>
              </w:rPr>
              <w:t>1.48, 3.48</w:t>
            </w:r>
            <w:r w:rsidR="00605155" w:rsidRPr="00510BB5">
              <w:rPr>
                <w:iCs/>
              </w:rPr>
              <w:t>)</w:t>
            </w:r>
          </w:p>
        </w:tc>
        <w:tc>
          <w:tcPr>
            <w:tcW w:w="824" w:type="pct"/>
          </w:tcPr>
          <w:p w14:paraId="33DD9AA7" w14:textId="4E1A828B" w:rsidR="00AB16F2" w:rsidRPr="00510BB5" w:rsidRDefault="00AB16F2" w:rsidP="00A12328">
            <w:pPr>
              <w:pStyle w:val="TableText0"/>
              <w:jc w:val="center"/>
              <w:rPr>
                <w:iCs/>
              </w:rPr>
            </w:pPr>
            <w:r w:rsidRPr="00510BB5">
              <w:rPr>
                <w:iCs/>
              </w:rPr>
              <w:t xml:space="preserve">0.31 </w:t>
            </w:r>
            <w:r w:rsidR="00605155" w:rsidRPr="00510BB5">
              <w:rPr>
                <w:iCs/>
              </w:rPr>
              <w:t>(</w:t>
            </w:r>
            <w:r w:rsidRPr="00510BB5">
              <w:rPr>
                <w:iCs/>
              </w:rPr>
              <w:t>0.18, 0.44</w:t>
            </w:r>
            <w:r w:rsidR="00605155" w:rsidRPr="00510BB5">
              <w:rPr>
                <w:iCs/>
              </w:rPr>
              <w:t>)</w:t>
            </w:r>
          </w:p>
        </w:tc>
      </w:tr>
      <w:tr w:rsidR="00AB16F2" w14:paraId="1AEE81E9" w14:textId="77777777" w:rsidTr="00365CB6">
        <w:tc>
          <w:tcPr>
            <w:tcW w:w="1632" w:type="pct"/>
          </w:tcPr>
          <w:p w14:paraId="519EADB7" w14:textId="77777777" w:rsidR="00AB16F2" w:rsidRDefault="00AB16F2" w:rsidP="00A12328">
            <w:pPr>
              <w:pStyle w:val="TableText0"/>
            </w:pPr>
            <w:r w:rsidRPr="00287721">
              <w:t>Any AE leading to dose reduction</w:t>
            </w:r>
          </w:p>
        </w:tc>
        <w:tc>
          <w:tcPr>
            <w:tcW w:w="896" w:type="pct"/>
          </w:tcPr>
          <w:p w14:paraId="4F7B2D2E" w14:textId="77777777" w:rsidR="00AB16F2" w:rsidRDefault="00AB16F2" w:rsidP="00A12328">
            <w:pPr>
              <w:pStyle w:val="TableText0"/>
              <w:jc w:val="center"/>
            </w:pPr>
            <w:r w:rsidRPr="00B87730">
              <w:t xml:space="preserve">12 </w:t>
            </w:r>
            <w:r w:rsidRPr="00B87730">
              <w:rPr>
                <w:spacing w:val="-2"/>
              </w:rPr>
              <w:t>(8.4)</w:t>
            </w:r>
          </w:p>
        </w:tc>
        <w:tc>
          <w:tcPr>
            <w:tcW w:w="824" w:type="pct"/>
          </w:tcPr>
          <w:p w14:paraId="43812689" w14:textId="77777777" w:rsidR="00AB16F2" w:rsidRDefault="00AB16F2" w:rsidP="00A12328">
            <w:pPr>
              <w:pStyle w:val="TableText0"/>
              <w:jc w:val="center"/>
            </w:pPr>
            <w:r w:rsidRPr="00C55304">
              <w:t>1 (1.4)</w:t>
            </w:r>
          </w:p>
        </w:tc>
        <w:tc>
          <w:tcPr>
            <w:tcW w:w="824" w:type="pct"/>
          </w:tcPr>
          <w:p w14:paraId="4CB03407" w14:textId="5944794B" w:rsidR="00AB16F2" w:rsidRPr="00510BB5" w:rsidRDefault="00AB16F2" w:rsidP="00A12328">
            <w:pPr>
              <w:pStyle w:val="TableText0"/>
              <w:jc w:val="center"/>
              <w:rPr>
                <w:iCs/>
              </w:rPr>
            </w:pPr>
            <w:r w:rsidRPr="00510BB5">
              <w:rPr>
                <w:iCs/>
              </w:rPr>
              <w:t xml:space="preserve">6.12 </w:t>
            </w:r>
            <w:r w:rsidR="00605155" w:rsidRPr="00510BB5">
              <w:rPr>
                <w:iCs/>
              </w:rPr>
              <w:t>(</w:t>
            </w:r>
            <w:r w:rsidRPr="00510BB5">
              <w:rPr>
                <w:iCs/>
              </w:rPr>
              <w:t>0.81, 46.20</w:t>
            </w:r>
            <w:r w:rsidR="00605155" w:rsidRPr="00510BB5">
              <w:rPr>
                <w:iCs/>
              </w:rPr>
              <w:t>)</w:t>
            </w:r>
          </w:p>
        </w:tc>
        <w:tc>
          <w:tcPr>
            <w:tcW w:w="824" w:type="pct"/>
          </w:tcPr>
          <w:p w14:paraId="1EC8DDB7" w14:textId="7135BAF4" w:rsidR="00AB16F2" w:rsidRPr="00510BB5" w:rsidRDefault="00AB16F2" w:rsidP="00A12328">
            <w:pPr>
              <w:pStyle w:val="TableText0"/>
              <w:jc w:val="center"/>
              <w:rPr>
                <w:iCs/>
              </w:rPr>
            </w:pPr>
            <w:r w:rsidRPr="00510BB5">
              <w:rPr>
                <w:iCs/>
              </w:rPr>
              <w:t xml:space="preserve">0.07 </w:t>
            </w:r>
            <w:r w:rsidR="00605155" w:rsidRPr="00510BB5">
              <w:rPr>
                <w:iCs/>
              </w:rPr>
              <w:t>(</w:t>
            </w:r>
            <w:r w:rsidRPr="00510BB5">
              <w:rPr>
                <w:iCs/>
              </w:rPr>
              <w:t>0.02, 0.12</w:t>
            </w:r>
            <w:r w:rsidR="00605155" w:rsidRPr="00510BB5">
              <w:rPr>
                <w:iCs/>
              </w:rPr>
              <w:t>)</w:t>
            </w:r>
          </w:p>
        </w:tc>
      </w:tr>
      <w:tr w:rsidR="00AB16F2" w14:paraId="5FA94B9B" w14:textId="77777777" w:rsidTr="00365CB6">
        <w:tc>
          <w:tcPr>
            <w:tcW w:w="1632" w:type="pct"/>
          </w:tcPr>
          <w:p w14:paraId="4AFA859C" w14:textId="77777777" w:rsidR="00AB16F2" w:rsidRDefault="00AB16F2" w:rsidP="00A12328">
            <w:pPr>
              <w:pStyle w:val="TableText0"/>
            </w:pPr>
            <w:r w:rsidRPr="00287721">
              <w:t>Any AE leading to dose interruption</w:t>
            </w:r>
          </w:p>
        </w:tc>
        <w:tc>
          <w:tcPr>
            <w:tcW w:w="896" w:type="pct"/>
          </w:tcPr>
          <w:p w14:paraId="07E493D5" w14:textId="77777777" w:rsidR="00AB16F2" w:rsidRDefault="00AB16F2" w:rsidP="00A12328">
            <w:pPr>
              <w:pStyle w:val="TableText0"/>
              <w:jc w:val="center"/>
            </w:pPr>
            <w:r w:rsidRPr="00B87730">
              <w:t xml:space="preserve">80 </w:t>
            </w:r>
            <w:r w:rsidRPr="00B87730">
              <w:rPr>
                <w:spacing w:val="-2"/>
              </w:rPr>
              <w:t>(55.9)</w:t>
            </w:r>
          </w:p>
        </w:tc>
        <w:tc>
          <w:tcPr>
            <w:tcW w:w="824" w:type="pct"/>
          </w:tcPr>
          <w:p w14:paraId="670803E8" w14:textId="77777777" w:rsidR="00AB16F2" w:rsidRDefault="00AB16F2" w:rsidP="00A12328">
            <w:pPr>
              <w:pStyle w:val="TableText0"/>
              <w:jc w:val="center"/>
            </w:pPr>
            <w:r w:rsidRPr="00C55304">
              <w:t>18 (24.7)</w:t>
            </w:r>
          </w:p>
        </w:tc>
        <w:tc>
          <w:tcPr>
            <w:tcW w:w="824" w:type="pct"/>
          </w:tcPr>
          <w:p w14:paraId="398AB798" w14:textId="2B6B8614" w:rsidR="00AB16F2" w:rsidRPr="00510BB5" w:rsidRDefault="00AB16F2" w:rsidP="00A12328">
            <w:pPr>
              <w:pStyle w:val="TableText0"/>
              <w:jc w:val="center"/>
              <w:rPr>
                <w:iCs/>
              </w:rPr>
            </w:pPr>
            <w:r w:rsidRPr="00510BB5">
              <w:rPr>
                <w:iCs/>
              </w:rPr>
              <w:t xml:space="preserve">2.27 </w:t>
            </w:r>
            <w:r w:rsidR="00605155" w:rsidRPr="00510BB5">
              <w:rPr>
                <w:iCs/>
              </w:rPr>
              <w:t>(</w:t>
            </w:r>
            <w:r w:rsidRPr="00510BB5">
              <w:rPr>
                <w:iCs/>
              </w:rPr>
              <w:t>1.48, 3.48</w:t>
            </w:r>
            <w:r w:rsidR="00605155" w:rsidRPr="00510BB5">
              <w:rPr>
                <w:iCs/>
              </w:rPr>
              <w:t>)</w:t>
            </w:r>
          </w:p>
        </w:tc>
        <w:tc>
          <w:tcPr>
            <w:tcW w:w="824" w:type="pct"/>
          </w:tcPr>
          <w:p w14:paraId="19B213AB" w14:textId="3BD91A33" w:rsidR="00AB16F2" w:rsidRPr="00510BB5" w:rsidRDefault="00AB16F2" w:rsidP="00A12328">
            <w:pPr>
              <w:pStyle w:val="TableText0"/>
              <w:jc w:val="center"/>
              <w:rPr>
                <w:iCs/>
              </w:rPr>
            </w:pPr>
            <w:r w:rsidRPr="00510BB5">
              <w:rPr>
                <w:iCs/>
              </w:rPr>
              <w:t xml:space="preserve">0.31 </w:t>
            </w:r>
            <w:r w:rsidR="00605155" w:rsidRPr="00510BB5">
              <w:rPr>
                <w:iCs/>
              </w:rPr>
              <w:t>(</w:t>
            </w:r>
            <w:r w:rsidRPr="00510BB5">
              <w:rPr>
                <w:iCs/>
              </w:rPr>
              <w:t>0.18, 0.44</w:t>
            </w:r>
            <w:r w:rsidR="00605155" w:rsidRPr="00510BB5">
              <w:rPr>
                <w:iCs/>
              </w:rPr>
              <w:t>)</w:t>
            </w:r>
          </w:p>
        </w:tc>
      </w:tr>
    </w:tbl>
    <w:p w14:paraId="7CC653E5" w14:textId="7E0D209F" w:rsidR="00327047" w:rsidRPr="004C4C35" w:rsidRDefault="00510BB5" w:rsidP="00A12328">
      <w:pPr>
        <w:pStyle w:val="FooterTableFigure"/>
      </w:pPr>
      <w:r w:rsidRPr="00510BB5">
        <w:rPr>
          <w:rStyle w:val="CommentReference"/>
          <w:b w:val="0"/>
          <w:bCs/>
          <w:sz w:val="18"/>
          <w:szCs w:val="18"/>
          <w:vertAlign w:val="superscript"/>
        </w:rPr>
        <w:t>a</w:t>
      </w:r>
      <w:r>
        <w:rPr>
          <w:rStyle w:val="CommentReference"/>
          <w:b w:val="0"/>
          <w:bCs/>
          <w:sz w:val="18"/>
          <w:szCs w:val="18"/>
        </w:rPr>
        <w:t xml:space="preserve"> E</w:t>
      </w:r>
      <w:r w:rsidR="00327047" w:rsidRPr="00574B2D">
        <w:rPr>
          <w:rStyle w:val="CommentReference"/>
          <w:b w:val="0"/>
          <w:bCs/>
          <w:sz w:val="18"/>
          <w:szCs w:val="18"/>
        </w:rPr>
        <w:t>stimated during the evaluation.</w:t>
      </w:r>
    </w:p>
    <w:p w14:paraId="5F8D692F" w14:textId="77777777" w:rsidR="00327047" w:rsidRPr="00B1011F" w:rsidRDefault="00327047" w:rsidP="00A12328">
      <w:pPr>
        <w:pStyle w:val="FooterTableFigure"/>
        <w:rPr>
          <w:sz w:val="20"/>
        </w:rPr>
      </w:pPr>
      <w:r>
        <w:t>Source: Table 2-30, p93 of the submission.</w:t>
      </w:r>
    </w:p>
    <w:p w14:paraId="4F09069E" w14:textId="77777777" w:rsidR="00327047" w:rsidRDefault="00327047" w:rsidP="00A12328">
      <w:pPr>
        <w:pStyle w:val="FooterTableFigure"/>
        <w:rPr>
          <w:rFonts w:eastAsia="Calibri"/>
        </w:rPr>
      </w:pPr>
      <w:r>
        <w:rPr>
          <w:rFonts w:eastAsia="Calibri"/>
        </w:rPr>
        <w:t xml:space="preserve">AE = adverse event; CI = confidence interval; </w:t>
      </w:r>
      <w:r w:rsidRPr="00B40358">
        <w:rPr>
          <w:rFonts w:eastAsia="Calibri"/>
        </w:rPr>
        <w:t>n = number of participants reporting data; N = total participants in group</w:t>
      </w:r>
      <w:r>
        <w:rPr>
          <w:rFonts w:eastAsia="Calibri"/>
        </w:rPr>
        <w:t>; NC = not calculable; RD = risk difference; RR = risk ratio; SAE = serious adverse event.</w:t>
      </w:r>
    </w:p>
    <w:p w14:paraId="284FAD5F" w14:textId="77777777" w:rsidR="00327047" w:rsidRDefault="00327047" w:rsidP="00A12328">
      <w:pPr>
        <w:pStyle w:val="FooterTableFigure"/>
        <w:ind w:left="165" w:hanging="165"/>
      </w:pPr>
      <w:r>
        <w:rPr>
          <w:vertAlign w:val="superscript"/>
        </w:rPr>
        <w:t>a</w:t>
      </w:r>
      <w:r>
        <w:rPr>
          <w:vertAlign w:val="superscript"/>
        </w:rPr>
        <w:tab/>
      </w:r>
      <w:r>
        <w:t>Patients with multiple events in the same category are counted only once in that category. Patients with events in more than one category are counted once in each of those categories.</w:t>
      </w:r>
    </w:p>
    <w:p w14:paraId="13BAE46A" w14:textId="53DEE89F" w:rsidR="00327047" w:rsidRDefault="00327047" w:rsidP="00A12328">
      <w:pPr>
        <w:pStyle w:val="FooterTableFigure"/>
      </w:pPr>
      <w:r>
        <w:rPr>
          <w:vertAlign w:val="superscript"/>
        </w:rPr>
        <w:t>b</w:t>
      </w:r>
      <w:r>
        <w:rPr>
          <w:vertAlign w:val="superscript"/>
        </w:rPr>
        <w:tab/>
      </w:r>
      <w:r>
        <w:t>Investigator assessed</w:t>
      </w:r>
      <w:r w:rsidR="00255AC4">
        <w:t>.</w:t>
      </w:r>
    </w:p>
    <w:p w14:paraId="03D97441" w14:textId="7F7BAF17" w:rsidR="00327047" w:rsidRDefault="00327047" w:rsidP="00A12328">
      <w:pPr>
        <w:pStyle w:val="3-BodyText"/>
      </w:pPr>
      <w:r>
        <w:t>Adverse events (</w:t>
      </w:r>
      <w:r w:rsidRPr="006E5879">
        <w:t>AEs</w:t>
      </w:r>
      <w:r>
        <w:t>)</w:t>
      </w:r>
      <w:r w:rsidRPr="006E5879">
        <w:t xml:space="preserve"> were reported by most patients in the trial. A higher proportion of patients in the osimertinib arm reported a serious AE (38.5% vs 15.1%), with 12.6% experiencing an AE leading to discontinuation of the study drug, compared to 5.5% in the placebo arm. More patients in the osimertinib arm had</w:t>
      </w:r>
      <w:r w:rsidR="004C3B8B">
        <w:t xml:space="preserve"> an AE leading to</w:t>
      </w:r>
      <w:r w:rsidRPr="006E5879">
        <w:t xml:space="preserve"> dose modifications including dose </w:t>
      </w:r>
      <w:r>
        <w:t>interruptions</w:t>
      </w:r>
      <w:r w:rsidRPr="006E5879">
        <w:t xml:space="preserve"> (55.9% vs 24.7%) and dose reductions (8.4% vs 1.4%). One patient in the osimertinib arm had an AE of pneumonitis leading to death. The investigator considered the Grade 5 event of pneumonitis to be related to osimertinib and rivaroxaban (concomitant medication), and also considered the patient’s death to be related to their underlying cancer.</w:t>
      </w:r>
    </w:p>
    <w:p w14:paraId="484D8880" w14:textId="5AEF6C4C" w:rsidR="00327047" w:rsidRDefault="00327047" w:rsidP="00A12328">
      <w:pPr>
        <w:pStyle w:val="3-BodyText"/>
      </w:pPr>
      <w:r w:rsidRPr="006E5879">
        <w:t>Patients with Grade ≤2 toxicities from prior CRT were allowed to enrol in the study. The most frequently reported (&gt;</w:t>
      </w:r>
      <w:r w:rsidR="004F1438">
        <w:t xml:space="preserve"> </w:t>
      </w:r>
      <w:r w:rsidRPr="006E5879">
        <w:t xml:space="preserve">10%) AEs in the osimertinib arm were radiation pneumonitis, diarrhoea, rash, paronychia, cough, dry skin, </w:t>
      </w:r>
      <w:r w:rsidR="00653DCB" w:rsidRPr="00653DCB">
        <w:t>pruritus</w:t>
      </w:r>
      <w:r w:rsidRPr="006E5879">
        <w:t xml:space="preserve">, stomatitis, decreased white blood cell count and pneumonia. Radiation pneumonitis, diarrhoea, rash and musculoskeletal chest pain were the most common AEs reported in the placebo arm. Radiation </w:t>
      </w:r>
      <w:r w:rsidRPr="00893B3C">
        <w:t>pneumonitis is common after CRT</w:t>
      </w:r>
      <w:r w:rsidR="00AB16F2" w:rsidRPr="00893B3C">
        <w:t>, and patients with symptomatic radiation pneumonitis at screening were excluded from the trial</w:t>
      </w:r>
      <w:r w:rsidRPr="00893B3C">
        <w:t xml:space="preserve">. The </w:t>
      </w:r>
      <w:r w:rsidR="00F91715" w:rsidRPr="00893B3C">
        <w:t>evaluation considered that the AE</w:t>
      </w:r>
      <w:r w:rsidRPr="006E5879">
        <w:t xml:space="preserve"> profile for osimertinib in LAURA was consistent with AEs identified in previous clinical trials of osimertinib.</w:t>
      </w:r>
    </w:p>
    <w:p w14:paraId="617A7AC1" w14:textId="615F16E8" w:rsidR="00327047" w:rsidRDefault="00327047" w:rsidP="00A12328">
      <w:pPr>
        <w:pStyle w:val="3-BodyText"/>
      </w:pPr>
      <w:r w:rsidRPr="006E5879">
        <w:t xml:space="preserve">Interstitial lung disease (ILD), pneumonitis and pulmonary fibrosis were considered to be AEs of special interest for osimertinib. Reporting of these AEs </w:t>
      </w:r>
      <w:r>
        <w:t xml:space="preserve">in LAURA </w:t>
      </w:r>
      <w:r w:rsidRPr="006E5879">
        <w:t xml:space="preserve">was low, but higher in the osimertinib arm. </w:t>
      </w:r>
      <w:r w:rsidR="00814DF4">
        <w:fldChar w:fldCharType="begin"/>
      </w:r>
      <w:r w:rsidR="00814DF4">
        <w:instrText xml:space="preserve"> REF _Ref198181450 \h </w:instrText>
      </w:r>
      <w:r w:rsidR="00814DF4">
        <w:fldChar w:fldCharType="separate"/>
      </w:r>
      <w:r w:rsidR="009F3D59">
        <w:t xml:space="preserve">Table </w:t>
      </w:r>
      <w:r w:rsidR="009F3D59">
        <w:rPr>
          <w:noProof/>
        </w:rPr>
        <w:t>10</w:t>
      </w:r>
      <w:r w:rsidR="00814DF4">
        <w:fldChar w:fldCharType="end"/>
      </w:r>
      <w:r>
        <w:t xml:space="preserve"> </w:t>
      </w:r>
      <w:r w:rsidRPr="006E5879">
        <w:t>summarises the AEs of special interest.</w:t>
      </w:r>
    </w:p>
    <w:p w14:paraId="32C4194D" w14:textId="572B1AFD" w:rsidR="00327047" w:rsidRDefault="00327047" w:rsidP="00A12328">
      <w:pPr>
        <w:pStyle w:val="TableFigureHeading"/>
      </w:pPr>
      <w:bookmarkStart w:id="50" w:name="_Ref198181450"/>
      <w:r>
        <w:t xml:space="preserve">Table </w:t>
      </w:r>
      <w:r w:rsidR="002E1944">
        <w:fldChar w:fldCharType="begin"/>
      </w:r>
      <w:r w:rsidR="002E1944">
        <w:instrText xml:space="preserve"> SEQ Table \* ARABIC </w:instrText>
      </w:r>
      <w:r w:rsidR="002E1944">
        <w:fldChar w:fldCharType="separate"/>
      </w:r>
      <w:r w:rsidR="009F3D59">
        <w:rPr>
          <w:noProof/>
        </w:rPr>
        <w:t>10</w:t>
      </w:r>
      <w:r w:rsidR="002E1944">
        <w:rPr>
          <w:noProof/>
        </w:rPr>
        <w:fldChar w:fldCharType="end"/>
      </w:r>
      <w:bookmarkEnd w:id="50"/>
      <w:r>
        <w:t xml:space="preserve">: </w:t>
      </w:r>
      <w:r w:rsidRPr="006E5879">
        <w:t>AEs of special interest</w:t>
      </w:r>
      <w:r>
        <w:t xml:space="preserve"> from the LAURA trial</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1E0" w:firstRow="1" w:lastRow="1" w:firstColumn="1" w:lastColumn="1" w:noHBand="0" w:noVBand="0"/>
        <w:tblCaption w:val="Table 10: AEs of special interest from the LAURA trial"/>
      </w:tblPr>
      <w:tblGrid>
        <w:gridCol w:w="1914"/>
        <w:gridCol w:w="1366"/>
        <w:gridCol w:w="956"/>
        <w:gridCol w:w="1093"/>
        <w:gridCol w:w="1093"/>
        <w:gridCol w:w="1093"/>
        <w:gridCol w:w="1502"/>
      </w:tblGrid>
      <w:tr w:rsidR="00535268" w14:paraId="693C2D84" w14:textId="77777777" w:rsidTr="00E67CC3">
        <w:trPr>
          <w:trHeight w:val="284"/>
        </w:trPr>
        <w:tc>
          <w:tcPr>
            <w:tcW w:w="1061" w:type="pct"/>
            <w:vMerge w:val="restart"/>
            <w:tcBorders>
              <w:top w:val="single" w:sz="4" w:space="0" w:color="000000"/>
              <w:left w:val="single" w:sz="4" w:space="0" w:color="000000"/>
              <w:bottom w:val="single" w:sz="4" w:space="0" w:color="000000"/>
              <w:right w:val="single" w:sz="4" w:space="0" w:color="000000"/>
            </w:tcBorders>
          </w:tcPr>
          <w:p w14:paraId="280B7AFD" w14:textId="77777777" w:rsidR="00327047" w:rsidRDefault="00327047" w:rsidP="00A12328">
            <w:pPr>
              <w:pStyle w:val="TableHeading0"/>
              <w:spacing w:before="0" w:after="0" w:line="240" w:lineRule="auto"/>
              <w:jc w:val="center"/>
            </w:pPr>
          </w:p>
          <w:p w14:paraId="5B79F17C" w14:textId="77777777" w:rsidR="00327047" w:rsidRDefault="00327047" w:rsidP="00A12328">
            <w:pPr>
              <w:pStyle w:val="TableHeading0"/>
              <w:spacing w:before="0" w:after="0" w:line="240" w:lineRule="auto"/>
              <w:jc w:val="center"/>
            </w:pPr>
          </w:p>
          <w:p w14:paraId="7031F703" w14:textId="77777777" w:rsidR="00327047" w:rsidRDefault="00327047" w:rsidP="00A12328">
            <w:pPr>
              <w:pStyle w:val="TableHeading0"/>
              <w:spacing w:before="0" w:after="0" w:line="240" w:lineRule="auto"/>
              <w:jc w:val="center"/>
            </w:pPr>
            <w:r>
              <w:t>Grouped</w:t>
            </w:r>
            <w:r>
              <w:rPr>
                <w:spacing w:val="-13"/>
              </w:rPr>
              <w:t xml:space="preserve"> </w:t>
            </w:r>
            <w:r>
              <w:t xml:space="preserve">Term </w:t>
            </w:r>
          </w:p>
        </w:tc>
        <w:tc>
          <w:tcPr>
            <w:tcW w:w="757" w:type="pct"/>
            <w:vMerge w:val="restart"/>
            <w:tcBorders>
              <w:top w:val="single" w:sz="4" w:space="0" w:color="000000"/>
              <w:left w:val="single" w:sz="4" w:space="0" w:color="000000"/>
              <w:bottom w:val="single" w:sz="4" w:space="0" w:color="000000"/>
              <w:right w:val="single" w:sz="4" w:space="0" w:color="000000"/>
            </w:tcBorders>
          </w:tcPr>
          <w:p w14:paraId="47DE2D8B" w14:textId="77777777" w:rsidR="00327047" w:rsidRDefault="00327047" w:rsidP="00A12328">
            <w:pPr>
              <w:pStyle w:val="TableHeading0"/>
              <w:spacing w:before="0" w:after="0" w:line="240" w:lineRule="auto"/>
              <w:jc w:val="center"/>
            </w:pPr>
          </w:p>
          <w:p w14:paraId="3186064A" w14:textId="77777777" w:rsidR="00327047" w:rsidRDefault="00327047" w:rsidP="00A12328">
            <w:pPr>
              <w:pStyle w:val="TableHeading0"/>
              <w:spacing w:before="0" w:after="0" w:line="240" w:lineRule="auto"/>
              <w:jc w:val="center"/>
            </w:pPr>
          </w:p>
          <w:p w14:paraId="7DAC01B9" w14:textId="77777777" w:rsidR="00327047" w:rsidRDefault="00327047" w:rsidP="00A12328">
            <w:pPr>
              <w:pStyle w:val="TableHeading0"/>
              <w:spacing w:before="0" w:after="0" w:line="240" w:lineRule="auto"/>
              <w:jc w:val="center"/>
            </w:pPr>
            <w:r>
              <w:rPr>
                <w:spacing w:val="-2"/>
              </w:rPr>
              <w:t xml:space="preserve">Treatment </w:t>
            </w:r>
            <w:r>
              <w:rPr>
                <w:spacing w:val="-4"/>
              </w:rPr>
              <w:t>arm</w:t>
            </w:r>
          </w:p>
        </w:tc>
        <w:tc>
          <w:tcPr>
            <w:tcW w:w="3181" w:type="pct"/>
            <w:gridSpan w:val="5"/>
            <w:tcBorders>
              <w:top w:val="single" w:sz="4" w:space="0" w:color="000000"/>
              <w:left w:val="single" w:sz="4" w:space="0" w:color="000000"/>
              <w:bottom w:val="single" w:sz="4" w:space="0" w:color="000000"/>
              <w:right w:val="single" w:sz="4" w:space="0" w:color="000000"/>
            </w:tcBorders>
            <w:hideMark/>
          </w:tcPr>
          <w:p w14:paraId="4ACB02ED" w14:textId="77777777" w:rsidR="00327047" w:rsidRDefault="00327047" w:rsidP="00A12328">
            <w:pPr>
              <w:pStyle w:val="TableHeading0"/>
              <w:spacing w:before="0" w:after="0" w:line="240" w:lineRule="auto"/>
              <w:jc w:val="center"/>
            </w:pPr>
            <w:r>
              <w:t>Number</w:t>
            </w:r>
            <w:r>
              <w:rPr>
                <w:spacing w:val="-6"/>
              </w:rPr>
              <w:t xml:space="preserve"> </w:t>
            </w:r>
            <w:r>
              <w:t>of</w:t>
            </w:r>
            <w:r>
              <w:rPr>
                <w:spacing w:val="-5"/>
              </w:rPr>
              <w:t xml:space="preserve"> </w:t>
            </w:r>
            <w:r>
              <w:t>patients</w:t>
            </w:r>
            <w:r>
              <w:rPr>
                <w:spacing w:val="-6"/>
              </w:rPr>
              <w:t xml:space="preserve"> </w:t>
            </w:r>
            <w:r>
              <w:rPr>
                <w:spacing w:val="-5"/>
              </w:rPr>
              <w:t>(%)</w:t>
            </w:r>
          </w:p>
        </w:tc>
      </w:tr>
      <w:tr w:rsidR="00991E2F" w14:paraId="01428DC9" w14:textId="77777777" w:rsidTr="00E67CC3">
        <w:trPr>
          <w:trHeight w:val="284"/>
        </w:trPr>
        <w:tc>
          <w:tcPr>
            <w:tcW w:w="1061" w:type="pct"/>
            <w:vMerge/>
            <w:tcBorders>
              <w:top w:val="single" w:sz="4" w:space="0" w:color="000000"/>
              <w:left w:val="single" w:sz="4" w:space="0" w:color="000000"/>
              <w:bottom w:val="single" w:sz="4" w:space="0" w:color="000000"/>
              <w:right w:val="single" w:sz="4" w:space="0" w:color="000000"/>
            </w:tcBorders>
            <w:vAlign w:val="center"/>
            <w:hideMark/>
          </w:tcPr>
          <w:p w14:paraId="44AAFE9D" w14:textId="77777777" w:rsidR="00327047" w:rsidRDefault="00327047" w:rsidP="00A12328">
            <w:pPr>
              <w:jc w:val="left"/>
              <w:rPr>
                <w:rFonts w:ascii="Arial Narrow" w:eastAsiaTheme="majorEastAsia" w:hAnsi="Arial Narrow"/>
                <w:b/>
                <w:sz w:val="20"/>
                <w:szCs w:val="20"/>
                <w:lang w:bidi="en-US"/>
              </w:rPr>
            </w:pPr>
          </w:p>
        </w:tc>
        <w:tc>
          <w:tcPr>
            <w:tcW w:w="757" w:type="pct"/>
            <w:vMerge/>
            <w:tcBorders>
              <w:top w:val="single" w:sz="4" w:space="0" w:color="000000"/>
              <w:left w:val="single" w:sz="4" w:space="0" w:color="000000"/>
              <w:bottom w:val="single" w:sz="4" w:space="0" w:color="000000"/>
              <w:right w:val="single" w:sz="4" w:space="0" w:color="000000"/>
            </w:tcBorders>
            <w:vAlign w:val="center"/>
            <w:hideMark/>
          </w:tcPr>
          <w:p w14:paraId="6EF6A8D2" w14:textId="77777777" w:rsidR="00327047" w:rsidRDefault="00327047" w:rsidP="00A12328">
            <w:pPr>
              <w:jc w:val="left"/>
              <w:rPr>
                <w:rFonts w:ascii="Arial Narrow" w:eastAsiaTheme="majorEastAsia" w:hAnsi="Arial Narrow"/>
                <w:b/>
                <w:sz w:val="20"/>
                <w:szCs w:val="20"/>
                <w:lang w:bidi="en-US"/>
              </w:rPr>
            </w:pPr>
          </w:p>
        </w:tc>
        <w:tc>
          <w:tcPr>
            <w:tcW w:w="530" w:type="pct"/>
            <w:tcBorders>
              <w:top w:val="single" w:sz="4" w:space="0" w:color="000000"/>
              <w:left w:val="single" w:sz="4" w:space="0" w:color="000000"/>
              <w:bottom w:val="single" w:sz="4" w:space="0" w:color="000000"/>
              <w:right w:val="single" w:sz="4" w:space="0" w:color="000000"/>
            </w:tcBorders>
            <w:hideMark/>
          </w:tcPr>
          <w:p w14:paraId="07B76DB0" w14:textId="77777777" w:rsidR="00327047" w:rsidRDefault="00327047" w:rsidP="00A12328">
            <w:pPr>
              <w:pStyle w:val="TableHeading0"/>
              <w:spacing w:before="0" w:after="0" w:line="240" w:lineRule="auto"/>
              <w:jc w:val="center"/>
            </w:pPr>
            <w:r>
              <w:rPr>
                <w:spacing w:val="-4"/>
              </w:rPr>
              <w:t xml:space="preserve">Any </w:t>
            </w:r>
            <w:r>
              <w:rPr>
                <w:spacing w:val="-5"/>
              </w:rPr>
              <w:t>AE</w:t>
            </w:r>
          </w:p>
        </w:tc>
        <w:tc>
          <w:tcPr>
            <w:tcW w:w="606" w:type="pct"/>
            <w:tcBorders>
              <w:top w:val="single" w:sz="4" w:space="0" w:color="000000"/>
              <w:left w:val="single" w:sz="4" w:space="0" w:color="000000"/>
              <w:bottom w:val="single" w:sz="4" w:space="0" w:color="000000"/>
              <w:right w:val="single" w:sz="4" w:space="0" w:color="000000"/>
            </w:tcBorders>
            <w:hideMark/>
          </w:tcPr>
          <w:p w14:paraId="22F7B3E8" w14:textId="77777777" w:rsidR="00327047" w:rsidRDefault="00327047" w:rsidP="00A12328">
            <w:pPr>
              <w:pStyle w:val="TableHeading0"/>
              <w:spacing w:before="0" w:after="0" w:line="240" w:lineRule="auto"/>
              <w:jc w:val="center"/>
            </w:pPr>
            <w:r>
              <w:rPr>
                <w:spacing w:val="-2"/>
              </w:rPr>
              <w:t>CTCAE</w:t>
            </w:r>
          </w:p>
          <w:p w14:paraId="13BDA340" w14:textId="77777777" w:rsidR="00327047" w:rsidRDefault="00327047" w:rsidP="00A12328">
            <w:pPr>
              <w:pStyle w:val="TableHeading0"/>
              <w:spacing w:before="0" w:after="0" w:line="240" w:lineRule="auto"/>
              <w:jc w:val="center"/>
            </w:pPr>
            <w:r>
              <w:t>Grade</w:t>
            </w:r>
            <w:r>
              <w:rPr>
                <w:spacing w:val="-3"/>
              </w:rPr>
              <w:t xml:space="preserve"> </w:t>
            </w:r>
            <w:r>
              <w:t>≥</w:t>
            </w:r>
            <w:r>
              <w:rPr>
                <w:spacing w:val="-2"/>
              </w:rPr>
              <w:t xml:space="preserve"> </w:t>
            </w:r>
            <w:r>
              <w:rPr>
                <w:spacing w:val="-10"/>
              </w:rPr>
              <w:t>3</w:t>
            </w:r>
          </w:p>
        </w:tc>
        <w:tc>
          <w:tcPr>
            <w:tcW w:w="606" w:type="pct"/>
            <w:tcBorders>
              <w:top w:val="single" w:sz="4" w:space="0" w:color="000000"/>
              <w:left w:val="single" w:sz="4" w:space="0" w:color="000000"/>
              <w:bottom w:val="single" w:sz="4" w:space="0" w:color="000000"/>
              <w:right w:val="single" w:sz="4" w:space="0" w:color="000000"/>
            </w:tcBorders>
            <w:hideMark/>
          </w:tcPr>
          <w:p w14:paraId="6D2C8B2A" w14:textId="77777777" w:rsidR="00327047" w:rsidRDefault="00327047" w:rsidP="00A12328">
            <w:pPr>
              <w:pStyle w:val="TableHeading0"/>
              <w:spacing w:before="0" w:after="0" w:line="240" w:lineRule="auto"/>
              <w:jc w:val="center"/>
            </w:pPr>
            <w:r>
              <w:rPr>
                <w:spacing w:val="-5"/>
              </w:rPr>
              <w:t>SAE</w:t>
            </w:r>
          </w:p>
        </w:tc>
        <w:tc>
          <w:tcPr>
            <w:tcW w:w="606" w:type="pct"/>
            <w:tcBorders>
              <w:top w:val="single" w:sz="4" w:space="0" w:color="000000"/>
              <w:left w:val="single" w:sz="4" w:space="0" w:color="000000"/>
              <w:bottom w:val="single" w:sz="4" w:space="0" w:color="000000"/>
              <w:right w:val="single" w:sz="4" w:space="0" w:color="000000"/>
            </w:tcBorders>
            <w:hideMark/>
          </w:tcPr>
          <w:p w14:paraId="60E3BDF2" w14:textId="77777777" w:rsidR="00327047" w:rsidRDefault="00327047" w:rsidP="00A12328">
            <w:pPr>
              <w:pStyle w:val="TableHeading0"/>
              <w:spacing w:before="0" w:after="0" w:line="240" w:lineRule="auto"/>
              <w:jc w:val="center"/>
            </w:pPr>
            <w:r>
              <w:rPr>
                <w:spacing w:val="-5"/>
              </w:rPr>
              <w:t>DAE</w:t>
            </w:r>
          </w:p>
        </w:tc>
        <w:tc>
          <w:tcPr>
            <w:tcW w:w="833" w:type="pct"/>
            <w:tcBorders>
              <w:top w:val="single" w:sz="4" w:space="0" w:color="000000"/>
              <w:left w:val="single" w:sz="4" w:space="0" w:color="000000"/>
              <w:bottom w:val="single" w:sz="4" w:space="0" w:color="000000"/>
              <w:right w:val="single" w:sz="4" w:space="0" w:color="000000"/>
            </w:tcBorders>
            <w:hideMark/>
          </w:tcPr>
          <w:p w14:paraId="1BFAD824" w14:textId="77777777" w:rsidR="00327047" w:rsidRDefault="00327047" w:rsidP="00A12328">
            <w:pPr>
              <w:pStyle w:val="TableHeading0"/>
              <w:spacing w:before="0" w:after="0" w:line="240" w:lineRule="auto"/>
              <w:jc w:val="center"/>
            </w:pPr>
            <w:r>
              <w:rPr>
                <w:spacing w:val="-2"/>
              </w:rPr>
              <w:t xml:space="preserve">Related </w:t>
            </w:r>
            <w:r>
              <w:t>to IP</w:t>
            </w:r>
          </w:p>
        </w:tc>
      </w:tr>
      <w:tr w:rsidR="00991E2F" w14:paraId="5E5486CD" w14:textId="77777777" w:rsidTr="00E67CC3">
        <w:trPr>
          <w:trHeight w:val="284"/>
        </w:trPr>
        <w:tc>
          <w:tcPr>
            <w:tcW w:w="1061" w:type="pct"/>
            <w:vMerge w:val="restart"/>
            <w:tcBorders>
              <w:top w:val="single" w:sz="4" w:space="0" w:color="000000"/>
              <w:left w:val="single" w:sz="4" w:space="0" w:color="000000"/>
              <w:bottom w:val="nil"/>
              <w:right w:val="single" w:sz="4" w:space="0" w:color="000000"/>
            </w:tcBorders>
            <w:hideMark/>
          </w:tcPr>
          <w:p w14:paraId="71460E0A" w14:textId="77777777" w:rsidR="00327047" w:rsidRDefault="00327047" w:rsidP="00A12328">
            <w:pPr>
              <w:pStyle w:val="TableHeading0"/>
              <w:spacing w:before="0" w:after="0" w:line="240" w:lineRule="auto"/>
              <w:rPr>
                <w:b w:val="0"/>
              </w:rPr>
            </w:pPr>
            <w:r>
              <w:rPr>
                <w:b w:val="0"/>
              </w:rPr>
              <w:t>ILD</w:t>
            </w:r>
            <w:r>
              <w:rPr>
                <w:b w:val="0"/>
                <w:spacing w:val="-6"/>
              </w:rPr>
              <w:t xml:space="preserve"> </w:t>
            </w:r>
            <w:r>
              <w:rPr>
                <w:b w:val="0"/>
                <w:spacing w:val="-5"/>
              </w:rPr>
              <w:t>and Pneumonitis</w:t>
            </w:r>
          </w:p>
        </w:tc>
        <w:tc>
          <w:tcPr>
            <w:tcW w:w="757" w:type="pct"/>
            <w:tcBorders>
              <w:top w:val="single" w:sz="4" w:space="0" w:color="000000"/>
              <w:left w:val="single" w:sz="4" w:space="0" w:color="000000"/>
              <w:bottom w:val="nil"/>
              <w:right w:val="single" w:sz="4" w:space="0" w:color="000000"/>
            </w:tcBorders>
            <w:hideMark/>
          </w:tcPr>
          <w:p w14:paraId="2795946A" w14:textId="77777777" w:rsidR="00327047" w:rsidRDefault="00327047" w:rsidP="00A12328">
            <w:pPr>
              <w:pStyle w:val="TableHeading0"/>
              <w:spacing w:before="0" w:after="0" w:line="240" w:lineRule="auto"/>
              <w:rPr>
                <w:b w:val="0"/>
              </w:rPr>
            </w:pPr>
            <w:r>
              <w:rPr>
                <w:b w:val="0"/>
                <w:spacing w:val="-2"/>
              </w:rPr>
              <w:t xml:space="preserve"> Osimertinib</w:t>
            </w:r>
          </w:p>
        </w:tc>
        <w:tc>
          <w:tcPr>
            <w:tcW w:w="530" w:type="pct"/>
            <w:tcBorders>
              <w:top w:val="single" w:sz="4" w:space="0" w:color="000000"/>
              <w:left w:val="single" w:sz="4" w:space="0" w:color="000000"/>
              <w:bottom w:val="nil"/>
              <w:right w:val="single" w:sz="4" w:space="0" w:color="000000"/>
            </w:tcBorders>
            <w:hideMark/>
          </w:tcPr>
          <w:p w14:paraId="306B7269" w14:textId="77777777" w:rsidR="00327047" w:rsidRDefault="00327047" w:rsidP="00A12328">
            <w:pPr>
              <w:pStyle w:val="TableHeading0"/>
              <w:spacing w:before="0" w:after="0" w:line="240" w:lineRule="auto"/>
              <w:jc w:val="center"/>
              <w:rPr>
                <w:b w:val="0"/>
              </w:rPr>
            </w:pPr>
            <w:r>
              <w:rPr>
                <w:b w:val="0"/>
              </w:rPr>
              <w:t xml:space="preserve">11 </w:t>
            </w:r>
            <w:r>
              <w:rPr>
                <w:b w:val="0"/>
                <w:spacing w:val="-2"/>
              </w:rPr>
              <w:t>(7.7)</w:t>
            </w:r>
          </w:p>
        </w:tc>
        <w:tc>
          <w:tcPr>
            <w:tcW w:w="606" w:type="pct"/>
            <w:tcBorders>
              <w:top w:val="single" w:sz="4" w:space="0" w:color="000000"/>
              <w:left w:val="single" w:sz="4" w:space="0" w:color="000000"/>
              <w:bottom w:val="nil"/>
              <w:right w:val="single" w:sz="4" w:space="0" w:color="000000"/>
            </w:tcBorders>
            <w:hideMark/>
          </w:tcPr>
          <w:p w14:paraId="2511000F" w14:textId="77777777" w:rsidR="00327047" w:rsidRDefault="00327047" w:rsidP="00A12328">
            <w:pPr>
              <w:pStyle w:val="TableHeading0"/>
              <w:spacing w:before="0" w:after="0" w:line="240" w:lineRule="auto"/>
              <w:jc w:val="center"/>
              <w:rPr>
                <w:b w:val="0"/>
              </w:rPr>
            </w:pPr>
            <w:r>
              <w:rPr>
                <w:b w:val="0"/>
              </w:rPr>
              <w:t xml:space="preserve">3 </w:t>
            </w:r>
            <w:r>
              <w:rPr>
                <w:b w:val="0"/>
                <w:spacing w:val="-2"/>
              </w:rPr>
              <w:t>(2.1)</w:t>
            </w:r>
          </w:p>
        </w:tc>
        <w:tc>
          <w:tcPr>
            <w:tcW w:w="606" w:type="pct"/>
            <w:tcBorders>
              <w:top w:val="single" w:sz="4" w:space="0" w:color="000000"/>
              <w:left w:val="single" w:sz="4" w:space="0" w:color="000000"/>
              <w:bottom w:val="nil"/>
              <w:right w:val="single" w:sz="4" w:space="0" w:color="000000"/>
            </w:tcBorders>
            <w:hideMark/>
          </w:tcPr>
          <w:p w14:paraId="183C1818" w14:textId="77777777" w:rsidR="00327047" w:rsidRDefault="00327047" w:rsidP="00A12328">
            <w:pPr>
              <w:pStyle w:val="TableHeading0"/>
              <w:spacing w:before="0" w:after="0" w:line="240" w:lineRule="auto"/>
              <w:jc w:val="center"/>
              <w:rPr>
                <w:b w:val="0"/>
              </w:rPr>
            </w:pPr>
            <w:r>
              <w:rPr>
                <w:b w:val="0"/>
              </w:rPr>
              <w:t xml:space="preserve">3 </w:t>
            </w:r>
            <w:r>
              <w:rPr>
                <w:b w:val="0"/>
                <w:spacing w:val="-2"/>
              </w:rPr>
              <w:t>(2.1)</w:t>
            </w:r>
          </w:p>
        </w:tc>
        <w:tc>
          <w:tcPr>
            <w:tcW w:w="606" w:type="pct"/>
            <w:tcBorders>
              <w:top w:val="single" w:sz="4" w:space="0" w:color="000000"/>
              <w:left w:val="single" w:sz="4" w:space="0" w:color="000000"/>
              <w:bottom w:val="nil"/>
              <w:right w:val="single" w:sz="4" w:space="0" w:color="000000"/>
            </w:tcBorders>
            <w:hideMark/>
          </w:tcPr>
          <w:p w14:paraId="5474FF9F" w14:textId="77777777" w:rsidR="00327047" w:rsidRDefault="00327047" w:rsidP="00A12328">
            <w:pPr>
              <w:pStyle w:val="TableHeading0"/>
              <w:spacing w:before="0" w:after="0" w:line="240" w:lineRule="auto"/>
              <w:jc w:val="center"/>
              <w:rPr>
                <w:b w:val="0"/>
              </w:rPr>
            </w:pPr>
            <w:r>
              <w:rPr>
                <w:b w:val="0"/>
              </w:rPr>
              <w:t xml:space="preserve">3 </w:t>
            </w:r>
            <w:r>
              <w:rPr>
                <w:b w:val="0"/>
                <w:spacing w:val="-2"/>
              </w:rPr>
              <w:t>(2.1)</w:t>
            </w:r>
          </w:p>
        </w:tc>
        <w:tc>
          <w:tcPr>
            <w:tcW w:w="833" w:type="pct"/>
            <w:tcBorders>
              <w:top w:val="single" w:sz="4" w:space="0" w:color="000000"/>
              <w:left w:val="single" w:sz="4" w:space="0" w:color="000000"/>
              <w:bottom w:val="nil"/>
              <w:right w:val="single" w:sz="4" w:space="0" w:color="000000"/>
            </w:tcBorders>
            <w:hideMark/>
          </w:tcPr>
          <w:p w14:paraId="277F6BBA" w14:textId="77777777" w:rsidR="00327047" w:rsidRDefault="00327047" w:rsidP="00A12328">
            <w:pPr>
              <w:pStyle w:val="TableHeading0"/>
              <w:spacing w:before="0" w:after="0" w:line="240" w:lineRule="auto"/>
              <w:jc w:val="center"/>
              <w:rPr>
                <w:b w:val="0"/>
              </w:rPr>
            </w:pPr>
            <w:r>
              <w:rPr>
                <w:b w:val="0"/>
              </w:rPr>
              <w:t xml:space="preserve">9 </w:t>
            </w:r>
            <w:r>
              <w:rPr>
                <w:b w:val="0"/>
                <w:spacing w:val="-2"/>
              </w:rPr>
              <w:t>(6.3)</w:t>
            </w:r>
          </w:p>
        </w:tc>
      </w:tr>
      <w:tr w:rsidR="00991E2F" w14:paraId="08DDC9CA" w14:textId="77777777" w:rsidTr="00E67CC3">
        <w:trPr>
          <w:trHeight w:val="284"/>
        </w:trPr>
        <w:tc>
          <w:tcPr>
            <w:tcW w:w="1061" w:type="pct"/>
            <w:vMerge/>
            <w:tcBorders>
              <w:top w:val="single" w:sz="4" w:space="0" w:color="000000"/>
              <w:left w:val="single" w:sz="4" w:space="0" w:color="000000"/>
              <w:bottom w:val="nil"/>
              <w:right w:val="single" w:sz="4" w:space="0" w:color="000000"/>
            </w:tcBorders>
            <w:vAlign w:val="center"/>
            <w:hideMark/>
          </w:tcPr>
          <w:p w14:paraId="6BC44435" w14:textId="77777777" w:rsidR="00327047" w:rsidRDefault="00327047" w:rsidP="00A12328">
            <w:pPr>
              <w:jc w:val="left"/>
              <w:rPr>
                <w:rFonts w:ascii="Arial Narrow" w:eastAsiaTheme="majorEastAsia" w:hAnsi="Arial Narrow"/>
                <w:sz w:val="20"/>
                <w:szCs w:val="20"/>
                <w:lang w:bidi="en-US"/>
              </w:rPr>
            </w:pPr>
          </w:p>
        </w:tc>
        <w:tc>
          <w:tcPr>
            <w:tcW w:w="757" w:type="pct"/>
            <w:tcBorders>
              <w:top w:val="single" w:sz="4" w:space="0" w:color="000000"/>
              <w:left w:val="single" w:sz="4" w:space="0" w:color="000000"/>
              <w:bottom w:val="nil"/>
              <w:right w:val="single" w:sz="4" w:space="0" w:color="000000"/>
            </w:tcBorders>
            <w:hideMark/>
          </w:tcPr>
          <w:p w14:paraId="63798802" w14:textId="77777777" w:rsidR="00327047" w:rsidRDefault="00327047" w:rsidP="00A12328">
            <w:pPr>
              <w:pStyle w:val="TableHeading0"/>
              <w:spacing w:before="0" w:after="0" w:line="240" w:lineRule="auto"/>
              <w:rPr>
                <w:b w:val="0"/>
              </w:rPr>
            </w:pPr>
            <w:r>
              <w:rPr>
                <w:b w:val="0"/>
                <w:spacing w:val="-2"/>
              </w:rPr>
              <w:t xml:space="preserve"> Placebo</w:t>
            </w:r>
          </w:p>
        </w:tc>
        <w:tc>
          <w:tcPr>
            <w:tcW w:w="530" w:type="pct"/>
            <w:tcBorders>
              <w:top w:val="single" w:sz="4" w:space="0" w:color="000000"/>
              <w:left w:val="single" w:sz="4" w:space="0" w:color="000000"/>
              <w:bottom w:val="nil"/>
              <w:right w:val="single" w:sz="4" w:space="0" w:color="000000"/>
            </w:tcBorders>
            <w:hideMark/>
          </w:tcPr>
          <w:p w14:paraId="48639E27" w14:textId="77777777" w:rsidR="00327047" w:rsidRDefault="00327047" w:rsidP="00A12328">
            <w:pPr>
              <w:pStyle w:val="TableHeading0"/>
              <w:spacing w:before="0" w:after="0" w:line="240" w:lineRule="auto"/>
              <w:jc w:val="center"/>
              <w:rPr>
                <w:b w:val="0"/>
              </w:rPr>
            </w:pPr>
            <w:r>
              <w:rPr>
                <w:b w:val="0"/>
              </w:rPr>
              <w:t xml:space="preserve">1 </w:t>
            </w:r>
            <w:r>
              <w:rPr>
                <w:b w:val="0"/>
                <w:spacing w:val="-2"/>
              </w:rPr>
              <w:t>(1.4)</w:t>
            </w:r>
          </w:p>
        </w:tc>
        <w:tc>
          <w:tcPr>
            <w:tcW w:w="606" w:type="pct"/>
            <w:tcBorders>
              <w:top w:val="single" w:sz="4" w:space="0" w:color="000000"/>
              <w:left w:val="single" w:sz="4" w:space="0" w:color="000000"/>
              <w:bottom w:val="nil"/>
              <w:right w:val="single" w:sz="4" w:space="0" w:color="000000"/>
            </w:tcBorders>
            <w:hideMark/>
          </w:tcPr>
          <w:p w14:paraId="30B70773" w14:textId="77777777" w:rsidR="00327047" w:rsidRDefault="00327047" w:rsidP="00A12328">
            <w:pPr>
              <w:pStyle w:val="TableHeading0"/>
              <w:spacing w:before="0" w:after="0" w:line="240" w:lineRule="auto"/>
              <w:jc w:val="center"/>
              <w:rPr>
                <w:b w:val="0"/>
              </w:rPr>
            </w:pPr>
            <w:r>
              <w:rPr>
                <w:b w:val="0"/>
                <w:spacing w:val="-10"/>
              </w:rPr>
              <w:t>0</w:t>
            </w:r>
          </w:p>
        </w:tc>
        <w:tc>
          <w:tcPr>
            <w:tcW w:w="606" w:type="pct"/>
            <w:tcBorders>
              <w:top w:val="single" w:sz="4" w:space="0" w:color="000000"/>
              <w:left w:val="single" w:sz="4" w:space="0" w:color="000000"/>
              <w:bottom w:val="nil"/>
              <w:right w:val="single" w:sz="4" w:space="0" w:color="000000"/>
            </w:tcBorders>
            <w:hideMark/>
          </w:tcPr>
          <w:p w14:paraId="78A592FA" w14:textId="77777777" w:rsidR="00327047" w:rsidRDefault="00327047" w:rsidP="00A12328">
            <w:pPr>
              <w:pStyle w:val="TableHeading0"/>
              <w:spacing w:before="0" w:after="0" w:line="240" w:lineRule="auto"/>
              <w:jc w:val="center"/>
              <w:rPr>
                <w:b w:val="0"/>
              </w:rPr>
            </w:pPr>
            <w:r>
              <w:rPr>
                <w:b w:val="0"/>
                <w:spacing w:val="-10"/>
              </w:rPr>
              <w:t>0</w:t>
            </w:r>
          </w:p>
        </w:tc>
        <w:tc>
          <w:tcPr>
            <w:tcW w:w="606" w:type="pct"/>
            <w:tcBorders>
              <w:top w:val="single" w:sz="4" w:space="0" w:color="000000"/>
              <w:left w:val="single" w:sz="4" w:space="0" w:color="000000"/>
              <w:bottom w:val="nil"/>
              <w:right w:val="single" w:sz="4" w:space="0" w:color="000000"/>
            </w:tcBorders>
            <w:hideMark/>
          </w:tcPr>
          <w:p w14:paraId="0304769D" w14:textId="77777777" w:rsidR="00327047" w:rsidRDefault="00327047" w:rsidP="00A12328">
            <w:pPr>
              <w:pStyle w:val="TableHeading0"/>
              <w:spacing w:before="0" w:after="0" w:line="240" w:lineRule="auto"/>
              <w:jc w:val="center"/>
              <w:rPr>
                <w:b w:val="0"/>
              </w:rPr>
            </w:pPr>
            <w:r>
              <w:rPr>
                <w:b w:val="0"/>
                <w:spacing w:val="-10"/>
              </w:rPr>
              <w:t>0</w:t>
            </w:r>
          </w:p>
        </w:tc>
        <w:tc>
          <w:tcPr>
            <w:tcW w:w="833" w:type="pct"/>
            <w:tcBorders>
              <w:top w:val="single" w:sz="4" w:space="0" w:color="000000"/>
              <w:left w:val="single" w:sz="4" w:space="0" w:color="000000"/>
              <w:bottom w:val="nil"/>
              <w:right w:val="single" w:sz="4" w:space="0" w:color="000000"/>
            </w:tcBorders>
            <w:hideMark/>
          </w:tcPr>
          <w:p w14:paraId="5D4706D4" w14:textId="77777777" w:rsidR="00327047" w:rsidRDefault="00327047" w:rsidP="00A12328">
            <w:pPr>
              <w:pStyle w:val="TableHeading0"/>
              <w:spacing w:before="0" w:after="0" w:line="240" w:lineRule="auto"/>
              <w:jc w:val="center"/>
              <w:rPr>
                <w:b w:val="0"/>
              </w:rPr>
            </w:pPr>
            <w:r>
              <w:rPr>
                <w:b w:val="0"/>
              </w:rPr>
              <w:t xml:space="preserve">1 </w:t>
            </w:r>
            <w:r>
              <w:rPr>
                <w:b w:val="0"/>
                <w:spacing w:val="-2"/>
              </w:rPr>
              <w:t>(1.4)</w:t>
            </w:r>
          </w:p>
        </w:tc>
      </w:tr>
      <w:tr w:rsidR="00FE5BCA" w14:paraId="006FF3D7" w14:textId="77777777" w:rsidTr="00E67CC3">
        <w:trPr>
          <w:trHeight w:val="284"/>
        </w:trPr>
        <w:tc>
          <w:tcPr>
            <w:tcW w:w="1061" w:type="pct"/>
            <w:vMerge w:val="restart"/>
            <w:tcBorders>
              <w:top w:val="single" w:sz="4" w:space="0" w:color="000000"/>
              <w:left w:val="single" w:sz="4" w:space="0" w:color="000000"/>
              <w:bottom w:val="single" w:sz="4" w:space="0" w:color="000000"/>
              <w:right w:val="single" w:sz="4" w:space="0" w:color="000000"/>
            </w:tcBorders>
            <w:hideMark/>
          </w:tcPr>
          <w:p w14:paraId="3F92FB89" w14:textId="77777777" w:rsidR="00327047" w:rsidRDefault="00327047" w:rsidP="00A12328">
            <w:pPr>
              <w:pStyle w:val="TableText0"/>
            </w:pPr>
            <w:r>
              <w:t>Interstitial lung disease</w:t>
            </w:r>
          </w:p>
        </w:tc>
        <w:tc>
          <w:tcPr>
            <w:tcW w:w="757" w:type="pct"/>
            <w:tcBorders>
              <w:top w:val="single" w:sz="4" w:space="0" w:color="000000"/>
              <w:left w:val="single" w:sz="4" w:space="0" w:color="000000"/>
              <w:bottom w:val="nil"/>
              <w:right w:val="single" w:sz="4" w:space="0" w:color="000000"/>
            </w:tcBorders>
            <w:hideMark/>
          </w:tcPr>
          <w:p w14:paraId="04C8969B" w14:textId="77777777" w:rsidR="00327047" w:rsidRDefault="00327047" w:rsidP="00A12328">
            <w:pPr>
              <w:pStyle w:val="TableText0"/>
            </w:pPr>
            <w:r>
              <w:t xml:space="preserve"> Osimertinib</w:t>
            </w:r>
          </w:p>
        </w:tc>
        <w:tc>
          <w:tcPr>
            <w:tcW w:w="530" w:type="pct"/>
            <w:tcBorders>
              <w:top w:val="single" w:sz="4" w:space="0" w:color="000000"/>
              <w:left w:val="single" w:sz="4" w:space="0" w:color="000000"/>
              <w:bottom w:val="nil"/>
              <w:right w:val="single" w:sz="4" w:space="0" w:color="000000"/>
            </w:tcBorders>
            <w:hideMark/>
          </w:tcPr>
          <w:p w14:paraId="1E467800" w14:textId="77777777" w:rsidR="00327047" w:rsidRDefault="00327047" w:rsidP="00A12328">
            <w:pPr>
              <w:pStyle w:val="TableText0"/>
              <w:jc w:val="center"/>
            </w:pPr>
            <w:r>
              <w:t>1 (0.7)</w:t>
            </w:r>
          </w:p>
        </w:tc>
        <w:tc>
          <w:tcPr>
            <w:tcW w:w="606" w:type="pct"/>
            <w:tcBorders>
              <w:top w:val="single" w:sz="4" w:space="0" w:color="000000"/>
              <w:left w:val="single" w:sz="4" w:space="0" w:color="000000"/>
              <w:bottom w:val="nil"/>
              <w:right w:val="single" w:sz="4" w:space="0" w:color="000000"/>
            </w:tcBorders>
            <w:hideMark/>
          </w:tcPr>
          <w:p w14:paraId="10765A9D" w14:textId="77777777" w:rsidR="00327047" w:rsidRDefault="00327047" w:rsidP="00A12328">
            <w:pPr>
              <w:pStyle w:val="TableText0"/>
              <w:jc w:val="center"/>
            </w:pPr>
            <w:r>
              <w:t>1 (0.7)</w:t>
            </w:r>
          </w:p>
        </w:tc>
        <w:tc>
          <w:tcPr>
            <w:tcW w:w="606" w:type="pct"/>
            <w:tcBorders>
              <w:top w:val="single" w:sz="4" w:space="0" w:color="000000"/>
              <w:left w:val="single" w:sz="4" w:space="0" w:color="000000"/>
              <w:bottom w:val="nil"/>
              <w:right w:val="single" w:sz="4" w:space="0" w:color="000000"/>
            </w:tcBorders>
            <w:hideMark/>
          </w:tcPr>
          <w:p w14:paraId="277EFEDF" w14:textId="77777777" w:rsidR="00327047" w:rsidRDefault="00327047" w:rsidP="00A12328">
            <w:pPr>
              <w:pStyle w:val="TableText0"/>
              <w:jc w:val="center"/>
            </w:pPr>
            <w:r>
              <w:t>1 (0.7)</w:t>
            </w:r>
          </w:p>
        </w:tc>
        <w:tc>
          <w:tcPr>
            <w:tcW w:w="606" w:type="pct"/>
            <w:tcBorders>
              <w:top w:val="single" w:sz="4" w:space="0" w:color="000000"/>
              <w:left w:val="single" w:sz="4" w:space="0" w:color="000000"/>
              <w:bottom w:val="nil"/>
              <w:right w:val="single" w:sz="4" w:space="0" w:color="000000"/>
            </w:tcBorders>
            <w:hideMark/>
          </w:tcPr>
          <w:p w14:paraId="4E046F94" w14:textId="77777777" w:rsidR="00327047" w:rsidRDefault="00327047" w:rsidP="00A12328">
            <w:pPr>
              <w:pStyle w:val="TableText0"/>
              <w:jc w:val="center"/>
            </w:pPr>
            <w:r>
              <w:t>1 (0.7)</w:t>
            </w:r>
          </w:p>
        </w:tc>
        <w:tc>
          <w:tcPr>
            <w:tcW w:w="833" w:type="pct"/>
            <w:tcBorders>
              <w:top w:val="single" w:sz="4" w:space="0" w:color="000000"/>
              <w:left w:val="single" w:sz="4" w:space="0" w:color="000000"/>
              <w:bottom w:val="nil"/>
              <w:right w:val="single" w:sz="4" w:space="0" w:color="000000"/>
            </w:tcBorders>
            <w:hideMark/>
          </w:tcPr>
          <w:p w14:paraId="1B394DF2" w14:textId="77777777" w:rsidR="00327047" w:rsidRDefault="00327047" w:rsidP="00A12328">
            <w:pPr>
              <w:pStyle w:val="TableText0"/>
              <w:jc w:val="center"/>
            </w:pPr>
            <w:r>
              <w:t>1 (0.7)</w:t>
            </w:r>
          </w:p>
        </w:tc>
      </w:tr>
      <w:tr w:rsidR="00991E2F" w14:paraId="02797213" w14:textId="77777777" w:rsidTr="00E67CC3">
        <w:trPr>
          <w:trHeight w:val="284"/>
        </w:trPr>
        <w:tc>
          <w:tcPr>
            <w:tcW w:w="1061" w:type="pct"/>
            <w:vMerge/>
            <w:tcBorders>
              <w:top w:val="single" w:sz="4" w:space="0" w:color="000000"/>
              <w:left w:val="single" w:sz="4" w:space="0" w:color="000000"/>
              <w:bottom w:val="single" w:sz="4" w:space="0" w:color="000000"/>
              <w:right w:val="single" w:sz="4" w:space="0" w:color="000000"/>
            </w:tcBorders>
            <w:vAlign w:val="center"/>
            <w:hideMark/>
          </w:tcPr>
          <w:p w14:paraId="61EA380D" w14:textId="77777777" w:rsidR="00327047" w:rsidRDefault="00327047" w:rsidP="00A12328">
            <w:pPr>
              <w:jc w:val="left"/>
              <w:rPr>
                <w:rFonts w:ascii="Arial Narrow" w:eastAsiaTheme="majorEastAsia" w:hAnsi="Arial Narrow" w:cstheme="majorBidi"/>
                <w:bCs/>
                <w:sz w:val="20"/>
              </w:rPr>
            </w:pPr>
          </w:p>
        </w:tc>
        <w:tc>
          <w:tcPr>
            <w:tcW w:w="757" w:type="pct"/>
            <w:tcBorders>
              <w:top w:val="single" w:sz="4" w:space="0" w:color="000000"/>
              <w:left w:val="single" w:sz="4" w:space="0" w:color="000000"/>
              <w:bottom w:val="single" w:sz="4" w:space="0" w:color="000000"/>
              <w:right w:val="single" w:sz="4" w:space="0" w:color="000000"/>
            </w:tcBorders>
            <w:hideMark/>
          </w:tcPr>
          <w:p w14:paraId="7175265C" w14:textId="77777777" w:rsidR="00327047" w:rsidRDefault="00327047" w:rsidP="00A12328">
            <w:pPr>
              <w:pStyle w:val="TableText0"/>
            </w:pPr>
            <w:r>
              <w:t xml:space="preserve"> Placebo</w:t>
            </w:r>
          </w:p>
        </w:tc>
        <w:tc>
          <w:tcPr>
            <w:tcW w:w="530" w:type="pct"/>
            <w:tcBorders>
              <w:top w:val="single" w:sz="4" w:space="0" w:color="000000"/>
              <w:left w:val="single" w:sz="4" w:space="0" w:color="000000"/>
              <w:bottom w:val="single" w:sz="4" w:space="0" w:color="000000"/>
              <w:right w:val="single" w:sz="4" w:space="0" w:color="000000"/>
            </w:tcBorders>
            <w:hideMark/>
          </w:tcPr>
          <w:p w14:paraId="364D8258" w14:textId="77777777" w:rsidR="00327047" w:rsidRDefault="00327047" w:rsidP="00A12328">
            <w:pPr>
              <w:pStyle w:val="TableText0"/>
              <w:jc w:val="center"/>
            </w:pPr>
            <w:r>
              <w:rPr>
                <w:spacing w:val="-10"/>
              </w:rPr>
              <w:t>0</w:t>
            </w:r>
          </w:p>
        </w:tc>
        <w:tc>
          <w:tcPr>
            <w:tcW w:w="606" w:type="pct"/>
            <w:tcBorders>
              <w:top w:val="single" w:sz="4" w:space="0" w:color="000000"/>
              <w:left w:val="single" w:sz="4" w:space="0" w:color="000000"/>
              <w:bottom w:val="single" w:sz="4" w:space="0" w:color="000000"/>
              <w:right w:val="single" w:sz="4" w:space="0" w:color="000000"/>
            </w:tcBorders>
            <w:hideMark/>
          </w:tcPr>
          <w:p w14:paraId="568E4B99" w14:textId="77777777" w:rsidR="00327047" w:rsidRDefault="00327047" w:rsidP="00A12328">
            <w:pPr>
              <w:pStyle w:val="TableText0"/>
              <w:jc w:val="center"/>
            </w:pPr>
            <w:r>
              <w:rPr>
                <w:spacing w:val="-5"/>
              </w:rPr>
              <w:t>NA</w:t>
            </w:r>
          </w:p>
        </w:tc>
        <w:tc>
          <w:tcPr>
            <w:tcW w:w="606" w:type="pct"/>
            <w:tcBorders>
              <w:top w:val="single" w:sz="4" w:space="0" w:color="000000"/>
              <w:left w:val="single" w:sz="4" w:space="0" w:color="000000"/>
              <w:bottom w:val="single" w:sz="4" w:space="0" w:color="000000"/>
              <w:right w:val="single" w:sz="4" w:space="0" w:color="000000"/>
            </w:tcBorders>
            <w:hideMark/>
          </w:tcPr>
          <w:p w14:paraId="2BF7206C" w14:textId="77777777" w:rsidR="00327047" w:rsidRDefault="00327047" w:rsidP="00A12328">
            <w:pPr>
              <w:pStyle w:val="TableText0"/>
              <w:jc w:val="center"/>
            </w:pPr>
            <w:r>
              <w:rPr>
                <w:spacing w:val="-5"/>
              </w:rPr>
              <w:t>NA</w:t>
            </w:r>
          </w:p>
        </w:tc>
        <w:tc>
          <w:tcPr>
            <w:tcW w:w="606" w:type="pct"/>
            <w:tcBorders>
              <w:top w:val="single" w:sz="4" w:space="0" w:color="000000"/>
              <w:left w:val="single" w:sz="4" w:space="0" w:color="000000"/>
              <w:bottom w:val="single" w:sz="4" w:space="0" w:color="000000"/>
              <w:right w:val="single" w:sz="4" w:space="0" w:color="000000"/>
            </w:tcBorders>
            <w:hideMark/>
          </w:tcPr>
          <w:p w14:paraId="42A3A208" w14:textId="77777777" w:rsidR="00327047" w:rsidRDefault="00327047" w:rsidP="00A12328">
            <w:pPr>
              <w:pStyle w:val="TableText0"/>
              <w:jc w:val="center"/>
            </w:pPr>
            <w:r>
              <w:rPr>
                <w:spacing w:val="-5"/>
              </w:rPr>
              <w:t>NA</w:t>
            </w:r>
          </w:p>
        </w:tc>
        <w:tc>
          <w:tcPr>
            <w:tcW w:w="833" w:type="pct"/>
            <w:tcBorders>
              <w:top w:val="single" w:sz="4" w:space="0" w:color="000000"/>
              <w:left w:val="single" w:sz="4" w:space="0" w:color="000000"/>
              <w:bottom w:val="single" w:sz="4" w:space="0" w:color="000000"/>
              <w:right w:val="single" w:sz="4" w:space="0" w:color="000000"/>
            </w:tcBorders>
            <w:hideMark/>
          </w:tcPr>
          <w:p w14:paraId="1A8BDBBC" w14:textId="77777777" w:rsidR="00327047" w:rsidRDefault="00327047" w:rsidP="00A12328">
            <w:pPr>
              <w:pStyle w:val="TableText0"/>
              <w:jc w:val="center"/>
            </w:pPr>
            <w:r>
              <w:rPr>
                <w:spacing w:val="-5"/>
              </w:rPr>
              <w:t>NA</w:t>
            </w:r>
          </w:p>
        </w:tc>
      </w:tr>
      <w:tr w:rsidR="00991E2F" w14:paraId="140D8B19" w14:textId="77777777" w:rsidTr="00E67CC3">
        <w:trPr>
          <w:trHeight w:val="284"/>
        </w:trPr>
        <w:tc>
          <w:tcPr>
            <w:tcW w:w="1061" w:type="pct"/>
            <w:tcBorders>
              <w:top w:val="single" w:sz="4" w:space="0" w:color="000000"/>
              <w:left w:val="single" w:sz="4" w:space="0" w:color="000000"/>
              <w:bottom w:val="nil"/>
              <w:right w:val="single" w:sz="4" w:space="0" w:color="000000"/>
            </w:tcBorders>
            <w:hideMark/>
          </w:tcPr>
          <w:p w14:paraId="0819EDEA" w14:textId="77777777" w:rsidR="00327047" w:rsidRDefault="00327047" w:rsidP="00A12328">
            <w:pPr>
              <w:pStyle w:val="TableText0"/>
            </w:pPr>
            <w:r>
              <w:t>Pneumonitis</w:t>
            </w:r>
          </w:p>
        </w:tc>
        <w:tc>
          <w:tcPr>
            <w:tcW w:w="757" w:type="pct"/>
            <w:tcBorders>
              <w:top w:val="single" w:sz="4" w:space="0" w:color="000000"/>
              <w:left w:val="single" w:sz="4" w:space="0" w:color="000000"/>
              <w:bottom w:val="nil"/>
              <w:right w:val="single" w:sz="4" w:space="0" w:color="000000"/>
            </w:tcBorders>
            <w:hideMark/>
          </w:tcPr>
          <w:p w14:paraId="65C8E786" w14:textId="77777777" w:rsidR="00327047" w:rsidRDefault="00327047" w:rsidP="00A12328">
            <w:pPr>
              <w:pStyle w:val="TableText0"/>
            </w:pPr>
            <w:r>
              <w:t xml:space="preserve"> Osimertinib</w:t>
            </w:r>
          </w:p>
        </w:tc>
        <w:tc>
          <w:tcPr>
            <w:tcW w:w="530" w:type="pct"/>
            <w:tcBorders>
              <w:top w:val="single" w:sz="4" w:space="0" w:color="000000"/>
              <w:left w:val="single" w:sz="4" w:space="0" w:color="000000"/>
              <w:bottom w:val="nil"/>
              <w:right w:val="single" w:sz="4" w:space="0" w:color="000000"/>
            </w:tcBorders>
            <w:hideMark/>
          </w:tcPr>
          <w:p w14:paraId="6766F561" w14:textId="77777777" w:rsidR="00327047" w:rsidRDefault="00327047" w:rsidP="00A12328">
            <w:pPr>
              <w:pStyle w:val="TableText0"/>
              <w:jc w:val="center"/>
            </w:pPr>
            <w:r>
              <w:t>8 (5.6)</w:t>
            </w:r>
          </w:p>
        </w:tc>
        <w:tc>
          <w:tcPr>
            <w:tcW w:w="606" w:type="pct"/>
            <w:tcBorders>
              <w:top w:val="single" w:sz="4" w:space="0" w:color="000000"/>
              <w:left w:val="single" w:sz="4" w:space="0" w:color="000000"/>
              <w:bottom w:val="nil"/>
              <w:right w:val="single" w:sz="4" w:space="0" w:color="000000"/>
            </w:tcBorders>
            <w:hideMark/>
          </w:tcPr>
          <w:p w14:paraId="73E088DD" w14:textId="77777777" w:rsidR="00327047" w:rsidRDefault="00327047" w:rsidP="00A12328">
            <w:pPr>
              <w:pStyle w:val="TableText0"/>
              <w:jc w:val="center"/>
            </w:pPr>
            <w:r>
              <w:t>2 (1.4)</w:t>
            </w:r>
          </w:p>
        </w:tc>
        <w:tc>
          <w:tcPr>
            <w:tcW w:w="606" w:type="pct"/>
            <w:tcBorders>
              <w:top w:val="single" w:sz="4" w:space="0" w:color="000000"/>
              <w:left w:val="single" w:sz="4" w:space="0" w:color="000000"/>
              <w:bottom w:val="nil"/>
              <w:right w:val="single" w:sz="4" w:space="0" w:color="000000"/>
            </w:tcBorders>
            <w:hideMark/>
          </w:tcPr>
          <w:p w14:paraId="07EF8571" w14:textId="77777777" w:rsidR="00327047" w:rsidRDefault="00327047" w:rsidP="00A12328">
            <w:pPr>
              <w:pStyle w:val="TableText0"/>
              <w:jc w:val="center"/>
            </w:pPr>
            <w:r>
              <w:t>2 (1.4)</w:t>
            </w:r>
          </w:p>
        </w:tc>
        <w:tc>
          <w:tcPr>
            <w:tcW w:w="606" w:type="pct"/>
            <w:tcBorders>
              <w:top w:val="single" w:sz="4" w:space="0" w:color="000000"/>
              <w:left w:val="single" w:sz="4" w:space="0" w:color="000000"/>
              <w:bottom w:val="nil"/>
              <w:right w:val="single" w:sz="4" w:space="0" w:color="000000"/>
            </w:tcBorders>
            <w:hideMark/>
          </w:tcPr>
          <w:p w14:paraId="0ADEFCF9" w14:textId="77777777" w:rsidR="00327047" w:rsidRDefault="00327047" w:rsidP="00A12328">
            <w:pPr>
              <w:pStyle w:val="TableText0"/>
              <w:jc w:val="center"/>
            </w:pPr>
            <w:r>
              <w:t>2 (1.4)</w:t>
            </w:r>
          </w:p>
        </w:tc>
        <w:tc>
          <w:tcPr>
            <w:tcW w:w="833" w:type="pct"/>
            <w:tcBorders>
              <w:top w:val="single" w:sz="4" w:space="0" w:color="000000"/>
              <w:left w:val="single" w:sz="4" w:space="0" w:color="000000"/>
              <w:bottom w:val="nil"/>
              <w:right w:val="single" w:sz="4" w:space="0" w:color="000000"/>
            </w:tcBorders>
            <w:hideMark/>
          </w:tcPr>
          <w:p w14:paraId="279B836C" w14:textId="77777777" w:rsidR="00327047" w:rsidRDefault="00327047" w:rsidP="00A12328">
            <w:pPr>
              <w:pStyle w:val="TableText0"/>
              <w:jc w:val="center"/>
            </w:pPr>
            <w:r>
              <w:t>8 (5.6)</w:t>
            </w:r>
          </w:p>
        </w:tc>
      </w:tr>
      <w:tr w:rsidR="00991E2F" w14:paraId="57AC20FB" w14:textId="77777777" w:rsidTr="00E67CC3">
        <w:trPr>
          <w:trHeight w:val="284"/>
        </w:trPr>
        <w:tc>
          <w:tcPr>
            <w:tcW w:w="1061" w:type="pct"/>
            <w:tcBorders>
              <w:top w:val="nil"/>
              <w:left w:val="single" w:sz="4" w:space="0" w:color="000000"/>
              <w:bottom w:val="nil"/>
              <w:right w:val="single" w:sz="4" w:space="0" w:color="000000"/>
            </w:tcBorders>
          </w:tcPr>
          <w:p w14:paraId="669DEEC9" w14:textId="77777777" w:rsidR="00327047" w:rsidRDefault="00327047" w:rsidP="00A12328">
            <w:pPr>
              <w:pStyle w:val="TableText0"/>
              <w:rPr>
                <w:sz w:val="18"/>
              </w:rPr>
            </w:pPr>
          </w:p>
        </w:tc>
        <w:tc>
          <w:tcPr>
            <w:tcW w:w="757" w:type="pct"/>
            <w:tcBorders>
              <w:top w:val="single" w:sz="4" w:space="0" w:color="000000"/>
              <w:left w:val="single" w:sz="4" w:space="0" w:color="000000"/>
              <w:bottom w:val="nil"/>
              <w:right w:val="single" w:sz="4" w:space="0" w:color="000000"/>
            </w:tcBorders>
            <w:hideMark/>
          </w:tcPr>
          <w:p w14:paraId="53DE7168" w14:textId="77777777" w:rsidR="00327047" w:rsidRDefault="00327047" w:rsidP="00A12328">
            <w:pPr>
              <w:pStyle w:val="TableText0"/>
            </w:pPr>
            <w:r>
              <w:t xml:space="preserve"> Placebo</w:t>
            </w:r>
          </w:p>
        </w:tc>
        <w:tc>
          <w:tcPr>
            <w:tcW w:w="530" w:type="pct"/>
            <w:tcBorders>
              <w:top w:val="single" w:sz="4" w:space="0" w:color="000000"/>
              <w:left w:val="single" w:sz="4" w:space="0" w:color="000000"/>
              <w:bottom w:val="nil"/>
              <w:right w:val="single" w:sz="4" w:space="0" w:color="000000"/>
            </w:tcBorders>
            <w:hideMark/>
          </w:tcPr>
          <w:p w14:paraId="17B17B33" w14:textId="77777777" w:rsidR="00327047" w:rsidRDefault="00327047" w:rsidP="00A12328">
            <w:pPr>
              <w:pStyle w:val="TableText0"/>
              <w:jc w:val="center"/>
            </w:pPr>
            <w:r>
              <w:t>1 (1.4)</w:t>
            </w:r>
          </w:p>
        </w:tc>
        <w:tc>
          <w:tcPr>
            <w:tcW w:w="606" w:type="pct"/>
            <w:tcBorders>
              <w:top w:val="single" w:sz="4" w:space="0" w:color="000000"/>
              <w:left w:val="single" w:sz="4" w:space="0" w:color="000000"/>
              <w:bottom w:val="nil"/>
              <w:right w:val="single" w:sz="4" w:space="0" w:color="000000"/>
            </w:tcBorders>
            <w:hideMark/>
          </w:tcPr>
          <w:p w14:paraId="0ED013E5" w14:textId="77777777" w:rsidR="00327047" w:rsidRDefault="00327047" w:rsidP="00A12328">
            <w:pPr>
              <w:pStyle w:val="TableText0"/>
              <w:jc w:val="center"/>
            </w:pPr>
            <w:r>
              <w:rPr>
                <w:spacing w:val="-10"/>
              </w:rPr>
              <w:t>0</w:t>
            </w:r>
          </w:p>
        </w:tc>
        <w:tc>
          <w:tcPr>
            <w:tcW w:w="606" w:type="pct"/>
            <w:tcBorders>
              <w:top w:val="single" w:sz="4" w:space="0" w:color="000000"/>
              <w:left w:val="single" w:sz="4" w:space="0" w:color="000000"/>
              <w:bottom w:val="nil"/>
              <w:right w:val="single" w:sz="4" w:space="0" w:color="000000"/>
            </w:tcBorders>
            <w:hideMark/>
          </w:tcPr>
          <w:p w14:paraId="5F97ECCA" w14:textId="77777777" w:rsidR="00327047" w:rsidRDefault="00327047" w:rsidP="00A12328">
            <w:pPr>
              <w:pStyle w:val="TableText0"/>
              <w:jc w:val="center"/>
            </w:pPr>
            <w:r>
              <w:rPr>
                <w:spacing w:val="-10"/>
              </w:rPr>
              <w:t>0</w:t>
            </w:r>
          </w:p>
        </w:tc>
        <w:tc>
          <w:tcPr>
            <w:tcW w:w="606" w:type="pct"/>
            <w:tcBorders>
              <w:top w:val="single" w:sz="4" w:space="0" w:color="000000"/>
              <w:left w:val="single" w:sz="4" w:space="0" w:color="000000"/>
              <w:bottom w:val="nil"/>
              <w:right w:val="single" w:sz="4" w:space="0" w:color="000000"/>
            </w:tcBorders>
            <w:hideMark/>
          </w:tcPr>
          <w:p w14:paraId="6263EEDA" w14:textId="77777777" w:rsidR="00327047" w:rsidRDefault="00327047" w:rsidP="00A12328">
            <w:pPr>
              <w:pStyle w:val="TableText0"/>
              <w:jc w:val="center"/>
            </w:pPr>
            <w:r>
              <w:rPr>
                <w:spacing w:val="-10"/>
              </w:rPr>
              <w:t>0</w:t>
            </w:r>
          </w:p>
        </w:tc>
        <w:tc>
          <w:tcPr>
            <w:tcW w:w="833" w:type="pct"/>
            <w:tcBorders>
              <w:top w:val="single" w:sz="4" w:space="0" w:color="000000"/>
              <w:left w:val="single" w:sz="4" w:space="0" w:color="000000"/>
              <w:bottom w:val="nil"/>
              <w:right w:val="single" w:sz="4" w:space="0" w:color="000000"/>
            </w:tcBorders>
            <w:hideMark/>
          </w:tcPr>
          <w:p w14:paraId="2ECF097F" w14:textId="77777777" w:rsidR="00327047" w:rsidRDefault="00327047" w:rsidP="00A12328">
            <w:pPr>
              <w:pStyle w:val="TableText0"/>
              <w:jc w:val="center"/>
            </w:pPr>
            <w:r>
              <w:t>1 (1.4)</w:t>
            </w:r>
          </w:p>
        </w:tc>
      </w:tr>
      <w:tr w:rsidR="00991E2F" w14:paraId="7E351F47" w14:textId="77777777" w:rsidTr="00E67CC3">
        <w:trPr>
          <w:trHeight w:val="284"/>
        </w:trPr>
        <w:tc>
          <w:tcPr>
            <w:tcW w:w="1061" w:type="pct"/>
            <w:tcBorders>
              <w:top w:val="single" w:sz="4" w:space="0" w:color="000000"/>
              <w:left w:val="single" w:sz="4" w:space="0" w:color="000000"/>
              <w:bottom w:val="nil"/>
              <w:right w:val="single" w:sz="4" w:space="0" w:color="000000"/>
            </w:tcBorders>
            <w:hideMark/>
          </w:tcPr>
          <w:p w14:paraId="017A20D8" w14:textId="77777777" w:rsidR="00327047" w:rsidRDefault="00327047" w:rsidP="00A12328">
            <w:pPr>
              <w:pStyle w:val="TableText0"/>
            </w:pPr>
            <w:r>
              <w:t>Pulmonary Fibrosis</w:t>
            </w:r>
          </w:p>
        </w:tc>
        <w:tc>
          <w:tcPr>
            <w:tcW w:w="757" w:type="pct"/>
            <w:tcBorders>
              <w:top w:val="single" w:sz="4" w:space="0" w:color="000000"/>
              <w:left w:val="single" w:sz="4" w:space="0" w:color="000000"/>
              <w:bottom w:val="nil"/>
              <w:right w:val="single" w:sz="4" w:space="0" w:color="000000"/>
            </w:tcBorders>
            <w:hideMark/>
          </w:tcPr>
          <w:p w14:paraId="454AA1E9" w14:textId="77777777" w:rsidR="00327047" w:rsidRDefault="00327047" w:rsidP="00A12328">
            <w:pPr>
              <w:pStyle w:val="TableText0"/>
            </w:pPr>
            <w:r>
              <w:t xml:space="preserve"> Osimertinib</w:t>
            </w:r>
          </w:p>
        </w:tc>
        <w:tc>
          <w:tcPr>
            <w:tcW w:w="530" w:type="pct"/>
            <w:tcBorders>
              <w:top w:val="single" w:sz="4" w:space="0" w:color="000000"/>
              <w:left w:val="single" w:sz="4" w:space="0" w:color="000000"/>
              <w:bottom w:val="nil"/>
              <w:right w:val="single" w:sz="4" w:space="0" w:color="000000"/>
            </w:tcBorders>
            <w:hideMark/>
          </w:tcPr>
          <w:p w14:paraId="5B323E43" w14:textId="77777777" w:rsidR="00327047" w:rsidRDefault="00327047" w:rsidP="00A12328">
            <w:pPr>
              <w:pStyle w:val="TableText0"/>
              <w:jc w:val="center"/>
            </w:pPr>
            <w:r>
              <w:t>3 (2.1)</w:t>
            </w:r>
          </w:p>
        </w:tc>
        <w:tc>
          <w:tcPr>
            <w:tcW w:w="606" w:type="pct"/>
            <w:tcBorders>
              <w:top w:val="single" w:sz="4" w:space="0" w:color="000000"/>
              <w:left w:val="single" w:sz="4" w:space="0" w:color="000000"/>
              <w:bottom w:val="nil"/>
              <w:right w:val="single" w:sz="4" w:space="0" w:color="000000"/>
            </w:tcBorders>
            <w:hideMark/>
          </w:tcPr>
          <w:p w14:paraId="318B74BF" w14:textId="77777777" w:rsidR="00327047" w:rsidRDefault="00327047" w:rsidP="00A12328">
            <w:pPr>
              <w:pStyle w:val="TableText0"/>
              <w:jc w:val="center"/>
            </w:pPr>
            <w:r>
              <w:rPr>
                <w:spacing w:val="-10"/>
              </w:rPr>
              <w:t>0</w:t>
            </w:r>
          </w:p>
        </w:tc>
        <w:tc>
          <w:tcPr>
            <w:tcW w:w="606" w:type="pct"/>
            <w:tcBorders>
              <w:top w:val="single" w:sz="4" w:space="0" w:color="000000"/>
              <w:left w:val="single" w:sz="4" w:space="0" w:color="000000"/>
              <w:bottom w:val="nil"/>
              <w:right w:val="single" w:sz="4" w:space="0" w:color="000000"/>
            </w:tcBorders>
            <w:hideMark/>
          </w:tcPr>
          <w:p w14:paraId="4E0A8626" w14:textId="77777777" w:rsidR="00327047" w:rsidRDefault="00327047" w:rsidP="00A12328">
            <w:pPr>
              <w:pStyle w:val="TableText0"/>
              <w:jc w:val="center"/>
            </w:pPr>
            <w:r>
              <w:rPr>
                <w:spacing w:val="-10"/>
              </w:rPr>
              <w:t>0</w:t>
            </w:r>
          </w:p>
        </w:tc>
        <w:tc>
          <w:tcPr>
            <w:tcW w:w="606" w:type="pct"/>
            <w:tcBorders>
              <w:top w:val="single" w:sz="4" w:space="0" w:color="000000"/>
              <w:left w:val="single" w:sz="4" w:space="0" w:color="000000"/>
              <w:bottom w:val="nil"/>
              <w:right w:val="single" w:sz="4" w:space="0" w:color="000000"/>
            </w:tcBorders>
            <w:hideMark/>
          </w:tcPr>
          <w:p w14:paraId="04C93394" w14:textId="77777777" w:rsidR="00327047" w:rsidRDefault="00327047" w:rsidP="00A12328">
            <w:pPr>
              <w:pStyle w:val="TableText0"/>
              <w:jc w:val="center"/>
            </w:pPr>
            <w:r>
              <w:rPr>
                <w:spacing w:val="-10"/>
              </w:rPr>
              <w:t>0</w:t>
            </w:r>
          </w:p>
        </w:tc>
        <w:tc>
          <w:tcPr>
            <w:tcW w:w="833" w:type="pct"/>
            <w:tcBorders>
              <w:top w:val="single" w:sz="4" w:space="0" w:color="000000"/>
              <w:left w:val="single" w:sz="4" w:space="0" w:color="000000"/>
              <w:bottom w:val="nil"/>
              <w:right w:val="single" w:sz="4" w:space="0" w:color="000000"/>
            </w:tcBorders>
            <w:hideMark/>
          </w:tcPr>
          <w:p w14:paraId="35CC6B17" w14:textId="77777777" w:rsidR="00327047" w:rsidRDefault="00327047" w:rsidP="00A12328">
            <w:pPr>
              <w:pStyle w:val="TableText0"/>
              <w:jc w:val="center"/>
            </w:pPr>
            <w:r>
              <w:t>1 (0.7)</w:t>
            </w:r>
          </w:p>
        </w:tc>
      </w:tr>
      <w:tr w:rsidR="00991E2F" w14:paraId="15B1252C" w14:textId="77777777" w:rsidTr="00E67CC3">
        <w:trPr>
          <w:trHeight w:val="284"/>
        </w:trPr>
        <w:tc>
          <w:tcPr>
            <w:tcW w:w="1061" w:type="pct"/>
            <w:tcBorders>
              <w:top w:val="nil"/>
              <w:left w:val="single" w:sz="4" w:space="0" w:color="000000"/>
              <w:bottom w:val="single" w:sz="4" w:space="0" w:color="000000"/>
              <w:right w:val="single" w:sz="4" w:space="0" w:color="000000"/>
            </w:tcBorders>
          </w:tcPr>
          <w:p w14:paraId="56FDE366" w14:textId="77777777" w:rsidR="00327047" w:rsidRDefault="00327047" w:rsidP="00A12328">
            <w:pPr>
              <w:pStyle w:val="TableText0"/>
              <w:rPr>
                <w:sz w:val="18"/>
              </w:rPr>
            </w:pPr>
          </w:p>
        </w:tc>
        <w:tc>
          <w:tcPr>
            <w:tcW w:w="757" w:type="pct"/>
            <w:tcBorders>
              <w:top w:val="single" w:sz="4" w:space="0" w:color="000000"/>
              <w:left w:val="single" w:sz="4" w:space="0" w:color="000000"/>
              <w:bottom w:val="single" w:sz="4" w:space="0" w:color="000000"/>
              <w:right w:val="single" w:sz="4" w:space="0" w:color="000000"/>
            </w:tcBorders>
            <w:hideMark/>
          </w:tcPr>
          <w:p w14:paraId="65099C97" w14:textId="77777777" w:rsidR="00327047" w:rsidRDefault="00327047" w:rsidP="00A12328">
            <w:pPr>
              <w:pStyle w:val="TableText0"/>
            </w:pPr>
            <w:r>
              <w:t xml:space="preserve"> Placebo</w:t>
            </w:r>
          </w:p>
        </w:tc>
        <w:tc>
          <w:tcPr>
            <w:tcW w:w="530" w:type="pct"/>
            <w:tcBorders>
              <w:top w:val="single" w:sz="4" w:space="0" w:color="000000"/>
              <w:left w:val="single" w:sz="4" w:space="0" w:color="000000"/>
              <w:bottom w:val="single" w:sz="4" w:space="0" w:color="000000"/>
              <w:right w:val="single" w:sz="4" w:space="0" w:color="000000"/>
            </w:tcBorders>
            <w:hideMark/>
          </w:tcPr>
          <w:p w14:paraId="3CC93335" w14:textId="77777777" w:rsidR="00327047" w:rsidRDefault="00327047" w:rsidP="00A12328">
            <w:pPr>
              <w:pStyle w:val="TableText0"/>
              <w:jc w:val="center"/>
            </w:pPr>
            <w:r>
              <w:rPr>
                <w:spacing w:val="-10"/>
              </w:rPr>
              <w:t>0</w:t>
            </w:r>
          </w:p>
        </w:tc>
        <w:tc>
          <w:tcPr>
            <w:tcW w:w="606" w:type="pct"/>
            <w:tcBorders>
              <w:top w:val="single" w:sz="4" w:space="0" w:color="000000"/>
              <w:left w:val="single" w:sz="4" w:space="0" w:color="000000"/>
              <w:bottom w:val="single" w:sz="4" w:space="0" w:color="000000"/>
              <w:right w:val="single" w:sz="4" w:space="0" w:color="000000"/>
            </w:tcBorders>
            <w:hideMark/>
          </w:tcPr>
          <w:p w14:paraId="0DBE56BE" w14:textId="77777777" w:rsidR="00327047" w:rsidRDefault="00327047" w:rsidP="00A12328">
            <w:pPr>
              <w:pStyle w:val="TableText0"/>
              <w:jc w:val="center"/>
            </w:pPr>
            <w:r>
              <w:rPr>
                <w:spacing w:val="-5"/>
              </w:rPr>
              <w:t>NA</w:t>
            </w:r>
          </w:p>
        </w:tc>
        <w:tc>
          <w:tcPr>
            <w:tcW w:w="606" w:type="pct"/>
            <w:tcBorders>
              <w:top w:val="single" w:sz="4" w:space="0" w:color="000000"/>
              <w:left w:val="single" w:sz="4" w:space="0" w:color="000000"/>
              <w:bottom w:val="single" w:sz="4" w:space="0" w:color="000000"/>
              <w:right w:val="single" w:sz="4" w:space="0" w:color="000000"/>
            </w:tcBorders>
            <w:hideMark/>
          </w:tcPr>
          <w:p w14:paraId="5A126C5F" w14:textId="77777777" w:rsidR="00327047" w:rsidRDefault="00327047" w:rsidP="00A12328">
            <w:pPr>
              <w:pStyle w:val="TableText0"/>
              <w:jc w:val="center"/>
            </w:pPr>
            <w:r>
              <w:rPr>
                <w:spacing w:val="-5"/>
              </w:rPr>
              <w:t>NA</w:t>
            </w:r>
          </w:p>
        </w:tc>
        <w:tc>
          <w:tcPr>
            <w:tcW w:w="606" w:type="pct"/>
            <w:tcBorders>
              <w:top w:val="single" w:sz="4" w:space="0" w:color="000000"/>
              <w:left w:val="single" w:sz="4" w:space="0" w:color="000000"/>
              <w:bottom w:val="single" w:sz="4" w:space="0" w:color="000000"/>
              <w:right w:val="single" w:sz="4" w:space="0" w:color="000000"/>
            </w:tcBorders>
            <w:hideMark/>
          </w:tcPr>
          <w:p w14:paraId="0FD45EF1" w14:textId="77777777" w:rsidR="00327047" w:rsidRDefault="00327047" w:rsidP="00A12328">
            <w:pPr>
              <w:pStyle w:val="TableText0"/>
              <w:jc w:val="center"/>
            </w:pPr>
            <w:r>
              <w:rPr>
                <w:spacing w:val="-5"/>
              </w:rPr>
              <w:t>NA</w:t>
            </w:r>
          </w:p>
        </w:tc>
        <w:tc>
          <w:tcPr>
            <w:tcW w:w="833" w:type="pct"/>
            <w:tcBorders>
              <w:top w:val="single" w:sz="4" w:space="0" w:color="000000"/>
              <w:left w:val="single" w:sz="4" w:space="0" w:color="000000"/>
              <w:bottom w:val="single" w:sz="4" w:space="0" w:color="000000"/>
              <w:right w:val="single" w:sz="4" w:space="0" w:color="000000"/>
            </w:tcBorders>
            <w:hideMark/>
          </w:tcPr>
          <w:p w14:paraId="614B02A4" w14:textId="77777777" w:rsidR="00327047" w:rsidRDefault="00327047" w:rsidP="00A12328">
            <w:pPr>
              <w:pStyle w:val="TableText0"/>
              <w:jc w:val="center"/>
            </w:pPr>
            <w:r>
              <w:rPr>
                <w:spacing w:val="-5"/>
              </w:rPr>
              <w:t>NA</w:t>
            </w:r>
          </w:p>
        </w:tc>
      </w:tr>
    </w:tbl>
    <w:p w14:paraId="47EBC96C" w14:textId="77777777" w:rsidR="00327047" w:rsidRDefault="00327047" w:rsidP="00A12328">
      <w:pPr>
        <w:pStyle w:val="TableFigureFooter"/>
      </w:pPr>
      <w:r>
        <w:t>Source: Table 2-36, p100 of the submission.</w:t>
      </w:r>
    </w:p>
    <w:p w14:paraId="3B9B162B" w14:textId="77777777" w:rsidR="00327047" w:rsidRDefault="00327047" w:rsidP="00A12328">
      <w:pPr>
        <w:pStyle w:val="TableFigureFooter"/>
      </w:pPr>
      <w:r>
        <w:t>AE = adverse event; CTCAE = Common Terminology Criteria for Adverse Events; DAE =adverse event leasing to discontinuation; ILD = interstitial lung disease; IP = investigational product; NA = not applicable; SAE = serious adverse event.</w:t>
      </w:r>
    </w:p>
    <w:p w14:paraId="47AE329B" w14:textId="77777777" w:rsidR="00327047" w:rsidRPr="00C9624D" w:rsidRDefault="00327047" w:rsidP="00A12328">
      <w:pPr>
        <w:pStyle w:val="4-SubsectionHeading"/>
      </w:pPr>
      <w:bookmarkStart w:id="51" w:name="_Toc197514186"/>
      <w:bookmarkStart w:id="52" w:name="_Toc198720638"/>
      <w:r w:rsidRPr="00C9624D">
        <w:t>Benefits/harms</w:t>
      </w:r>
      <w:bookmarkEnd w:id="51"/>
      <w:bookmarkEnd w:id="52"/>
    </w:p>
    <w:p w14:paraId="00D84CFD" w14:textId="42B5ACBF" w:rsidR="00327047" w:rsidRPr="001A4CDD" w:rsidRDefault="00327047" w:rsidP="00A12328">
      <w:pPr>
        <w:pStyle w:val="3-BodyText"/>
        <w:rPr>
          <w:rStyle w:val="CommentReference"/>
        </w:rPr>
      </w:pPr>
      <w:r w:rsidRPr="00C42502">
        <w:t xml:space="preserve">A summary of the comparative benefits and harms for osimertinib versus placebo (standard of care) is presented in </w:t>
      </w:r>
      <w:r w:rsidR="00121F28">
        <w:fldChar w:fldCharType="begin"/>
      </w:r>
      <w:r w:rsidR="00121F28">
        <w:instrText xml:space="preserve"> REF _Ref198181762 \h </w:instrText>
      </w:r>
      <w:r w:rsidR="00121F28">
        <w:fldChar w:fldCharType="separate"/>
      </w:r>
      <w:r w:rsidR="009F3D59" w:rsidRPr="001A4CDD">
        <w:t xml:space="preserve">Table </w:t>
      </w:r>
      <w:r w:rsidR="009F3D59">
        <w:rPr>
          <w:noProof/>
        </w:rPr>
        <w:t>11</w:t>
      </w:r>
      <w:r w:rsidR="00121F28">
        <w:fldChar w:fldCharType="end"/>
      </w:r>
      <w:r w:rsidR="00121F28">
        <w:rPr>
          <w:b/>
          <w:bCs/>
          <w:lang w:val="en-US"/>
        </w:rPr>
        <w:t>.</w:t>
      </w:r>
    </w:p>
    <w:p w14:paraId="050E2FE0" w14:textId="5CA15F15" w:rsidR="00327047" w:rsidRPr="001A4CDD" w:rsidRDefault="00327047" w:rsidP="00A12328">
      <w:pPr>
        <w:pStyle w:val="Caption"/>
        <w:rPr>
          <w:rStyle w:val="CommentReference"/>
          <w:b/>
          <w:szCs w:val="24"/>
        </w:rPr>
      </w:pPr>
      <w:bookmarkStart w:id="53" w:name="_Ref198181762"/>
      <w:r w:rsidRPr="001A4CDD">
        <w:t xml:space="preserve">Table </w:t>
      </w:r>
      <w:r w:rsidR="002E1944">
        <w:fldChar w:fldCharType="begin"/>
      </w:r>
      <w:r w:rsidR="002E1944">
        <w:instrText xml:space="preserve"> SEQ Table \* ARABIC </w:instrText>
      </w:r>
      <w:r w:rsidR="002E1944">
        <w:fldChar w:fldCharType="separate"/>
      </w:r>
      <w:r w:rsidR="009F3D59">
        <w:rPr>
          <w:noProof/>
        </w:rPr>
        <w:t>11</w:t>
      </w:r>
      <w:r w:rsidR="002E1944">
        <w:rPr>
          <w:noProof/>
        </w:rPr>
        <w:fldChar w:fldCharType="end"/>
      </w:r>
      <w:bookmarkEnd w:id="53"/>
      <w:r w:rsidRPr="001A4CDD">
        <w:t xml:space="preserve">: </w:t>
      </w:r>
      <w:r w:rsidRPr="001A4CDD">
        <w:rPr>
          <w:rStyle w:val="CommentReference"/>
          <w:b/>
          <w:szCs w:val="24"/>
        </w:rPr>
        <w:t>Summary of comparative benefits and harms for osimertinib and placebo from LAURA</w:t>
      </w:r>
    </w:p>
    <w:tbl>
      <w:tblPr>
        <w:tblStyle w:val="TableGrid"/>
        <w:tblW w:w="5000" w:type="pct"/>
        <w:tblCellMar>
          <w:left w:w="28" w:type="dxa"/>
          <w:right w:w="28" w:type="dxa"/>
        </w:tblCellMar>
        <w:tblLook w:val="04A0" w:firstRow="1" w:lastRow="0" w:firstColumn="1" w:lastColumn="0" w:noHBand="0" w:noVBand="1"/>
        <w:tblCaption w:val="Table 11: Summary of comparative benefits and harms for osimertinib and placebo from LAURA"/>
      </w:tblPr>
      <w:tblGrid>
        <w:gridCol w:w="2689"/>
        <w:gridCol w:w="1558"/>
        <w:gridCol w:w="1558"/>
        <w:gridCol w:w="1701"/>
        <w:gridCol w:w="1511"/>
      </w:tblGrid>
      <w:tr w:rsidR="001A4CDD" w:rsidRPr="001A4CDD" w14:paraId="594C35FC" w14:textId="77777777" w:rsidTr="00FD6A0D">
        <w:trPr>
          <w:trHeight w:val="20"/>
        </w:trPr>
        <w:tc>
          <w:tcPr>
            <w:tcW w:w="5000" w:type="pct"/>
            <w:gridSpan w:val="5"/>
            <w:shd w:val="clear" w:color="auto" w:fill="D9D9D9" w:themeFill="background1" w:themeFillShade="D9"/>
          </w:tcPr>
          <w:p w14:paraId="0C4F4D11" w14:textId="77777777" w:rsidR="00327047" w:rsidRPr="00C42502" w:rsidRDefault="00327047" w:rsidP="00A12328">
            <w:pPr>
              <w:pStyle w:val="In-tableHeading"/>
              <w:rPr>
                <w:lang w:val="en-AU"/>
              </w:rPr>
            </w:pPr>
            <w:r w:rsidRPr="00C42502">
              <w:rPr>
                <w:lang w:val="en-AU"/>
              </w:rPr>
              <w:t>Progression free survival (DCO1 January 5, 2024)</w:t>
            </w:r>
          </w:p>
        </w:tc>
      </w:tr>
      <w:tr w:rsidR="001A4CDD" w:rsidRPr="001A4CDD" w14:paraId="0EB8BCDF" w14:textId="77777777" w:rsidTr="00DA15E0">
        <w:trPr>
          <w:trHeight w:val="20"/>
        </w:trPr>
        <w:tc>
          <w:tcPr>
            <w:tcW w:w="1491" w:type="pct"/>
            <w:tcBorders>
              <w:bottom w:val="single" w:sz="4" w:space="0" w:color="auto"/>
            </w:tcBorders>
          </w:tcPr>
          <w:p w14:paraId="5BBFF6F1" w14:textId="77777777" w:rsidR="00327047" w:rsidRPr="00C42502" w:rsidRDefault="00327047" w:rsidP="00A12328">
            <w:pPr>
              <w:pStyle w:val="In-tableHeading"/>
              <w:rPr>
                <w:lang w:val="en-AU"/>
              </w:rPr>
            </w:pPr>
            <w:r w:rsidRPr="00C42502">
              <w:rPr>
                <w:lang w:val="en-AU"/>
              </w:rPr>
              <w:t>Event</w:t>
            </w:r>
          </w:p>
        </w:tc>
        <w:tc>
          <w:tcPr>
            <w:tcW w:w="864" w:type="pct"/>
            <w:tcBorders>
              <w:bottom w:val="single" w:sz="4" w:space="0" w:color="auto"/>
            </w:tcBorders>
          </w:tcPr>
          <w:p w14:paraId="6E716B44" w14:textId="77777777" w:rsidR="00327047" w:rsidRPr="00C42502" w:rsidRDefault="00327047" w:rsidP="00A12328">
            <w:pPr>
              <w:pStyle w:val="In-tableHeading"/>
              <w:jc w:val="center"/>
              <w:rPr>
                <w:lang w:val="en-AU"/>
              </w:rPr>
            </w:pPr>
            <w:r w:rsidRPr="00C42502">
              <w:rPr>
                <w:lang w:val="en-AU"/>
              </w:rPr>
              <w:t>Osimertinib</w:t>
            </w:r>
          </w:p>
        </w:tc>
        <w:tc>
          <w:tcPr>
            <w:tcW w:w="864" w:type="pct"/>
            <w:tcBorders>
              <w:bottom w:val="single" w:sz="4" w:space="0" w:color="auto"/>
            </w:tcBorders>
          </w:tcPr>
          <w:p w14:paraId="102D093D" w14:textId="77777777" w:rsidR="00327047" w:rsidRPr="00C42502" w:rsidRDefault="00327047" w:rsidP="00A12328">
            <w:pPr>
              <w:pStyle w:val="In-tableHeading"/>
              <w:jc w:val="center"/>
              <w:rPr>
                <w:lang w:val="en-AU"/>
              </w:rPr>
            </w:pPr>
            <w:r w:rsidRPr="00C42502">
              <w:rPr>
                <w:lang w:val="en-AU"/>
              </w:rPr>
              <w:t>Placebo</w:t>
            </w:r>
          </w:p>
        </w:tc>
        <w:tc>
          <w:tcPr>
            <w:tcW w:w="943" w:type="pct"/>
            <w:tcBorders>
              <w:bottom w:val="single" w:sz="4" w:space="0" w:color="auto"/>
            </w:tcBorders>
          </w:tcPr>
          <w:p w14:paraId="2AC8349D" w14:textId="77777777" w:rsidR="00327047" w:rsidRPr="00C42502" w:rsidRDefault="00327047" w:rsidP="00A12328">
            <w:pPr>
              <w:pStyle w:val="In-tableHeading"/>
              <w:jc w:val="center"/>
              <w:rPr>
                <w:rFonts w:asciiTheme="minorHAnsi" w:hAnsiTheme="minorHAnsi"/>
                <w:lang w:val="en-AU"/>
              </w:rPr>
            </w:pPr>
            <w:r w:rsidRPr="00C42502">
              <w:rPr>
                <w:lang w:val="en-AU"/>
              </w:rPr>
              <w:t>Absolute Difference</w:t>
            </w:r>
          </w:p>
        </w:tc>
        <w:tc>
          <w:tcPr>
            <w:tcW w:w="838" w:type="pct"/>
            <w:tcBorders>
              <w:bottom w:val="single" w:sz="4" w:space="0" w:color="auto"/>
            </w:tcBorders>
          </w:tcPr>
          <w:p w14:paraId="5D974180" w14:textId="77777777" w:rsidR="00327047" w:rsidRPr="00C42502" w:rsidRDefault="00327047" w:rsidP="00A12328">
            <w:pPr>
              <w:pStyle w:val="In-tableHeading"/>
              <w:jc w:val="center"/>
              <w:rPr>
                <w:lang w:val="en-AU"/>
              </w:rPr>
            </w:pPr>
            <w:r w:rsidRPr="00C42502">
              <w:rPr>
                <w:lang w:val="en-AU"/>
              </w:rPr>
              <w:t>HR (95% CI)</w:t>
            </w:r>
          </w:p>
        </w:tc>
      </w:tr>
      <w:tr w:rsidR="001A4CDD" w:rsidRPr="001A4CDD" w14:paraId="35D5B066" w14:textId="77777777" w:rsidTr="00DA15E0">
        <w:trPr>
          <w:trHeight w:val="20"/>
        </w:trPr>
        <w:tc>
          <w:tcPr>
            <w:tcW w:w="1491" w:type="pct"/>
            <w:tcBorders>
              <w:bottom w:val="single" w:sz="4" w:space="0" w:color="auto"/>
              <w:right w:val="single" w:sz="4" w:space="0" w:color="auto"/>
            </w:tcBorders>
          </w:tcPr>
          <w:p w14:paraId="603263AB" w14:textId="77777777" w:rsidR="00327047" w:rsidRPr="001A4CDD" w:rsidRDefault="00327047" w:rsidP="00A12328">
            <w:pPr>
              <w:pStyle w:val="TableText0"/>
              <w:keepLines/>
            </w:pPr>
            <w:r w:rsidRPr="001A4CDD">
              <w:t>Disease progression or death, n/N (%)</w:t>
            </w:r>
          </w:p>
        </w:tc>
        <w:tc>
          <w:tcPr>
            <w:tcW w:w="864" w:type="pct"/>
            <w:tcBorders>
              <w:left w:val="single" w:sz="4" w:space="0" w:color="auto"/>
              <w:bottom w:val="single" w:sz="4" w:space="0" w:color="auto"/>
              <w:right w:val="single" w:sz="4" w:space="0" w:color="auto"/>
            </w:tcBorders>
          </w:tcPr>
          <w:p w14:paraId="08267ADB" w14:textId="77777777" w:rsidR="00327047" w:rsidRPr="001A4CDD" w:rsidRDefault="00327047" w:rsidP="00A12328">
            <w:pPr>
              <w:pStyle w:val="TableText0"/>
              <w:keepLines/>
              <w:jc w:val="center"/>
            </w:pPr>
            <w:r w:rsidRPr="001A4CDD">
              <w:rPr>
                <w:rFonts w:cs="Times New Roman"/>
                <w:szCs w:val="20"/>
              </w:rPr>
              <w:t>57/143 (39.9%)</w:t>
            </w:r>
          </w:p>
        </w:tc>
        <w:tc>
          <w:tcPr>
            <w:tcW w:w="864" w:type="pct"/>
            <w:tcBorders>
              <w:left w:val="single" w:sz="4" w:space="0" w:color="auto"/>
              <w:bottom w:val="single" w:sz="4" w:space="0" w:color="auto"/>
              <w:right w:val="single" w:sz="4" w:space="0" w:color="auto"/>
            </w:tcBorders>
          </w:tcPr>
          <w:p w14:paraId="4743CDF8" w14:textId="77777777" w:rsidR="00327047" w:rsidRPr="001A4CDD" w:rsidRDefault="00327047" w:rsidP="00A12328">
            <w:pPr>
              <w:pStyle w:val="TableText0"/>
              <w:keepLines/>
              <w:jc w:val="center"/>
            </w:pPr>
            <w:r w:rsidRPr="001A4CDD">
              <w:rPr>
                <w:rFonts w:cs="Times New Roman"/>
                <w:szCs w:val="20"/>
              </w:rPr>
              <w:t>63/73 (86.3%)</w:t>
            </w:r>
          </w:p>
        </w:tc>
        <w:tc>
          <w:tcPr>
            <w:tcW w:w="943" w:type="pct"/>
            <w:tcBorders>
              <w:left w:val="single" w:sz="4" w:space="0" w:color="auto"/>
              <w:bottom w:val="single" w:sz="4" w:space="0" w:color="auto"/>
              <w:right w:val="single" w:sz="4" w:space="0" w:color="auto"/>
            </w:tcBorders>
          </w:tcPr>
          <w:p w14:paraId="0F417598" w14:textId="77777777" w:rsidR="00327047" w:rsidRPr="001A4CDD" w:rsidRDefault="00327047" w:rsidP="00A12328">
            <w:pPr>
              <w:pStyle w:val="TableText0"/>
              <w:keepLines/>
              <w:jc w:val="center"/>
            </w:pPr>
            <w:r w:rsidRPr="001A4CDD">
              <w:t>-</w:t>
            </w:r>
          </w:p>
        </w:tc>
        <w:tc>
          <w:tcPr>
            <w:tcW w:w="838" w:type="pct"/>
            <w:vMerge w:val="restart"/>
            <w:tcBorders>
              <w:left w:val="single" w:sz="4" w:space="0" w:color="auto"/>
            </w:tcBorders>
            <w:vAlign w:val="center"/>
          </w:tcPr>
          <w:p w14:paraId="5D48FB2B" w14:textId="77777777" w:rsidR="00327047" w:rsidRPr="00FD6A0D" w:rsidRDefault="00327047" w:rsidP="00A12328">
            <w:pPr>
              <w:pStyle w:val="TableText0"/>
              <w:keepLines/>
              <w:jc w:val="center"/>
              <w:rPr>
                <w:b/>
                <w:bCs w:val="0"/>
                <w:szCs w:val="20"/>
              </w:rPr>
            </w:pPr>
            <w:r w:rsidRPr="00FD6A0D">
              <w:rPr>
                <w:b/>
                <w:bCs w:val="0"/>
                <w:szCs w:val="20"/>
              </w:rPr>
              <w:t>0.16 (0.10, 0.24)</w:t>
            </w:r>
          </w:p>
          <w:p w14:paraId="53D88E3E" w14:textId="44F59096" w:rsidR="00327047" w:rsidRPr="001A4CDD" w:rsidRDefault="002E0728" w:rsidP="00A12328">
            <w:pPr>
              <w:pStyle w:val="TableText0"/>
              <w:keepLines/>
              <w:jc w:val="center"/>
            </w:pPr>
            <w:r w:rsidRPr="00FD6A0D">
              <w:rPr>
                <w:b/>
                <w:bCs w:val="0"/>
                <w:szCs w:val="20"/>
              </w:rPr>
              <w:t>p</w:t>
            </w:r>
            <w:r w:rsidR="00327047" w:rsidRPr="00FD6A0D">
              <w:rPr>
                <w:b/>
                <w:bCs w:val="0"/>
                <w:szCs w:val="20"/>
              </w:rPr>
              <w:t>&lt;0.001</w:t>
            </w:r>
          </w:p>
        </w:tc>
      </w:tr>
      <w:tr w:rsidR="001A4CDD" w:rsidRPr="001A4CDD" w14:paraId="7FED60AC" w14:textId="77777777" w:rsidTr="00DA15E0">
        <w:trPr>
          <w:trHeight w:val="20"/>
        </w:trPr>
        <w:tc>
          <w:tcPr>
            <w:tcW w:w="1491" w:type="pct"/>
            <w:tcBorders>
              <w:bottom w:val="single" w:sz="4" w:space="0" w:color="auto"/>
              <w:right w:val="single" w:sz="4" w:space="0" w:color="auto"/>
            </w:tcBorders>
          </w:tcPr>
          <w:p w14:paraId="61DD04A8" w14:textId="77777777" w:rsidR="00327047" w:rsidRPr="001A4CDD" w:rsidRDefault="00327047" w:rsidP="00A12328">
            <w:pPr>
              <w:pStyle w:val="TableText0"/>
              <w:keepLines/>
            </w:pPr>
            <w:r w:rsidRPr="001A4CDD">
              <w:t>Median PFS, months (95% CI)</w:t>
            </w:r>
          </w:p>
        </w:tc>
        <w:tc>
          <w:tcPr>
            <w:tcW w:w="864" w:type="pct"/>
            <w:tcBorders>
              <w:left w:val="single" w:sz="4" w:space="0" w:color="auto"/>
              <w:bottom w:val="single" w:sz="4" w:space="0" w:color="auto"/>
              <w:right w:val="single" w:sz="4" w:space="0" w:color="auto"/>
            </w:tcBorders>
          </w:tcPr>
          <w:p w14:paraId="7708856F" w14:textId="77777777" w:rsidR="00327047" w:rsidRPr="001A4CDD" w:rsidRDefault="00327047" w:rsidP="00A12328">
            <w:pPr>
              <w:pStyle w:val="TableText0"/>
              <w:keepLines/>
              <w:jc w:val="center"/>
              <w:rPr>
                <w:rFonts w:cs="Times New Roman"/>
                <w:szCs w:val="20"/>
              </w:rPr>
            </w:pPr>
            <w:r w:rsidRPr="001A4CDD">
              <w:rPr>
                <w:rFonts w:cs="Times New Roman"/>
                <w:szCs w:val="20"/>
              </w:rPr>
              <w:t>39.13 (31.51, NC)</w:t>
            </w:r>
          </w:p>
        </w:tc>
        <w:tc>
          <w:tcPr>
            <w:tcW w:w="864" w:type="pct"/>
            <w:tcBorders>
              <w:left w:val="single" w:sz="4" w:space="0" w:color="auto"/>
              <w:bottom w:val="single" w:sz="4" w:space="0" w:color="auto"/>
              <w:right w:val="single" w:sz="4" w:space="0" w:color="auto"/>
            </w:tcBorders>
          </w:tcPr>
          <w:p w14:paraId="1CF3DC73" w14:textId="77777777" w:rsidR="00327047" w:rsidRPr="001A4CDD" w:rsidRDefault="00327047" w:rsidP="00A12328">
            <w:pPr>
              <w:pStyle w:val="TableText0"/>
              <w:keepLines/>
              <w:jc w:val="center"/>
              <w:rPr>
                <w:rFonts w:cs="Times New Roman"/>
                <w:szCs w:val="20"/>
              </w:rPr>
            </w:pPr>
            <w:r w:rsidRPr="001A4CDD">
              <w:rPr>
                <w:rFonts w:cs="Times New Roman"/>
                <w:szCs w:val="20"/>
              </w:rPr>
              <w:t>5.55 (3.71, 7.43))</w:t>
            </w:r>
          </w:p>
        </w:tc>
        <w:tc>
          <w:tcPr>
            <w:tcW w:w="943" w:type="pct"/>
            <w:tcBorders>
              <w:left w:val="single" w:sz="4" w:space="0" w:color="auto"/>
              <w:bottom w:val="single" w:sz="4" w:space="0" w:color="auto"/>
              <w:right w:val="single" w:sz="4" w:space="0" w:color="auto"/>
            </w:tcBorders>
          </w:tcPr>
          <w:p w14:paraId="525CFB9F" w14:textId="77777777" w:rsidR="00327047" w:rsidRPr="001A4CDD" w:rsidRDefault="00327047" w:rsidP="00A12328">
            <w:pPr>
              <w:pStyle w:val="TableText0"/>
              <w:keepLines/>
              <w:jc w:val="center"/>
            </w:pPr>
            <w:r w:rsidRPr="001A4CDD">
              <w:t>33.58</w:t>
            </w:r>
          </w:p>
        </w:tc>
        <w:tc>
          <w:tcPr>
            <w:tcW w:w="838" w:type="pct"/>
            <w:vMerge/>
            <w:tcBorders>
              <w:left w:val="single" w:sz="4" w:space="0" w:color="auto"/>
            </w:tcBorders>
          </w:tcPr>
          <w:p w14:paraId="542DE66A" w14:textId="77777777" w:rsidR="00327047" w:rsidRPr="001A4CDD" w:rsidRDefault="00327047" w:rsidP="00A12328">
            <w:pPr>
              <w:pStyle w:val="TableText0"/>
              <w:keepLines/>
              <w:jc w:val="center"/>
              <w:rPr>
                <w:szCs w:val="20"/>
              </w:rPr>
            </w:pPr>
          </w:p>
        </w:tc>
      </w:tr>
      <w:tr w:rsidR="001A4CDD" w:rsidRPr="001A4CDD" w14:paraId="48CC5FF8" w14:textId="77777777" w:rsidTr="00DA15E0">
        <w:trPr>
          <w:trHeight w:val="20"/>
        </w:trPr>
        <w:tc>
          <w:tcPr>
            <w:tcW w:w="1491" w:type="pct"/>
            <w:tcBorders>
              <w:top w:val="single" w:sz="4" w:space="0" w:color="auto"/>
              <w:bottom w:val="single" w:sz="4" w:space="0" w:color="auto"/>
              <w:right w:val="single" w:sz="4" w:space="0" w:color="auto"/>
            </w:tcBorders>
          </w:tcPr>
          <w:p w14:paraId="50A2A377" w14:textId="77777777" w:rsidR="00327047" w:rsidRPr="001A4CDD" w:rsidRDefault="00327047" w:rsidP="00A12328">
            <w:pPr>
              <w:pStyle w:val="TableText0"/>
              <w:keepLines/>
            </w:pPr>
            <w:r w:rsidRPr="001A4CDD">
              <w:t>PFS rate at 12 months, % (95% CI)</w:t>
            </w:r>
          </w:p>
        </w:tc>
        <w:tc>
          <w:tcPr>
            <w:tcW w:w="864" w:type="pct"/>
            <w:tcBorders>
              <w:top w:val="single" w:sz="4" w:space="0" w:color="auto"/>
              <w:left w:val="single" w:sz="4" w:space="0" w:color="auto"/>
              <w:bottom w:val="single" w:sz="4" w:space="0" w:color="auto"/>
              <w:right w:val="single" w:sz="4" w:space="0" w:color="auto"/>
            </w:tcBorders>
          </w:tcPr>
          <w:p w14:paraId="0A65E52D" w14:textId="77777777" w:rsidR="00327047" w:rsidRPr="001A4CDD" w:rsidRDefault="00327047" w:rsidP="00A12328">
            <w:pPr>
              <w:pStyle w:val="TableText0"/>
              <w:keepLines/>
              <w:jc w:val="center"/>
            </w:pPr>
            <w:r w:rsidRPr="001A4CDD">
              <w:rPr>
                <w:szCs w:val="20"/>
              </w:rPr>
              <w:t>73.7 (65.4, 80.3)</w:t>
            </w:r>
          </w:p>
        </w:tc>
        <w:tc>
          <w:tcPr>
            <w:tcW w:w="864" w:type="pct"/>
            <w:tcBorders>
              <w:top w:val="single" w:sz="4" w:space="0" w:color="auto"/>
              <w:left w:val="single" w:sz="4" w:space="0" w:color="auto"/>
              <w:bottom w:val="single" w:sz="4" w:space="0" w:color="auto"/>
              <w:right w:val="single" w:sz="4" w:space="0" w:color="auto"/>
            </w:tcBorders>
          </w:tcPr>
          <w:p w14:paraId="021593C4" w14:textId="77777777" w:rsidR="00327047" w:rsidRPr="001A4CDD" w:rsidRDefault="00327047" w:rsidP="00A12328">
            <w:pPr>
              <w:pStyle w:val="TableText0"/>
              <w:keepLines/>
              <w:jc w:val="center"/>
              <w:rPr>
                <w:szCs w:val="20"/>
              </w:rPr>
            </w:pPr>
            <w:r w:rsidRPr="001A4CDD">
              <w:rPr>
                <w:szCs w:val="20"/>
              </w:rPr>
              <w:t>21.8 (13.0, 32.1)</w:t>
            </w:r>
          </w:p>
        </w:tc>
        <w:tc>
          <w:tcPr>
            <w:tcW w:w="943" w:type="pct"/>
            <w:tcBorders>
              <w:top w:val="single" w:sz="4" w:space="0" w:color="auto"/>
              <w:left w:val="single" w:sz="4" w:space="0" w:color="auto"/>
              <w:bottom w:val="single" w:sz="4" w:space="0" w:color="auto"/>
              <w:right w:val="single" w:sz="4" w:space="0" w:color="auto"/>
            </w:tcBorders>
          </w:tcPr>
          <w:p w14:paraId="10D28452" w14:textId="77777777" w:rsidR="00327047" w:rsidRPr="001A4CDD" w:rsidRDefault="00327047" w:rsidP="00A12328">
            <w:pPr>
              <w:pStyle w:val="TableText0"/>
              <w:keepLines/>
              <w:jc w:val="center"/>
            </w:pPr>
            <w:r w:rsidRPr="001A4CDD">
              <w:t>51.9%</w:t>
            </w:r>
          </w:p>
        </w:tc>
        <w:tc>
          <w:tcPr>
            <w:tcW w:w="838" w:type="pct"/>
            <w:vMerge/>
            <w:tcBorders>
              <w:left w:val="single" w:sz="4" w:space="0" w:color="auto"/>
            </w:tcBorders>
          </w:tcPr>
          <w:p w14:paraId="772B0785" w14:textId="77777777" w:rsidR="00327047" w:rsidRPr="001A4CDD" w:rsidRDefault="00327047" w:rsidP="00A12328">
            <w:pPr>
              <w:pStyle w:val="TableText0"/>
              <w:keepLines/>
              <w:jc w:val="center"/>
            </w:pPr>
          </w:p>
        </w:tc>
      </w:tr>
      <w:tr w:rsidR="001A4CDD" w:rsidRPr="001A4CDD" w14:paraId="26C88774" w14:textId="77777777" w:rsidTr="00DA15E0">
        <w:trPr>
          <w:trHeight w:val="20"/>
        </w:trPr>
        <w:tc>
          <w:tcPr>
            <w:tcW w:w="1491" w:type="pct"/>
            <w:tcBorders>
              <w:top w:val="single" w:sz="4" w:space="0" w:color="auto"/>
              <w:bottom w:val="single" w:sz="4" w:space="0" w:color="auto"/>
              <w:right w:val="single" w:sz="4" w:space="0" w:color="auto"/>
            </w:tcBorders>
          </w:tcPr>
          <w:p w14:paraId="638A813D" w14:textId="77777777" w:rsidR="00327047" w:rsidRPr="001A4CDD" w:rsidRDefault="00327047" w:rsidP="00A12328">
            <w:pPr>
              <w:pStyle w:val="TableText0"/>
              <w:keepLines/>
            </w:pPr>
            <w:r w:rsidRPr="001A4CDD">
              <w:t>PFS rate at 24 months, % (95% CI)</w:t>
            </w:r>
          </w:p>
        </w:tc>
        <w:tc>
          <w:tcPr>
            <w:tcW w:w="864" w:type="pct"/>
            <w:tcBorders>
              <w:top w:val="single" w:sz="4" w:space="0" w:color="auto"/>
              <w:left w:val="single" w:sz="4" w:space="0" w:color="auto"/>
              <w:bottom w:val="single" w:sz="4" w:space="0" w:color="auto"/>
              <w:right w:val="single" w:sz="4" w:space="0" w:color="auto"/>
            </w:tcBorders>
          </w:tcPr>
          <w:p w14:paraId="538CDA53" w14:textId="77777777" w:rsidR="00327047" w:rsidRPr="001A4CDD" w:rsidRDefault="00327047" w:rsidP="00A12328">
            <w:pPr>
              <w:pStyle w:val="TableText0"/>
              <w:keepLines/>
              <w:jc w:val="center"/>
              <w:rPr>
                <w:szCs w:val="20"/>
              </w:rPr>
            </w:pPr>
            <w:r w:rsidRPr="001A4CDD">
              <w:rPr>
                <w:szCs w:val="20"/>
              </w:rPr>
              <w:t>65.1 (56.4, 72.6)</w:t>
            </w:r>
          </w:p>
        </w:tc>
        <w:tc>
          <w:tcPr>
            <w:tcW w:w="864" w:type="pct"/>
            <w:tcBorders>
              <w:top w:val="single" w:sz="4" w:space="0" w:color="auto"/>
              <w:left w:val="single" w:sz="4" w:space="0" w:color="auto"/>
              <w:bottom w:val="single" w:sz="4" w:space="0" w:color="auto"/>
              <w:right w:val="single" w:sz="4" w:space="0" w:color="auto"/>
            </w:tcBorders>
          </w:tcPr>
          <w:p w14:paraId="5DA081D6" w14:textId="77777777" w:rsidR="00327047" w:rsidRPr="001A4CDD" w:rsidRDefault="00327047" w:rsidP="00A12328">
            <w:pPr>
              <w:pStyle w:val="TableText0"/>
              <w:keepLines/>
              <w:jc w:val="center"/>
              <w:rPr>
                <w:szCs w:val="20"/>
              </w:rPr>
            </w:pPr>
            <w:r w:rsidRPr="001A4CDD">
              <w:rPr>
                <w:szCs w:val="20"/>
              </w:rPr>
              <w:t>12.5 (5.9, 21.6))</w:t>
            </w:r>
          </w:p>
        </w:tc>
        <w:tc>
          <w:tcPr>
            <w:tcW w:w="943" w:type="pct"/>
            <w:tcBorders>
              <w:top w:val="single" w:sz="4" w:space="0" w:color="auto"/>
              <w:left w:val="single" w:sz="4" w:space="0" w:color="auto"/>
              <w:bottom w:val="single" w:sz="4" w:space="0" w:color="auto"/>
              <w:right w:val="single" w:sz="4" w:space="0" w:color="auto"/>
            </w:tcBorders>
          </w:tcPr>
          <w:p w14:paraId="71A1C6DB" w14:textId="77777777" w:rsidR="00327047" w:rsidRPr="001A4CDD" w:rsidRDefault="00327047" w:rsidP="00A12328">
            <w:pPr>
              <w:pStyle w:val="TableText0"/>
              <w:keepLines/>
              <w:jc w:val="center"/>
              <w:rPr>
                <w:rFonts w:cs="Times New Roman"/>
                <w:szCs w:val="20"/>
              </w:rPr>
            </w:pPr>
            <w:r w:rsidRPr="001A4CDD">
              <w:rPr>
                <w:rFonts w:cs="Times New Roman"/>
                <w:szCs w:val="20"/>
              </w:rPr>
              <w:t>52.6%</w:t>
            </w:r>
          </w:p>
        </w:tc>
        <w:tc>
          <w:tcPr>
            <w:tcW w:w="838" w:type="pct"/>
            <w:vMerge/>
            <w:tcBorders>
              <w:left w:val="single" w:sz="4" w:space="0" w:color="auto"/>
            </w:tcBorders>
          </w:tcPr>
          <w:p w14:paraId="6656B0C6" w14:textId="77777777" w:rsidR="00327047" w:rsidRPr="001A4CDD" w:rsidRDefault="00327047" w:rsidP="00A12328">
            <w:pPr>
              <w:pStyle w:val="TableText0"/>
              <w:keepLines/>
              <w:jc w:val="center"/>
            </w:pPr>
          </w:p>
        </w:tc>
      </w:tr>
      <w:tr w:rsidR="001A4CDD" w:rsidRPr="001A4CDD" w14:paraId="7ADD0D23" w14:textId="77777777" w:rsidTr="00DA15E0">
        <w:trPr>
          <w:trHeight w:val="20"/>
        </w:trPr>
        <w:tc>
          <w:tcPr>
            <w:tcW w:w="1491" w:type="pct"/>
            <w:tcBorders>
              <w:top w:val="single" w:sz="4" w:space="0" w:color="auto"/>
              <w:bottom w:val="single" w:sz="4" w:space="0" w:color="auto"/>
              <w:right w:val="single" w:sz="4" w:space="0" w:color="auto"/>
            </w:tcBorders>
          </w:tcPr>
          <w:p w14:paraId="760139B7" w14:textId="77777777" w:rsidR="00327047" w:rsidRPr="001A4CDD" w:rsidRDefault="00327047" w:rsidP="00A12328">
            <w:pPr>
              <w:pStyle w:val="TableText0"/>
              <w:keepLines/>
            </w:pPr>
            <w:r w:rsidRPr="001A4CDD">
              <w:t>PFS rate at 36 months, % (95% CI)</w:t>
            </w:r>
          </w:p>
        </w:tc>
        <w:tc>
          <w:tcPr>
            <w:tcW w:w="864" w:type="pct"/>
            <w:tcBorders>
              <w:top w:val="single" w:sz="4" w:space="0" w:color="auto"/>
              <w:left w:val="single" w:sz="4" w:space="0" w:color="auto"/>
              <w:bottom w:val="single" w:sz="4" w:space="0" w:color="auto"/>
              <w:right w:val="single" w:sz="4" w:space="0" w:color="auto"/>
            </w:tcBorders>
          </w:tcPr>
          <w:p w14:paraId="281013BF" w14:textId="77777777" w:rsidR="00327047" w:rsidRPr="001A4CDD" w:rsidRDefault="00327047" w:rsidP="00A12328">
            <w:pPr>
              <w:pStyle w:val="TableText0"/>
              <w:keepLines/>
              <w:jc w:val="center"/>
              <w:rPr>
                <w:szCs w:val="20"/>
              </w:rPr>
            </w:pPr>
            <w:r w:rsidRPr="001A4CDD">
              <w:rPr>
                <w:szCs w:val="20"/>
              </w:rPr>
              <w:t>58.4 (48.6, 66.9)</w:t>
            </w:r>
          </w:p>
        </w:tc>
        <w:tc>
          <w:tcPr>
            <w:tcW w:w="864" w:type="pct"/>
            <w:tcBorders>
              <w:top w:val="single" w:sz="4" w:space="0" w:color="auto"/>
              <w:left w:val="single" w:sz="4" w:space="0" w:color="auto"/>
              <w:bottom w:val="single" w:sz="4" w:space="0" w:color="auto"/>
              <w:right w:val="single" w:sz="4" w:space="0" w:color="auto"/>
            </w:tcBorders>
          </w:tcPr>
          <w:p w14:paraId="0BD26061" w14:textId="77777777" w:rsidR="00327047" w:rsidRPr="001A4CDD" w:rsidRDefault="00327047" w:rsidP="00A12328">
            <w:pPr>
              <w:pStyle w:val="TableText0"/>
              <w:keepLines/>
              <w:jc w:val="center"/>
              <w:rPr>
                <w:szCs w:val="20"/>
              </w:rPr>
            </w:pPr>
            <w:r w:rsidRPr="001A4CDD">
              <w:rPr>
                <w:szCs w:val="20"/>
              </w:rPr>
              <w:t>10.0 (4.0, 19.2)</w:t>
            </w:r>
          </w:p>
        </w:tc>
        <w:tc>
          <w:tcPr>
            <w:tcW w:w="943" w:type="pct"/>
            <w:tcBorders>
              <w:top w:val="single" w:sz="4" w:space="0" w:color="auto"/>
              <w:left w:val="single" w:sz="4" w:space="0" w:color="auto"/>
              <w:bottom w:val="single" w:sz="4" w:space="0" w:color="auto"/>
              <w:right w:val="single" w:sz="4" w:space="0" w:color="auto"/>
            </w:tcBorders>
          </w:tcPr>
          <w:p w14:paraId="20C8227C" w14:textId="77777777" w:rsidR="00327047" w:rsidRPr="001A4CDD" w:rsidRDefault="00327047" w:rsidP="00A12328">
            <w:pPr>
              <w:pStyle w:val="TableText0"/>
              <w:keepLines/>
              <w:jc w:val="center"/>
              <w:rPr>
                <w:rFonts w:cs="Times New Roman"/>
                <w:szCs w:val="20"/>
              </w:rPr>
            </w:pPr>
            <w:r w:rsidRPr="001A4CDD">
              <w:rPr>
                <w:rFonts w:cs="Times New Roman"/>
                <w:szCs w:val="20"/>
              </w:rPr>
              <w:t>48.4%</w:t>
            </w:r>
          </w:p>
        </w:tc>
        <w:tc>
          <w:tcPr>
            <w:tcW w:w="838" w:type="pct"/>
            <w:vMerge/>
            <w:tcBorders>
              <w:left w:val="single" w:sz="4" w:space="0" w:color="auto"/>
            </w:tcBorders>
          </w:tcPr>
          <w:p w14:paraId="38DFC032" w14:textId="77777777" w:rsidR="00327047" w:rsidRPr="001A4CDD" w:rsidRDefault="00327047" w:rsidP="00A12328">
            <w:pPr>
              <w:pStyle w:val="TableText0"/>
              <w:keepLines/>
              <w:jc w:val="center"/>
            </w:pPr>
          </w:p>
        </w:tc>
      </w:tr>
      <w:tr w:rsidR="001A4CDD" w:rsidRPr="001A4CDD" w14:paraId="6563F964" w14:textId="77777777" w:rsidTr="00DA15E0">
        <w:trPr>
          <w:trHeight w:val="20"/>
        </w:trPr>
        <w:tc>
          <w:tcPr>
            <w:tcW w:w="1491" w:type="pct"/>
            <w:tcBorders>
              <w:top w:val="single" w:sz="4" w:space="0" w:color="auto"/>
              <w:bottom w:val="single" w:sz="4" w:space="0" w:color="auto"/>
              <w:right w:val="single" w:sz="4" w:space="0" w:color="auto"/>
            </w:tcBorders>
          </w:tcPr>
          <w:p w14:paraId="0D4DE2CA" w14:textId="77777777" w:rsidR="00327047" w:rsidRPr="001A4CDD" w:rsidRDefault="00327047" w:rsidP="00A12328">
            <w:pPr>
              <w:pStyle w:val="TableText0"/>
              <w:keepLines/>
            </w:pPr>
            <w:r w:rsidRPr="001A4CDD">
              <w:t>Median (range) duration of follow-up, months</w:t>
            </w:r>
          </w:p>
        </w:tc>
        <w:tc>
          <w:tcPr>
            <w:tcW w:w="864" w:type="pct"/>
            <w:tcBorders>
              <w:top w:val="single" w:sz="4" w:space="0" w:color="auto"/>
              <w:left w:val="single" w:sz="4" w:space="0" w:color="auto"/>
              <w:bottom w:val="single" w:sz="4" w:space="0" w:color="auto"/>
              <w:right w:val="single" w:sz="4" w:space="0" w:color="auto"/>
            </w:tcBorders>
          </w:tcPr>
          <w:p w14:paraId="00022898" w14:textId="77777777" w:rsidR="00327047" w:rsidRPr="001A4CDD" w:rsidRDefault="00327047" w:rsidP="00A12328">
            <w:pPr>
              <w:pStyle w:val="TableText0"/>
              <w:keepLines/>
              <w:jc w:val="center"/>
              <w:rPr>
                <w:szCs w:val="20"/>
              </w:rPr>
            </w:pPr>
            <w:r w:rsidRPr="001A4CDD">
              <w:rPr>
                <w:szCs w:val="20"/>
              </w:rPr>
              <w:t>21.98 (0.03, 60.55)</w:t>
            </w:r>
          </w:p>
        </w:tc>
        <w:tc>
          <w:tcPr>
            <w:tcW w:w="864" w:type="pct"/>
            <w:tcBorders>
              <w:top w:val="single" w:sz="4" w:space="0" w:color="auto"/>
              <w:left w:val="single" w:sz="4" w:space="0" w:color="auto"/>
              <w:bottom w:val="single" w:sz="4" w:space="0" w:color="auto"/>
              <w:right w:val="single" w:sz="4" w:space="0" w:color="auto"/>
            </w:tcBorders>
          </w:tcPr>
          <w:p w14:paraId="6DDBEE16" w14:textId="77777777" w:rsidR="00327047" w:rsidRPr="001A4CDD" w:rsidRDefault="00327047" w:rsidP="00A12328">
            <w:pPr>
              <w:pStyle w:val="TableText0"/>
              <w:keepLines/>
              <w:jc w:val="center"/>
              <w:rPr>
                <w:szCs w:val="20"/>
              </w:rPr>
            </w:pPr>
            <w:r w:rsidRPr="001A4CDD">
              <w:rPr>
                <w:szCs w:val="20"/>
              </w:rPr>
              <w:t>5.55 (0.03, 49.71)</w:t>
            </w:r>
          </w:p>
        </w:tc>
        <w:tc>
          <w:tcPr>
            <w:tcW w:w="943" w:type="pct"/>
            <w:tcBorders>
              <w:top w:val="single" w:sz="4" w:space="0" w:color="auto"/>
              <w:left w:val="single" w:sz="4" w:space="0" w:color="auto"/>
              <w:bottom w:val="single" w:sz="4" w:space="0" w:color="auto"/>
              <w:right w:val="single" w:sz="4" w:space="0" w:color="auto"/>
            </w:tcBorders>
          </w:tcPr>
          <w:p w14:paraId="2949BBE7" w14:textId="77777777" w:rsidR="00327047" w:rsidRPr="001A4CDD" w:rsidRDefault="00327047" w:rsidP="00A12328">
            <w:pPr>
              <w:pStyle w:val="TableText0"/>
              <w:keepLines/>
              <w:jc w:val="center"/>
              <w:rPr>
                <w:rFonts w:cs="Times New Roman"/>
                <w:szCs w:val="20"/>
              </w:rPr>
            </w:pPr>
            <w:r w:rsidRPr="001A4CDD">
              <w:rPr>
                <w:rFonts w:cs="Times New Roman"/>
                <w:szCs w:val="20"/>
              </w:rPr>
              <w:t>-</w:t>
            </w:r>
          </w:p>
        </w:tc>
        <w:tc>
          <w:tcPr>
            <w:tcW w:w="838" w:type="pct"/>
            <w:vMerge/>
            <w:tcBorders>
              <w:left w:val="single" w:sz="4" w:space="0" w:color="auto"/>
              <w:bottom w:val="single" w:sz="4" w:space="0" w:color="auto"/>
            </w:tcBorders>
          </w:tcPr>
          <w:p w14:paraId="0CBA6291" w14:textId="77777777" w:rsidR="00327047" w:rsidRPr="001A4CDD" w:rsidRDefault="00327047" w:rsidP="00A12328">
            <w:pPr>
              <w:pStyle w:val="TableText0"/>
              <w:keepLines/>
              <w:jc w:val="center"/>
            </w:pPr>
          </w:p>
        </w:tc>
      </w:tr>
      <w:tr w:rsidR="002E0728" w:rsidRPr="001A4CDD" w14:paraId="64DD267E" w14:textId="77777777" w:rsidTr="00FD6A0D">
        <w:trPr>
          <w:trHeight w:val="20"/>
        </w:trPr>
        <w:tc>
          <w:tcPr>
            <w:tcW w:w="5000" w:type="pct"/>
            <w:gridSpan w:val="5"/>
            <w:tcBorders>
              <w:top w:val="single" w:sz="4" w:space="0" w:color="auto"/>
              <w:bottom w:val="single" w:sz="4" w:space="0" w:color="auto"/>
            </w:tcBorders>
            <w:shd w:val="clear" w:color="auto" w:fill="D9D9D9" w:themeFill="background1" w:themeFillShade="D9"/>
          </w:tcPr>
          <w:p w14:paraId="6E8AFB72" w14:textId="38A3D424" w:rsidR="002E0728" w:rsidRPr="002E0728" w:rsidRDefault="002E0728" w:rsidP="00A12328">
            <w:pPr>
              <w:pStyle w:val="TableText0"/>
              <w:keepLines/>
              <w:rPr>
                <w:b/>
              </w:rPr>
            </w:pPr>
            <w:r w:rsidRPr="002E0728">
              <w:rPr>
                <w:b/>
              </w:rPr>
              <w:t>Overall survival (DCO2 November 29, 2024)</w:t>
            </w:r>
          </w:p>
        </w:tc>
      </w:tr>
      <w:tr w:rsidR="002E0728" w:rsidRPr="001A4CDD" w14:paraId="5F0DD11E" w14:textId="77777777" w:rsidTr="00DA15E0">
        <w:trPr>
          <w:trHeight w:val="20"/>
        </w:trPr>
        <w:tc>
          <w:tcPr>
            <w:tcW w:w="1491" w:type="pct"/>
            <w:tcBorders>
              <w:top w:val="single" w:sz="4" w:space="0" w:color="auto"/>
              <w:bottom w:val="single" w:sz="4" w:space="0" w:color="auto"/>
              <w:right w:val="single" w:sz="4" w:space="0" w:color="auto"/>
            </w:tcBorders>
          </w:tcPr>
          <w:p w14:paraId="015D5930" w14:textId="6A24B6C2" w:rsidR="002E0728" w:rsidRPr="001A4CDD" w:rsidRDefault="002E0728" w:rsidP="00A12328">
            <w:pPr>
              <w:pStyle w:val="TableText0"/>
              <w:keepLines/>
            </w:pPr>
            <w:r w:rsidRPr="00760288">
              <w:t>Deaths, n/N (%)</w:t>
            </w:r>
          </w:p>
        </w:tc>
        <w:tc>
          <w:tcPr>
            <w:tcW w:w="864" w:type="pct"/>
            <w:tcBorders>
              <w:top w:val="single" w:sz="4" w:space="0" w:color="auto"/>
              <w:left w:val="single" w:sz="4" w:space="0" w:color="auto"/>
              <w:bottom w:val="single" w:sz="4" w:space="0" w:color="auto"/>
              <w:right w:val="single" w:sz="4" w:space="0" w:color="auto"/>
            </w:tcBorders>
            <w:vAlign w:val="center"/>
          </w:tcPr>
          <w:p w14:paraId="75333411" w14:textId="1D841A34" w:rsidR="002E0728" w:rsidRPr="001A4CDD" w:rsidRDefault="002E0728" w:rsidP="00A12328">
            <w:pPr>
              <w:pStyle w:val="TableText0"/>
              <w:keepLines/>
              <w:jc w:val="center"/>
              <w:rPr>
                <w:szCs w:val="20"/>
              </w:rPr>
            </w:pPr>
            <w:r>
              <w:rPr>
                <w:szCs w:val="20"/>
              </w:rPr>
              <w:t>40/143 (28.0)</w:t>
            </w:r>
          </w:p>
        </w:tc>
        <w:tc>
          <w:tcPr>
            <w:tcW w:w="864" w:type="pct"/>
            <w:tcBorders>
              <w:top w:val="single" w:sz="4" w:space="0" w:color="auto"/>
              <w:left w:val="single" w:sz="4" w:space="0" w:color="auto"/>
              <w:bottom w:val="single" w:sz="4" w:space="0" w:color="auto"/>
              <w:right w:val="single" w:sz="4" w:space="0" w:color="auto"/>
            </w:tcBorders>
            <w:vAlign w:val="center"/>
          </w:tcPr>
          <w:p w14:paraId="486161C5" w14:textId="6FEDFBAE" w:rsidR="002E0728" w:rsidRPr="001A4CDD" w:rsidRDefault="002E0728" w:rsidP="00A12328">
            <w:pPr>
              <w:pStyle w:val="TableText0"/>
              <w:keepLines/>
              <w:jc w:val="center"/>
              <w:rPr>
                <w:szCs w:val="20"/>
              </w:rPr>
            </w:pPr>
            <w:r>
              <w:rPr>
                <w:szCs w:val="20"/>
              </w:rPr>
              <w:t>26/73 (35.6)</w:t>
            </w:r>
          </w:p>
        </w:tc>
        <w:tc>
          <w:tcPr>
            <w:tcW w:w="943" w:type="pct"/>
            <w:tcBorders>
              <w:top w:val="single" w:sz="4" w:space="0" w:color="auto"/>
              <w:left w:val="single" w:sz="4" w:space="0" w:color="auto"/>
              <w:bottom w:val="single" w:sz="4" w:space="0" w:color="auto"/>
              <w:right w:val="single" w:sz="4" w:space="0" w:color="auto"/>
            </w:tcBorders>
            <w:vAlign w:val="center"/>
          </w:tcPr>
          <w:p w14:paraId="5AF08FAB" w14:textId="17DD244B" w:rsidR="002E0728" w:rsidRPr="001A4CDD" w:rsidRDefault="002E0728" w:rsidP="00A12328">
            <w:pPr>
              <w:pStyle w:val="TableText0"/>
              <w:keepLines/>
              <w:jc w:val="center"/>
              <w:rPr>
                <w:rFonts w:cs="Times New Roman"/>
                <w:szCs w:val="20"/>
              </w:rPr>
            </w:pPr>
            <w:r>
              <w:t>-</w:t>
            </w:r>
          </w:p>
        </w:tc>
        <w:tc>
          <w:tcPr>
            <w:tcW w:w="838" w:type="pct"/>
            <w:vMerge w:val="restart"/>
            <w:tcBorders>
              <w:left w:val="single" w:sz="4" w:space="0" w:color="auto"/>
            </w:tcBorders>
          </w:tcPr>
          <w:p w14:paraId="72FBC70F" w14:textId="77777777" w:rsidR="002E0728" w:rsidRDefault="002E0728" w:rsidP="00A12328">
            <w:pPr>
              <w:pStyle w:val="TableText0"/>
              <w:keepLines/>
              <w:jc w:val="center"/>
            </w:pPr>
          </w:p>
          <w:p w14:paraId="551160EF" w14:textId="77777777" w:rsidR="002E0728" w:rsidRDefault="002E0728" w:rsidP="00A12328">
            <w:pPr>
              <w:pStyle w:val="TableText0"/>
              <w:keepLines/>
              <w:jc w:val="center"/>
            </w:pPr>
          </w:p>
          <w:p w14:paraId="76436E85" w14:textId="77777777" w:rsidR="002E0728" w:rsidRDefault="002E0728" w:rsidP="00A12328">
            <w:pPr>
              <w:pStyle w:val="TableText0"/>
              <w:keepLines/>
              <w:jc w:val="center"/>
            </w:pPr>
          </w:p>
          <w:p w14:paraId="59C46970" w14:textId="0B3BFB64" w:rsidR="002E0728" w:rsidRPr="001A4CDD" w:rsidRDefault="002E0728" w:rsidP="00A12328">
            <w:pPr>
              <w:pStyle w:val="TableText0"/>
              <w:keepLines/>
              <w:jc w:val="center"/>
            </w:pPr>
            <w:r>
              <w:t>0.67 (0.40, 1.14) p=0.140</w:t>
            </w:r>
          </w:p>
        </w:tc>
      </w:tr>
      <w:tr w:rsidR="002E0728" w:rsidRPr="001A4CDD" w14:paraId="1B1BD4DD" w14:textId="77777777" w:rsidTr="00DA15E0">
        <w:trPr>
          <w:trHeight w:val="20"/>
        </w:trPr>
        <w:tc>
          <w:tcPr>
            <w:tcW w:w="1491" w:type="pct"/>
            <w:tcBorders>
              <w:top w:val="single" w:sz="4" w:space="0" w:color="auto"/>
              <w:bottom w:val="single" w:sz="4" w:space="0" w:color="auto"/>
              <w:right w:val="single" w:sz="4" w:space="0" w:color="auto"/>
            </w:tcBorders>
          </w:tcPr>
          <w:p w14:paraId="46F1407C" w14:textId="19C6223F" w:rsidR="002E0728" w:rsidRPr="001A4CDD" w:rsidRDefault="002E0728" w:rsidP="00A12328">
            <w:pPr>
              <w:pStyle w:val="TableText0"/>
              <w:keepLines/>
            </w:pPr>
            <w:r>
              <w:t xml:space="preserve">Median OS, </w:t>
            </w:r>
            <w:r w:rsidRPr="00330DAA">
              <w:t>months</w:t>
            </w:r>
            <w:r>
              <w:t xml:space="preserve"> (95% CI)</w:t>
            </w:r>
          </w:p>
        </w:tc>
        <w:tc>
          <w:tcPr>
            <w:tcW w:w="864" w:type="pct"/>
            <w:tcBorders>
              <w:top w:val="single" w:sz="4" w:space="0" w:color="auto"/>
              <w:left w:val="single" w:sz="4" w:space="0" w:color="auto"/>
              <w:bottom w:val="single" w:sz="4" w:space="0" w:color="auto"/>
              <w:right w:val="single" w:sz="4" w:space="0" w:color="auto"/>
            </w:tcBorders>
            <w:vAlign w:val="center"/>
          </w:tcPr>
          <w:p w14:paraId="3043AFA3" w14:textId="611C8BEC" w:rsidR="002E0728" w:rsidRPr="001A4CDD" w:rsidRDefault="002E0728" w:rsidP="00A12328">
            <w:pPr>
              <w:pStyle w:val="TableText0"/>
              <w:keepLines/>
              <w:jc w:val="center"/>
              <w:rPr>
                <w:szCs w:val="20"/>
              </w:rPr>
            </w:pPr>
            <w:r>
              <w:rPr>
                <w:szCs w:val="20"/>
              </w:rPr>
              <w:t>58.81 (54.0, NC)</w:t>
            </w:r>
          </w:p>
        </w:tc>
        <w:tc>
          <w:tcPr>
            <w:tcW w:w="864" w:type="pct"/>
            <w:tcBorders>
              <w:top w:val="single" w:sz="4" w:space="0" w:color="auto"/>
              <w:left w:val="single" w:sz="4" w:space="0" w:color="auto"/>
              <w:bottom w:val="single" w:sz="4" w:space="0" w:color="auto"/>
              <w:right w:val="single" w:sz="4" w:space="0" w:color="auto"/>
            </w:tcBorders>
            <w:vAlign w:val="center"/>
          </w:tcPr>
          <w:p w14:paraId="2FB5CAD8" w14:textId="1F30D00D" w:rsidR="002E0728" w:rsidRPr="001A4CDD" w:rsidRDefault="002E0728" w:rsidP="00A12328">
            <w:pPr>
              <w:pStyle w:val="TableText0"/>
              <w:keepLines/>
              <w:jc w:val="center"/>
              <w:rPr>
                <w:szCs w:val="20"/>
              </w:rPr>
            </w:pPr>
            <w:r>
              <w:rPr>
                <w:szCs w:val="20"/>
              </w:rPr>
              <w:t>53.98 (42.05, NC)</w:t>
            </w:r>
          </w:p>
        </w:tc>
        <w:tc>
          <w:tcPr>
            <w:tcW w:w="943" w:type="pct"/>
            <w:tcBorders>
              <w:top w:val="single" w:sz="4" w:space="0" w:color="auto"/>
              <w:left w:val="single" w:sz="4" w:space="0" w:color="auto"/>
              <w:bottom w:val="single" w:sz="4" w:space="0" w:color="auto"/>
              <w:right w:val="single" w:sz="4" w:space="0" w:color="auto"/>
            </w:tcBorders>
            <w:vAlign w:val="center"/>
          </w:tcPr>
          <w:p w14:paraId="6C339702" w14:textId="2EAA4B1B" w:rsidR="002E0728" w:rsidRPr="001A4CDD" w:rsidRDefault="002E0728" w:rsidP="00A12328">
            <w:pPr>
              <w:pStyle w:val="TableText0"/>
              <w:keepLines/>
              <w:jc w:val="center"/>
              <w:rPr>
                <w:rFonts w:cs="Times New Roman"/>
                <w:szCs w:val="20"/>
              </w:rPr>
            </w:pPr>
            <w:r>
              <w:t>4.83</w:t>
            </w:r>
          </w:p>
        </w:tc>
        <w:tc>
          <w:tcPr>
            <w:tcW w:w="838" w:type="pct"/>
            <w:vMerge/>
            <w:tcBorders>
              <w:left w:val="single" w:sz="4" w:space="0" w:color="auto"/>
            </w:tcBorders>
          </w:tcPr>
          <w:p w14:paraId="12352011" w14:textId="77777777" w:rsidR="002E0728" w:rsidRPr="001A4CDD" w:rsidRDefault="002E0728" w:rsidP="00A12328">
            <w:pPr>
              <w:pStyle w:val="TableText0"/>
              <w:keepLines/>
              <w:jc w:val="center"/>
            </w:pPr>
          </w:p>
        </w:tc>
      </w:tr>
      <w:tr w:rsidR="002E0728" w:rsidRPr="001A4CDD" w14:paraId="4D42C2A0" w14:textId="77777777" w:rsidTr="00DA15E0">
        <w:trPr>
          <w:trHeight w:val="20"/>
        </w:trPr>
        <w:tc>
          <w:tcPr>
            <w:tcW w:w="1491" w:type="pct"/>
            <w:tcBorders>
              <w:top w:val="single" w:sz="4" w:space="0" w:color="auto"/>
              <w:bottom w:val="single" w:sz="4" w:space="0" w:color="auto"/>
              <w:right w:val="single" w:sz="4" w:space="0" w:color="auto"/>
            </w:tcBorders>
          </w:tcPr>
          <w:p w14:paraId="4F304D23" w14:textId="5610101E" w:rsidR="002E0728" w:rsidRPr="001A4CDD" w:rsidRDefault="002E0728" w:rsidP="00A12328">
            <w:pPr>
              <w:pStyle w:val="TableText0"/>
              <w:keepLines/>
            </w:pPr>
            <w:r w:rsidRPr="00330DAA">
              <w:t xml:space="preserve">% Alive at </w:t>
            </w:r>
            <w:r>
              <w:t>12</w:t>
            </w:r>
            <w:r w:rsidRPr="00330DAA">
              <w:t xml:space="preserve"> months </w:t>
            </w:r>
          </w:p>
        </w:tc>
        <w:tc>
          <w:tcPr>
            <w:tcW w:w="864" w:type="pct"/>
            <w:tcBorders>
              <w:top w:val="single" w:sz="4" w:space="0" w:color="auto"/>
              <w:left w:val="single" w:sz="4" w:space="0" w:color="auto"/>
              <w:bottom w:val="single" w:sz="4" w:space="0" w:color="auto"/>
              <w:right w:val="single" w:sz="4" w:space="0" w:color="auto"/>
            </w:tcBorders>
            <w:vAlign w:val="center"/>
          </w:tcPr>
          <w:p w14:paraId="0B0C25DD" w14:textId="41472969" w:rsidR="002E0728" w:rsidRPr="001A4CDD" w:rsidRDefault="002E0728" w:rsidP="00A12328">
            <w:pPr>
              <w:pStyle w:val="TableText0"/>
              <w:keepLines/>
              <w:jc w:val="center"/>
              <w:rPr>
                <w:szCs w:val="20"/>
              </w:rPr>
            </w:pPr>
            <w:r>
              <w:rPr>
                <w:szCs w:val="20"/>
              </w:rPr>
              <w:t>94.3</w:t>
            </w:r>
          </w:p>
        </w:tc>
        <w:tc>
          <w:tcPr>
            <w:tcW w:w="864" w:type="pct"/>
            <w:tcBorders>
              <w:top w:val="single" w:sz="4" w:space="0" w:color="auto"/>
              <w:left w:val="single" w:sz="4" w:space="0" w:color="auto"/>
              <w:bottom w:val="single" w:sz="4" w:space="0" w:color="auto"/>
              <w:right w:val="single" w:sz="4" w:space="0" w:color="auto"/>
            </w:tcBorders>
            <w:vAlign w:val="center"/>
          </w:tcPr>
          <w:p w14:paraId="6C154335" w14:textId="620C8B2B" w:rsidR="002E0728" w:rsidRPr="001A4CDD" w:rsidRDefault="002E0728" w:rsidP="00A12328">
            <w:pPr>
              <w:pStyle w:val="TableText0"/>
              <w:keepLines/>
              <w:jc w:val="center"/>
              <w:rPr>
                <w:szCs w:val="20"/>
              </w:rPr>
            </w:pPr>
            <w:r>
              <w:rPr>
                <w:szCs w:val="20"/>
              </w:rPr>
              <w:t>98.6</w:t>
            </w:r>
          </w:p>
        </w:tc>
        <w:tc>
          <w:tcPr>
            <w:tcW w:w="943" w:type="pct"/>
            <w:tcBorders>
              <w:top w:val="single" w:sz="4" w:space="0" w:color="auto"/>
              <w:left w:val="single" w:sz="4" w:space="0" w:color="auto"/>
              <w:bottom w:val="single" w:sz="4" w:space="0" w:color="auto"/>
              <w:right w:val="single" w:sz="4" w:space="0" w:color="auto"/>
            </w:tcBorders>
            <w:vAlign w:val="center"/>
          </w:tcPr>
          <w:p w14:paraId="06C043BD" w14:textId="1643CB4A" w:rsidR="002E0728" w:rsidRPr="001A4CDD" w:rsidRDefault="002E0728" w:rsidP="00A12328">
            <w:pPr>
              <w:pStyle w:val="TableText0"/>
              <w:keepLines/>
              <w:jc w:val="center"/>
              <w:rPr>
                <w:rFonts w:cs="Times New Roman"/>
                <w:szCs w:val="20"/>
              </w:rPr>
            </w:pPr>
            <w:r>
              <w:t>4.3%</w:t>
            </w:r>
          </w:p>
        </w:tc>
        <w:tc>
          <w:tcPr>
            <w:tcW w:w="838" w:type="pct"/>
            <w:vMerge/>
            <w:tcBorders>
              <w:left w:val="single" w:sz="4" w:space="0" w:color="auto"/>
            </w:tcBorders>
          </w:tcPr>
          <w:p w14:paraId="18F36A53" w14:textId="77777777" w:rsidR="002E0728" w:rsidRPr="001A4CDD" w:rsidRDefault="002E0728" w:rsidP="00A12328">
            <w:pPr>
              <w:pStyle w:val="TableText0"/>
              <w:keepLines/>
              <w:jc w:val="center"/>
            </w:pPr>
          </w:p>
        </w:tc>
      </w:tr>
      <w:tr w:rsidR="002E0728" w:rsidRPr="001A4CDD" w14:paraId="7EB0450A" w14:textId="77777777" w:rsidTr="00DA15E0">
        <w:trPr>
          <w:trHeight w:val="20"/>
        </w:trPr>
        <w:tc>
          <w:tcPr>
            <w:tcW w:w="1491" w:type="pct"/>
            <w:tcBorders>
              <w:top w:val="single" w:sz="4" w:space="0" w:color="auto"/>
              <w:bottom w:val="single" w:sz="4" w:space="0" w:color="auto"/>
              <w:right w:val="single" w:sz="4" w:space="0" w:color="auto"/>
            </w:tcBorders>
          </w:tcPr>
          <w:p w14:paraId="7FF0FFFB" w14:textId="41DA811E" w:rsidR="002E0728" w:rsidRPr="001A4CDD" w:rsidRDefault="002E0728" w:rsidP="00A12328">
            <w:pPr>
              <w:pStyle w:val="TableText0"/>
              <w:keepLines/>
            </w:pPr>
            <w:r w:rsidRPr="00330DAA">
              <w:t xml:space="preserve">% Alive at </w:t>
            </w:r>
            <w:r>
              <w:t>24 months</w:t>
            </w:r>
          </w:p>
        </w:tc>
        <w:tc>
          <w:tcPr>
            <w:tcW w:w="864" w:type="pct"/>
            <w:tcBorders>
              <w:top w:val="single" w:sz="4" w:space="0" w:color="auto"/>
              <w:left w:val="single" w:sz="4" w:space="0" w:color="auto"/>
              <w:bottom w:val="single" w:sz="4" w:space="0" w:color="auto"/>
              <w:right w:val="single" w:sz="4" w:space="0" w:color="auto"/>
            </w:tcBorders>
            <w:vAlign w:val="center"/>
          </w:tcPr>
          <w:p w14:paraId="5B99330C" w14:textId="76982E51" w:rsidR="002E0728" w:rsidRPr="001A4CDD" w:rsidRDefault="002E0728" w:rsidP="00A12328">
            <w:pPr>
              <w:pStyle w:val="TableText0"/>
              <w:keepLines/>
              <w:jc w:val="center"/>
              <w:rPr>
                <w:szCs w:val="20"/>
              </w:rPr>
            </w:pPr>
            <w:r>
              <w:rPr>
                <w:szCs w:val="20"/>
              </w:rPr>
              <w:t>89.3</w:t>
            </w:r>
          </w:p>
        </w:tc>
        <w:tc>
          <w:tcPr>
            <w:tcW w:w="864" w:type="pct"/>
            <w:tcBorders>
              <w:top w:val="single" w:sz="4" w:space="0" w:color="auto"/>
              <w:left w:val="single" w:sz="4" w:space="0" w:color="auto"/>
              <w:bottom w:val="single" w:sz="4" w:space="0" w:color="auto"/>
              <w:right w:val="single" w:sz="4" w:space="0" w:color="auto"/>
            </w:tcBorders>
            <w:vAlign w:val="center"/>
          </w:tcPr>
          <w:p w14:paraId="1F483EBC" w14:textId="4735D223" w:rsidR="002E0728" w:rsidRPr="001A4CDD" w:rsidRDefault="002E0728" w:rsidP="00A12328">
            <w:pPr>
              <w:pStyle w:val="TableText0"/>
              <w:keepLines/>
              <w:jc w:val="center"/>
              <w:rPr>
                <w:szCs w:val="20"/>
              </w:rPr>
            </w:pPr>
            <w:r>
              <w:rPr>
                <w:szCs w:val="20"/>
              </w:rPr>
              <w:t>91.2</w:t>
            </w:r>
          </w:p>
        </w:tc>
        <w:tc>
          <w:tcPr>
            <w:tcW w:w="943" w:type="pct"/>
            <w:tcBorders>
              <w:top w:val="single" w:sz="4" w:space="0" w:color="auto"/>
              <w:left w:val="single" w:sz="4" w:space="0" w:color="auto"/>
              <w:bottom w:val="single" w:sz="4" w:space="0" w:color="auto"/>
              <w:right w:val="single" w:sz="4" w:space="0" w:color="auto"/>
            </w:tcBorders>
            <w:vAlign w:val="center"/>
          </w:tcPr>
          <w:p w14:paraId="319B70F0" w14:textId="76CB542A" w:rsidR="002E0728" w:rsidRPr="001A4CDD" w:rsidRDefault="002E0728" w:rsidP="00A12328">
            <w:pPr>
              <w:pStyle w:val="TableText0"/>
              <w:keepLines/>
              <w:jc w:val="center"/>
              <w:rPr>
                <w:rFonts w:cs="Times New Roman"/>
                <w:szCs w:val="20"/>
              </w:rPr>
            </w:pPr>
            <w:r>
              <w:t>1.9%</w:t>
            </w:r>
          </w:p>
        </w:tc>
        <w:tc>
          <w:tcPr>
            <w:tcW w:w="838" w:type="pct"/>
            <w:vMerge/>
            <w:tcBorders>
              <w:left w:val="single" w:sz="4" w:space="0" w:color="auto"/>
            </w:tcBorders>
          </w:tcPr>
          <w:p w14:paraId="33487B55" w14:textId="77777777" w:rsidR="002E0728" w:rsidRPr="001A4CDD" w:rsidRDefault="002E0728" w:rsidP="00A12328">
            <w:pPr>
              <w:pStyle w:val="TableText0"/>
              <w:keepLines/>
              <w:jc w:val="center"/>
            </w:pPr>
          </w:p>
        </w:tc>
      </w:tr>
      <w:tr w:rsidR="002E0728" w:rsidRPr="001A4CDD" w14:paraId="2D88F884" w14:textId="77777777" w:rsidTr="00DA15E0">
        <w:trPr>
          <w:trHeight w:val="20"/>
        </w:trPr>
        <w:tc>
          <w:tcPr>
            <w:tcW w:w="1491" w:type="pct"/>
            <w:tcBorders>
              <w:top w:val="single" w:sz="4" w:space="0" w:color="auto"/>
              <w:bottom w:val="single" w:sz="4" w:space="0" w:color="auto"/>
              <w:right w:val="single" w:sz="4" w:space="0" w:color="auto"/>
            </w:tcBorders>
          </w:tcPr>
          <w:p w14:paraId="3F2C0A81" w14:textId="7168CC16" w:rsidR="002E0728" w:rsidRPr="001A4CDD" w:rsidRDefault="002E0728" w:rsidP="00A12328">
            <w:pPr>
              <w:pStyle w:val="TableText0"/>
              <w:keepLines/>
            </w:pPr>
            <w:r w:rsidRPr="00330DAA">
              <w:t xml:space="preserve">% Alive at </w:t>
            </w:r>
            <w:r>
              <w:t xml:space="preserve">36 </w:t>
            </w:r>
            <w:r w:rsidRPr="00330DAA">
              <w:t xml:space="preserve">months </w:t>
            </w:r>
          </w:p>
        </w:tc>
        <w:tc>
          <w:tcPr>
            <w:tcW w:w="864" w:type="pct"/>
            <w:tcBorders>
              <w:top w:val="single" w:sz="4" w:space="0" w:color="auto"/>
              <w:left w:val="single" w:sz="4" w:space="0" w:color="auto"/>
              <w:bottom w:val="single" w:sz="4" w:space="0" w:color="auto"/>
              <w:right w:val="single" w:sz="4" w:space="0" w:color="auto"/>
            </w:tcBorders>
            <w:vAlign w:val="center"/>
          </w:tcPr>
          <w:p w14:paraId="179BC5EA" w14:textId="5C6A5982" w:rsidR="002E0728" w:rsidRPr="001A4CDD" w:rsidRDefault="002E0728" w:rsidP="00A12328">
            <w:pPr>
              <w:pStyle w:val="TableText0"/>
              <w:keepLines/>
              <w:jc w:val="center"/>
              <w:rPr>
                <w:szCs w:val="20"/>
              </w:rPr>
            </w:pPr>
            <w:r>
              <w:rPr>
                <w:szCs w:val="20"/>
              </w:rPr>
              <w:t>81.8</w:t>
            </w:r>
          </w:p>
        </w:tc>
        <w:tc>
          <w:tcPr>
            <w:tcW w:w="864" w:type="pct"/>
            <w:tcBorders>
              <w:top w:val="single" w:sz="4" w:space="0" w:color="auto"/>
              <w:left w:val="single" w:sz="4" w:space="0" w:color="auto"/>
              <w:bottom w:val="single" w:sz="4" w:space="0" w:color="auto"/>
              <w:right w:val="single" w:sz="4" w:space="0" w:color="auto"/>
            </w:tcBorders>
            <w:vAlign w:val="center"/>
          </w:tcPr>
          <w:p w14:paraId="4E046DAF" w14:textId="76F8B141" w:rsidR="002E0728" w:rsidRPr="001A4CDD" w:rsidRDefault="002E0728" w:rsidP="00A12328">
            <w:pPr>
              <w:pStyle w:val="TableText0"/>
              <w:keepLines/>
              <w:jc w:val="center"/>
              <w:rPr>
                <w:szCs w:val="20"/>
              </w:rPr>
            </w:pPr>
            <w:r>
              <w:rPr>
                <w:szCs w:val="20"/>
              </w:rPr>
              <w:t>72.5</w:t>
            </w:r>
          </w:p>
        </w:tc>
        <w:tc>
          <w:tcPr>
            <w:tcW w:w="943" w:type="pct"/>
            <w:tcBorders>
              <w:top w:val="single" w:sz="4" w:space="0" w:color="auto"/>
              <w:left w:val="single" w:sz="4" w:space="0" w:color="auto"/>
              <w:bottom w:val="single" w:sz="4" w:space="0" w:color="auto"/>
              <w:right w:val="single" w:sz="4" w:space="0" w:color="auto"/>
            </w:tcBorders>
            <w:vAlign w:val="center"/>
          </w:tcPr>
          <w:p w14:paraId="1AF0BDF3" w14:textId="3DB5136F" w:rsidR="002E0728" w:rsidRPr="001A4CDD" w:rsidRDefault="002E0728" w:rsidP="00A12328">
            <w:pPr>
              <w:pStyle w:val="TableText0"/>
              <w:keepLines/>
              <w:jc w:val="center"/>
              <w:rPr>
                <w:rFonts w:cs="Times New Roman"/>
                <w:szCs w:val="20"/>
              </w:rPr>
            </w:pPr>
            <w:r>
              <w:t>9.3%</w:t>
            </w:r>
          </w:p>
        </w:tc>
        <w:tc>
          <w:tcPr>
            <w:tcW w:w="838" w:type="pct"/>
            <w:vMerge/>
            <w:tcBorders>
              <w:left w:val="single" w:sz="4" w:space="0" w:color="auto"/>
            </w:tcBorders>
          </w:tcPr>
          <w:p w14:paraId="20B3D1EB" w14:textId="77777777" w:rsidR="002E0728" w:rsidRPr="001A4CDD" w:rsidRDefault="002E0728" w:rsidP="00A12328">
            <w:pPr>
              <w:pStyle w:val="TableText0"/>
              <w:keepLines/>
              <w:jc w:val="center"/>
            </w:pPr>
          </w:p>
        </w:tc>
      </w:tr>
      <w:tr w:rsidR="002E0728" w:rsidRPr="001A4CDD" w14:paraId="08EB9E97" w14:textId="77777777" w:rsidTr="00DA15E0">
        <w:trPr>
          <w:trHeight w:val="20"/>
        </w:trPr>
        <w:tc>
          <w:tcPr>
            <w:tcW w:w="1491" w:type="pct"/>
            <w:tcBorders>
              <w:top w:val="single" w:sz="4" w:space="0" w:color="auto"/>
              <w:bottom w:val="single" w:sz="4" w:space="0" w:color="auto"/>
              <w:right w:val="single" w:sz="4" w:space="0" w:color="auto"/>
            </w:tcBorders>
          </w:tcPr>
          <w:p w14:paraId="070F1C12" w14:textId="66B756DF" w:rsidR="002E0728" w:rsidRPr="001A4CDD" w:rsidRDefault="002E0728" w:rsidP="00A12328">
            <w:pPr>
              <w:pStyle w:val="TableText0"/>
              <w:keepLines/>
            </w:pPr>
            <w:r>
              <w:t>Median follow-up (censored patients only)</w:t>
            </w:r>
            <w:r w:rsidRPr="00330DAA">
              <w:t xml:space="preserve"> </w:t>
            </w:r>
          </w:p>
        </w:tc>
        <w:tc>
          <w:tcPr>
            <w:tcW w:w="864" w:type="pct"/>
            <w:tcBorders>
              <w:top w:val="single" w:sz="4" w:space="0" w:color="auto"/>
              <w:left w:val="single" w:sz="4" w:space="0" w:color="auto"/>
              <w:bottom w:val="single" w:sz="4" w:space="0" w:color="auto"/>
              <w:right w:val="single" w:sz="4" w:space="0" w:color="auto"/>
            </w:tcBorders>
            <w:vAlign w:val="center"/>
          </w:tcPr>
          <w:p w14:paraId="69B49E87" w14:textId="228CA924" w:rsidR="002E0728" w:rsidRPr="001A4CDD" w:rsidRDefault="002E0728" w:rsidP="00A12328">
            <w:pPr>
              <w:pStyle w:val="TableText0"/>
              <w:keepLines/>
              <w:jc w:val="center"/>
              <w:rPr>
                <w:szCs w:val="20"/>
              </w:rPr>
            </w:pPr>
            <w:r>
              <w:rPr>
                <w:szCs w:val="20"/>
              </w:rPr>
              <w:t xml:space="preserve"> 42.61</w:t>
            </w:r>
          </w:p>
        </w:tc>
        <w:tc>
          <w:tcPr>
            <w:tcW w:w="864" w:type="pct"/>
            <w:tcBorders>
              <w:top w:val="single" w:sz="4" w:space="0" w:color="auto"/>
              <w:left w:val="single" w:sz="4" w:space="0" w:color="auto"/>
              <w:bottom w:val="single" w:sz="4" w:space="0" w:color="auto"/>
              <w:right w:val="single" w:sz="4" w:space="0" w:color="auto"/>
            </w:tcBorders>
            <w:vAlign w:val="center"/>
          </w:tcPr>
          <w:p w14:paraId="51327F87" w14:textId="094194C9" w:rsidR="002E0728" w:rsidRPr="001A4CDD" w:rsidRDefault="002E0728" w:rsidP="00A12328">
            <w:pPr>
              <w:pStyle w:val="TableText0"/>
              <w:keepLines/>
              <w:jc w:val="center"/>
              <w:rPr>
                <w:szCs w:val="20"/>
              </w:rPr>
            </w:pPr>
            <w:r>
              <w:rPr>
                <w:szCs w:val="20"/>
              </w:rPr>
              <w:t>37.52</w:t>
            </w:r>
          </w:p>
        </w:tc>
        <w:tc>
          <w:tcPr>
            <w:tcW w:w="943" w:type="pct"/>
            <w:tcBorders>
              <w:top w:val="single" w:sz="4" w:space="0" w:color="auto"/>
              <w:left w:val="single" w:sz="4" w:space="0" w:color="auto"/>
              <w:bottom w:val="single" w:sz="4" w:space="0" w:color="auto"/>
              <w:right w:val="single" w:sz="4" w:space="0" w:color="auto"/>
            </w:tcBorders>
            <w:vAlign w:val="center"/>
          </w:tcPr>
          <w:p w14:paraId="195339C2" w14:textId="33F59A2B" w:rsidR="002E0728" w:rsidRPr="001A4CDD" w:rsidRDefault="002E0728" w:rsidP="00A12328">
            <w:pPr>
              <w:pStyle w:val="TableText0"/>
              <w:keepLines/>
              <w:jc w:val="center"/>
              <w:rPr>
                <w:rFonts w:cs="Times New Roman"/>
                <w:szCs w:val="20"/>
              </w:rPr>
            </w:pPr>
            <w:r>
              <w:t>5.1</w:t>
            </w:r>
          </w:p>
        </w:tc>
        <w:tc>
          <w:tcPr>
            <w:tcW w:w="838" w:type="pct"/>
            <w:vMerge/>
            <w:tcBorders>
              <w:left w:val="single" w:sz="4" w:space="0" w:color="auto"/>
              <w:bottom w:val="single" w:sz="4" w:space="0" w:color="auto"/>
            </w:tcBorders>
          </w:tcPr>
          <w:p w14:paraId="28DB878B" w14:textId="77777777" w:rsidR="002E0728" w:rsidRPr="001A4CDD" w:rsidRDefault="002E0728" w:rsidP="00A12328">
            <w:pPr>
              <w:pStyle w:val="TableText0"/>
              <w:keepLines/>
              <w:jc w:val="center"/>
            </w:pPr>
          </w:p>
        </w:tc>
      </w:tr>
    </w:tbl>
    <w:tbl>
      <w:tblPr>
        <w:tblW w:w="5000" w:type="pct"/>
        <w:tblCellMar>
          <w:left w:w="28" w:type="dxa"/>
          <w:right w:w="28" w:type="dxa"/>
        </w:tblCellMar>
        <w:tblLook w:val="04A0" w:firstRow="1" w:lastRow="0" w:firstColumn="1" w:lastColumn="0" w:noHBand="0" w:noVBand="1"/>
        <w:tblCaption w:val="Table 11: Summary of comparative benefits and harms for osimertinib and placebo from LAURA"/>
      </w:tblPr>
      <w:tblGrid>
        <w:gridCol w:w="1406"/>
        <w:gridCol w:w="1129"/>
        <w:gridCol w:w="846"/>
        <w:gridCol w:w="1690"/>
        <w:gridCol w:w="1553"/>
        <w:gridCol w:w="1271"/>
        <w:gridCol w:w="1122"/>
      </w:tblGrid>
      <w:tr w:rsidR="001A4CDD" w:rsidRPr="001A4CDD" w14:paraId="474D4209" w14:textId="77777777" w:rsidTr="00FD6A0D">
        <w:tc>
          <w:tcPr>
            <w:tcW w:w="5000" w:type="pct"/>
            <w:gridSpan w:val="7"/>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634B51" w14:textId="77777777" w:rsidR="00327047" w:rsidRPr="00C42502" w:rsidRDefault="00327047" w:rsidP="00A12328">
            <w:pPr>
              <w:pStyle w:val="In-tableHeading"/>
              <w:rPr>
                <w:lang w:val="en-AU"/>
              </w:rPr>
            </w:pPr>
            <w:r w:rsidRPr="00C42502">
              <w:rPr>
                <w:lang w:val="en-AU"/>
              </w:rPr>
              <w:t xml:space="preserve">Harms </w:t>
            </w:r>
          </w:p>
        </w:tc>
      </w:tr>
      <w:tr w:rsidR="00DA15E0" w:rsidRPr="001A4CDD" w14:paraId="3976C579" w14:textId="77777777" w:rsidTr="00DA15E0">
        <w:trPr>
          <w:trHeight w:val="70"/>
        </w:trPr>
        <w:tc>
          <w:tcPr>
            <w:tcW w:w="780" w:type="pct"/>
            <w:vMerge w:val="restart"/>
            <w:tcBorders>
              <w:top w:val="single" w:sz="4" w:space="0" w:color="auto"/>
              <w:left w:val="single" w:sz="4" w:space="0" w:color="auto"/>
              <w:bottom w:val="single" w:sz="4" w:space="0" w:color="auto"/>
              <w:right w:val="single" w:sz="4" w:space="0" w:color="auto"/>
            </w:tcBorders>
            <w:vAlign w:val="center"/>
          </w:tcPr>
          <w:p w14:paraId="79EB246A" w14:textId="77777777" w:rsidR="00C074B1" w:rsidRPr="00C42502" w:rsidRDefault="00C074B1" w:rsidP="00A12328">
            <w:pPr>
              <w:pStyle w:val="In-tableHeading"/>
              <w:rPr>
                <w:lang w:val="en-AU"/>
              </w:rPr>
            </w:pPr>
            <w:r w:rsidRPr="00C42502">
              <w:rPr>
                <w:lang w:val="en-AU"/>
              </w:rPr>
              <w:t>AE Category</w:t>
            </w:r>
          </w:p>
        </w:tc>
        <w:tc>
          <w:tcPr>
            <w:tcW w:w="626" w:type="pct"/>
            <w:vMerge w:val="restart"/>
            <w:tcBorders>
              <w:top w:val="single" w:sz="4" w:space="0" w:color="auto"/>
              <w:left w:val="single" w:sz="4" w:space="0" w:color="auto"/>
              <w:bottom w:val="single" w:sz="4" w:space="0" w:color="auto"/>
              <w:right w:val="single" w:sz="4" w:space="0" w:color="auto"/>
            </w:tcBorders>
            <w:vAlign w:val="center"/>
          </w:tcPr>
          <w:p w14:paraId="4CE0EBD8" w14:textId="77777777" w:rsidR="00C074B1" w:rsidRPr="00C42502" w:rsidRDefault="00C074B1" w:rsidP="00A12328">
            <w:pPr>
              <w:pStyle w:val="In-tableHeading"/>
              <w:jc w:val="center"/>
              <w:rPr>
                <w:lang w:val="en-AU"/>
              </w:rPr>
            </w:pPr>
            <w:r w:rsidRPr="00C42502">
              <w:rPr>
                <w:lang w:val="en-AU"/>
              </w:rPr>
              <w:t>Osimertinib</w:t>
            </w:r>
          </w:p>
          <w:p w14:paraId="6BC4A8B0" w14:textId="77777777" w:rsidR="00C074B1" w:rsidRPr="00C42502" w:rsidRDefault="00C074B1" w:rsidP="00A12328">
            <w:pPr>
              <w:pStyle w:val="In-tableHeading"/>
              <w:jc w:val="center"/>
              <w:rPr>
                <w:lang w:val="en-AU"/>
              </w:rPr>
            </w:pPr>
            <w:r w:rsidRPr="00C42502">
              <w:rPr>
                <w:lang w:val="en-AU"/>
              </w:rPr>
              <w:t>n/N</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7288655D" w14:textId="77777777" w:rsidR="00C074B1" w:rsidRPr="00C42502" w:rsidRDefault="00C074B1" w:rsidP="00A12328">
            <w:pPr>
              <w:pStyle w:val="In-tableHeading"/>
              <w:jc w:val="center"/>
              <w:rPr>
                <w:lang w:val="en-AU"/>
              </w:rPr>
            </w:pPr>
            <w:r w:rsidRPr="00C42502">
              <w:rPr>
                <w:lang w:val="en-AU"/>
              </w:rPr>
              <w:t>Placebo</w:t>
            </w:r>
          </w:p>
          <w:p w14:paraId="75A5A3AF" w14:textId="77777777" w:rsidR="00C074B1" w:rsidRPr="00C42502" w:rsidRDefault="00C074B1" w:rsidP="00A12328">
            <w:pPr>
              <w:pStyle w:val="In-tableHeading"/>
              <w:jc w:val="center"/>
              <w:rPr>
                <w:lang w:val="en-AU"/>
              </w:rPr>
            </w:pPr>
            <w:r w:rsidRPr="00C42502">
              <w:rPr>
                <w:lang w:val="en-AU"/>
              </w:rPr>
              <w:t>n/N</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78FDFED9" w14:textId="0F06853A" w:rsidR="00C074B1" w:rsidRPr="00C42502" w:rsidRDefault="00C074B1" w:rsidP="00A12328">
            <w:pPr>
              <w:pStyle w:val="In-tableHeading"/>
              <w:jc w:val="center"/>
              <w:rPr>
                <w:lang w:val="en-AU"/>
              </w:rPr>
            </w:pPr>
            <w:r w:rsidRPr="00C42502">
              <w:rPr>
                <w:lang w:val="en-AU"/>
              </w:rPr>
              <w:t>RR</w:t>
            </w:r>
            <w:r>
              <w:rPr>
                <w:lang w:val="en-AU"/>
              </w:rPr>
              <w:t xml:space="preserve"> (95% CI)</w:t>
            </w:r>
            <w:r w:rsidR="00255AC4" w:rsidRPr="00255AC4">
              <w:rPr>
                <w:vertAlign w:val="superscript"/>
                <w:lang w:val="en-AU"/>
              </w:rPr>
              <w:t>a</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14:paraId="0C678088" w14:textId="55E4B618" w:rsidR="00C074B1" w:rsidRPr="00C42502" w:rsidRDefault="00C074B1" w:rsidP="00A12328">
            <w:pPr>
              <w:pStyle w:val="In-tableHeading"/>
              <w:jc w:val="center"/>
              <w:rPr>
                <w:lang w:val="en-AU"/>
              </w:rPr>
            </w:pPr>
            <w:r>
              <w:rPr>
                <w:lang w:val="en-AU"/>
              </w:rPr>
              <w:t xml:space="preserve">RD </w:t>
            </w:r>
            <w:r w:rsidRPr="00C42502">
              <w:rPr>
                <w:lang w:val="en-AU"/>
              </w:rPr>
              <w:t>(95% CI)</w:t>
            </w:r>
            <w:r w:rsidR="00255AC4" w:rsidRPr="00255AC4">
              <w:rPr>
                <w:vertAlign w:val="superscript"/>
                <w:lang w:val="en-AU"/>
              </w:rPr>
              <w:t>a</w:t>
            </w:r>
          </w:p>
        </w:tc>
        <w:tc>
          <w:tcPr>
            <w:tcW w:w="1326" w:type="pct"/>
            <w:gridSpan w:val="2"/>
            <w:tcBorders>
              <w:top w:val="single" w:sz="4" w:space="0" w:color="auto"/>
              <w:left w:val="single" w:sz="4" w:space="0" w:color="auto"/>
              <w:bottom w:val="single" w:sz="4" w:space="0" w:color="auto"/>
              <w:right w:val="single" w:sz="4" w:space="0" w:color="auto"/>
            </w:tcBorders>
            <w:vAlign w:val="center"/>
          </w:tcPr>
          <w:p w14:paraId="06A66B80" w14:textId="63E6242C" w:rsidR="00C074B1" w:rsidRPr="00C42502" w:rsidRDefault="00C074B1" w:rsidP="00A12328">
            <w:pPr>
              <w:pStyle w:val="In-tableHeading"/>
              <w:jc w:val="center"/>
              <w:rPr>
                <w:lang w:val="en-AU"/>
              </w:rPr>
            </w:pPr>
            <w:r w:rsidRPr="00C42502">
              <w:rPr>
                <w:lang w:val="en-AU"/>
              </w:rPr>
              <w:t>Event rate/100 patients</w:t>
            </w:r>
            <w:r w:rsidR="00255AC4">
              <w:rPr>
                <w:vertAlign w:val="superscript"/>
                <w:lang w:val="en-AU"/>
              </w:rPr>
              <w:t>b</w:t>
            </w:r>
          </w:p>
        </w:tc>
      </w:tr>
      <w:tr w:rsidR="00DA15E0" w:rsidRPr="001A4CDD" w14:paraId="5E098BAD" w14:textId="77777777" w:rsidTr="00DA15E0">
        <w:trPr>
          <w:trHeight w:val="390"/>
        </w:trPr>
        <w:tc>
          <w:tcPr>
            <w:tcW w:w="780" w:type="pct"/>
            <w:vMerge/>
            <w:tcBorders>
              <w:top w:val="single" w:sz="4" w:space="0" w:color="auto"/>
              <w:left w:val="single" w:sz="4" w:space="0" w:color="auto"/>
              <w:bottom w:val="single" w:sz="4" w:space="0" w:color="auto"/>
              <w:right w:val="single" w:sz="4" w:space="0" w:color="auto"/>
            </w:tcBorders>
            <w:vAlign w:val="center"/>
          </w:tcPr>
          <w:p w14:paraId="1C8280BC" w14:textId="77777777" w:rsidR="00C074B1" w:rsidRPr="00C42502" w:rsidRDefault="00C074B1" w:rsidP="00A12328">
            <w:pPr>
              <w:pStyle w:val="In-tableHeading"/>
              <w:rPr>
                <w:lang w:val="en-AU"/>
              </w:rPr>
            </w:pPr>
          </w:p>
        </w:tc>
        <w:tc>
          <w:tcPr>
            <w:tcW w:w="626" w:type="pct"/>
            <w:vMerge/>
            <w:tcBorders>
              <w:top w:val="single" w:sz="4" w:space="0" w:color="auto"/>
              <w:left w:val="single" w:sz="4" w:space="0" w:color="auto"/>
              <w:bottom w:val="single" w:sz="4" w:space="0" w:color="auto"/>
              <w:right w:val="single" w:sz="4" w:space="0" w:color="auto"/>
            </w:tcBorders>
            <w:vAlign w:val="center"/>
          </w:tcPr>
          <w:p w14:paraId="5591749A" w14:textId="77777777" w:rsidR="00C074B1" w:rsidRPr="00C42502" w:rsidRDefault="00C074B1" w:rsidP="00A12328">
            <w:pPr>
              <w:pStyle w:val="In-tableHeading"/>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48331CA6" w14:textId="77777777" w:rsidR="00C074B1" w:rsidRPr="00C42502" w:rsidRDefault="00C074B1" w:rsidP="00A12328">
            <w:pPr>
              <w:pStyle w:val="In-tableHeading"/>
              <w:rPr>
                <w:lang w:val="en-AU"/>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6770FFFF" w14:textId="77777777" w:rsidR="00C074B1" w:rsidRPr="00C42502" w:rsidRDefault="00C074B1" w:rsidP="00A12328">
            <w:pPr>
              <w:pStyle w:val="In-tableHeading"/>
              <w:rPr>
                <w:lang w:val="en-AU"/>
              </w:rPr>
            </w:pPr>
          </w:p>
        </w:tc>
        <w:tc>
          <w:tcPr>
            <w:tcW w:w="861" w:type="pct"/>
            <w:vMerge/>
            <w:tcBorders>
              <w:top w:val="single" w:sz="4" w:space="0" w:color="auto"/>
              <w:left w:val="single" w:sz="4" w:space="0" w:color="auto"/>
              <w:bottom w:val="single" w:sz="4" w:space="0" w:color="auto"/>
              <w:right w:val="single" w:sz="4" w:space="0" w:color="auto"/>
            </w:tcBorders>
            <w:vAlign w:val="center"/>
          </w:tcPr>
          <w:p w14:paraId="6BDEEAF0" w14:textId="22C129E5" w:rsidR="00C074B1" w:rsidRPr="00C42502" w:rsidRDefault="00C074B1" w:rsidP="00A12328">
            <w:pPr>
              <w:pStyle w:val="In-tableHeading"/>
              <w:rPr>
                <w:lang w:val="en-AU"/>
              </w:rPr>
            </w:pPr>
          </w:p>
        </w:tc>
        <w:tc>
          <w:tcPr>
            <w:tcW w:w="705" w:type="pct"/>
            <w:tcBorders>
              <w:top w:val="single" w:sz="4" w:space="0" w:color="auto"/>
              <w:left w:val="single" w:sz="4" w:space="0" w:color="auto"/>
              <w:bottom w:val="single" w:sz="4" w:space="0" w:color="auto"/>
              <w:right w:val="single" w:sz="4" w:space="0" w:color="auto"/>
            </w:tcBorders>
            <w:vAlign w:val="center"/>
          </w:tcPr>
          <w:p w14:paraId="61E7E2D6" w14:textId="77777777" w:rsidR="00C074B1" w:rsidRPr="00C42502" w:rsidRDefault="00C074B1" w:rsidP="00A12328">
            <w:pPr>
              <w:pStyle w:val="In-tableHeading"/>
              <w:jc w:val="center"/>
              <w:rPr>
                <w:lang w:val="en-AU"/>
              </w:rPr>
            </w:pPr>
            <w:r w:rsidRPr="00C42502">
              <w:rPr>
                <w:lang w:val="en-AU"/>
              </w:rPr>
              <w:t>Osimertinib</w:t>
            </w:r>
          </w:p>
        </w:tc>
        <w:tc>
          <w:tcPr>
            <w:tcW w:w="622" w:type="pct"/>
            <w:tcBorders>
              <w:top w:val="single" w:sz="4" w:space="0" w:color="auto"/>
              <w:left w:val="single" w:sz="4" w:space="0" w:color="auto"/>
              <w:bottom w:val="single" w:sz="4" w:space="0" w:color="auto"/>
              <w:right w:val="single" w:sz="4" w:space="0" w:color="auto"/>
            </w:tcBorders>
            <w:vAlign w:val="center"/>
          </w:tcPr>
          <w:p w14:paraId="33C9C14E" w14:textId="4F401C6F" w:rsidR="00C074B1" w:rsidRPr="00C42502" w:rsidRDefault="00C074B1" w:rsidP="00A12328">
            <w:pPr>
              <w:pStyle w:val="In-tableHeading"/>
              <w:jc w:val="center"/>
              <w:rPr>
                <w:lang w:val="en-AU"/>
              </w:rPr>
            </w:pPr>
            <w:r w:rsidRPr="00C42502">
              <w:rPr>
                <w:lang w:val="en-AU"/>
              </w:rPr>
              <w:t>Placebo</w:t>
            </w:r>
          </w:p>
        </w:tc>
      </w:tr>
      <w:tr w:rsidR="00DA15E0" w:rsidRPr="001A4CDD" w14:paraId="0C7B13BC" w14:textId="77777777" w:rsidTr="00DA15E0">
        <w:tc>
          <w:tcPr>
            <w:tcW w:w="780" w:type="pct"/>
            <w:tcBorders>
              <w:top w:val="single" w:sz="4" w:space="0" w:color="auto"/>
              <w:left w:val="single" w:sz="4" w:space="0" w:color="auto"/>
              <w:bottom w:val="single" w:sz="4" w:space="0" w:color="auto"/>
              <w:right w:val="single" w:sz="4" w:space="0" w:color="auto"/>
            </w:tcBorders>
            <w:vAlign w:val="center"/>
          </w:tcPr>
          <w:p w14:paraId="62A8AD10" w14:textId="77777777" w:rsidR="00C074B1" w:rsidRPr="001A4CDD" w:rsidRDefault="00C074B1" w:rsidP="00A12328">
            <w:pPr>
              <w:pStyle w:val="TableText0"/>
            </w:pPr>
            <w:r w:rsidRPr="001A4CDD">
              <w:t xml:space="preserve">Any AE </w:t>
            </w:r>
          </w:p>
        </w:tc>
        <w:tc>
          <w:tcPr>
            <w:tcW w:w="626" w:type="pct"/>
            <w:tcBorders>
              <w:top w:val="single" w:sz="4" w:space="0" w:color="auto"/>
              <w:left w:val="single" w:sz="4" w:space="0" w:color="auto"/>
              <w:bottom w:val="single" w:sz="4" w:space="0" w:color="auto"/>
              <w:right w:val="single" w:sz="4" w:space="0" w:color="auto"/>
            </w:tcBorders>
          </w:tcPr>
          <w:p w14:paraId="7C042503" w14:textId="77777777" w:rsidR="00C074B1" w:rsidRPr="001A4CDD" w:rsidRDefault="00C074B1" w:rsidP="00A12328">
            <w:pPr>
              <w:pStyle w:val="TableText0"/>
              <w:jc w:val="center"/>
            </w:pPr>
            <w:r w:rsidRPr="001A4CDD">
              <w:t>140/143</w:t>
            </w:r>
          </w:p>
        </w:tc>
        <w:tc>
          <w:tcPr>
            <w:tcW w:w="469" w:type="pct"/>
            <w:tcBorders>
              <w:top w:val="single" w:sz="4" w:space="0" w:color="auto"/>
              <w:left w:val="single" w:sz="4" w:space="0" w:color="auto"/>
              <w:bottom w:val="single" w:sz="4" w:space="0" w:color="auto"/>
              <w:right w:val="single" w:sz="4" w:space="0" w:color="auto"/>
            </w:tcBorders>
          </w:tcPr>
          <w:p w14:paraId="460CDB00" w14:textId="77777777" w:rsidR="00C074B1" w:rsidRPr="001A4CDD" w:rsidRDefault="00C074B1" w:rsidP="00A12328">
            <w:pPr>
              <w:pStyle w:val="TableText0"/>
              <w:jc w:val="center"/>
            </w:pPr>
            <w:r w:rsidRPr="001A4CDD">
              <w:t>64/73</w:t>
            </w:r>
          </w:p>
        </w:tc>
        <w:tc>
          <w:tcPr>
            <w:tcW w:w="937" w:type="pct"/>
            <w:tcBorders>
              <w:top w:val="single" w:sz="4" w:space="0" w:color="auto"/>
              <w:left w:val="single" w:sz="4" w:space="0" w:color="auto"/>
              <w:bottom w:val="single" w:sz="4" w:space="0" w:color="auto"/>
              <w:right w:val="single" w:sz="4" w:space="0" w:color="auto"/>
            </w:tcBorders>
            <w:vAlign w:val="center"/>
          </w:tcPr>
          <w:p w14:paraId="2A063D4C" w14:textId="77777777" w:rsidR="00C074B1" w:rsidRPr="00255AC4" w:rsidRDefault="00C074B1" w:rsidP="00A12328">
            <w:pPr>
              <w:pStyle w:val="TableText0"/>
              <w:jc w:val="center"/>
              <w:rPr>
                <w:iCs/>
              </w:rPr>
            </w:pPr>
            <w:r w:rsidRPr="00255AC4">
              <w:rPr>
                <w:iCs/>
              </w:rPr>
              <w:t>1.12 (1.02, 1.22)</w:t>
            </w:r>
          </w:p>
        </w:tc>
        <w:tc>
          <w:tcPr>
            <w:tcW w:w="861" w:type="pct"/>
            <w:tcBorders>
              <w:top w:val="single" w:sz="4" w:space="0" w:color="auto"/>
              <w:left w:val="single" w:sz="4" w:space="0" w:color="auto"/>
              <w:bottom w:val="single" w:sz="4" w:space="0" w:color="auto"/>
              <w:right w:val="single" w:sz="4" w:space="0" w:color="auto"/>
            </w:tcBorders>
            <w:vAlign w:val="center"/>
          </w:tcPr>
          <w:p w14:paraId="763A7307" w14:textId="308BD9EB" w:rsidR="00C074B1" w:rsidRPr="00255AC4" w:rsidRDefault="00C074B1" w:rsidP="00A12328">
            <w:pPr>
              <w:pStyle w:val="TableText0"/>
              <w:jc w:val="center"/>
              <w:rPr>
                <w:iCs/>
              </w:rPr>
            </w:pPr>
            <w:r w:rsidRPr="00255AC4">
              <w:rPr>
                <w:iCs/>
              </w:rPr>
              <w:t xml:space="preserve">0.10 </w:t>
            </w:r>
            <w:r w:rsidR="00DA15E0" w:rsidRPr="00255AC4">
              <w:rPr>
                <w:iCs/>
              </w:rPr>
              <w:t>(</w:t>
            </w:r>
            <w:r w:rsidRPr="00255AC4">
              <w:rPr>
                <w:iCs/>
              </w:rPr>
              <w:t>0.02, 0.18</w:t>
            </w:r>
            <w:r w:rsidR="00DA15E0" w:rsidRPr="00255AC4">
              <w:rPr>
                <w:iCs/>
              </w:rPr>
              <w:t>)</w:t>
            </w:r>
          </w:p>
        </w:tc>
        <w:tc>
          <w:tcPr>
            <w:tcW w:w="705" w:type="pct"/>
            <w:tcBorders>
              <w:top w:val="single" w:sz="4" w:space="0" w:color="auto"/>
              <w:left w:val="single" w:sz="4" w:space="0" w:color="auto"/>
              <w:bottom w:val="single" w:sz="4" w:space="0" w:color="auto"/>
              <w:right w:val="single" w:sz="4" w:space="0" w:color="auto"/>
            </w:tcBorders>
            <w:vAlign w:val="center"/>
          </w:tcPr>
          <w:p w14:paraId="3B5BC031" w14:textId="77777777" w:rsidR="00C074B1" w:rsidRPr="001A4CDD" w:rsidRDefault="00C074B1" w:rsidP="00A12328">
            <w:pPr>
              <w:pStyle w:val="TableText0"/>
              <w:jc w:val="center"/>
            </w:pPr>
            <w:r w:rsidRPr="001A4CDD">
              <w:t>97.9</w:t>
            </w:r>
          </w:p>
        </w:tc>
        <w:tc>
          <w:tcPr>
            <w:tcW w:w="622" w:type="pct"/>
            <w:tcBorders>
              <w:top w:val="single" w:sz="4" w:space="0" w:color="auto"/>
              <w:left w:val="single" w:sz="4" w:space="0" w:color="auto"/>
              <w:bottom w:val="single" w:sz="4" w:space="0" w:color="auto"/>
              <w:right w:val="single" w:sz="4" w:space="0" w:color="auto"/>
            </w:tcBorders>
            <w:vAlign w:val="center"/>
          </w:tcPr>
          <w:p w14:paraId="3691A531" w14:textId="6E2C723A" w:rsidR="00C074B1" w:rsidRPr="001A4CDD" w:rsidRDefault="00C074B1" w:rsidP="00A12328">
            <w:pPr>
              <w:pStyle w:val="TableText0"/>
              <w:jc w:val="center"/>
            </w:pPr>
            <w:r w:rsidRPr="001A4CDD">
              <w:t>87.7</w:t>
            </w:r>
          </w:p>
        </w:tc>
      </w:tr>
      <w:tr w:rsidR="00DA15E0" w:rsidRPr="001A4CDD" w14:paraId="7F028C04" w14:textId="77777777" w:rsidTr="00DA15E0">
        <w:tc>
          <w:tcPr>
            <w:tcW w:w="780" w:type="pct"/>
            <w:tcBorders>
              <w:top w:val="single" w:sz="4" w:space="0" w:color="auto"/>
              <w:left w:val="single" w:sz="4" w:space="0" w:color="auto"/>
              <w:bottom w:val="single" w:sz="4" w:space="0" w:color="auto"/>
              <w:right w:val="single" w:sz="4" w:space="0" w:color="auto"/>
            </w:tcBorders>
            <w:vAlign w:val="center"/>
          </w:tcPr>
          <w:p w14:paraId="68B0B8FC" w14:textId="77777777" w:rsidR="00C074B1" w:rsidRPr="001A4CDD" w:rsidRDefault="00C074B1" w:rsidP="00A12328">
            <w:pPr>
              <w:pStyle w:val="TableText0"/>
            </w:pPr>
            <w:r w:rsidRPr="001A4CDD">
              <w:t>Diarrhoea</w:t>
            </w:r>
          </w:p>
        </w:tc>
        <w:tc>
          <w:tcPr>
            <w:tcW w:w="626" w:type="pct"/>
            <w:tcBorders>
              <w:top w:val="single" w:sz="4" w:space="0" w:color="auto"/>
              <w:left w:val="single" w:sz="4" w:space="0" w:color="auto"/>
              <w:bottom w:val="single" w:sz="4" w:space="0" w:color="auto"/>
              <w:right w:val="single" w:sz="4" w:space="0" w:color="auto"/>
            </w:tcBorders>
          </w:tcPr>
          <w:p w14:paraId="5EB58365" w14:textId="77777777" w:rsidR="00C074B1" w:rsidRPr="001A4CDD" w:rsidRDefault="00C074B1" w:rsidP="00A12328">
            <w:pPr>
              <w:pStyle w:val="TableText0"/>
              <w:jc w:val="center"/>
            </w:pPr>
            <w:r w:rsidRPr="001A4CDD">
              <w:t>51/143</w:t>
            </w:r>
          </w:p>
        </w:tc>
        <w:tc>
          <w:tcPr>
            <w:tcW w:w="469" w:type="pct"/>
            <w:tcBorders>
              <w:top w:val="single" w:sz="4" w:space="0" w:color="auto"/>
              <w:left w:val="single" w:sz="4" w:space="0" w:color="auto"/>
              <w:bottom w:val="single" w:sz="4" w:space="0" w:color="auto"/>
              <w:right w:val="single" w:sz="4" w:space="0" w:color="auto"/>
            </w:tcBorders>
          </w:tcPr>
          <w:p w14:paraId="747EB073" w14:textId="77777777" w:rsidR="00C074B1" w:rsidRPr="001A4CDD" w:rsidRDefault="00C074B1" w:rsidP="00A12328">
            <w:pPr>
              <w:pStyle w:val="TableText0"/>
              <w:jc w:val="center"/>
            </w:pPr>
            <w:r w:rsidRPr="001A4CDD">
              <w:t>10/73</w:t>
            </w:r>
          </w:p>
        </w:tc>
        <w:tc>
          <w:tcPr>
            <w:tcW w:w="937" w:type="pct"/>
            <w:tcBorders>
              <w:top w:val="single" w:sz="4" w:space="0" w:color="auto"/>
              <w:left w:val="single" w:sz="4" w:space="0" w:color="auto"/>
              <w:bottom w:val="single" w:sz="4" w:space="0" w:color="auto"/>
              <w:right w:val="single" w:sz="4" w:space="0" w:color="auto"/>
            </w:tcBorders>
            <w:vAlign w:val="center"/>
          </w:tcPr>
          <w:p w14:paraId="279C2AEB" w14:textId="77777777" w:rsidR="00C074B1" w:rsidRPr="00255AC4" w:rsidRDefault="00C074B1" w:rsidP="00A12328">
            <w:pPr>
              <w:pStyle w:val="TableText0"/>
              <w:jc w:val="center"/>
              <w:rPr>
                <w:iCs/>
              </w:rPr>
            </w:pPr>
            <w:r w:rsidRPr="00255AC4">
              <w:rPr>
                <w:iCs/>
              </w:rPr>
              <w:t>2.60 (1.41, 4.82)</w:t>
            </w:r>
          </w:p>
        </w:tc>
        <w:tc>
          <w:tcPr>
            <w:tcW w:w="861" w:type="pct"/>
            <w:tcBorders>
              <w:top w:val="single" w:sz="4" w:space="0" w:color="auto"/>
              <w:left w:val="single" w:sz="4" w:space="0" w:color="auto"/>
              <w:bottom w:val="single" w:sz="4" w:space="0" w:color="auto"/>
              <w:right w:val="single" w:sz="4" w:space="0" w:color="auto"/>
            </w:tcBorders>
            <w:vAlign w:val="center"/>
          </w:tcPr>
          <w:p w14:paraId="3B442829" w14:textId="70C8401F" w:rsidR="00C074B1" w:rsidRPr="00255AC4" w:rsidRDefault="00C074B1" w:rsidP="00A12328">
            <w:pPr>
              <w:pStyle w:val="TableText0"/>
              <w:jc w:val="center"/>
              <w:rPr>
                <w:iCs/>
              </w:rPr>
            </w:pPr>
            <w:r w:rsidRPr="00255AC4">
              <w:rPr>
                <w:iCs/>
              </w:rPr>
              <w:t xml:space="preserve">0.22 </w:t>
            </w:r>
            <w:r w:rsidR="00DA15E0" w:rsidRPr="00255AC4">
              <w:rPr>
                <w:iCs/>
              </w:rPr>
              <w:t>(</w:t>
            </w:r>
            <w:r w:rsidRPr="00255AC4">
              <w:rPr>
                <w:iCs/>
              </w:rPr>
              <w:t>0.11, 0.33</w:t>
            </w:r>
            <w:r w:rsidR="00DA15E0" w:rsidRPr="00255AC4">
              <w:rPr>
                <w:iCs/>
              </w:rPr>
              <w:t>)</w:t>
            </w:r>
          </w:p>
        </w:tc>
        <w:tc>
          <w:tcPr>
            <w:tcW w:w="705" w:type="pct"/>
            <w:tcBorders>
              <w:top w:val="single" w:sz="4" w:space="0" w:color="auto"/>
              <w:left w:val="single" w:sz="4" w:space="0" w:color="auto"/>
              <w:bottom w:val="single" w:sz="4" w:space="0" w:color="auto"/>
              <w:right w:val="single" w:sz="4" w:space="0" w:color="auto"/>
            </w:tcBorders>
            <w:vAlign w:val="center"/>
          </w:tcPr>
          <w:p w14:paraId="40C57474" w14:textId="77777777" w:rsidR="00C074B1" w:rsidRPr="001A4CDD" w:rsidRDefault="00C074B1" w:rsidP="00A12328">
            <w:pPr>
              <w:pStyle w:val="TableText0"/>
              <w:jc w:val="center"/>
            </w:pPr>
            <w:r w:rsidRPr="001A4CDD">
              <w:t>35.7</w:t>
            </w:r>
          </w:p>
        </w:tc>
        <w:tc>
          <w:tcPr>
            <w:tcW w:w="622" w:type="pct"/>
            <w:tcBorders>
              <w:top w:val="single" w:sz="4" w:space="0" w:color="auto"/>
              <w:left w:val="single" w:sz="4" w:space="0" w:color="auto"/>
              <w:bottom w:val="single" w:sz="4" w:space="0" w:color="auto"/>
              <w:right w:val="single" w:sz="4" w:space="0" w:color="auto"/>
            </w:tcBorders>
            <w:vAlign w:val="center"/>
          </w:tcPr>
          <w:p w14:paraId="23834BE0" w14:textId="2ED0EE08" w:rsidR="00C074B1" w:rsidRPr="001A4CDD" w:rsidRDefault="00C074B1" w:rsidP="00A12328">
            <w:pPr>
              <w:pStyle w:val="TableText0"/>
              <w:jc w:val="center"/>
            </w:pPr>
            <w:r w:rsidRPr="001A4CDD">
              <w:t>13.7</w:t>
            </w:r>
          </w:p>
        </w:tc>
      </w:tr>
      <w:tr w:rsidR="00DA15E0" w:rsidRPr="001A4CDD" w14:paraId="6F8B0914" w14:textId="77777777" w:rsidTr="00DA15E0">
        <w:tc>
          <w:tcPr>
            <w:tcW w:w="780" w:type="pct"/>
            <w:tcBorders>
              <w:top w:val="single" w:sz="4" w:space="0" w:color="auto"/>
              <w:left w:val="single" w:sz="4" w:space="0" w:color="auto"/>
              <w:bottom w:val="single" w:sz="4" w:space="0" w:color="auto"/>
              <w:right w:val="single" w:sz="4" w:space="0" w:color="auto"/>
            </w:tcBorders>
            <w:vAlign w:val="center"/>
          </w:tcPr>
          <w:p w14:paraId="1FC265C6" w14:textId="77777777" w:rsidR="00C074B1" w:rsidRPr="001A4CDD" w:rsidDel="003B7102" w:rsidRDefault="00C074B1" w:rsidP="00A12328">
            <w:pPr>
              <w:pStyle w:val="TableText0"/>
            </w:pPr>
            <w:r w:rsidRPr="001A4CDD">
              <w:t>Paronychia</w:t>
            </w:r>
          </w:p>
        </w:tc>
        <w:tc>
          <w:tcPr>
            <w:tcW w:w="626" w:type="pct"/>
            <w:tcBorders>
              <w:top w:val="single" w:sz="4" w:space="0" w:color="auto"/>
              <w:left w:val="single" w:sz="4" w:space="0" w:color="auto"/>
              <w:bottom w:val="single" w:sz="4" w:space="0" w:color="auto"/>
              <w:right w:val="single" w:sz="4" w:space="0" w:color="auto"/>
            </w:tcBorders>
          </w:tcPr>
          <w:p w14:paraId="7FC71B31" w14:textId="77777777" w:rsidR="00C074B1" w:rsidRPr="001A4CDD" w:rsidDel="003B7102" w:rsidRDefault="00C074B1" w:rsidP="00A12328">
            <w:pPr>
              <w:pStyle w:val="TableText0"/>
              <w:jc w:val="center"/>
            </w:pPr>
            <w:r w:rsidRPr="001A4CDD">
              <w:t>24/143</w:t>
            </w:r>
          </w:p>
        </w:tc>
        <w:tc>
          <w:tcPr>
            <w:tcW w:w="469" w:type="pct"/>
            <w:tcBorders>
              <w:top w:val="single" w:sz="4" w:space="0" w:color="auto"/>
              <w:left w:val="single" w:sz="4" w:space="0" w:color="auto"/>
              <w:bottom w:val="single" w:sz="4" w:space="0" w:color="auto"/>
              <w:right w:val="single" w:sz="4" w:space="0" w:color="auto"/>
            </w:tcBorders>
          </w:tcPr>
          <w:p w14:paraId="146B24D5" w14:textId="77777777" w:rsidR="00C074B1" w:rsidRPr="001A4CDD" w:rsidDel="003B7102" w:rsidRDefault="00C074B1" w:rsidP="00A12328">
            <w:pPr>
              <w:pStyle w:val="TableText0"/>
              <w:jc w:val="center"/>
            </w:pPr>
            <w:r w:rsidRPr="001A4CDD">
              <w:t>1/73</w:t>
            </w:r>
          </w:p>
        </w:tc>
        <w:tc>
          <w:tcPr>
            <w:tcW w:w="937" w:type="pct"/>
            <w:tcBorders>
              <w:top w:val="single" w:sz="4" w:space="0" w:color="auto"/>
              <w:left w:val="single" w:sz="4" w:space="0" w:color="auto"/>
              <w:bottom w:val="single" w:sz="4" w:space="0" w:color="auto"/>
              <w:right w:val="single" w:sz="4" w:space="0" w:color="auto"/>
            </w:tcBorders>
            <w:vAlign w:val="center"/>
          </w:tcPr>
          <w:p w14:paraId="2CA0546B" w14:textId="35749F9D" w:rsidR="00C074B1" w:rsidRPr="00255AC4" w:rsidDel="003B7102" w:rsidRDefault="00C074B1" w:rsidP="00A12328">
            <w:pPr>
              <w:pStyle w:val="TableText0"/>
              <w:jc w:val="center"/>
              <w:rPr>
                <w:iCs/>
              </w:rPr>
            </w:pPr>
            <w:r w:rsidRPr="00255AC4">
              <w:rPr>
                <w:iCs/>
              </w:rPr>
              <w:t xml:space="preserve">12.25 </w:t>
            </w:r>
            <w:r w:rsidR="00DA15E0" w:rsidRPr="00255AC4">
              <w:rPr>
                <w:iCs/>
              </w:rPr>
              <w:t>(</w:t>
            </w:r>
            <w:r w:rsidRPr="00255AC4">
              <w:rPr>
                <w:iCs/>
              </w:rPr>
              <w:t>1.69, 88.77</w:t>
            </w:r>
            <w:r w:rsidR="00DA15E0" w:rsidRPr="00255AC4">
              <w:rPr>
                <w:iCs/>
              </w:rPr>
              <w:t>)</w:t>
            </w:r>
          </w:p>
        </w:tc>
        <w:tc>
          <w:tcPr>
            <w:tcW w:w="861" w:type="pct"/>
            <w:tcBorders>
              <w:top w:val="single" w:sz="4" w:space="0" w:color="auto"/>
              <w:left w:val="single" w:sz="4" w:space="0" w:color="auto"/>
              <w:bottom w:val="single" w:sz="4" w:space="0" w:color="auto"/>
              <w:right w:val="single" w:sz="4" w:space="0" w:color="auto"/>
            </w:tcBorders>
            <w:vAlign w:val="center"/>
          </w:tcPr>
          <w:p w14:paraId="6D70C6EF" w14:textId="10EF0B5F" w:rsidR="00C074B1" w:rsidRPr="00255AC4" w:rsidDel="003B7102" w:rsidRDefault="00C074B1" w:rsidP="00A12328">
            <w:pPr>
              <w:pStyle w:val="TableText0"/>
              <w:jc w:val="center"/>
              <w:rPr>
                <w:iCs/>
              </w:rPr>
            </w:pPr>
            <w:r w:rsidRPr="00255AC4">
              <w:rPr>
                <w:iCs/>
              </w:rPr>
              <w:t xml:space="preserve">0.15 </w:t>
            </w:r>
            <w:r w:rsidR="00DA15E0" w:rsidRPr="00255AC4">
              <w:rPr>
                <w:iCs/>
              </w:rPr>
              <w:t>(</w:t>
            </w:r>
            <w:r w:rsidRPr="00255AC4">
              <w:rPr>
                <w:iCs/>
              </w:rPr>
              <w:t>0.09, 0.22</w:t>
            </w:r>
            <w:r w:rsidR="00DA15E0" w:rsidRPr="00255AC4">
              <w:rPr>
                <w:iCs/>
              </w:rPr>
              <w:t>)</w:t>
            </w:r>
          </w:p>
        </w:tc>
        <w:tc>
          <w:tcPr>
            <w:tcW w:w="705" w:type="pct"/>
            <w:tcBorders>
              <w:top w:val="single" w:sz="4" w:space="0" w:color="auto"/>
              <w:left w:val="single" w:sz="4" w:space="0" w:color="auto"/>
              <w:bottom w:val="single" w:sz="4" w:space="0" w:color="auto"/>
              <w:right w:val="single" w:sz="4" w:space="0" w:color="auto"/>
            </w:tcBorders>
            <w:vAlign w:val="center"/>
          </w:tcPr>
          <w:p w14:paraId="1A8CAA93" w14:textId="77777777" w:rsidR="00C074B1" w:rsidRPr="001A4CDD" w:rsidDel="003B7102" w:rsidRDefault="00C074B1" w:rsidP="00A12328">
            <w:pPr>
              <w:pStyle w:val="TableText0"/>
              <w:jc w:val="center"/>
            </w:pPr>
            <w:r w:rsidRPr="001A4CDD">
              <w:t>16.8</w:t>
            </w:r>
          </w:p>
        </w:tc>
        <w:tc>
          <w:tcPr>
            <w:tcW w:w="622" w:type="pct"/>
            <w:tcBorders>
              <w:top w:val="single" w:sz="4" w:space="0" w:color="auto"/>
              <w:left w:val="single" w:sz="4" w:space="0" w:color="auto"/>
              <w:bottom w:val="single" w:sz="4" w:space="0" w:color="auto"/>
              <w:right w:val="single" w:sz="4" w:space="0" w:color="auto"/>
            </w:tcBorders>
            <w:vAlign w:val="center"/>
          </w:tcPr>
          <w:p w14:paraId="6F1ABB29" w14:textId="12D5B0B1" w:rsidR="00C074B1" w:rsidRPr="001A4CDD" w:rsidDel="003B7102" w:rsidRDefault="00C074B1" w:rsidP="00A12328">
            <w:pPr>
              <w:pStyle w:val="TableText0"/>
              <w:jc w:val="center"/>
            </w:pPr>
            <w:r w:rsidRPr="001A4CDD">
              <w:t>1.4</w:t>
            </w:r>
          </w:p>
        </w:tc>
      </w:tr>
      <w:tr w:rsidR="00DA15E0" w:rsidRPr="001A4CDD" w14:paraId="6DA23FEB" w14:textId="77777777" w:rsidTr="00DA15E0">
        <w:tc>
          <w:tcPr>
            <w:tcW w:w="780" w:type="pct"/>
            <w:tcBorders>
              <w:top w:val="single" w:sz="4" w:space="0" w:color="auto"/>
              <w:left w:val="single" w:sz="4" w:space="0" w:color="auto"/>
              <w:bottom w:val="single" w:sz="4" w:space="0" w:color="auto"/>
              <w:right w:val="single" w:sz="4" w:space="0" w:color="auto"/>
            </w:tcBorders>
            <w:vAlign w:val="center"/>
          </w:tcPr>
          <w:p w14:paraId="43E847C4" w14:textId="77777777" w:rsidR="00C074B1" w:rsidRPr="001A4CDD" w:rsidDel="003B7102" w:rsidRDefault="00C074B1" w:rsidP="00A12328">
            <w:pPr>
              <w:pStyle w:val="TableText0"/>
            </w:pPr>
            <w:r w:rsidRPr="001A4CDD">
              <w:t>Stomatitis</w:t>
            </w:r>
          </w:p>
        </w:tc>
        <w:tc>
          <w:tcPr>
            <w:tcW w:w="626" w:type="pct"/>
            <w:tcBorders>
              <w:top w:val="single" w:sz="4" w:space="0" w:color="auto"/>
              <w:left w:val="single" w:sz="4" w:space="0" w:color="auto"/>
              <w:bottom w:val="single" w:sz="4" w:space="0" w:color="auto"/>
              <w:right w:val="single" w:sz="4" w:space="0" w:color="auto"/>
            </w:tcBorders>
          </w:tcPr>
          <w:p w14:paraId="4115FBA7" w14:textId="77777777" w:rsidR="00C074B1" w:rsidRPr="001A4CDD" w:rsidDel="003B7102" w:rsidRDefault="00C074B1" w:rsidP="00A12328">
            <w:pPr>
              <w:pStyle w:val="TableText0"/>
              <w:jc w:val="center"/>
            </w:pPr>
            <w:r w:rsidRPr="001A4CDD">
              <w:t>17/143</w:t>
            </w:r>
          </w:p>
        </w:tc>
        <w:tc>
          <w:tcPr>
            <w:tcW w:w="469" w:type="pct"/>
            <w:tcBorders>
              <w:top w:val="single" w:sz="4" w:space="0" w:color="auto"/>
              <w:left w:val="single" w:sz="4" w:space="0" w:color="auto"/>
              <w:bottom w:val="single" w:sz="4" w:space="0" w:color="auto"/>
              <w:right w:val="single" w:sz="4" w:space="0" w:color="auto"/>
            </w:tcBorders>
          </w:tcPr>
          <w:p w14:paraId="0363FA28" w14:textId="77777777" w:rsidR="00C074B1" w:rsidRPr="001A4CDD" w:rsidDel="003B7102" w:rsidRDefault="00C074B1" w:rsidP="00A12328">
            <w:pPr>
              <w:pStyle w:val="TableText0"/>
              <w:jc w:val="center"/>
            </w:pPr>
            <w:r w:rsidRPr="001A4CDD">
              <w:t>2/73</w:t>
            </w:r>
          </w:p>
        </w:tc>
        <w:tc>
          <w:tcPr>
            <w:tcW w:w="937" w:type="pct"/>
            <w:tcBorders>
              <w:top w:val="single" w:sz="4" w:space="0" w:color="auto"/>
              <w:left w:val="single" w:sz="4" w:space="0" w:color="auto"/>
              <w:bottom w:val="single" w:sz="4" w:space="0" w:color="auto"/>
              <w:right w:val="single" w:sz="4" w:space="0" w:color="auto"/>
            </w:tcBorders>
            <w:vAlign w:val="center"/>
          </w:tcPr>
          <w:p w14:paraId="4E887423" w14:textId="1114B47D" w:rsidR="00C074B1" w:rsidRPr="00255AC4" w:rsidDel="003B7102" w:rsidRDefault="00C074B1" w:rsidP="00A12328">
            <w:pPr>
              <w:pStyle w:val="TableText0"/>
              <w:jc w:val="center"/>
              <w:rPr>
                <w:iCs/>
              </w:rPr>
            </w:pPr>
            <w:r w:rsidRPr="00255AC4">
              <w:rPr>
                <w:iCs/>
              </w:rPr>
              <w:t xml:space="preserve">4.34 </w:t>
            </w:r>
            <w:r w:rsidR="00DA15E0" w:rsidRPr="00255AC4">
              <w:rPr>
                <w:iCs/>
              </w:rPr>
              <w:t>(</w:t>
            </w:r>
            <w:r w:rsidRPr="00255AC4">
              <w:rPr>
                <w:iCs/>
              </w:rPr>
              <w:t>1.03, 18.27</w:t>
            </w:r>
            <w:r w:rsidR="00DA15E0" w:rsidRPr="00255AC4">
              <w:rPr>
                <w:iCs/>
              </w:rPr>
              <w:t>)</w:t>
            </w:r>
          </w:p>
        </w:tc>
        <w:tc>
          <w:tcPr>
            <w:tcW w:w="861" w:type="pct"/>
            <w:tcBorders>
              <w:top w:val="single" w:sz="4" w:space="0" w:color="auto"/>
              <w:left w:val="single" w:sz="4" w:space="0" w:color="auto"/>
              <w:bottom w:val="single" w:sz="4" w:space="0" w:color="auto"/>
              <w:right w:val="single" w:sz="4" w:space="0" w:color="auto"/>
            </w:tcBorders>
            <w:vAlign w:val="center"/>
          </w:tcPr>
          <w:p w14:paraId="2D8084C2" w14:textId="47B4317E" w:rsidR="00C074B1" w:rsidRPr="00255AC4" w:rsidDel="003B7102" w:rsidRDefault="00C074B1" w:rsidP="00A12328">
            <w:pPr>
              <w:pStyle w:val="TableText0"/>
              <w:jc w:val="center"/>
              <w:rPr>
                <w:iCs/>
              </w:rPr>
            </w:pPr>
            <w:r w:rsidRPr="00255AC4">
              <w:rPr>
                <w:iCs/>
              </w:rPr>
              <w:t xml:space="preserve">0.09 </w:t>
            </w:r>
            <w:r w:rsidR="00DA15E0" w:rsidRPr="00255AC4">
              <w:rPr>
                <w:iCs/>
              </w:rPr>
              <w:t>(</w:t>
            </w:r>
            <w:r w:rsidRPr="00255AC4">
              <w:rPr>
                <w:iCs/>
              </w:rPr>
              <w:t>0.03, 0.16</w:t>
            </w:r>
            <w:r w:rsidR="00DA15E0" w:rsidRPr="00255AC4">
              <w:rPr>
                <w:iCs/>
              </w:rPr>
              <w:t>)</w:t>
            </w:r>
          </w:p>
        </w:tc>
        <w:tc>
          <w:tcPr>
            <w:tcW w:w="705" w:type="pct"/>
            <w:tcBorders>
              <w:top w:val="single" w:sz="4" w:space="0" w:color="auto"/>
              <w:left w:val="single" w:sz="4" w:space="0" w:color="auto"/>
              <w:bottom w:val="single" w:sz="4" w:space="0" w:color="auto"/>
              <w:right w:val="single" w:sz="4" w:space="0" w:color="auto"/>
            </w:tcBorders>
            <w:vAlign w:val="center"/>
          </w:tcPr>
          <w:p w14:paraId="3671D11B" w14:textId="77777777" w:rsidR="00C074B1" w:rsidRPr="001A4CDD" w:rsidDel="003B7102" w:rsidRDefault="00C074B1" w:rsidP="00A12328">
            <w:pPr>
              <w:pStyle w:val="TableText0"/>
              <w:jc w:val="center"/>
            </w:pPr>
            <w:r w:rsidRPr="001A4CDD">
              <w:t>11.9</w:t>
            </w:r>
          </w:p>
        </w:tc>
        <w:tc>
          <w:tcPr>
            <w:tcW w:w="622" w:type="pct"/>
            <w:tcBorders>
              <w:top w:val="single" w:sz="4" w:space="0" w:color="auto"/>
              <w:left w:val="single" w:sz="4" w:space="0" w:color="auto"/>
              <w:bottom w:val="single" w:sz="4" w:space="0" w:color="auto"/>
              <w:right w:val="single" w:sz="4" w:space="0" w:color="auto"/>
            </w:tcBorders>
            <w:vAlign w:val="center"/>
          </w:tcPr>
          <w:p w14:paraId="6EE54C05" w14:textId="716C6858" w:rsidR="00C074B1" w:rsidRPr="001A4CDD" w:rsidDel="003B7102" w:rsidRDefault="00C074B1" w:rsidP="00A12328">
            <w:pPr>
              <w:pStyle w:val="TableText0"/>
              <w:jc w:val="center"/>
            </w:pPr>
            <w:r w:rsidRPr="001A4CDD">
              <w:t>2.7</w:t>
            </w:r>
          </w:p>
        </w:tc>
      </w:tr>
      <w:tr w:rsidR="00DA15E0" w:rsidRPr="001A4CDD" w14:paraId="06E2E794" w14:textId="77777777" w:rsidTr="00DA15E0">
        <w:tc>
          <w:tcPr>
            <w:tcW w:w="780" w:type="pct"/>
            <w:tcBorders>
              <w:top w:val="single" w:sz="4" w:space="0" w:color="auto"/>
              <w:left w:val="single" w:sz="4" w:space="0" w:color="auto"/>
              <w:bottom w:val="single" w:sz="4" w:space="0" w:color="auto"/>
              <w:right w:val="single" w:sz="4" w:space="0" w:color="auto"/>
            </w:tcBorders>
            <w:vAlign w:val="center"/>
          </w:tcPr>
          <w:p w14:paraId="047B0DFD" w14:textId="77777777" w:rsidR="00C074B1" w:rsidRPr="001A4CDD" w:rsidDel="003B7102" w:rsidRDefault="00C074B1" w:rsidP="00A12328">
            <w:pPr>
              <w:pStyle w:val="TableText0"/>
            </w:pPr>
            <w:r w:rsidRPr="001A4CDD">
              <w:t>White blood cell count decreased</w:t>
            </w:r>
          </w:p>
        </w:tc>
        <w:tc>
          <w:tcPr>
            <w:tcW w:w="626" w:type="pct"/>
            <w:tcBorders>
              <w:top w:val="single" w:sz="4" w:space="0" w:color="auto"/>
              <w:left w:val="single" w:sz="4" w:space="0" w:color="auto"/>
              <w:bottom w:val="single" w:sz="4" w:space="0" w:color="auto"/>
              <w:right w:val="single" w:sz="4" w:space="0" w:color="auto"/>
            </w:tcBorders>
            <w:vAlign w:val="center"/>
          </w:tcPr>
          <w:p w14:paraId="7FD460DF" w14:textId="77777777" w:rsidR="00C074B1" w:rsidRPr="001A4CDD" w:rsidDel="003B7102" w:rsidRDefault="00C074B1" w:rsidP="00A12328">
            <w:pPr>
              <w:pStyle w:val="TableText0"/>
              <w:jc w:val="center"/>
            </w:pPr>
            <w:r w:rsidRPr="001A4CDD">
              <w:t>17/143</w:t>
            </w:r>
          </w:p>
        </w:tc>
        <w:tc>
          <w:tcPr>
            <w:tcW w:w="469" w:type="pct"/>
            <w:tcBorders>
              <w:top w:val="single" w:sz="4" w:space="0" w:color="auto"/>
              <w:left w:val="single" w:sz="4" w:space="0" w:color="auto"/>
              <w:bottom w:val="single" w:sz="4" w:space="0" w:color="auto"/>
              <w:right w:val="single" w:sz="4" w:space="0" w:color="auto"/>
            </w:tcBorders>
            <w:vAlign w:val="center"/>
          </w:tcPr>
          <w:p w14:paraId="11955389" w14:textId="77777777" w:rsidR="00C074B1" w:rsidRPr="001A4CDD" w:rsidDel="003B7102" w:rsidRDefault="00C074B1" w:rsidP="00A12328">
            <w:pPr>
              <w:pStyle w:val="TableText0"/>
              <w:jc w:val="center"/>
            </w:pPr>
            <w:r w:rsidRPr="001A4CDD">
              <w:t>2/73</w:t>
            </w:r>
          </w:p>
        </w:tc>
        <w:tc>
          <w:tcPr>
            <w:tcW w:w="937" w:type="pct"/>
            <w:tcBorders>
              <w:top w:val="single" w:sz="4" w:space="0" w:color="auto"/>
              <w:left w:val="single" w:sz="4" w:space="0" w:color="auto"/>
              <w:bottom w:val="single" w:sz="4" w:space="0" w:color="auto"/>
              <w:right w:val="single" w:sz="4" w:space="0" w:color="auto"/>
            </w:tcBorders>
            <w:vAlign w:val="center"/>
          </w:tcPr>
          <w:p w14:paraId="6E556EE0" w14:textId="203267B2" w:rsidR="00C074B1" w:rsidRPr="00255AC4" w:rsidDel="003B7102" w:rsidRDefault="00C074B1" w:rsidP="00A12328">
            <w:pPr>
              <w:pStyle w:val="TableText0"/>
              <w:jc w:val="center"/>
              <w:rPr>
                <w:iCs/>
              </w:rPr>
            </w:pPr>
            <w:r w:rsidRPr="00255AC4">
              <w:rPr>
                <w:iCs/>
              </w:rPr>
              <w:t xml:space="preserve">4.34 </w:t>
            </w:r>
            <w:r w:rsidR="00DA15E0" w:rsidRPr="00255AC4">
              <w:rPr>
                <w:iCs/>
              </w:rPr>
              <w:t>(</w:t>
            </w:r>
            <w:r w:rsidRPr="00255AC4">
              <w:rPr>
                <w:iCs/>
              </w:rPr>
              <w:t>1.03, 18.27</w:t>
            </w:r>
            <w:r w:rsidR="00DA15E0" w:rsidRPr="00255AC4">
              <w:rPr>
                <w:iCs/>
              </w:rPr>
              <w:t>)</w:t>
            </w:r>
          </w:p>
        </w:tc>
        <w:tc>
          <w:tcPr>
            <w:tcW w:w="861" w:type="pct"/>
            <w:tcBorders>
              <w:top w:val="single" w:sz="4" w:space="0" w:color="auto"/>
              <w:left w:val="single" w:sz="4" w:space="0" w:color="auto"/>
              <w:bottom w:val="single" w:sz="4" w:space="0" w:color="auto"/>
              <w:right w:val="single" w:sz="4" w:space="0" w:color="auto"/>
            </w:tcBorders>
            <w:vAlign w:val="center"/>
          </w:tcPr>
          <w:p w14:paraId="28B26073" w14:textId="04F34A7A" w:rsidR="00C074B1" w:rsidRPr="00255AC4" w:rsidDel="003B7102" w:rsidRDefault="00C074B1" w:rsidP="00A12328">
            <w:pPr>
              <w:pStyle w:val="TableText0"/>
              <w:jc w:val="center"/>
              <w:rPr>
                <w:iCs/>
              </w:rPr>
            </w:pPr>
            <w:r w:rsidRPr="00255AC4">
              <w:rPr>
                <w:iCs/>
              </w:rPr>
              <w:t xml:space="preserve">0.09 </w:t>
            </w:r>
            <w:r w:rsidR="00DA15E0" w:rsidRPr="00255AC4">
              <w:rPr>
                <w:iCs/>
              </w:rPr>
              <w:t>(</w:t>
            </w:r>
            <w:r w:rsidRPr="00255AC4">
              <w:rPr>
                <w:iCs/>
              </w:rPr>
              <w:t>0.03, 0.16</w:t>
            </w:r>
            <w:r w:rsidR="00DA15E0" w:rsidRPr="00255AC4">
              <w:rPr>
                <w:iCs/>
              </w:rPr>
              <w:t>)</w:t>
            </w:r>
          </w:p>
        </w:tc>
        <w:tc>
          <w:tcPr>
            <w:tcW w:w="705" w:type="pct"/>
            <w:tcBorders>
              <w:top w:val="single" w:sz="4" w:space="0" w:color="auto"/>
              <w:left w:val="single" w:sz="4" w:space="0" w:color="auto"/>
              <w:bottom w:val="single" w:sz="4" w:space="0" w:color="auto"/>
              <w:right w:val="single" w:sz="4" w:space="0" w:color="auto"/>
            </w:tcBorders>
            <w:vAlign w:val="center"/>
          </w:tcPr>
          <w:p w14:paraId="5E2ADFA9" w14:textId="77777777" w:rsidR="00C074B1" w:rsidRPr="001A4CDD" w:rsidDel="003B7102" w:rsidRDefault="00C074B1" w:rsidP="00A12328">
            <w:pPr>
              <w:pStyle w:val="TableText0"/>
              <w:jc w:val="center"/>
            </w:pPr>
            <w:r w:rsidRPr="001A4CDD">
              <w:t>11.9</w:t>
            </w:r>
          </w:p>
        </w:tc>
        <w:tc>
          <w:tcPr>
            <w:tcW w:w="622" w:type="pct"/>
            <w:tcBorders>
              <w:top w:val="single" w:sz="4" w:space="0" w:color="auto"/>
              <w:left w:val="single" w:sz="4" w:space="0" w:color="auto"/>
              <w:bottom w:val="single" w:sz="4" w:space="0" w:color="auto"/>
              <w:right w:val="single" w:sz="4" w:space="0" w:color="auto"/>
            </w:tcBorders>
            <w:vAlign w:val="center"/>
          </w:tcPr>
          <w:p w14:paraId="4FC9AC46" w14:textId="18107A73" w:rsidR="00C074B1" w:rsidRPr="001A4CDD" w:rsidDel="003B7102" w:rsidRDefault="00C074B1" w:rsidP="00A12328">
            <w:pPr>
              <w:pStyle w:val="TableText0"/>
              <w:jc w:val="center"/>
            </w:pPr>
            <w:r w:rsidRPr="001A4CDD">
              <w:t>2.7</w:t>
            </w:r>
          </w:p>
        </w:tc>
      </w:tr>
      <w:tr w:rsidR="00DA15E0" w:rsidRPr="001A4CDD" w14:paraId="12B4EA35" w14:textId="77777777" w:rsidTr="00FD6A0D">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81E08" w14:textId="56F6ADF5" w:rsidR="00DA15E0" w:rsidRPr="00255AC4" w:rsidRDefault="00DA15E0" w:rsidP="00A12328">
            <w:pPr>
              <w:pStyle w:val="TableText0"/>
              <w:rPr>
                <w:iCs/>
              </w:rPr>
            </w:pPr>
            <w:r w:rsidRPr="00255AC4">
              <w:rPr>
                <w:b/>
                <w:iCs/>
              </w:rPr>
              <w:t>Grade ≥3 AEs</w:t>
            </w:r>
          </w:p>
        </w:tc>
      </w:tr>
      <w:tr w:rsidR="00DA15E0" w:rsidRPr="001A4CDD" w14:paraId="4D2E35BE" w14:textId="77777777" w:rsidTr="00DA15E0">
        <w:tc>
          <w:tcPr>
            <w:tcW w:w="780" w:type="pct"/>
            <w:tcBorders>
              <w:top w:val="single" w:sz="4" w:space="0" w:color="auto"/>
              <w:left w:val="single" w:sz="4" w:space="0" w:color="auto"/>
              <w:bottom w:val="single" w:sz="4" w:space="0" w:color="auto"/>
              <w:right w:val="single" w:sz="4" w:space="0" w:color="auto"/>
            </w:tcBorders>
            <w:vAlign w:val="center"/>
          </w:tcPr>
          <w:p w14:paraId="4189A9CD" w14:textId="77777777" w:rsidR="00C074B1" w:rsidRPr="001A4CDD" w:rsidRDefault="00C074B1" w:rsidP="00A12328">
            <w:pPr>
              <w:pStyle w:val="TableText0"/>
            </w:pPr>
            <w:r w:rsidRPr="001A4CDD">
              <w:t xml:space="preserve">Any Grade ≥3 </w:t>
            </w:r>
          </w:p>
        </w:tc>
        <w:tc>
          <w:tcPr>
            <w:tcW w:w="626" w:type="pct"/>
            <w:tcBorders>
              <w:top w:val="single" w:sz="4" w:space="0" w:color="auto"/>
              <w:left w:val="single" w:sz="4" w:space="0" w:color="auto"/>
              <w:bottom w:val="single" w:sz="4" w:space="0" w:color="auto"/>
              <w:right w:val="single" w:sz="4" w:space="0" w:color="auto"/>
            </w:tcBorders>
          </w:tcPr>
          <w:p w14:paraId="5944004D" w14:textId="77777777" w:rsidR="00C074B1" w:rsidRPr="001A4CDD" w:rsidRDefault="00C074B1" w:rsidP="00A12328">
            <w:pPr>
              <w:pStyle w:val="TableText0"/>
              <w:jc w:val="center"/>
            </w:pPr>
            <w:r w:rsidRPr="001A4CDD">
              <w:t>50/143</w:t>
            </w:r>
          </w:p>
        </w:tc>
        <w:tc>
          <w:tcPr>
            <w:tcW w:w="469" w:type="pct"/>
            <w:tcBorders>
              <w:top w:val="single" w:sz="4" w:space="0" w:color="auto"/>
              <w:left w:val="single" w:sz="4" w:space="0" w:color="auto"/>
              <w:bottom w:val="single" w:sz="4" w:space="0" w:color="auto"/>
              <w:right w:val="single" w:sz="4" w:space="0" w:color="auto"/>
            </w:tcBorders>
          </w:tcPr>
          <w:p w14:paraId="20CC7A38" w14:textId="77777777" w:rsidR="00C074B1" w:rsidRPr="001A4CDD" w:rsidRDefault="00C074B1" w:rsidP="00A12328">
            <w:pPr>
              <w:pStyle w:val="TableText0"/>
              <w:jc w:val="center"/>
            </w:pPr>
            <w:r w:rsidRPr="001A4CDD">
              <w:t>9/73</w:t>
            </w:r>
          </w:p>
        </w:tc>
        <w:tc>
          <w:tcPr>
            <w:tcW w:w="937" w:type="pct"/>
            <w:tcBorders>
              <w:top w:val="single" w:sz="4" w:space="0" w:color="auto"/>
              <w:left w:val="single" w:sz="4" w:space="0" w:color="auto"/>
              <w:bottom w:val="single" w:sz="4" w:space="0" w:color="auto"/>
              <w:right w:val="single" w:sz="4" w:space="0" w:color="auto"/>
            </w:tcBorders>
            <w:vAlign w:val="center"/>
          </w:tcPr>
          <w:p w14:paraId="6B18CCE3" w14:textId="77777777" w:rsidR="00C074B1" w:rsidRPr="00255AC4" w:rsidRDefault="00C074B1" w:rsidP="00A12328">
            <w:pPr>
              <w:pStyle w:val="TableText0"/>
              <w:jc w:val="center"/>
              <w:rPr>
                <w:iCs/>
              </w:rPr>
            </w:pPr>
            <w:r w:rsidRPr="00255AC4">
              <w:rPr>
                <w:iCs/>
              </w:rPr>
              <w:t>2.84 (1.48, 5.44)</w:t>
            </w:r>
          </w:p>
        </w:tc>
        <w:tc>
          <w:tcPr>
            <w:tcW w:w="861" w:type="pct"/>
            <w:tcBorders>
              <w:top w:val="single" w:sz="4" w:space="0" w:color="auto"/>
              <w:left w:val="single" w:sz="4" w:space="0" w:color="auto"/>
              <w:bottom w:val="single" w:sz="4" w:space="0" w:color="auto"/>
              <w:right w:val="single" w:sz="4" w:space="0" w:color="auto"/>
            </w:tcBorders>
          </w:tcPr>
          <w:p w14:paraId="5F796D90" w14:textId="2B2EE85C" w:rsidR="00C074B1" w:rsidRPr="00255AC4" w:rsidRDefault="00C074B1" w:rsidP="00A12328">
            <w:pPr>
              <w:pStyle w:val="TableText0"/>
              <w:jc w:val="center"/>
              <w:rPr>
                <w:iCs/>
              </w:rPr>
            </w:pPr>
            <w:r w:rsidRPr="00255AC4">
              <w:rPr>
                <w:iCs/>
              </w:rPr>
              <w:t xml:space="preserve">0.23 </w:t>
            </w:r>
            <w:r w:rsidR="00DA15E0" w:rsidRPr="00255AC4">
              <w:rPr>
                <w:iCs/>
              </w:rPr>
              <w:t>(</w:t>
            </w:r>
            <w:r w:rsidRPr="00255AC4">
              <w:rPr>
                <w:iCs/>
              </w:rPr>
              <w:t>0.12, 0.33</w:t>
            </w:r>
            <w:r w:rsidR="00DA15E0" w:rsidRPr="00255AC4">
              <w:rPr>
                <w:iCs/>
              </w:rPr>
              <w:t>)</w:t>
            </w:r>
          </w:p>
        </w:tc>
        <w:tc>
          <w:tcPr>
            <w:tcW w:w="705" w:type="pct"/>
            <w:tcBorders>
              <w:top w:val="single" w:sz="4" w:space="0" w:color="auto"/>
              <w:left w:val="single" w:sz="4" w:space="0" w:color="auto"/>
              <w:bottom w:val="single" w:sz="4" w:space="0" w:color="auto"/>
              <w:right w:val="single" w:sz="4" w:space="0" w:color="auto"/>
            </w:tcBorders>
            <w:vAlign w:val="center"/>
          </w:tcPr>
          <w:p w14:paraId="506D287E" w14:textId="77777777" w:rsidR="00C074B1" w:rsidRPr="001A4CDD" w:rsidRDefault="00C074B1" w:rsidP="00A12328">
            <w:pPr>
              <w:pStyle w:val="TableText0"/>
              <w:jc w:val="center"/>
            </w:pPr>
            <w:r w:rsidRPr="001A4CDD">
              <w:t>35.0</w:t>
            </w:r>
          </w:p>
        </w:tc>
        <w:tc>
          <w:tcPr>
            <w:tcW w:w="622" w:type="pct"/>
            <w:tcBorders>
              <w:top w:val="single" w:sz="4" w:space="0" w:color="auto"/>
              <w:left w:val="single" w:sz="4" w:space="0" w:color="auto"/>
              <w:bottom w:val="single" w:sz="4" w:space="0" w:color="auto"/>
              <w:right w:val="single" w:sz="4" w:space="0" w:color="auto"/>
            </w:tcBorders>
            <w:vAlign w:val="center"/>
          </w:tcPr>
          <w:p w14:paraId="0AB14199" w14:textId="46FBC4A6" w:rsidR="00C074B1" w:rsidRPr="001A4CDD" w:rsidRDefault="00C074B1" w:rsidP="00A12328">
            <w:pPr>
              <w:pStyle w:val="TableText0"/>
              <w:jc w:val="center"/>
            </w:pPr>
            <w:r w:rsidRPr="001A4CDD">
              <w:t>12.3</w:t>
            </w:r>
          </w:p>
        </w:tc>
      </w:tr>
    </w:tbl>
    <w:p w14:paraId="5A9D6FC9" w14:textId="77777777" w:rsidR="00327047" w:rsidRPr="001A4CDD" w:rsidRDefault="00327047" w:rsidP="00A12328">
      <w:pPr>
        <w:pStyle w:val="FooterTableFigure"/>
        <w:rPr>
          <w:sz w:val="20"/>
        </w:rPr>
      </w:pPr>
      <w:r w:rsidRPr="001A4CDD">
        <w:t>Source: Table 2-18, p72, 2-34, p97, 2-31, p94 of the submission}.</w:t>
      </w:r>
    </w:p>
    <w:p w14:paraId="64D66363" w14:textId="4D06C053" w:rsidR="00327047" w:rsidRDefault="00327047" w:rsidP="00A12328">
      <w:pPr>
        <w:pStyle w:val="FooterTableFigure"/>
      </w:pPr>
      <w:r w:rsidRPr="001A4CDD">
        <w:t>AE = adverse event; CI = confidence interval; DCO = data cut-off; HR = hazard ratio; OS = overall survival; PFS = progression free survival; PBO = placebo; RD = risk difference; RR = risk ratio</w:t>
      </w:r>
      <w:r w:rsidR="00FD6A0D">
        <w:t>.</w:t>
      </w:r>
    </w:p>
    <w:p w14:paraId="68512F66" w14:textId="187C1FA5" w:rsidR="00FD6A0D" w:rsidRDefault="00FD6A0D" w:rsidP="00A12328">
      <w:pPr>
        <w:pStyle w:val="FooterTableFigure"/>
      </w:pPr>
      <w:r w:rsidRPr="00D300EB">
        <w:t>Statistically significant results are shown in bold text.</w:t>
      </w:r>
    </w:p>
    <w:p w14:paraId="4FF9A88E" w14:textId="11B9CABB" w:rsidR="00255AC4" w:rsidRPr="001A4CDD" w:rsidRDefault="00255AC4" w:rsidP="00A12328">
      <w:pPr>
        <w:pStyle w:val="FooterTableFigure"/>
      </w:pPr>
      <w:r w:rsidRPr="00255AC4">
        <w:rPr>
          <w:vertAlign w:val="superscript"/>
        </w:rPr>
        <w:t>a</w:t>
      </w:r>
      <w:r>
        <w:t xml:space="preserve"> </w:t>
      </w:r>
      <w:r>
        <w:rPr>
          <w:rStyle w:val="CommentReference"/>
          <w:b w:val="0"/>
          <w:bCs/>
          <w:sz w:val="18"/>
          <w:szCs w:val="18"/>
        </w:rPr>
        <w:t>E</w:t>
      </w:r>
      <w:r w:rsidRPr="001A4CDD">
        <w:rPr>
          <w:rStyle w:val="CommentReference"/>
          <w:b w:val="0"/>
          <w:bCs/>
          <w:sz w:val="18"/>
          <w:szCs w:val="18"/>
        </w:rPr>
        <w:t>stimated during the evaluation.</w:t>
      </w:r>
    </w:p>
    <w:p w14:paraId="0FAFAB74" w14:textId="50ACCDD0" w:rsidR="00327047" w:rsidRPr="001A4CDD" w:rsidRDefault="00255AC4" w:rsidP="00A12328">
      <w:pPr>
        <w:pStyle w:val="FooterTableFigure"/>
      </w:pPr>
      <w:r>
        <w:rPr>
          <w:vertAlign w:val="superscript"/>
        </w:rPr>
        <w:t>b</w:t>
      </w:r>
      <w:r w:rsidR="00327047" w:rsidRPr="001A4CDD">
        <w:t xml:space="preserve"> </w:t>
      </w:r>
      <w:r w:rsidR="00327047" w:rsidRPr="001A4CDD">
        <w:rPr>
          <w:szCs w:val="18"/>
        </w:rPr>
        <w:t>Includes AEs with onset date on or after the date of first dose and up to and including the earlier of 28 days following the date of last dose of study medication and the day before the start of subsequent anti-cancer therapy.</w:t>
      </w:r>
    </w:p>
    <w:p w14:paraId="4F31DA32" w14:textId="77777777" w:rsidR="00327047" w:rsidRPr="001A4CDD" w:rsidRDefault="00327047" w:rsidP="00A12328">
      <w:pPr>
        <w:pStyle w:val="3-BodyText"/>
      </w:pPr>
      <w:r w:rsidRPr="001A4CDD">
        <w:t>On the basis of direct evidence presented by the submission, for every 100 patients treated with osimertinib in comparison with placebo (standard of care):</w:t>
      </w:r>
    </w:p>
    <w:p w14:paraId="468C87C1" w14:textId="77777777" w:rsidR="00327047" w:rsidRPr="001A4CDD" w:rsidRDefault="00327047" w:rsidP="00A12328">
      <w:pPr>
        <w:pStyle w:val="ListParagraph"/>
        <w:ind w:left="1134"/>
      </w:pPr>
      <w:r w:rsidRPr="001A4CDD">
        <w:t>Approximately 48 additional patients will remain progression-free after 3 years, however, there would be no difference in overall survival after 4 years;</w:t>
      </w:r>
    </w:p>
    <w:p w14:paraId="51C3CDB5" w14:textId="77777777" w:rsidR="00327047" w:rsidRPr="001A4CDD" w:rsidRDefault="00327047" w:rsidP="00A12328">
      <w:pPr>
        <w:pStyle w:val="ListParagraph"/>
        <w:ind w:left="1134"/>
      </w:pPr>
      <w:r w:rsidRPr="001A4CDD">
        <w:t xml:space="preserve">Approximately 23 more patients would experience a grade </w:t>
      </w:r>
      <w:r w:rsidRPr="001A4CDD">
        <w:rPr>
          <w:rFonts w:cstheme="minorHAnsi"/>
        </w:rPr>
        <w:t>≥</w:t>
      </w:r>
      <w:r w:rsidRPr="001A4CDD">
        <w:t>3 adverse event.</w:t>
      </w:r>
    </w:p>
    <w:p w14:paraId="5FB78ADE" w14:textId="77777777" w:rsidR="00327047" w:rsidRPr="001A4CDD" w:rsidRDefault="00327047" w:rsidP="00A12328">
      <w:pPr>
        <w:pStyle w:val="4-SubsectionHeading"/>
      </w:pPr>
      <w:bookmarkStart w:id="54" w:name="_Toc197514187"/>
      <w:bookmarkStart w:id="55" w:name="_Toc198720639"/>
      <w:r w:rsidRPr="001A4CDD">
        <w:t>Clinical claim</w:t>
      </w:r>
      <w:bookmarkEnd w:id="54"/>
      <w:bookmarkEnd w:id="55"/>
    </w:p>
    <w:p w14:paraId="188EF653" w14:textId="2EB529EB" w:rsidR="00650FFF" w:rsidRPr="00893B3C" w:rsidRDefault="00327047" w:rsidP="00A12328">
      <w:pPr>
        <w:pStyle w:val="3-BodyText"/>
        <w:rPr>
          <w:rFonts w:eastAsia="Calibri"/>
          <w:iCs/>
        </w:rPr>
      </w:pPr>
      <w:bookmarkStart w:id="56" w:name="_Ref201072445"/>
      <w:r w:rsidRPr="001A4CDD">
        <w:rPr>
          <w:rFonts w:eastAsia="Calibri"/>
        </w:rPr>
        <w:t xml:space="preserve">The submission described osimertinib as superior in terms of effectiveness compared with placebo/SoC and with inferior but manageable safety. </w:t>
      </w:r>
      <w:r w:rsidRPr="00F01D9B">
        <w:rPr>
          <w:rFonts w:eastAsia="Calibri"/>
          <w:iCs/>
        </w:rPr>
        <w:t>The</w:t>
      </w:r>
      <w:r w:rsidR="006A2618">
        <w:rPr>
          <w:rFonts w:eastAsia="Calibri"/>
          <w:iCs/>
        </w:rPr>
        <w:t xml:space="preserve"> </w:t>
      </w:r>
      <w:r w:rsidR="006A2618" w:rsidRPr="00893B3C">
        <w:rPr>
          <w:rFonts w:eastAsia="Calibri"/>
          <w:iCs/>
        </w:rPr>
        <w:t>evaluation considered that the</w:t>
      </w:r>
      <w:r w:rsidRPr="00893B3C">
        <w:rPr>
          <w:rFonts w:eastAsia="Calibri"/>
          <w:iCs/>
        </w:rPr>
        <w:t xml:space="preserve"> c</w:t>
      </w:r>
      <w:r w:rsidRPr="00F01D9B">
        <w:rPr>
          <w:rFonts w:eastAsia="Calibri"/>
          <w:iCs/>
        </w:rPr>
        <w:t>onclusions were reasonable with respect to efficacy and safety based on data from</w:t>
      </w:r>
      <w:r w:rsidR="00E322C3">
        <w:rPr>
          <w:rFonts w:eastAsia="Calibri"/>
          <w:iCs/>
        </w:rPr>
        <w:t xml:space="preserve"> the</w:t>
      </w:r>
      <w:r w:rsidRPr="00F01D9B">
        <w:rPr>
          <w:rFonts w:eastAsia="Calibri"/>
          <w:iCs/>
        </w:rPr>
        <w:t xml:space="preserve"> LAURA</w:t>
      </w:r>
      <w:r w:rsidR="00E322C3">
        <w:rPr>
          <w:rFonts w:eastAsia="Calibri"/>
          <w:iCs/>
        </w:rPr>
        <w:t xml:space="preserve"> trial</w:t>
      </w:r>
      <w:r w:rsidRPr="00F01D9B">
        <w:rPr>
          <w:rFonts w:eastAsia="Calibri"/>
          <w:iCs/>
        </w:rPr>
        <w:t>.</w:t>
      </w:r>
      <w:r w:rsidR="008F286B">
        <w:rPr>
          <w:rFonts w:eastAsia="Calibri"/>
          <w:iCs/>
        </w:rPr>
        <w:t xml:space="preserve"> </w:t>
      </w:r>
      <w:r w:rsidR="008F286B" w:rsidRPr="00893B3C">
        <w:rPr>
          <w:rFonts w:eastAsia="Calibri"/>
          <w:iCs/>
        </w:rPr>
        <w:t>The ESC noted that osimertinib</w:t>
      </w:r>
      <w:r w:rsidR="00B13540" w:rsidRPr="00893B3C">
        <w:rPr>
          <w:rFonts w:eastAsia="Calibri"/>
          <w:iCs/>
        </w:rPr>
        <w:t xml:space="preserve"> effectively prolongs PFS, according to</w:t>
      </w:r>
      <w:r w:rsidR="000D482B" w:rsidRPr="00893B3C">
        <w:rPr>
          <w:rFonts w:eastAsia="Calibri"/>
          <w:iCs/>
        </w:rPr>
        <w:t xml:space="preserve"> the </w:t>
      </w:r>
      <w:r w:rsidR="008D69F2" w:rsidRPr="00893B3C">
        <w:rPr>
          <w:rFonts w:eastAsia="Calibri"/>
          <w:iCs/>
        </w:rPr>
        <w:t xml:space="preserve">separation of </w:t>
      </w:r>
      <w:r w:rsidR="009D1165" w:rsidRPr="00893B3C">
        <w:rPr>
          <w:rFonts w:eastAsia="Calibri"/>
          <w:iCs/>
        </w:rPr>
        <w:t>osimertinib and placebo KM curves with an associated HR</w:t>
      </w:r>
      <w:r w:rsidR="00AE421B" w:rsidRPr="00893B3C">
        <w:rPr>
          <w:rFonts w:eastAsia="Calibri"/>
          <w:iCs/>
        </w:rPr>
        <w:t xml:space="preserve"> of </w:t>
      </w:r>
      <w:r w:rsidR="003C3465" w:rsidRPr="00893B3C">
        <w:rPr>
          <w:rFonts w:eastAsia="Calibri"/>
          <w:iCs/>
        </w:rPr>
        <w:t>0.16 (95% CI 0.10, 0.24, p</w:t>
      </w:r>
      <w:r w:rsidR="00786068">
        <w:rPr>
          <w:rFonts w:eastAsia="Calibri"/>
          <w:iCs/>
        </w:rPr>
        <w:t xml:space="preserve"> </w:t>
      </w:r>
      <w:r w:rsidR="003C3465" w:rsidRPr="00893B3C">
        <w:rPr>
          <w:rFonts w:eastAsia="Calibri"/>
          <w:iCs/>
        </w:rPr>
        <w:t>&lt;</w:t>
      </w:r>
      <w:r w:rsidR="004F1438">
        <w:rPr>
          <w:rFonts w:eastAsia="Calibri"/>
          <w:iCs/>
        </w:rPr>
        <w:t xml:space="preserve"> </w:t>
      </w:r>
      <w:r w:rsidR="003C3465" w:rsidRPr="00893B3C">
        <w:rPr>
          <w:rFonts w:eastAsia="Calibri"/>
          <w:iCs/>
        </w:rPr>
        <w:t>0.001).</w:t>
      </w:r>
      <w:r w:rsidRPr="00893B3C">
        <w:rPr>
          <w:rFonts w:eastAsia="Calibri"/>
          <w:iCs/>
        </w:rPr>
        <w:t xml:space="preserve"> </w:t>
      </w:r>
    </w:p>
    <w:p w14:paraId="1F5758FE" w14:textId="7316D00F" w:rsidR="00327047" w:rsidRPr="00893B3C" w:rsidRDefault="00327047" w:rsidP="00A12328">
      <w:pPr>
        <w:pStyle w:val="3-BodyText"/>
        <w:rPr>
          <w:rFonts w:eastAsia="Calibri"/>
          <w:iCs/>
        </w:rPr>
      </w:pPr>
      <w:r w:rsidRPr="003C3465">
        <w:rPr>
          <w:rFonts w:eastAsia="Calibri"/>
          <w:iCs/>
        </w:rPr>
        <w:t>However, important limitations were noted</w:t>
      </w:r>
      <w:r w:rsidR="0007470C" w:rsidRPr="003C3465">
        <w:rPr>
          <w:rFonts w:eastAsia="Calibri"/>
          <w:iCs/>
        </w:rPr>
        <w:t xml:space="preserve"> </w:t>
      </w:r>
      <w:r w:rsidR="0007470C" w:rsidRPr="00893B3C">
        <w:rPr>
          <w:rFonts w:eastAsia="Calibri"/>
          <w:iCs/>
        </w:rPr>
        <w:t>by the evaluation and the ESC</w:t>
      </w:r>
      <w:r w:rsidR="0076666D">
        <w:rPr>
          <w:rFonts w:eastAsia="Calibri"/>
          <w:i/>
        </w:rPr>
        <w:t xml:space="preserve"> </w:t>
      </w:r>
      <w:r w:rsidR="0076666D" w:rsidRPr="00893B3C">
        <w:rPr>
          <w:rFonts w:eastAsia="Calibri"/>
          <w:iCs/>
        </w:rPr>
        <w:t>with respect to OS results from the LAURA trial</w:t>
      </w:r>
      <w:r w:rsidRPr="00893B3C">
        <w:rPr>
          <w:rFonts w:eastAsia="Calibri"/>
          <w:iCs/>
        </w:rPr>
        <w:t>:</w:t>
      </w:r>
      <w:bookmarkEnd w:id="56"/>
      <w:r w:rsidRPr="00893B3C">
        <w:rPr>
          <w:rFonts w:eastAsia="Calibri"/>
          <w:iCs/>
        </w:rPr>
        <w:t xml:space="preserve"> </w:t>
      </w:r>
    </w:p>
    <w:p w14:paraId="682520C2" w14:textId="46D48353" w:rsidR="00F53EE6" w:rsidRPr="00893B3C" w:rsidRDefault="00327047" w:rsidP="00A12328">
      <w:pPr>
        <w:pStyle w:val="ListParagraph"/>
        <w:numPr>
          <w:ilvl w:val="0"/>
          <w:numId w:val="18"/>
        </w:numPr>
        <w:ind w:left="1276" w:hanging="283"/>
        <w:rPr>
          <w:iCs/>
        </w:rPr>
      </w:pPr>
      <w:r w:rsidRPr="00D54271">
        <w:rPr>
          <w:rFonts w:eastAsia="Calibri"/>
          <w:iCs/>
        </w:rPr>
        <w:t xml:space="preserve">OS </w:t>
      </w:r>
      <w:bookmarkStart w:id="57" w:name="_Hlk197532526"/>
      <w:r w:rsidRPr="00D54271">
        <w:rPr>
          <w:rFonts w:eastAsia="Calibri"/>
          <w:iCs/>
        </w:rPr>
        <w:t xml:space="preserve">data from LAURA remained immature at the latest follow up (DCO2: </w:t>
      </w:r>
      <w:r w:rsidR="00FC23C0">
        <w:rPr>
          <w:rFonts w:eastAsia="Calibri"/>
          <w:iCs/>
        </w:rPr>
        <w:br/>
      </w:r>
      <w:r w:rsidRPr="00D54271">
        <w:rPr>
          <w:rFonts w:eastAsia="Calibri"/>
          <w:iCs/>
        </w:rPr>
        <w:t>29 Nov 2024) with OS yet to reach statistical significance (HR 0.67, 95%CI 0.40, 1.14</w:t>
      </w:r>
      <w:r w:rsidR="0023110D" w:rsidRPr="00D54271">
        <w:rPr>
          <w:rFonts w:eastAsia="Calibri"/>
          <w:iCs/>
        </w:rPr>
        <w:t xml:space="preserve">, </w:t>
      </w:r>
      <w:r w:rsidR="0023110D" w:rsidRPr="004908B7">
        <w:rPr>
          <w:rFonts w:eastAsia="Calibri"/>
          <w:iCs/>
        </w:rPr>
        <w:t>p=</w:t>
      </w:r>
      <w:r w:rsidR="00456B1F" w:rsidRPr="004908B7">
        <w:rPr>
          <w:rFonts w:eastAsia="Calibri"/>
          <w:iCs/>
        </w:rPr>
        <w:t>0.140</w:t>
      </w:r>
      <w:r w:rsidRPr="00D54271">
        <w:rPr>
          <w:rFonts w:eastAsia="Calibri"/>
          <w:iCs/>
        </w:rPr>
        <w:t>).</w:t>
      </w:r>
      <w:r w:rsidR="001E6788" w:rsidRPr="00D54271">
        <w:rPr>
          <w:rFonts w:eastAsia="Calibri"/>
          <w:iCs/>
        </w:rPr>
        <w:t xml:space="preserve"> </w:t>
      </w:r>
      <w:r w:rsidR="000727DA" w:rsidRPr="00D54271">
        <w:rPr>
          <w:rFonts w:eastAsia="Calibri"/>
          <w:iCs/>
        </w:rPr>
        <w:t xml:space="preserve">The </w:t>
      </w:r>
      <w:r w:rsidR="001E6788" w:rsidRPr="00D54271">
        <w:rPr>
          <w:iCs/>
        </w:rPr>
        <w:t xml:space="preserve">data </w:t>
      </w:r>
      <w:r w:rsidR="000727DA" w:rsidRPr="00D54271">
        <w:rPr>
          <w:iCs/>
        </w:rPr>
        <w:t>reflected only</w:t>
      </w:r>
      <w:r w:rsidR="001E6788" w:rsidRPr="00D54271">
        <w:rPr>
          <w:iCs/>
        </w:rPr>
        <w:t xml:space="preserve"> 31% maturity (66 of the 216 randomised patients had died).</w:t>
      </w:r>
      <w:r w:rsidRPr="00D54271">
        <w:rPr>
          <w:rFonts w:eastAsia="Calibri"/>
          <w:iCs/>
        </w:rPr>
        <w:t xml:space="preserve"> </w:t>
      </w:r>
      <w:r w:rsidR="009D0C16" w:rsidRPr="00893B3C">
        <w:rPr>
          <w:rFonts w:eastAsia="Calibri"/>
          <w:iCs/>
        </w:rPr>
        <w:t xml:space="preserve">The PSCR stated </w:t>
      </w:r>
      <w:r w:rsidR="001D349A" w:rsidRPr="00893B3C">
        <w:rPr>
          <w:rFonts w:eastAsia="Calibri"/>
          <w:iCs/>
        </w:rPr>
        <w:t>that the substantial improvement in PFS is expected to lead to a statistically significant OS result</w:t>
      </w:r>
      <w:r w:rsidR="004A1D3E" w:rsidRPr="00893B3C">
        <w:rPr>
          <w:rFonts w:eastAsia="Calibri"/>
          <w:iCs/>
        </w:rPr>
        <w:t>. A</w:t>
      </w:r>
      <w:r w:rsidR="00A93CD5" w:rsidRPr="00893B3C">
        <w:rPr>
          <w:rFonts w:eastAsia="Calibri"/>
          <w:iCs/>
        </w:rPr>
        <w:t>t DC</w:t>
      </w:r>
      <w:r w:rsidR="0024566B" w:rsidRPr="00893B3C">
        <w:rPr>
          <w:rFonts w:eastAsia="Calibri"/>
          <w:iCs/>
        </w:rPr>
        <w:t>O</w:t>
      </w:r>
      <w:r w:rsidR="00A93CD5" w:rsidRPr="00893B3C">
        <w:rPr>
          <w:rFonts w:eastAsia="Calibri"/>
          <w:iCs/>
        </w:rPr>
        <w:t>1, with OS data at 20% maturity, the HR was 0.81</w:t>
      </w:r>
      <w:r w:rsidR="00144018" w:rsidRPr="00893B3C">
        <w:rPr>
          <w:rFonts w:eastAsia="Calibri"/>
          <w:iCs/>
        </w:rPr>
        <w:t xml:space="preserve"> (</w:t>
      </w:r>
      <w:r w:rsidR="00441676" w:rsidRPr="00893B3C">
        <w:rPr>
          <w:rFonts w:eastAsia="Calibri"/>
          <w:iCs/>
        </w:rPr>
        <w:t xml:space="preserve">95% CI </w:t>
      </w:r>
      <w:r w:rsidR="00144018" w:rsidRPr="00893B3C">
        <w:rPr>
          <w:rFonts w:eastAsia="Calibri"/>
          <w:iCs/>
        </w:rPr>
        <w:t>0.42, 1.56</w:t>
      </w:r>
      <w:r w:rsidR="00441676" w:rsidRPr="00893B3C">
        <w:rPr>
          <w:rFonts w:eastAsia="Calibri"/>
          <w:iCs/>
        </w:rPr>
        <w:t>, p=0.530</w:t>
      </w:r>
      <w:r w:rsidR="00144018" w:rsidRPr="00893B3C">
        <w:rPr>
          <w:rFonts w:eastAsia="Calibri"/>
          <w:iCs/>
        </w:rPr>
        <w:t>)</w:t>
      </w:r>
      <w:r w:rsidR="00A93CD5" w:rsidRPr="00893B3C">
        <w:rPr>
          <w:rFonts w:eastAsia="Calibri"/>
          <w:iCs/>
        </w:rPr>
        <w:t>. By DCO2, with maturity at 31%, the trend towards</w:t>
      </w:r>
      <w:r w:rsidR="000A04E2" w:rsidRPr="00893B3C">
        <w:rPr>
          <w:rFonts w:eastAsia="Calibri"/>
          <w:iCs/>
        </w:rPr>
        <w:t xml:space="preserve"> an</w:t>
      </w:r>
      <w:r w:rsidR="00A93CD5" w:rsidRPr="00893B3C">
        <w:rPr>
          <w:rFonts w:eastAsia="Calibri"/>
          <w:iCs/>
        </w:rPr>
        <w:t xml:space="preserve"> OS benefit continued, </w:t>
      </w:r>
      <w:r w:rsidR="0030345E" w:rsidRPr="00893B3C">
        <w:rPr>
          <w:rFonts w:eastAsia="Calibri"/>
          <w:iCs/>
        </w:rPr>
        <w:t>reaching a</w:t>
      </w:r>
      <w:r w:rsidR="00A93CD5" w:rsidRPr="00893B3C">
        <w:rPr>
          <w:rFonts w:eastAsia="Calibri"/>
          <w:iCs/>
        </w:rPr>
        <w:t xml:space="preserve"> HR of 0.67</w:t>
      </w:r>
      <w:r w:rsidR="007825FA" w:rsidRPr="007825FA">
        <w:rPr>
          <w:rFonts w:eastAsia="Calibri"/>
          <w:iCs/>
        </w:rPr>
        <w:t>.</w:t>
      </w:r>
      <w:r w:rsidR="007825FA" w:rsidRPr="007825FA" w:rsidDel="00EE546B">
        <w:rPr>
          <w:iCs/>
        </w:rPr>
        <w:t xml:space="preserve"> </w:t>
      </w:r>
      <w:r w:rsidR="007825FA" w:rsidRPr="007825FA">
        <w:rPr>
          <w:iCs/>
        </w:rPr>
        <w:t>While the ESC noted a trend over time suggestive of an OS benefit</w:t>
      </w:r>
      <w:r w:rsidR="007825FA">
        <w:rPr>
          <w:iCs/>
        </w:rPr>
        <w:t xml:space="preserve">, it </w:t>
      </w:r>
      <w:r w:rsidR="009A5088" w:rsidRPr="00893B3C">
        <w:rPr>
          <w:rFonts w:eastAsia="Calibri"/>
          <w:iCs/>
        </w:rPr>
        <w:t xml:space="preserve">considered that </w:t>
      </w:r>
      <w:r w:rsidR="00A018B8" w:rsidRPr="00893B3C">
        <w:rPr>
          <w:rFonts w:eastAsia="Calibri"/>
          <w:iCs/>
        </w:rPr>
        <w:t xml:space="preserve">it </w:t>
      </w:r>
      <w:r w:rsidR="00F33056" w:rsidRPr="00893B3C">
        <w:rPr>
          <w:rFonts w:eastAsia="Calibri"/>
          <w:iCs/>
        </w:rPr>
        <w:t>may</w:t>
      </w:r>
      <w:r w:rsidR="00A018B8" w:rsidRPr="00893B3C">
        <w:rPr>
          <w:rFonts w:eastAsia="Calibri"/>
          <w:iCs/>
        </w:rPr>
        <w:t xml:space="preserve"> be necessary for mature OS data</w:t>
      </w:r>
      <w:r w:rsidR="003A11B0" w:rsidRPr="00893B3C">
        <w:rPr>
          <w:rFonts w:eastAsia="Calibri"/>
          <w:iCs/>
        </w:rPr>
        <w:t xml:space="preserve"> to become available</w:t>
      </w:r>
      <w:r w:rsidR="007323BF" w:rsidRPr="00893B3C">
        <w:rPr>
          <w:rFonts w:eastAsia="Calibri"/>
          <w:iCs/>
        </w:rPr>
        <w:t xml:space="preserve"> to</w:t>
      </w:r>
      <w:r w:rsidR="00562750" w:rsidRPr="00893B3C">
        <w:rPr>
          <w:rFonts w:eastAsia="Calibri"/>
          <w:iCs/>
        </w:rPr>
        <w:t xml:space="preserve"> confirm the benefit of osimertinib in the </w:t>
      </w:r>
      <w:r w:rsidR="00F76D56" w:rsidRPr="00893B3C">
        <w:rPr>
          <w:rFonts w:eastAsia="Calibri"/>
          <w:iCs/>
        </w:rPr>
        <w:t xml:space="preserve">unresectable locally advanced setting </w:t>
      </w:r>
      <w:r w:rsidR="0045446E" w:rsidRPr="00893B3C">
        <w:rPr>
          <w:rFonts w:eastAsia="Calibri"/>
          <w:iCs/>
        </w:rPr>
        <w:t>and</w:t>
      </w:r>
      <w:r w:rsidR="00F76D56" w:rsidRPr="00893B3C">
        <w:rPr>
          <w:rFonts w:eastAsia="Calibri"/>
          <w:iCs/>
        </w:rPr>
        <w:t xml:space="preserve"> </w:t>
      </w:r>
      <w:r w:rsidR="00B4531C" w:rsidRPr="00893B3C">
        <w:rPr>
          <w:rFonts w:eastAsia="Calibri"/>
          <w:iCs/>
        </w:rPr>
        <w:t xml:space="preserve">distinguish between </w:t>
      </w:r>
      <w:r w:rsidR="00197C04" w:rsidRPr="00893B3C">
        <w:rPr>
          <w:rFonts w:eastAsia="Calibri"/>
          <w:iCs/>
        </w:rPr>
        <w:t xml:space="preserve">curative treatment versus suppression of </w:t>
      </w:r>
      <w:r w:rsidR="0072003E" w:rsidRPr="00893B3C">
        <w:rPr>
          <w:rFonts w:eastAsia="Calibri"/>
          <w:iCs/>
        </w:rPr>
        <w:t xml:space="preserve">established </w:t>
      </w:r>
      <w:r w:rsidR="00197C04" w:rsidRPr="00893B3C">
        <w:rPr>
          <w:rFonts w:eastAsia="Calibri"/>
          <w:iCs/>
        </w:rPr>
        <w:t>metastatic disease.</w:t>
      </w:r>
      <w:r w:rsidR="00300717" w:rsidRPr="00893B3C">
        <w:rPr>
          <w:rFonts w:eastAsia="Calibri"/>
          <w:iCs/>
        </w:rPr>
        <w:t xml:space="preserve"> The PSCR stated that </w:t>
      </w:r>
      <w:r w:rsidR="00F33056" w:rsidRPr="00893B3C">
        <w:rPr>
          <w:rFonts w:eastAsia="Calibri"/>
          <w:iCs/>
        </w:rPr>
        <w:t>mature OS data would be available in late 2026.</w:t>
      </w:r>
    </w:p>
    <w:p w14:paraId="4104E083" w14:textId="7F7E93E2" w:rsidR="009745EA" w:rsidRPr="00893B3C" w:rsidRDefault="00DB7EF4" w:rsidP="00A12328">
      <w:pPr>
        <w:pStyle w:val="ListParagraph"/>
        <w:numPr>
          <w:ilvl w:val="0"/>
          <w:numId w:val="18"/>
        </w:numPr>
        <w:ind w:left="1276" w:hanging="283"/>
        <w:rPr>
          <w:iCs/>
        </w:rPr>
      </w:pPr>
      <w:r w:rsidRPr="00893B3C">
        <w:t xml:space="preserve">The KM data from the LAURA trial </w:t>
      </w:r>
      <w:r w:rsidR="00FD0BFF" w:rsidRPr="00893B3C">
        <w:t>indicates</w:t>
      </w:r>
      <w:r w:rsidRPr="00893B3C">
        <w:t xml:space="preserve"> that patients receiving osimertinib experienced a higher rate of death than placebo patients prior to Month 3</w:t>
      </w:r>
      <w:r w:rsidR="0067000B" w:rsidRPr="00893B3C">
        <w:t>1</w:t>
      </w:r>
      <w:r w:rsidR="00FD0BFF" w:rsidRPr="00893B3C">
        <w:t>.</w:t>
      </w:r>
      <w:r w:rsidR="00FD0BFF">
        <w:t xml:space="preserve"> </w:t>
      </w:r>
      <w:r w:rsidR="00CA06E3" w:rsidRPr="00D54271">
        <w:rPr>
          <w:iCs/>
        </w:rPr>
        <w:t>The crossing of KM curves</w:t>
      </w:r>
      <w:r w:rsidR="00B54BBB" w:rsidRPr="00D54271">
        <w:rPr>
          <w:iCs/>
        </w:rPr>
        <w:t xml:space="preserve"> </w:t>
      </w:r>
      <w:r w:rsidR="00B54BBB" w:rsidRPr="00893B3C">
        <w:rPr>
          <w:iCs/>
        </w:rPr>
        <w:t>after Month 3</w:t>
      </w:r>
      <w:r w:rsidR="0067000B" w:rsidRPr="00893B3C">
        <w:rPr>
          <w:iCs/>
        </w:rPr>
        <w:t>1</w:t>
      </w:r>
      <w:r w:rsidR="00CA06E3" w:rsidRPr="00D54271">
        <w:rPr>
          <w:iCs/>
        </w:rPr>
        <w:t xml:space="preserve"> suggests a violation of the proportional hazards assumption. Therefore, the HR should be interpreted cautiously, as it may not reflect time-varying effects. </w:t>
      </w:r>
      <w:bookmarkEnd w:id="57"/>
      <w:r w:rsidR="00C1250A" w:rsidRPr="00893B3C">
        <w:rPr>
          <w:iCs/>
        </w:rPr>
        <w:t>The PSCR stated that there was no</w:t>
      </w:r>
      <w:r w:rsidR="00E64766" w:rsidRPr="00893B3C">
        <w:rPr>
          <w:iCs/>
        </w:rPr>
        <w:t xml:space="preserve"> evidence to suggest that the deaths </w:t>
      </w:r>
      <w:r w:rsidR="00736B17" w:rsidRPr="00893B3C">
        <w:rPr>
          <w:iCs/>
        </w:rPr>
        <w:t>in the osimertinib arm were due to AEs</w:t>
      </w:r>
      <w:r w:rsidR="00C00F5E" w:rsidRPr="00893B3C">
        <w:rPr>
          <w:iCs/>
        </w:rPr>
        <w:t xml:space="preserve"> since the numbers of AEs leading to death was low and comparable between the arms</w:t>
      </w:r>
      <w:r w:rsidR="00350B30" w:rsidRPr="00893B3C">
        <w:rPr>
          <w:iCs/>
        </w:rPr>
        <w:t xml:space="preserve"> (2/28 </w:t>
      </w:r>
      <w:r w:rsidR="005D6D60">
        <w:rPr>
          <w:iCs/>
        </w:rPr>
        <w:t>[</w:t>
      </w:r>
      <w:r w:rsidR="00350B30" w:rsidRPr="00893B3C">
        <w:rPr>
          <w:iCs/>
        </w:rPr>
        <w:t>7%</w:t>
      </w:r>
      <w:r w:rsidR="005D6D60">
        <w:rPr>
          <w:iCs/>
        </w:rPr>
        <w:t>]</w:t>
      </w:r>
      <w:r w:rsidR="00350B30" w:rsidRPr="00893B3C">
        <w:rPr>
          <w:iCs/>
        </w:rPr>
        <w:t xml:space="preserve"> in the </w:t>
      </w:r>
      <w:r w:rsidR="004976E2" w:rsidRPr="00893B3C">
        <w:rPr>
          <w:iCs/>
        </w:rPr>
        <w:t>osimertinib</w:t>
      </w:r>
      <w:r w:rsidR="00350B30" w:rsidRPr="00893B3C">
        <w:rPr>
          <w:iCs/>
        </w:rPr>
        <w:t xml:space="preserve"> arm and 1/15 </w:t>
      </w:r>
      <w:r w:rsidR="005D6D60">
        <w:rPr>
          <w:iCs/>
        </w:rPr>
        <w:t>[</w:t>
      </w:r>
      <w:r w:rsidR="00350B30" w:rsidRPr="00893B3C">
        <w:rPr>
          <w:iCs/>
        </w:rPr>
        <w:t>7%</w:t>
      </w:r>
      <w:r w:rsidR="005D6D60">
        <w:rPr>
          <w:iCs/>
        </w:rPr>
        <w:t>]</w:t>
      </w:r>
      <w:r w:rsidR="00350B30" w:rsidRPr="00893B3C">
        <w:rPr>
          <w:iCs/>
        </w:rPr>
        <w:t xml:space="preserve"> in the placebo arm)</w:t>
      </w:r>
      <w:r w:rsidR="00C00F5E" w:rsidRPr="00893B3C">
        <w:rPr>
          <w:iCs/>
        </w:rPr>
        <w:t>.</w:t>
      </w:r>
      <w:r w:rsidR="00486944" w:rsidRPr="00893B3C">
        <w:rPr>
          <w:iCs/>
        </w:rPr>
        <w:t xml:space="preserve"> Notwithstanding, the ESC considered that </w:t>
      </w:r>
      <w:r w:rsidR="00D60813" w:rsidRPr="00893B3C">
        <w:rPr>
          <w:iCs/>
        </w:rPr>
        <w:t xml:space="preserve">while the toxicity of osimertinib is well known, </w:t>
      </w:r>
      <w:r w:rsidR="00EB6158" w:rsidRPr="00893B3C">
        <w:rPr>
          <w:iCs/>
        </w:rPr>
        <w:t>it</w:t>
      </w:r>
      <w:r w:rsidR="00027A20" w:rsidRPr="00893B3C">
        <w:rPr>
          <w:iCs/>
        </w:rPr>
        <w:t xml:space="preserve"> has inferior safety to placebo and</w:t>
      </w:r>
      <w:r w:rsidR="00EB6158" w:rsidRPr="00893B3C">
        <w:rPr>
          <w:iCs/>
        </w:rPr>
        <w:t xml:space="preserve"> may</w:t>
      </w:r>
      <w:r w:rsidR="00F55B97">
        <w:rPr>
          <w:iCs/>
        </w:rPr>
        <w:t xml:space="preserve"> have</w:t>
      </w:r>
      <w:r w:rsidR="00EB6158" w:rsidRPr="00893B3C">
        <w:rPr>
          <w:iCs/>
        </w:rPr>
        <w:t xml:space="preserve"> </w:t>
      </w:r>
      <w:r w:rsidR="00420376" w:rsidRPr="00893B3C">
        <w:rPr>
          <w:iCs/>
        </w:rPr>
        <w:t>contribute</w:t>
      </w:r>
      <w:r w:rsidR="00F55B97">
        <w:rPr>
          <w:iCs/>
        </w:rPr>
        <w:t>d</w:t>
      </w:r>
      <w:r w:rsidR="00420376" w:rsidRPr="00893B3C">
        <w:rPr>
          <w:iCs/>
        </w:rPr>
        <w:t xml:space="preserve"> to</w:t>
      </w:r>
      <w:r w:rsidR="00E55E9C" w:rsidRPr="00893B3C">
        <w:rPr>
          <w:iCs/>
        </w:rPr>
        <w:t xml:space="preserve"> the </w:t>
      </w:r>
      <w:r w:rsidR="00EB6158" w:rsidRPr="00893B3C">
        <w:rPr>
          <w:iCs/>
        </w:rPr>
        <w:t>violat</w:t>
      </w:r>
      <w:r w:rsidR="00E55E9C" w:rsidRPr="00893B3C">
        <w:rPr>
          <w:iCs/>
        </w:rPr>
        <w:t>ion of</w:t>
      </w:r>
      <w:r w:rsidR="00EB6158" w:rsidRPr="00893B3C">
        <w:rPr>
          <w:iCs/>
        </w:rPr>
        <w:t xml:space="preserve"> the </w:t>
      </w:r>
      <w:r w:rsidR="008D0149" w:rsidRPr="00893B3C">
        <w:rPr>
          <w:iCs/>
        </w:rPr>
        <w:t>proportional hazards for OS.</w:t>
      </w:r>
      <w:r w:rsidR="00C34058" w:rsidRPr="00893B3C">
        <w:rPr>
          <w:iCs/>
        </w:rPr>
        <w:t xml:space="preserve"> </w:t>
      </w:r>
    </w:p>
    <w:p w14:paraId="712E6504" w14:textId="4D86057E" w:rsidR="00382E71" w:rsidRPr="00382E71" w:rsidRDefault="00203503" w:rsidP="00A12328">
      <w:pPr>
        <w:pStyle w:val="3-BodyText"/>
      </w:pPr>
      <w:bookmarkStart w:id="58" w:name="_Ref201150400"/>
      <w:r w:rsidRPr="00893B3C">
        <w:rPr>
          <w:rFonts w:eastAsia="Calibri"/>
        </w:rPr>
        <w:t>Furthermore, the evaluation and the ESC noted that</w:t>
      </w:r>
      <w:r>
        <w:rPr>
          <w:rFonts w:eastAsia="Calibri"/>
        </w:rPr>
        <w:t xml:space="preserve"> t</w:t>
      </w:r>
      <w:r w:rsidR="00327047" w:rsidRPr="00F01D9B">
        <w:rPr>
          <w:rFonts w:eastAsia="Calibri"/>
        </w:rPr>
        <w:t>he results from the trial population may not be generalisable to the Australian population</w:t>
      </w:r>
      <w:r w:rsidR="00BC6BB7" w:rsidRPr="006C33F7">
        <w:rPr>
          <w:rFonts w:eastAsia="Calibri"/>
          <w:iCs/>
        </w:rPr>
        <w:t>:</w:t>
      </w:r>
      <w:bookmarkEnd w:id="58"/>
    </w:p>
    <w:p w14:paraId="6F07D71E" w14:textId="4234D91D" w:rsidR="005A49B5" w:rsidRPr="00955EA2" w:rsidRDefault="00981ADB" w:rsidP="00A12328">
      <w:pPr>
        <w:pStyle w:val="ListParagraph"/>
        <w:numPr>
          <w:ilvl w:val="1"/>
          <w:numId w:val="17"/>
        </w:numPr>
        <w:rPr>
          <w:iCs/>
        </w:rPr>
      </w:pPr>
      <w:r w:rsidRPr="00F01D9B">
        <w:rPr>
          <w:rFonts w:eastAsia="Calibri"/>
          <w:iCs/>
        </w:rPr>
        <w:t xml:space="preserve">PFS for </w:t>
      </w:r>
      <w:r w:rsidR="00656E58" w:rsidRPr="00F01D9B">
        <w:rPr>
          <w:iCs/>
        </w:rPr>
        <w:t>the LAURA placebo arm was poorer than those reported in control arms of other trials</w:t>
      </w:r>
      <w:r w:rsidR="008D1EBF">
        <w:rPr>
          <w:iCs/>
        </w:rPr>
        <w:t xml:space="preserve"> </w:t>
      </w:r>
      <w:r w:rsidR="008D1EBF" w:rsidRPr="00955EA2">
        <w:rPr>
          <w:iCs/>
        </w:rPr>
        <w:t>(PACIFIC, FLAURA and ADAURA trials)</w:t>
      </w:r>
      <w:r w:rsidR="00656E58" w:rsidRPr="00955EA2">
        <w:rPr>
          <w:iCs/>
        </w:rPr>
        <w:t xml:space="preserve"> with Stage III </w:t>
      </w:r>
      <w:r w:rsidR="00656E58" w:rsidRPr="00C44674">
        <w:rPr>
          <w:i/>
        </w:rPr>
        <w:t>EGFR</w:t>
      </w:r>
      <w:r w:rsidR="00656E58" w:rsidRPr="00955EA2">
        <w:rPr>
          <w:iCs/>
        </w:rPr>
        <w:t xml:space="preserve"> pathogenic variant NSCLC</w:t>
      </w:r>
      <w:r w:rsidR="008A413D" w:rsidRPr="00955EA2">
        <w:rPr>
          <w:iCs/>
        </w:rPr>
        <w:t xml:space="preserve"> (</w:t>
      </w:r>
      <w:r w:rsidR="008A413D" w:rsidRPr="00955EA2">
        <w:rPr>
          <w:iCs/>
        </w:rPr>
        <w:fldChar w:fldCharType="begin"/>
      </w:r>
      <w:r w:rsidR="008A413D" w:rsidRPr="00955EA2">
        <w:rPr>
          <w:iCs/>
        </w:rPr>
        <w:instrText xml:space="preserve"> REF _Ref198205569 \h  \* MERGEFORMAT </w:instrText>
      </w:r>
      <w:r w:rsidR="008A413D" w:rsidRPr="00955EA2">
        <w:rPr>
          <w:iCs/>
        </w:rPr>
      </w:r>
      <w:r w:rsidR="008A413D" w:rsidRPr="00955EA2">
        <w:rPr>
          <w:iCs/>
        </w:rPr>
        <w:fldChar w:fldCharType="separate"/>
      </w:r>
      <w:r w:rsidR="009F3D59" w:rsidRPr="009F3D59">
        <w:rPr>
          <w:iCs/>
        </w:rPr>
        <w:t xml:space="preserve">Figure </w:t>
      </w:r>
      <w:r w:rsidR="009F3D59" w:rsidRPr="009F3D59">
        <w:rPr>
          <w:iCs/>
          <w:noProof/>
        </w:rPr>
        <w:t>2</w:t>
      </w:r>
      <w:r w:rsidR="008A413D" w:rsidRPr="00955EA2">
        <w:rPr>
          <w:iCs/>
        </w:rPr>
        <w:fldChar w:fldCharType="end"/>
      </w:r>
      <w:r w:rsidR="008A413D" w:rsidRPr="00955EA2">
        <w:rPr>
          <w:iCs/>
        </w:rPr>
        <w:t>)</w:t>
      </w:r>
      <w:r w:rsidR="000A63A8" w:rsidRPr="00955EA2">
        <w:rPr>
          <w:iCs/>
        </w:rPr>
        <w:t>.</w:t>
      </w:r>
      <w:r w:rsidR="004A2D8F" w:rsidRPr="00955EA2">
        <w:rPr>
          <w:iCs/>
        </w:rPr>
        <w:t xml:space="preserve"> </w:t>
      </w:r>
      <w:r w:rsidR="003020F0" w:rsidRPr="00955EA2">
        <w:rPr>
          <w:iCs/>
        </w:rPr>
        <w:t xml:space="preserve">The PSCR noted that </w:t>
      </w:r>
      <w:r w:rsidR="00A11E52" w:rsidRPr="00955EA2">
        <w:rPr>
          <w:iCs/>
        </w:rPr>
        <w:t>the other trials had</w:t>
      </w:r>
      <w:r w:rsidR="001442F9" w:rsidRPr="00955EA2">
        <w:rPr>
          <w:iCs/>
        </w:rPr>
        <w:t xml:space="preserve"> </w:t>
      </w:r>
      <w:r w:rsidR="00A11E52" w:rsidRPr="00955EA2">
        <w:rPr>
          <w:iCs/>
        </w:rPr>
        <w:t xml:space="preserve">different </w:t>
      </w:r>
      <w:r w:rsidR="00A11E52" w:rsidRPr="00C44674">
        <w:rPr>
          <w:i/>
        </w:rPr>
        <w:t>EGFR</w:t>
      </w:r>
      <w:r w:rsidR="00A11E52" w:rsidRPr="00955EA2">
        <w:rPr>
          <w:iCs/>
        </w:rPr>
        <w:t xml:space="preserve"> status, </w:t>
      </w:r>
      <w:r w:rsidR="001442F9" w:rsidRPr="00955EA2">
        <w:rPr>
          <w:iCs/>
        </w:rPr>
        <w:t>control arm</w:t>
      </w:r>
      <w:r w:rsidR="003E5FA0" w:rsidRPr="00955EA2">
        <w:rPr>
          <w:iCs/>
        </w:rPr>
        <w:t>s</w:t>
      </w:r>
      <w:r w:rsidR="00944BF2" w:rsidRPr="00955EA2">
        <w:rPr>
          <w:iCs/>
        </w:rPr>
        <w:t xml:space="preserve"> (active</w:t>
      </w:r>
      <w:r w:rsidR="00B378B8" w:rsidRPr="00955EA2">
        <w:rPr>
          <w:iCs/>
        </w:rPr>
        <w:t xml:space="preserve"> </w:t>
      </w:r>
      <w:r w:rsidR="0084618E" w:rsidRPr="00C44674">
        <w:rPr>
          <w:i/>
        </w:rPr>
        <w:t>EGFR</w:t>
      </w:r>
      <w:r w:rsidR="0084618E" w:rsidRPr="00955EA2">
        <w:rPr>
          <w:iCs/>
        </w:rPr>
        <w:t>-</w:t>
      </w:r>
      <w:r w:rsidR="00B378B8" w:rsidRPr="00955EA2">
        <w:rPr>
          <w:iCs/>
        </w:rPr>
        <w:t>TKI)</w:t>
      </w:r>
      <w:r w:rsidR="001442F9" w:rsidRPr="00955EA2">
        <w:rPr>
          <w:iCs/>
        </w:rPr>
        <w:t xml:space="preserve">, or </w:t>
      </w:r>
      <w:r w:rsidR="001B372D" w:rsidRPr="00955EA2">
        <w:rPr>
          <w:iCs/>
        </w:rPr>
        <w:t>treatment setting</w:t>
      </w:r>
      <w:r w:rsidR="003E5FA0" w:rsidRPr="00955EA2">
        <w:rPr>
          <w:iCs/>
        </w:rPr>
        <w:t>s</w:t>
      </w:r>
      <w:r w:rsidR="001B372D" w:rsidRPr="00955EA2">
        <w:rPr>
          <w:iCs/>
        </w:rPr>
        <w:t xml:space="preserve"> (adjuvant therapy after surgical resection</w:t>
      </w:r>
      <w:r w:rsidR="002B623D" w:rsidRPr="00955EA2">
        <w:rPr>
          <w:iCs/>
        </w:rPr>
        <w:t>)</w:t>
      </w:r>
      <w:r w:rsidR="00772BEE" w:rsidRPr="00955EA2">
        <w:rPr>
          <w:iCs/>
        </w:rPr>
        <w:t xml:space="preserve"> to the LAURA trial</w:t>
      </w:r>
      <w:r w:rsidR="002B623D" w:rsidRPr="00955EA2">
        <w:rPr>
          <w:iCs/>
        </w:rPr>
        <w:t xml:space="preserve">, respectively, and therefore </w:t>
      </w:r>
      <w:r w:rsidR="00E43A25" w:rsidRPr="00955EA2">
        <w:rPr>
          <w:iCs/>
        </w:rPr>
        <w:t xml:space="preserve">the PFS risk of </w:t>
      </w:r>
      <w:r w:rsidR="003E5FA0" w:rsidRPr="00955EA2">
        <w:rPr>
          <w:iCs/>
        </w:rPr>
        <w:t>these</w:t>
      </w:r>
      <w:r w:rsidR="00E43A25" w:rsidRPr="00955EA2">
        <w:rPr>
          <w:iCs/>
        </w:rPr>
        <w:t xml:space="preserve"> control arms could not be compared with LAURA (</w:t>
      </w:r>
      <w:r w:rsidR="00E43A25" w:rsidRPr="008460A7">
        <w:rPr>
          <w:iCs/>
        </w:rPr>
        <w:t xml:space="preserve">paragraph </w:t>
      </w:r>
      <w:r w:rsidR="00E43A25" w:rsidRPr="008460A7">
        <w:rPr>
          <w:iCs/>
        </w:rPr>
        <w:fldChar w:fldCharType="begin"/>
      </w:r>
      <w:r w:rsidR="00E43A25" w:rsidRPr="008460A7">
        <w:rPr>
          <w:iCs/>
        </w:rPr>
        <w:instrText xml:space="preserve"> REF _Ref201147431 \r \h  \* MERGEFORMAT </w:instrText>
      </w:r>
      <w:r w:rsidR="00E43A25" w:rsidRPr="008460A7">
        <w:rPr>
          <w:iCs/>
        </w:rPr>
      </w:r>
      <w:r w:rsidR="00E43A25" w:rsidRPr="008460A7">
        <w:rPr>
          <w:iCs/>
        </w:rPr>
        <w:fldChar w:fldCharType="separate"/>
      </w:r>
      <w:r w:rsidR="009F3D59">
        <w:rPr>
          <w:iCs/>
        </w:rPr>
        <w:t>6.17</w:t>
      </w:r>
      <w:r w:rsidR="00E43A25" w:rsidRPr="008460A7">
        <w:rPr>
          <w:iCs/>
        </w:rPr>
        <w:fldChar w:fldCharType="end"/>
      </w:r>
      <w:r w:rsidR="00E43A25" w:rsidRPr="008460A7">
        <w:rPr>
          <w:iCs/>
        </w:rPr>
        <w:t>).</w:t>
      </w:r>
      <w:r w:rsidR="001442F9" w:rsidRPr="00955EA2">
        <w:rPr>
          <w:iCs/>
        </w:rPr>
        <w:t xml:space="preserve"> </w:t>
      </w:r>
    </w:p>
    <w:p w14:paraId="3A0A739E" w14:textId="61EA5D08" w:rsidR="002B3A44" w:rsidRPr="00955EA2" w:rsidRDefault="004A2D8F" w:rsidP="00A12328">
      <w:pPr>
        <w:pStyle w:val="ListParagraph"/>
        <w:numPr>
          <w:ilvl w:val="1"/>
          <w:numId w:val="17"/>
        </w:numPr>
        <w:rPr>
          <w:rFonts w:eastAsia="Calibri"/>
        </w:rPr>
      </w:pPr>
      <w:r w:rsidRPr="00955EA2">
        <w:t>Over 80% of participants</w:t>
      </w:r>
      <w:r w:rsidR="005A49B5" w:rsidRPr="00955EA2">
        <w:t xml:space="preserve"> in the LAURA trial</w:t>
      </w:r>
      <w:r w:rsidRPr="00955EA2">
        <w:t xml:space="preserve"> were from Asia, with the majority from low- to middle- income countries, where limited access to PET scans and variable CRT quality may have contributed to poorer outcomes.</w:t>
      </w:r>
      <w:r w:rsidR="00327047" w:rsidRPr="00955EA2">
        <w:rPr>
          <w:rFonts w:eastAsia="Calibri"/>
        </w:rPr>
        <w:t xml:space="preserve"> </w:t>
      </w:r>
      <w:r w:rsidR="000A63A8" w:rsidRPr="00955EA2">
        <w:rPr>
          <w:rFonts w:eastAsia="Calibri"/>
        </w:rPr>
        <w:t>T</w:t>
      </w:r>
      <w:r w:rsidR="00327047" w:rsidRPr="00955EA2">
        <w:rPr>
          <w:rFonts w:eastAsia="Calibri"/>
        </w:rPr>
        <w:t>he standard of equipment and treatments available may have impacted the trial results</w:t>
      </w:r>
      <w:r w:rsidR="00410E4D">
        <w:rPr>
          <w:rFonts w:eastAsia="Calibri"/>
        </w:rPr>
        <w:t xml:space="preserve"> (paragraph </w:t>
      </w:r>
      <w:r w:rsidR="00410E4D">
        <w:rPr>
          <w:rFonts w:eastAsia="Calibri"/>
        </w:rPr>
        <w:fldChar w:fldCharType="begin"/>
      </w:r>
      <w:r w:rsidR="00410E4D">
        <w:rPr>
          <w:rFonts w:eastAsia="Calibri"/>
        </w:rPr>
        <w:instrText xml:space="preserve"> REF _Ref198206801 \r \h </w:instrText>
      </w:r>
      <w:r w:rsidR="00410E4D">
        <w:rPr>
          <w:rFonts w:eastAsia="Calibri"/>
        </w:rPr>
      </w:r>
      <w:r w:rsidR="00410E4D">
        <w:rPr>
          <w:rFonts w:eastAsia="Calibri"/>
        </w:rPr>
        <w:fldChar w:fldCharType="separate"/>
      </w:r>
      <w:r w:rsidR="009F3D59">
        <w:rPr>
          <w:rFonts w:eastAsia="Calibri"/>
        </w:rPr>
        <w:t>6.12</w:t>
      </w:r>
      <w:r w:rsidR="00410E4D">
        <w:rPr>
          <w:rFonts w:eastAsia="Calibri"/>
        </w:rPr>
        <w:fldChar w:fldCharType="end"/>
      </w:r>
      <w:r w:rsidR="00410E4D">
        <w:rPr>
          <w:rFonts w:eastAsia="Calibri"/>
        </w:rPr>
        <w:t>)</w:t>
      </w:r>
      <w:r w:rsidR="00327047" w:rsidRPr="00955EA2">
        <w:rPr>
          <w:rFonts w:eastAsia="Calibri"/>
        </w:rPr>
        <w:t xml:space="preserve">. </w:t>
      </w:r>
      <w:r w:rsidR="00181DA3" w:rsidRPr="00955EA2">
        <w:rPr>
          <w:rFonts w:eastAsia="Calibri"/>
        </w:rPr>
        <w:t>The PSCR stated that</w:t>
      </w:r>
      <w:r w:rsidR="001C4121" w:rsidRPr="00955EA2">
        <w:rPr>
          <w:rFonts w:eastAsia="Calibri"/>
        </w:rPr>
        <w:t xml:space="preserve"> multi-national clinical trials in </w:t>
      </w:r>
      <w:r w:rsidR="001C4121" w:rsidRPr="00955EA2">
        <w:rPr>
          <w:rFonts w:eastAsia="Calibri"/>
          <w:i/>
          <w:iCs/>
        </w:rPr>
        <w:t>EGFR</w:t>
      </w:r>
      <w:r w:rsidR="001C4121" w:rsidRPr="00955EA2">
        <w:rPr>
          <w:rFonts w:eastAsia="Calibri"/>
        </w:rPr>
        <w:t xml:space="preserve"> mutant NSCLC are located in Asian countries because they generally have a higher incidence of patients with these mutations</w:t>
      </w:r>
      <w:r w:rsidR="00133C28" w:rsidRPr="00955EA2">
        <w:rPr>
          <w:rFonts w:eastAsia="Calibri"/>
        </w:rPr>
        <w:t xml:space="preserve">, </w:t>
      </w:r>
      <w:r w:rsidR="00A13F59" w:rsidRPr="00955EA2">
        <w:rPr>
          <w:rFonts w:eastAsia="Calibri"/>
        </w:rPr>
        <w:t>noting</w:t>
      </w:r>
      <w:r w:rsidR="00133C28" w:rsidRPr="00955EA2">
        <w:rPr>
          <w:rFonts w:eastAsia="Calibri"/>
        </w:rPr>
        <w:t xml:space="preserve"> that</w:t>
      </w:r>
      <w:r w:rsidR="007271CF" w:rsidRPr="00955EA2">
        <w:rPr>
          <w:rFonts w:eastAsia="Calibri"/>
        </w:rPr>
        <w:t xml:space="preserve"> Asian</w:t>
      </w:r>
      <w:r w:rsidR="00181DA3" w:rsidRPr="00955EA2">
        <w:rPr>
          <w:rFonts w:eastAsia="Calibri"/>
        </w:rPr>
        <w:t xml:space="preserve"> </w:t>
      </w:r>
      <w:r w:rsidR="006B4266" w:rsidRPr="00955EA2">
        <w:rPr>
          <w:rFonts w:eastAsia="Calibri"/>
        </w:rPr>
        <w:t xml:space="preserve">patients are over-represented among Australian </w:t>
      </w:r>
      <w:r w:rsidR="006B4266" w:rsidRPr="00955EA2">
        <w:rPr>
          <w:rFonts w:eastAsia="Calibri"/>
          <w:i/>
          <w:iCs/>
        </w:rPr>
        <w:t>EGFR</w:t>
      </w:r>
      <w:r w:rsidR="006B4266" w:rsidRPr="00955EA2">
        <w:rPr>
          <w:rFonts w:eastAsia="Calibri"/>
        </w:rPr>
        <w:t>m NSCLC patients</w:t>
      </w:r>
      <w:r w:rsidR="00133C28" w:rsidRPr="00955EA2">
        <w:rPr>
          <w:rFonts w:eastAsia="Calibri"/>
        </w:rPr>
        <w:t>.</w:t>
      </w:r>
      <w:r w:rsidR="0037019B" w:rsidRPr="00955EA2">
        <w:rPr>
          <w:rFonts w:eastAsia="Calibri"/>
        </w:rPr>
        <w:t xml:space="preserve"> Further, the large urban centres of these</w:t>
      </w:r>
      <w:r w:rsidR="00D13E25" w:rsidRPr="00955EA2">
        <w:rPr>
          <w:rFonts w:eastAsia="Calibri"/>
        </w:rPr>
        <w:t xml:space="preserve"> Asian</w:t>
      </w:r>
      <w:r w:rsidR="0037019B" w:rsidRPr="00955EA2">
        <w:rPr>
          <w:rFonts w:eastAsia="Calibri"/>
        </w:rPr>
        <w:t xml:space="preserve"> countries </w:t>
      </w:r>
      <w:r w:rsidR="00852336" w:rsidRPr="00955EA2">
        <w:rPr>
          <w:rFonts w:eastAsia="Calibri"/>
        </w:rPr>
        <w:t xml:space="preserve">have </w:t>
      </w:r>
      <w:r w:rsidR="0037019B" w:rsidRPr="00955EA2">
        <w:rPr>
          <w:rFonts w:eastAsia="Calibri"/>
        </w:rPr>
        <w:t>a high standard of medical care</w:t>
      </w:r>
      <w:r w:rsidR="00F46C06" w:rsidRPr="00955EA2">
        <w:rPr>
          <w:rFonts w:eastAsia="Calibri"/>
        </w:rPr>
        <w:t>,</w:t>
      </w:r>
      <w:r w:rsidR="0037019B" w:rsidRPr="00955EA2">
        <w:rPr>
          <w:rFonts w:eastAsia="Calibri"/>
        </w:rPr>
        <w:t xml:space="preserve"> and they were selected with consideration of access to medical technologies and ability to comply with the study protocol.</w:t>
      </w:r>
    </w:p>
    <w:p w14:paraId="276B0581" w14:textId="527AFDB5" w:rsidR="00063C66" w:rsidRPr="00955EA2" w:rsidRDefault="008C50D9" w:rsidP="00A12328">
      <w:pPr>
        <w:pStyle w:val="ListParagraph"/>
        <w:numPr>
          <w:ilvl w:val="1"/>
          <w:numId w:val="17"/>
        </w:numPr>
        <w:rPr>
          <w:iCs/>
        </w:rPr>
      </w:pPr>
      <w:r w:rsidRPr="00F01D9B">
        <w:rPr>
          <w:rFonts w:eastAsia="Calibri"/>
          <w:iCs/>
        </w:rPr>
        <w:t xml:space="preserve">The trial population had a </w:t>
      </w:r>
      <w:r w:rsidRPr="000B6DC5">
        <w:rPr>
          <w:rFonts w:eastAsia="Calibri"/>
          <w:iCs/>
        </w:rPr>
        <w:t>better performance status (WHO PS 0 or 1) than the proposed PBS population (</w:t>
      </w:r>
      <w:r w:rsidRPr="000B6DC5">
        <w:rPr>
          <w:rFonts w:eastAsia="Calibri" w:cstheme="minorHAnsi"/>
          <w:iCs/>
        </w:rPr>
        <w:t>≤</w:t>
      </w:r>
      <w:r w:rsidRPr="000B6DC5">
        <w:rPr>
          <w:rFonts w:eastAsia="Calibri"/>
          <w:iCs/>
        </w:rPr>
        <w:t>2)</w:t>
      </w:r>
      <w:r w:rsidR="009E1785" w:rsidRPr="000B6DC5">
        <w:rPr>
          <w:rFonts w:eastAsia="Calibri"/>
          <w:iCs/>
        </w:rPr>
        <w:t xml:space="preserve"> (paragraph </w:t>
      </w:r>
      <w:r w:rsidR="00A035DD" w:rsidRPr="000B6DC5">
        <w:rPr>
          <w:rFonts w:eastAsia="Calibri"/>
          <w:iCs/>
        </w:rPr>
        <w:fldChar w:fldCharType="begin"/>
      </w:r>
      <w:r w:rsidR="00A035DD" w:rsidRPr="000B6DC5">
        <w:rPr>
          <w:rFonts w:eastAsia="Calibri"/>
          <w:iCs/>
        </w:rPr>
        <w:instrText xml:space="preserve"> REF _Ref201135854 \r \h  \* MERGEFORMAT </w:instrText>
      </w:r>
      <w:r w:rsidR="00A035DD" w:rsidRPr="000B6DC5">
        <w:rPr>
          <w:rFonts w:eastAsia="Calibri"/>
          <w:iCs/>
        </w:rPr>
      </w:r>
      <w:r w:rsidR="00A035DD" w:rsidRPr="000B6DC5">
        <w:rPr>
          <w:rFonts w:eastAsia="Calibri"/>
          <w:iCs/>
        </w:rPr>
        <w:fldChar w:fldCharType="separate"/>
      </w:r>
      <w:r w:rsidR="009F3D59">
        <w:rPr>
          <w:rFonts w:eastAsia="Calibri"/>
          <w:iCs/>
        </w:rPr>
        <w:t>3.6</w:t>
      </w:r>
      <w:r w:rsidR="00A035DD" w:rsidRPr="000B6DC5">
        <w:rPr>
          <w:rFonts w:eastAsia="Calibri"/>
          <w:iCs/>
        </w:rPr>
        <w:fldChar w:fldCharType="end"/>
      </w:r>
      <w:r w:rsidR="00A035DD" w:rsidRPr="000B6DC5">
        <w:rPr>
          <w:rFonts w:eastAsia="Calibri"/>
          <w:iCs/>
        </w:rPr>
        <w:t>)</w:t>
      </w:r>
      <w:r w:rsidR="00063C66" w:rsidRPr="000B6DC5">
        <w:rPr>
          <w:rFonts w:eastAsia="Calibri"/>
          <w:iCs/>
        </w:rPr>
        <w:t>.</w:t>
      </w:r>
      <w:r w:rsidRPr="00955EA2">
        <w:rPr>
          <w:rFonts w:eastAsia="Calibri"/>
          <w:iCs/>
        </w:rPr>
        <w:t xml:space="preserve"> </w:t>
      </w:r>
    </w:p>
    <w:p w14:paraId="75417C31" w14:textId="26D6B74C" w:rsidR="002C26C3" w:rsidRPr="00955EA2" w:rsidRDefault="00063C66" w:rsidP="00A12328">
      <w:pPr>
        <w:pStyle w:val="ListParagraph"/>
        <w:numPr>
          <w:ilvl w:val="1"/>
          <w:numId w:val="17"/>
        </w:numPr>
        <w:rPr>
          <w:iCs/>
        </w:rPr>
      </w:pPr>
      <w:r>
        <w:rPr>
          <w:rFonts w:eastAsia="Calibri"/>
          <w:iCs/>
        </w:rPr>
        <w:t>T</w:t>
      </w:r>
      <w:r w:rsidR="008C50D9" w:rsidRPr="00F01D9B">
        <w:rPr>
          <w:rFonts w:eastAsia="Calibri"/>
          <w:iCs/>
        </w:rPr>
        <w:t>he subsequent therapies received on progression, including</w:t>
      </w:r>
      <w:r w:rsidR="008964DC" w:rsidRPr="00F01D9B">
        <w:rPr>
          <w:rFonts w:eastAsia="Calibri"/>
          <w:iCs/>
        </w:rPr>
        <w:t xml:space="preserve"> the continued use of osimertinib and initiation of other</w:t>
      </w:r>
      <w:r w:rsidR="008C50D9" w:rsidRPr="00F01D9B">
        <w:rPr>
          <w:rFonts w:eastAsia="Calibri"/>
          <w:iCs/>
        </w:rPr>
        <w:t xml:space="preserve"> TKIs, were not consistent with Australian practice.</w:t>
      </w:r>
      <w:r w:rsidR="0031269A">
        <w:rPr>
          <w:rFonts w:eastAsia="Calibri"/>
          <w:iCs/>
        </w:rPr>
        <w:t xml:space="preserve"> </w:t>
      </w:r>
      <w:r w:rsidR="00531E3B" w:rsidRPr="00955EA2">
        <w:rPr>
          <w:rFonts w:eastAsia="Calibri"/>
          <w:iCs/>
        </w:rPr>
        <w:t>T</w:t>
      </w:r>
      <w:r w:rsidR="00ED3AD4" w:rsidRPr="00955EA2">
        <w:rPr>
          <w:rFonts w:eastAsia="Calibri"/>
          <w:iCs/>
        </w:rPr>
        <w:t>he PSCR noted that post-progression use of osimertinib is not permitted by the proposed restriction</w:t>
      </w:r>
      <w:r w:rsidR="000368B5" w:rsidRPr="00955EA2">
        <w:rPr>
          <w:rFonts w:eastAsia="Calibri"/>
          <w:iCs/>
        </w:rPr>
        <w:t>. However</w:t>
      </w:r>
      <w:r w:rsidR="00EE7651" w:rsidRPr="00955EA2">
        <w:rPr>
          <w:rFonts w:eastAsia="Calibri"/>
          <w:iCs/>
        </w:rPr>
        <w:t xml:space="preserve">, the ESC considered that </w:t>
      </w:r>
      <w:r w:rsidR="000A519D" w:rsidRPr="00955EA2">
        <w:rPr>
          <w:rFonts w:eastAsia="Calibri"/>
          <w:iCs/>
        </w:rPr>
        <w:t>the post-progression use of</w:t>
      </w:r>
      <w:r w:rsidR="000368B5" w:rsidRPr="00955EA2">
        <w:rPr>
          <w:rFonts w:eastAsia="Calibri"/>
          <w:iCs/>
        </w:rPr>
        <w:t xml:space="preserve"> osimertinib and</w:t>
      </w:r>
      <w:r w:rsidR="000A519D" w:rsidRPr="00955EA2">
        <w:rPr>
          <w:rFonts w:eastAsia="Calibri"/>
          <w:iCs/>
        </w:rPr>
        <w:t xml:space="preserve"> other </w:t>
      </w:r>
      <w:r w:rsidR="00C45A6D" w:rsidRPr="00C45A6D">
        <w:rPr>
          <w:rFonts w:eastAsia="Calibri"/>
          <w:i/>
          <w:iCs/>
        </w:rPr>
        <w:t>EGFR</w:t>
      </w:r>
      <w:r w:rsidR="000A519D" w:rsidRPr="00955EA2">
        <w:rPr>
          <w:rFonts w:eastAsia="Calibri"/>
          <w:iCs/>
        </w:rPr>
        <w:t>-TKIs</w:t>
      </w:r>
      <w:r w:rsidR="00BE4695" w:rsidRPr="00955EA2">
        <w:rPr>
          <w:rFonts w:eastAsia="Calibri"/>
          <w:iCs/>
        </w:rPr>
        <w:t xml:space="preserve"> in the osimertinib arm</w:t>
      </w:r>
      <w:r w:rsidR="001D2980" w:rsidRPr="00955EA2">
        <w:rPr>
          <w:rFonts w:eastAsia="Calibri"/>
          <w:iCs/>
        </w:rPr>
        <w:t xml:space="preserve"> (</w:t>
      </w:r>
      <w:r w:rsidR="00337872" w:rsidRPr="00955EA2">
        <w:rPr>
          <w:rFonts w:eastAsia="Calibri"/>
          <w:iCs/>
        </w:rPr>
        <w:t xml:space="preserve">35% [22/63] of osimertinib patients </w:t>
      </w:r>
      <w:r w:rsidR="00212968" w:rsidRPr="00955EA2">
        <w:rPr>
          <w:rFonts w:eastAsia="Calibri"/>
          <w:iCs/>
        </w:rPr>
        <w:t>who progressed</w:t>
      </w:r>
      <w:r w:rsidR="001D2980" w:rsidRPr="00955EA2">
        <w:rPr>
          <w:rFonts w:eastAsia="Calibri"/>
          <w:iCs/>
        </w:rPr>
        <w:t>)</w:t>
      </w:r>
      <w:r w:rsidR="00EE7651" w:rsidRPr="00955EA2">
        <w:rPr>
          <w:rFonts w:eastAsia="Calibri"/>
          <w:iCs/>
        </w:rPr>
        <w:t xml:space="preserve"> remains an applicability issue </w:t>
      </w:r>
      <w:r w:rsidR="00E71179" w:rsidRPr="00955EA2">
        <w:rPr>
          <w:rFonts w:eastAsia="Calibri"/>
          <w:iCs/>
        </w:rPr>
        <w:t>between</w:t>
      </w:r>
      <w:r w:rsidR="00EE7651" w:rsidRPr="00955EA2">
        <w:rPr>
          <w:rFonts w:eastAsia="Calibri"/>
          <w:iCs/>
        </w:rPr>
        <w:t xml:space="preserve"> the trial data </w:t>
      </w:r>
      <w:r w:rsidR="00756D16" w:rsidRPr="00955EA2">
        <w:rPr>
          <w:rFonts w:eastAsia="Calibri"/>
          <w:iCs/>
        </w:rPr>
        <w:t>and</w:t>
      </w:r>
      <w:r w:rsidR="00EE7651" w:rsidRPr="00955EA2">
        <w:rPr>
          <w:rFonts w:eastAsia="Calibri"/>
          <w:iCs/>
        </w:rPr>
        <w:t xml:space="preserve"> the</w:t>
      </w:r>
      <w:r w:rsidR="003235B5" w:rsidRPr="00955EA2">
        <w:rPr>
          <w:rFonts w:eastAsia="Calibri"/>
          <w:iCs/>
        </w:rPr>
        <w:t xml:space="preserve"> likely circumstances of use in</w:t>
      </w:r>
      <w:r w:rsidR="00EE7651" w:rsidRPr="00955EA2">
        <w:rPr>
          <w:rFonts w:eastAsia="Calibri"/>
          <w:iCs/>
        </w:rPr>
        <w:t xml:space="preserve"> Australia</w:t>
      </w:r>
      <w:r w:rsidR="003235B5" w:rsidRPr="00955EA2">
        <w:rPr>
          <w:rFonts w:eastAsia="Calibri"/>
          <w:iCs/>
        </w:rPr>
        <w:t>.</w:t>
      </w:r>
    </w:p>
    <w:p w14:paraId="4C1CF519" w14:textId="6E1A52DC" w:rsidR="00850933" w:rsidRPr="00850933" w:rsidRDefault="00184379" w:rsidP="00A12328">
      <w:pPr>
        <w:pStyle w:val="3-BodyText"/>
      </w:pPr>
      <w:bookmarkStart w:id="59" w:name="_Ref201157252"/>
      <w:r>
        <w:rPr>
          <w:rFonts w:eastAsia="Calibri"/>
        </w:rPr>
        <w:t>T</w:t>
      </w:r>
      <w:r w:rsidR="00C947A5" w:rsidRPr="002C26C3">
        <w:rPr>
          <w:rFonts w:eastAsia="Calibri"/>
        </w:rPr>
        <w:t xml:space="preserve">he </w:t>
      </w:r>
      <w:r w:rsidR="00E66695" w:rsidRPr="00955EA2">
        <w:rPr>
          <w:rFonts w:eastAsia="Calibri"/>
          <w:iCs/>
        </w:rPr>
        <w:t>ESC agreed with the evaluation that the</w:t>
      </w:r>
      <w:r w:rsidR="00327047" w:rsidRPr="002C26C3">
        <w:rPr>
          <w:rFonts w:eastAsia="Calibri"/>
        </w:rPr>
        <w:t xml:space="preserve"> expected benefit in the Australian population for osimertinib versus placebo</w:t>
      </w:r>
      <w:r w:rsidR="00EA6BAE" w:rsidRPr="002C26C3">
        <w:rPr>
          <w:rFonts w:eastAsia="Calibri"/>
        </w:rPr>
        <w:t xml:space="preserve"> may be</w:t>
      </w:r>
      <w:r w:rsidR="00327047" w:rsidRPr="002C26C3">
        <w:rPr>
          <w:rFonts w:eastAsia="Calibri"/>
        </w:rPr>
        <w:t xml:space="preserve"> of a smaller magnitude than </w:t>
      </w:r>
      <w:r w:rsidR="00C947A5" w:rsidRPr="002C26C3">
        <w:rPr>
          <w:rFonts w:eastAsia="Calibri"/>
        </w:rPr>
        <w:t xml:space="preserve">that </w:t>
      </w:r>
      <w:r w:rsidR="00327047" w:rsidRPr="002C26C3">
        <w:rPr>
          <w:rFonts w:eastAsia="Calibri"/>
        </w:rPr>
        <w:t>observed in LAURA</w:t>
      </w:r>
      <w:r w:rsidR="00171833">
        <w:rPr>
          <w:rFonts w:eastAsia="Calibri"/>
        </w:rPr>
        <w:t xml:space="preserve"> </w:t>
      </w:r>
      <w:r w:rsidR="00171833" w:rsidRPr="00955EA2">
        <w:rPr>
          <w:rFonts w:eastAsia="Calibri"/>
        </w:rPr>
        <w:t xml:space="preserve">based on </w:t>
      </w:r>
      <w:r w:rsidR="00067494" w:rsidRPr="00955EA2">
        <w:rPr>
          <w:rFonts w:eastAsia="Calibri"/>
        </w:rPr>
        <w:t>PFS in the placebo arm</w:t>
      </w:r>
      <w:r w:rsidR="00423EEF" w:rsidRPr="00955EA2">
        <w:rPr>
          <w:rFonts w:eastAsia="Calibri"/>
        </w:rPr>
        <w:t xml:space="preserve"> potentially being better in Australia</w:t>
      </w:r>
      <w:r w:rsidR="00FA3783" w:rsidRPr="00955EA2">
        <w:rPr>
          <w:rFonts w:eastAsia="Calibri"/>
        </w:rPr>
        <w:t xml:space="preserve">, </w:t>
      </w:r>
      <w:r w:rsidR="0073285A" w:rsidRPr="00955EA2">
        <w:rPr>
          <w:rFonts w:eastAsia="Calibri"/>
        </w:rPr>
        <w:t>better</w:t>
      </w:r>
      <w:r w:rsidR="00FA3783" w:rsidRPr="00955EA2">
        <w:rPr>
          <w:rFonts w:eastAsia="Calibri"/>
        </w:rPr>
        <w:t xml:space="preserve"> access to PET scans</w:t>
      </w:r>
      <w:r w:rsidR="0073285A" w:rsidRPr="00955EA2">
        <w:rPr>
          <w:rFonts w:eastAsia="Calibri"/>
        </w:rPr>
        <w:t xml:space="preserve"> in Australia</w:t>
      </w:r>
      <w:r w:rsidR="00FA3783" w:rsidRPr="00955EA2">
        <w:rPr>
          <w:rFonts w:eastAsia="Calibri"/>
        </w:rPr>
        <w:t>,</w:t>
      </w:r>
      <w:r w:rsidR="008140FC" w:rsidRPr="00955EA2">
        <w:rPr>
          <w:rFonts w:eastAsia="Calibri"/>
        </w:rPr>
        <w:t xml:space="preserve"> and</w:t>
      </w:r>
      <w:r w:rsidR="005B1493" w:rsidRPr="00955EA2">
        <w:rPr>
          <w:rFonts w:eastAsia="Calibri"/>
        </w:rPr>
        <w:t xml:space="preserve"> potentially </w:t>
      </w:r>
      <w:r w:rsidR="00A0023F">
        <w:rPr>
          <w:rFonts w:eastAsia="Calibri"/>
        </w:rPr>
        <w:t>better</w:t>
      </w:r>
      <w:r w:rsidR="00A0023F" w:rsidRPr="00955EA2">
        <w:rPr>
          <w:rFonts w:eastAsia="Calibri"/>
        </w:rPr>
        <w:t xml:space="preserve"> </w:t>
      </w:r>
      <w:r w:rsidR="00AF7756" w:rsidRPr="00955EA2">
        <w:rPr>
          <w:rFonts w:eastAsia="Calibri"/>
        </w:rPr>
        <w:t xml:space="preserve">WHO </w:t>
      </w:r>
      <w:r w:rsidR="008140FC" w:rsidRPr="00955EA2">
        <w:rPr>
          <w:rFonts w:eastAsia="Calibri"/>
        </w:rPr>
        <w:t xml:space="preserve">PS of </w:t>
      </w:r>
      <w:r w:rsidR="005B1493" w:rsidRPr="00955EA2">
        <w:rPr>
          <w:rFonts w:eastAsia="Calibri"/>
        </w:rPr>
        <w:t>Australian patients</w:t>
      </w:r>
      <w:r w:rsidR="00327047" w:rsidRPr="00955EA2">
        <w:rPr>
          <w:rFonts w:eastAsia="Calibri"/>
        </w:rPr>
        <w:t>.</w:t>
      </w:r>
      <w:bookmarkStart w:id="60" w:name="_bookmark163"/>
      <w:bookmarkStart w:id="61" w:name="_Toc22897645"/>
      <w:bookmarkEnd w:id="48"/>
      <w:bookmarkEnd w:id="59"/>
      <w:bookmarkEnd w:id="60"/>
      <w:r w:rsidR="00A622E2">
        <w:rPr>
          <w:rFonts w:eastAsia="Calibri"/>
        </w:rPr>
        <w:t xml:space="preserve"> </w:t>
      </w:r>
    </w:p>
    <w:p w14:paraId="107F2432" w14:textId="01BEBDFE" w:rsidR="009745EA" w:rsidRPr="006C27F9" w:rsidRDefault="00A622E2" w:rsidP="00A12328">
      <w:pPr>
        <w:pStyle w:val="3-BodyText"/>
        <w:rPr>
          <w:iCs/>
        </w:rPr>
      </w:pPr>
      <w:bookmarkStart w:id="62" w:name="_Ref201150434"/>
      <w:r w:rsidRPr="00955EA2">
        <w:rPr>
          <w:rFonts w:eastAsia="Calibri"/>
          <w:iCs/>
        </w:rPr>
        <w:t>The ESC</w:t>
      </w:r>
      <w:r w:rsidR="006F6FDB">
        <w:rPr>
          <w:rFonts w:eastAsia="Calibri"/>
          <w:iCs/>
        </w:rPr>
        <w:t xml:space="preserve"> and the PBAC</w:t>
      </w:r>
      <w:r w:rsidRPr="00955EA2">
        <w:rPr>
          <w:rFonts w:eastAsia="Calibri"/>
          <w:iCs/>
        </w:rPr>
        <w:t xml:space="preserve"> noted the high rate of post-progression </w:t>
      </w:r>
      <w:r w:rsidR="00C45A6D" w:rsidRPr="00C45A6D">
        <w:rPr>
          <w:rFonts w:eastAsia="Calibri"/>
          <w:i/>
          <w:iCs/>
        </w:rPr>
        <w:t>EGFR</w:t>
      </w:r>
      <w:r w:rsidR="000F6581" w:rsidRPr="00955EA2">
        <w:rPr>
          <w:rFonts w:eastAsia="Calibri"/>
          <w:iCs/>
        </w:rPr>
        <w:t>-</w:t>
      </w:r>
      <w:r w:rsidRPr="00955EA2">
        <w:rPr>
          <w:rFonts w:eastAsia="Calibri"/>
          <w:iCs/>
        </w:rPr>
        <w:t>TKIs (including osimertinib) used as subsequent treatment in the placebo arm (8</w:t>
      </w:r>
      <w:r w:rsidR="003F5F15" w:rsidRPr="00955EA2">
        <w:rPr>
          <w:rFonts w:eastAsia="Calibri"/>
          <w:iCs/>
        </w:rPr>
        <w:t>5</w:t>
      </w:r>
      <w:r w:rsidRPr="00955EA2">
        <w:rPr>
          <w:rFonts w:eastAsia="Calibri"/>
          <w:iCs/>
        </w:rPr>
        <w:t xml:space="preserve">% [56/66] of patients who discontinued due to disease progression). The ESC considered that the post-progression treatments in the placebo arm likely affected the OS results in the LAURA trial </w:t>
      </w:r>
      <w:r w:rsidR="00E51D8B" w:rsidRPr="00955EA2">
        <w:rPr>
          <w:rFonts w:eastAsia="Calibri"/>
          <w:iCs/>
        </w:rPr>
        <w:t>but</w:t>
      </w:r>
      <w:r w:rsidRPr="00955EA2">
        <w:rPr>
          <w:rFonts w:eastAsia="Calibri"/>
          <w:iCs/>
        </w:rPr>
        <w:t xml:space="preserve"> that this </w:t>
      </w:r>
      <w:r w:rsidR="007F6027" w:rsidRPr="00955EA2">
        <w:rPr>
          <w:rFonts w:eastAsia="Calibri"/>
          <w:iCs/>
        </w:rPr>
        <w:t>would be</w:t>
      </w:r>
      <w:r w:rsidRPr="00955EA2">
        <w:rPr>
          <w:rFonts w:eastAsia="Calibri"/>
          <w:iCs/>
        </w:rPr>
        <w:t xml:space="preserve"> reflective of</w:t>
      </w:r>
      <w:r w:rsidR="00AD7E1F" w:rsidRPr="00955EA2">
        <w:rPr>
          <w:rFonts w:eastAsia="Calibri"/>
          <w:iCs/>
        </w:rPr>
        <w:t xml:space="preserve"> S</w:t>
      </w:r>
      <w:r w:rsidR="001C7084">
        <w:rPr>
          <w:rFonts w:eastAsia="Calibri"/>
          <w:iCs/>
        </w:rPr>
        <w:t>o</w:t>
      </w:r>
      <w:r w:rsidR="00AD7E1F" w:rsidRPr="00955EA2">
        <w:rPr>
          <w:rFonts w:eastAsia="Calibri"/>
          <w:iCs/>
        </w:rPr>
        <w:t>C</w:t>
      </w:r>
      <w:r w:rsidRPr="00955EA2">
        <w:rPr>
          <w:rFonts w:eastAsia="Calibri"/>
          <w:iCs/>
        </w:rPr>
        <w:t xml:space="preserve"> treatment practices in Australia (patients would receive their first </w:t>
      </w:r>
      <w:r w:rsidR="00C45A6D" w:rsidRPr="00C45A6D">
        <w:rPr>
          <w:rFonts w:eastAsia="Calibri"/>
          <w:i/>
          <w:iCs/>
        </w:rPr>
        <w:t>EGFR</w:t>
      </w:r>
      <w:r w:rsidRPr="00955EA2">
        <w:rPr>
          <w:rFonts w:eastAsia="Calibri"/>
          <w:iCs/>
        </w:rPr>
        <w:t>-TKI in the locally advanced/metastatic setting).</w:t>
      </w:r>
      <w:bookmarkEnd w:id="62"/>
    </w:p>
    <w:p w14:paraId="2AECAD87" w14:textId="5B474A0F" w:rsidR="006C27F9" w:rsidRPr="00CE52BB" w:rsidRDefault="00CE52BB" w:rsidP="00A12328">
      <w:pPr>
        <w:numPr>
          <w:ilvl w:val="1"/>
          <w:numId w:val="1"/>
        </w:numPr>
        <w:spacing w:after="120"/>
        <w:rPr>
          <w:rFonts w:asciiTheme="minorHAnsi" w:hAnsiTheme="minorHAnsi"/>
          <w:snapToGrid w:val="0"/>
          <w:szCs w:val="20"/>
        </w:rPr>
      </w:pPr>
      <w:r w:rsidRPr="00CE52BB">
        <w:rPr>
          <w:rFonts w:asciiTheme="minorHAnsi" w:hAnsiTheme="minorHAnsi"/>
          <w:iCs/>
          <w:snapToGrid w:val="0"/>
        </w:rPr>
        <w:t>While the PBAC acknowledged the comments from the evaluation and the ESC regarding the limitations of the</w:t>
      </w:r>
      <w:r w:rsidR="008237D9">
        <w:rPr>
          <w:rFonts w:asciiTheme="minorHAnsi" w:hAnsiTheme="minorHAnsi"/>
          <w:iCs/>
          <w:snapToGrid w:val="0"/>
        </w:rPr>
        <w:t xml:space="preserve"> immature</w:t>
      </w:r>
      <w:r w:rsidRPr="00CE52BB">
        <w:rPr>
          <w:rFonts w:asciiTheme="minorHAnsi" w:hAnsiTheme="minorHAnsi"/>
          <w:iCs/>
          <w:snapToGrid w:val="0"/>
        </w:rPr>
        <w:t xml:space="preserve"> OS data and the potential applicability issues to the Australian population, it </w:t>
      </w:r>
      <w:r w:rsidRPr="00CE52BB">
        <w:rPr>
          <w:rFonts w:asciiTheme="minorHAnsi" w:hAnsiTheme="minorHAnsi"/>
          <w:snapToGrid w:val="0"/>
          <w:szCs w:val="20"/>
        </w:rPr>
        <w:t xml:space="preserve">considered that the claim of superior comparative effectiveness was reasonable based on </w:t>
      </w:r>
      <w:r w:rsidRPr="00CE52BB">
        <w:rPr>
          <w:iCs/>
        </w:rPr>
        <w:t>the strong PFS outcome</w:t>
      </w:r>
      <w:r w:rsidR="00611C86">
        <w:rPr>
          <w:iCs/>
        </w:rPr>
        <w:t xml:space="preserve"> result</w:t>
      </w:r>
      <w:r w:rsidRPr="00CE52BB">
        <w:rPr>
          <w:iCs/>
        </w:rPr>
        <w:t xml:space="preserve"> for the Stage III population</w:t>
      </w:r>
      <w:r w:rsidRPr="00CE52BB">
        <w:rPr>
          <w:rFonts w:asciiTheme="minorHAnsi" w:hAnsiTheme="minorHAnsi"/>
          <w:snapToGrid w:val="0"/>
          <w:szCs w:val="20"/>
        </w:rPr>
        <w:t>.</w:t>
      </w:r>
    </w:p>
    <w:p w14:paraId="17A126AD" w14:textId="4898239D" w:rsidR="006C27F9" w:rsidRPr="00955EA2" w:rsidRDefault="00CF16C2" w:rsidP="00A12328">
      <w:pPr>
        <w:pStyle w:val="3-BodyText"/>
        <w:rPr>
          <w:iCs/>
        </w:rPr>
      </w:pPr>
      <w:r>
        <w:rPr>
          <w:szCs w:val="20"/>
        </w:rPr>
        <w:t>T</w:t>
      </w:r>
      <w:r w:rsidR="0081208D" w:rsidRPr="0002723F">
        <w:rPr>
          <w:szCs w:val="20"/>
        </w:rPr>
        <w:t xml:space="preserve">he PBAC considered that </w:t>
      </w:r>
      <w:r w:rsidR="002F03DE">
        <w:rPr>
          <w:iCs/>
        </w:rPr>
        <w:t>osimertinib has in</w:t>
      </w:r>
      <w:r w:rsidR="002F03DE" w:rsidRPr="0074799D">
        <w:rPr>
          <w:szCs w:val="20"/>
        </w:rPr>
        <w:t>ferior</w:t>
      </w:r>
      <w:r w:rsidR="002F03DE">
        <w:rPr>
          <w:szCs w:val="20"/>
        </w:rPr>
        <w:t xml:space="preserve"> safety to placebo</w:t>
      </w:r>
      <w:r w:rsidR="00A2286D" w:rsidRPr="0002723F">
        <w:rPr>
          <w:szCs w:val="20"/>
        </w:rPr>
        <w:t xml:space="preserve"> </w:t>
      </w:r>
      <w:r w:rsidR="00A2286D" w:rsidRPr="00F01D9B">
        <w:rPr>
          <w:rFonts w:eastAsia="Calibri"/>
          <w:iCs/>
        </w:rPr>
        <w:t>based on data from</w:t>
      </w:r>
      <w:r w:rsidR="00A2286D">
        <w:rPr>
          <w:rFonts w:eastAsia="Calibri"/>
          <w:iCs/>
        </w:rPr>
        <w:t xml:space="preserve"> the</w:t>
      </w:r>
      <w:r w:rsidR="00A2286D" w:rsidRPr="00F01D9B">
        <w:rPr>
          <w:rFonts w:eastAsia="Calibri"/>
          <w:iCs/>
        </w:rPr>
        <w:t xml:space="preserve"> LAURA</w:t>
      </w:r>
      <w:r w:rsidR="00A2286D">
        <w:rPr>
          <w:rFonts w:eastAsia="Calibri"/>
          <w:iCs/>
        </w:rPr>
        <w:t xml:space="preserve"> trial</w:t>
      </w:r>
      <w:r w:rsidR="00E32FF8">
        <w:rPr>
          <w:rFonts w:eastAsia="Calibri"/>
          <w:iCs/>
        </w:rPr>
        <w:t xml:space="preserve">. </w:t>
      </w:r>
      <w:r w:rsidR="009669F1">
        <w:rPr>
          <w:rFonts w:eastAsia="Calibri"/>
          <w:iCs/>
        </w:rPr>
        <w:t xml:space="preserve">The PBAC noted that </w:t>
      </w:r>
      <w:r w:rsidR="007C2A28">
        <w:rPr>
          <w:rFonts w:eastAsia="Calibri"/>
          <w:iCs/>
        </w:rPr>
        <w:t xml:space="preserve">there </w:t>
      </w:r>
      <w:r w:rsidR="004F1438">
        <w:rPr>
          <w:rFonts w:eastAsia="Calibri"/>
          <w:iCs/>
        </w:rPr>
        <w:t>was</w:t>
      </w:r>
      <w:r w:rsidR="007C2A28">
        <w:rPr>
          <w:rFonts w:eastAsia="Calibri"/>
          <w:iCs/>
        </w:rPr>
        <w:t xml:space="preserve"> no additional safety signals observed for osimertinib compared to the other settings/populations already covered for treatment with osimertinib on the PBS.</w:t>
      </w:r>
    </w:p>
    <w:p w14:paraId="74A1172E" w14:textId="7325E996" w:rsidR="00B60939" w:rsidRPr="001A4CDD" w:rsidRDefault="00B60939" w:rsidP="00A12328">
      <w:pPr>
        <w:pStyle w:val="4-SubsectionHeading"/>
      </w:pPr>
      <w:bookmarkStart w:id="63" w:name="_Toc198720640"/>
      <w:r w:rsidRPr="001A4CDD">
        <w:t>Economic analysis</w:t>
      </w:r>
      <w:bookmarkEnd w:id="61"/>
      <w:bookmarkEnd w:id="63"/>
      <w:r w:rsidR="00491B3A" w:rsidRPr="001A4CDD">
        <w:t xml:space="preserve"> </w:t>
      </w:r>
    </w:p>
    <w:p w14:paraId="1CF2C393" w14:textId="3EE52787" w:rsidR="009745EA" w:rsidRPr="00D46E9B" w:rsidRDefault="009745EA" w:rsidP="00A12328">
      <w:pPr>
        <w:pStyle w:val="3-BodyText"/>
      </w:pPr>
      <w:bookmarkStart w:id="64" w:name="_Toc22897646"/>
      <w:r w:rsidRPr="009745EA">
        <w:t xml:space="preserve">The submission presented a stepped economic evaluation comparing osimertinib versus placebo based on </w:t>
      </w:r>
      <w:r w:rsidR="001F3CC0">
        <w:t xml:space="preserve">the </w:t>
      </w:r>
      <w:r w:rsidRPr="009745EA">
        <w:t>LAURA</w:t>
      </w:r>
      <w:r w:rsidR="001F3CC0">
        <w:t xml:space="preserve"> trial</w:t>
      </w:r>
      <w:r w:rsidRPr="009745EA">
        <w:t xml:space="preserve">. The modelling was a cost-utility analysis using a three-state partitioned survival model with the health states: </w:t>
      </w:r>
      <w:r w:rsidR="00862843">
        <w:t>PFS</w:t>
      </w:r>
      <w:r w:rsidRPr="009745EA">
        <w:t>, progress</w:t>
      </w:r>
      <w:r w:rsidR="00E819FC">
        <w:t>ive</w:t>
      </w:r>
      <w:r w:rsidRPr="009745EA">
        <w:t xml:space="preserve"> disease </w:t>
      </w:r>
      <w:r w:rsidR="00EC729D">
        <w:t>(PD)</w:t>
      </w:r>
      <w:r w:rsidRPr="009745EA">
        <w:t xml:space="preserve"> and death. </w:t>
      </w:r>
      <w:r w:rsidR="00344070">
        <w:fldChar w:fldCharType="begin"/>
      </w:r>
      <w:r w:rsidR="00344070">
        <w:instrText xml:space="preserve"> REF _Ref198182666 \h  \* MERGEFORMAT </w:instrText>
      </w:r>
      <w:r w:rsidR="00344070">
        <w:fldChar w:fldCharType="separate"/>
      </w:r>
      <w:r w:rsidR="009F3D59" w:rsidRPr="009F3D59">
        <w:t>Table 12</w:t>
      </w:r>
      <w:r w:rsidR="00344070">
        <w:fldChar w:fldCharType="end"/>
      </w:r>
      <w:r w:rsidR="00344070" w:rsidRPr="00344070">
        <w:t xml:space="preserve"> </w:t>
      </w:r>
      <w:r w:rsidRPr="009745EA">
        <w:t>summarises the key aspects of the model presented in the submission.</w:t>
      </w:r>
    </w:p>
    <w:p w14:paraId="2845AA4E" w14:textId="3BB06D79" w:rsidR="009745EA" w:rsidRPr="009745EA" w:rsidRDefault="009745EA" w:rsidP="00A12328">
      <w:pPr>
        <w:keepNext/>
        <w:keepLines/>
        <w:jc w:val="left"/>
        <w:rPr>
          <w:rFonts w:ascii="Arial Narrow" w:hAnsi="Arial Narrow"/>
          <w:b/>
          <w:bCs/>
          <w:sz w:val="20"/>
        </w:rPr>
      </w:pPr>
      <w:bookmarkStart w:id="65" w:name="_Ref198182666"/>
      <w:r w:rsidRPr="009745EA">
        <w:rPr>
          <w:rFonts w:ascii="Arial Narrow" w:hAnsi="Arial Narrow"/>
          <w:b/>
          <w:bCs/>
          <w:sz w:val="20"/>
          <w:szCs w:val="18"/>
        </w:rPr>
        <w:t xml:space="preserve">Table </w:t>
      </w:r>
      <w:r w:rsidRPr="009745EA">
        <w:rPr>
          <w:rFonts w:ascii="Arial Narrow" w:hAnsi="Arial Narrow"/>
          <w:b/>
          <w:bCs/>
          <w:sz w:val="20"/>
          <w:szCs w:val="18"/>
        </w:rPr>
        <w:fldChar w:fldCharType="begin"/>
      </w:r>
      <w:r w:rsidRPr="009745EA">
        <w:rPr>
          <w:rFonts w:ascii="Arial Narrow" w:hAnsi="Arial Narrow"/>
          <w:b/>
          <w:bCs/>
          <w:sz w:val="20"/>
          <w:szCs w:val="18"/>
        </w:rPr>
        <w:instrText xml:space="preserve"> SEQ Table \* ARABIC </w:instrText>
      </w:r>
      <w:r w:rsidRPr="009745EA">
        <w:rPr>
          <w:rFonts w:ascii="Arial Narrow" w:hAnsi="Arial Narrow"/>
          <w:b/>
          <w:bCs/>
          <w:sz w:val="20"/>
          <w:szCs w:val="18"/>
        </w:rPr>
        <w:fldChar w:fldCharType="separate"/>
      </w:r>
      <w:r w:rsidR="009F3D59">
        <w:rPr>
          <w:rFonts w:ascii="Arial Narrow" w:hAnsi="Arial Narrow"/>
          <w:b/>
          <w:bCs/>
          <w:noProof/>
          <w:sz w:val="20"/>
          <w:szCs w:val="18"/>
        </w:rPr>
        <w:t>12</w:t>
      </w:r>
      <w:r w:rsidRPr="009745EA">
        <w:rPr>
          <w:rFonts w:ascii="Arial Narrow" w:hAnsi="Arial Narrow"/>
          <w:b/>
          <w:bCs/>
          <w:noProof/>
          <w:sz w:val="20"/>
          <w:szCs w:val="18"/>
        </w:rPr>
        <w:fldChar w:fldCharType="end"/>
      </w:r>
      <w:bookmarkEnd w:id="65"/>
      <w:r w:rsidRPr="009745EA">
        <w:rPr>
          <w:rFonts w:ascii="Arial Narrow" w:hAnsi="Arial Narrow"/>
          <w:b/>
          <w:bCs/>
          <w:sz w:val="20"/>
          <w:szCs w:val="18"/>
        </w:rPr>
        <w:t>:</w:t>
      </w:r>
      <w:r w:rsidRPr="009745EA">
        <w:rPr>
          <w:rFonts w:ascii="Arial Narrow" w:hAnsi="Arial Narrow"/>
          <w:b/>
          <w:bCs/>
          <w:sz w:val="20"/>
        </w:rPr>
        <w:t xml:space="preserve"> Summary of model structure, key inputs and rationale</w:t>
      </w:r>
    </w:p>
    <w:tbl>
      <w:tblPr>
        <w:tblStyle w:val="PBAClayout"/>
        <w:tblW w:w="5000" w:type="pct"/>
        <w:tblLayout w:type="fixed"/>
        <w:tblLook w:val="01E0" w:firstRow="1" w:lastRow="1" w:firstColumn="1" w:lastColumn="1" w:noHBand="0" w:noVBand="0"/>
        <w:tblCaption w:val="Table 12: Summary of model structure, key inputs and rationale"/>
      </w:tblPr>
      <w:tblGrid>
        <w:gridCol w:w="1555"/>
        <w:gridCol w:w="7462"/>
      </w:tblGrid>
      <w:tr w:rsidR="009745EA" w:rsidRPr="007C3922" w14:paraId="7521FF18" w14:textId="77777777" w:rsidTr="6A7C443A">
        <w:trPr>
          <w:tblHeader/>
        </w:trPr>
        <w:tc>
          <w:tcPr>
            <w:tcW w:w="862" w:type="pct"/>
          </w:tcPr>
          <w:p w14:paraId="13A34C41" w14:textId="77777777" w:rsidR="009745EA" w:rsidRPr="007C3922" w:rsidRDefault="009745EA" w:rsidP="00A12328">
            <w:pPr>
              <w:keepNext/>
              <w:keepLines/>
              <w:jc w:val="left"/>
              <w:rPr>
                <w:rFonts w:ascii="Arial Narrow" w:eastAsiaTheme="majorEastAsia" w:hAnsi="Arial Narrow" w:cs="Times New Roman"/>
                <w:b/>
                <w:sz w:val="20"/>
              </w:rPr>
            </w:pPr>
            <w:r w:rsidRPr="007C3922">
              <w:rPr>
                <w:rFonts w:ascii="Arial Narrow" w:eastAsiaTheme="majorEastAsia" w:hAnsi="Arial Narrow" w:cs="Times New Roman"/>
                <w:b/>
                <w:sz w:val="20"/>
              </w:rPr>
              <w:t>Component</w:t>
            </w:r>
          </w:p>
        </w:tc>
        <w:tc>
          <w:tcPr>
            <w:tcW w:w="4138" w:type="pct"/>
          </w:tcPr>
          <w:p w14:paraId="7AB10BE3" w14:textId="77777777" w:rsidR="009745EA" w:rsidRPr="007C3922" w:rsidRDefault="009745EA" w:rsidP="00A12328">
            <w:pPr>
              <w:keepNext/>
              <w:keepLines/>
              <w:jc w:val="left"/>
              <w:rPr>
                <w:rFonts w:ascii="Arial Narrow" w:eastAsiaTheme="majorEastAsia" w:hAnsi="Arial Narrow" w:cs="Times New Roman"/>
                <w:b/>
                <w:sz w:val="20"/>
              </w:rPr>
            </w:pPr>
            <w:r w:rsidRPr="007C3922">
              <w:rPr>
                <w:rFonts w:ascii="Arial Narrow" w:eastAsiaTheme="majorEastAsia" w:hAnsi="Arial Narrow" w:cs="Times New Roman"/>
                <w:b/>
                <w:sz w:val="20"/>
              </w:rPr>
              <w:t>Summary</w:t>
            </w:r>
          </w:p>
        </w:tc>
      </w:tr>
      <w:tr w:rsidR="009745EA" w:rsidRPr="007C3922" w14:paraId="50067D39" w14:textId="77777777" w:rsidTr="6A7C443A">
        <w:tc>
          <w:tcPr>
            <w:tcW w:w="862" w:type="pct"/>
          </w:tcPr>
          <w:p w14:paraId="344430D5" w14:textId="77777777" w:rsidR="009745EA" w:rsidRPr="007C3922" w:rsidRDefault="009745EA" w:rsidP="00A12328">
            <w:pPr>
              <w:keepNext/>
              <w:keepLines/>
              <w:jc w:val="left"/>
              <w:rPr>
                <w:rFonts w:ascii="Arial Narrow" w:eastAsiaTheme="majorEastAsia" w:hAnsi="Arial Narrow" w:cstheme="majorBidi"/>
                <w:bCs/>
                <w:sz w:val="20"/>
              </w:rPr>
            </w:pPr>
            <w:r w:rsidRPr="007C3922">
              <w:rPr>
                <w:rFonts w:ascii="Arial Narrow" w:eastAsiaTheme="majorEastAsia" w:hAnsi="Arial Narrow" w:cstheme="majorBidi"/>
                <w:bCs/>
                <w:sz w:val="20"/>
              </w:rPr>
              <w:t>Treatments</w:t>
            </w:r>
          </w:p>
        </w:tc>
        <w:tc>
          <w:tcPr>
            <w:tcW w:w="4138" w:type="pct"/>
          </w:tcPr>
          <w:p w14:paraId="3712319F" w14:textId="77777777" w:rsidR="009745EA" w:rsidRPr="007C3922" w:rsidRDefault="009745EA" w:rsidP="00A12328">
            <w:pPr>
              <w:keepNext/>
              <w:keepLines/>
              <w:jc w:val="left"/>
              <w:rPr>
                <w:rFonts w:ascii="Arial Narrow" w:eastAsiaTheme="majorEastAsia" w:hAnsi="Arial Narrow" w:cstheme="majorBidi"/>
                <w:bCs/>
                <w:sz w:val="20"/>
              </w:rPr>
            </w:pPr>
            <w:r w:rsidRPr="007C3922">
              <w:rPr>
                <w:rFonts w:ascii="Arial Narrow" w:eastAsiaTheme="majorEastAsia" w:hAnsi="Arial Narrow" w:cstheme="majorBidi"/>
                <w:bCs/>
                <w:sz w:val="20"/>
              </w:rPr>
              <w:t>Osimertinib versus placebo</w:t>
            </w:r>
          </w:p>
        </w:tc>
      </w:tr>
      <w:tr w:rsidR="009745EA" w:rsidRPr="007C3922" w14:paraId="092FCE58" w14:textId="77777777" w:rsidTr="6A7C443A">
        <w:tc>
          <w:tcPr>
            <w:tcW w:w="862" w:type="pct"/>
          </w:tcPr>
          <w:p w14:paraId="23FED318" w14:textId="77777777" w:rsidR="009745EA" w:rsidRPr="007C3922" w:rsidRDefault="009745EA" w:rsidP="00A12328">
            <w:pPr>
              <w:keepNext/>
              <w:keepLines/>
              <w:jc w:val="left"/>
              <w:rPr>
                <w:rFonts w:ascii="Arial Narrow" w:eastAsiaTheme="majorEastAsia" w:hAnsi="Arial Narrow" w:cstheme="majorBidi"/>
                <w:bCs/>
                <w:sz w:val="20"/>
              </w:rPr>
            </w:pPr>
            <w:r w:rsidRPr="007C3922">
              <w:rPr>
                <w:rFonts w:ascii="Arial Narrow" w:eastAsiaTheme="majorEastAsia" w:hAnsi="Arial Narrow" w:cstheme="majorBidi"/>
                <w:bCs/>
                <w:sz w:val="20"/>
              </w:rPr>
              <w:t>Time horizon</w:t>
            </w:r>
          </w:p>
        </w:tc>
        <w:tc>
          <w:tcPr>
            <w:tcW w:w="4138" w:type="pct"/>
          </w:tcPr>
          <w:p w14:paraId="01F4FBF7" w14:textId="77777777" w:rsidR="009745EA" w:rsidRPr="007C3922" w:rsidRDefault="009745EA" w:rsidP="00A12328">
            <w:pPr>
              <w:keepNext/>
              <w:keepLines/>
              <w:jc w:val="left"/>
              <w:rPr>
                <w:rFonts w:ascii="Arial Narrow" w:eastAsiaTheme="majorEastAsia" w:hAnsi="Arial Narrow" w:cstheme="majorBidi"/>
                <w:bCs/>
                <w:sz w:val="20"/>
              </w:rPr>
            </w:pPr>
            <w:r w:rsidRPr="007C3922">
              <w:rPr>
                <w:rFonts w:ascii="Arial Narrow" w:eastAsiaTheme="majorEastAsia" w:hAnsi="Arial Narrow" w:cstheme="majorBidi"/>
                <w:bCs/>
                <w:sz w:val="20"/>
              </w:rPr>
              <w:t>10 years in the model base case versus 49 months</w:t>
            </w:r>
            <w:r w:rsidRPr="007C3922">
              <w:rPr>
                <w:rFonts w:ascii="Arial Narrow" w:eastAsiaTheme="majorEastAsia" w:hAnsi="Arial Narrow" w:cstheme="majorBidi"/>
                <w:bCs/>
                <w:sz w:val="20"/>
                <w:vertAlign w:val="superscript"/>
              </w:rPr>
              <w:t xml:space="preserve">a </w:t>
            </w:r>
            <w:r w:rsidRPr="007C3922">
              <w:rPr>
                <w:rFonts w:ascii="Arial Narrow" w:eastAsiaTheme="majorEastAsia" w:hAnsi="Arial Narrow" w:cstheme="majorBidi"/>
                <w:bCs/>
                <w:sz w:val="20"/>
              </w:rPr>
              <w:t>in the LAURA trial.</w:t>
            </w:r>
          </w:p>
          <w:p w14:paraId="2E72E7B5" w14:textId="2F04D834" w:rsidR="009745EA" w:rsidRPr="007C3922" w:rsidRDefault="00BE5576" w:rsidP="00A12328">
            <w:pPr>
              <w:keepNext/>
              <w:keepLines/>
              <w:jc w:val="left"/>
              <w:rPr>
                <w:rFonts w:ascii="Arial Narrow" w:eastAsiaTheme="majorEastAsia" w:hAnsi="Arial Narrow" w:cstheme="majorBidi"/>
                <w:bCs/>
                <w:sz w:val="20"/>
              </w:rPr>
            </w:pPr>
            <w:r w:rsidRPr="00955EA2">
              <w:rPr>
                <w:rFonts w:ascii="Arial Narrow" w:eastAsiaTheme="majorEastAsia" w:hAnsi="Arial Narrow" w:cstheme="majorBidi"/>
                <w:bCs/>
                <w:sz w:val="20"/>
              </w:rPr>
              <w:t>The evaluation considered this</w:t>
            </w:r>
            <w:r w:rsidRPr="007C3922">
              <w:rPr>
                <w:rFonts w:ascii="Arial Narrow" w:eastAsiaTheme="majorEastAsia" w:hAnsi="Arial Narrow" w:cstheme="majorBidi"/>
                <w:bCs/>
                <w:sz w:val="20"/>
              </w:rPr>
              <w:t xml:space="preserve"> </w:t>
            </w:r>
            <w:r w:rsidR="00181880" w:rsidRPr="007C3922">
              <w:rPr>
                <w:rFonts w:ascii="Arial Narrow" w:eastAsiaTheme="majorEastAsia" w:hAnsi="Arial Narrow" w:cstheme="majorBidi"/>
                <w:bCs/>
                <w:sz w:val="20"/>
              </w:rPr>
              <w:t>was likely r</w:t>
            </w:r>
            <w:r w:rsidR="009745EA" w:rsidRPr="007C3922">
              <w:rPr>
                <w:rFonts w:ascii="Arial Narrow" w:eastAsiaTheme="majorEastAsia" w:hAnsi="Arial Narrow" w:cstheme="majorBidi"/>
                <w:bCs/>
                <w:sz w:val="20"/>
              </w:rPr>
              <w:t xml:space="preserve">easonable. The submission’s justification was that the proposed time horizon for Stage III NSCLC sits between the </w:t>
            </w:r>
            <w:r w:rsidR="006D147A" w:rsidRPr="007C3922">
              <w:rPr>
                <w:rFonts w:ascii="Arial Narrow" w:eastAsiaTheme="majorEastAsia" w:hAnsi="Arial Narrow" w:cstheme="majorBidi"/>
                <w:bCs/>
                <w:sz w:val="20"/>
              </w:rPr>
              <w:t>15- and 7.5-year</w:t>
            </w:r>
            <w:r w:rsidR="009745EA" w:rsidRPr="007C3922">
              <w:rPr>
                <w:rFonts w:ascii="Arial Narrow" w:eastAsiaTheme="majorEastAsia" w:hAnsi="Arial Narrow" w:cstheme="majorBidi"/>
                <w:bCs/>
                <w:sz w:val="20"/>
              </w:rPr>
              <w:t xml:space="preserve"> time horizons that PBAC had previously accepted in the adjuvant NSCLC and first-line metastatic NSCLC settings, respectively.</w:t>
            </w:r>
          </w:p>
        </w:tc>
      </w:tr>
      <w:tr w:rsidR="009745EA" w:rsidRPr="007C3922" w14:paraId="62E362C7" w14:textId="77777777" w:rsidTr="6A7C443A">
        <w:tc>
          <w:tcPr>
            <w:tcW w:w="862" w:type="pct"/>
          </w:tcPr>
          <w:p w14:paraId="0A0BCA4F"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Outcomes</w:t>
            </w:r>
          </w:p>
        </w:tc>
        <w:tc>
          <w:tcPr>
            <w:tcW w:w="4138" w:type="pct"/>
          </w:tcPr>
          <w:p w14:paraId="015CDEFE"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LYG and QALYs.</w:t>
            </w:r>
          </w:p>
        </w:tc>
      </w:tr>
      <w:tr w:rsidR="009745EA" w:rsidRPr="007C3922" w14:paraId="7330F066" w14:textId="77777777" w:rsidTr="6A7C443A">
        <w:tc>
          <w:tcPr>
            <w:tcW w:w="862" w:type="pct"/>
          </w:tcPr>
          <w:p w14:paraId="48516873"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Methods used to generate results</w:t>
            </w:r>
          </w:p>
        </w:tc>
        <w:tc>
          <w:tcPr>
            <w:tcW w:w="4138" w:type="pct"/>
          </w:tcPr>
          <w:p w14:paraId="677AF5B4" w14:textId="1702A470"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Partitioned survival model.</w:t>
            </w:r>
          </w:p>
        </w:tc>
      </w:tr>
      <w:tr w:rsidR="009745EA" w:rsidRPr="007C3922" w14:paraId="44AC04BC" w14:textId="77777777" w:rsidTr="6A7C443A">
        <w:tc>
          <w:tcPr>
            <w:tcW w:w="862" w:type="pct"/>
          </w:tcPr>
          <w:p w14:paraId="37837C7B"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Health states</w:t>
            </w:r>
          </w:p>
        </w:tc>
        <w:tc>
          <w:tcPr>
            <w:tcW w:w="4138" w:type="pct"/>
          </w:tcPr>
          <w:p w14:paraId="4A4B453D"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PFS, PD and Dead</w:t>
            </w:r>
          </w:p>
        </w:tc>
      </w:tr>
      <w:tr w:rsidR="009745EA" w:rsidRPr="007C3922" w14:paraId="326A9AD3" w14:textId="77777777" w:rsidTr="6A7C443A">
        <w:tc>
          <w:tcPr>
            <w:tcW w:w="862" w:type="pct"/>
          </w:tcPr>
          <w:p w14:paraId="163E7664"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Cycle length</w:t>
            </w:r>
          </w:p>
        </w:tc>
        <w:tc>
          <w:tcPr>
            <w:tcW w:w="4138" w:type="pct"/>
          </w:tcPr>
          <w:p w14:paraId="7550A8DA"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One month</w:t>
            </w:r>
          </w:p>
        </w:tc>
      </w:tr>
      <w:tr w:rsidR="009745EA" w:rsidRPr="007C3922" w14:paraId="07FC13FB" w14:textId="77777777" w:rsidTr="6A7C443A">
        <w:tc>
          <w:tcPr>
            <w:tcW w:w="862" w:type="pct"/>
          </w:tcPr>
          <w:p w14:paraId="3EC24C39"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Allocation to health states</w:t>
            </w:r>
          </w:p>
        </w:tc>
        <w:tc>
          <w:tcPr>
            <w:tcW w:w="4138" w:type="pct"/>
          </w:tcPr>
          <w:p w14:paraId="6F1EF1F4" w14:textId="7EBC47DA" w:rsidR="00A432C1" w:rsidRDefault="009745EA" w:rsidP="00A12328">
            <w:pPr>
              <w:spacing w:after="120"/>
              <w:ind w:right="63"/>
              <w:contextualSpacing/>
              <w:rPr>
                <w:rFonts w:ascii="Arial Narrow" w:hAnsi="Arial Narrow"/>
                <w:snapToGrid w:val="0"/>
                <w:sz w:val="20"/>
                <w:szCs w:val="20"/>
              </w:rPr>
            </w:pPr>
            <w:r w:rsidRPr="007C3922">
              <w:rPr>
                <w:rFonts w:ascii="Arial Narrow" w:eastAsiaTheme="majorEastAsia" w:hAnsi="Arial Narrow" w:cstheme="majorBidi"/>
                <w:bCs/>
                <w:sz w:val="20"/>
              </w:rPr>
              <w:t xml:space="preserve">Based on PFS and OS KM curves from </w:t>
            </w:r>
            <w:r w:rsidR="00873C13">
              <w:rPr>
                <w:rFonts w:ascii="Arial Narrow" w:eastAsiaTheme="majorEastAsia" w:hAnsi="Arial Narrow" w:cstheme="majorBidi"/>
                <w:bCs/>
                <w:sz w:val="20"/>
              </w:rPr>
              <w:t xml:space="preserve">the </w:t>
            </w:r>
            <w:r w:rsidRPr="007C3922">
              <w:rPr>
                <w:rFonts w:ascii="Arial Narrow" w:eastAsiaTheme="majorEastAsia" w:hAnsi="Arial Narrow" w:cstheme="majorBidi"/>
                <w:bCs/>
                <w:sz w:val="20"/>
              </w:rPr>
              <w:t>LAURA</w:t>
            </w:r>
            <w:r w:rsidR="00873C13">
              <w:rPr>
                <w:rFonts w:ascii="Arial Narrow" w:eastAsiaTheme="majorEastAsia" w:hAnsi="Arial Narrow" w:cstheme="majorBidi"/>
                <w:bCs/>
                <w:sz w:val="20"/>
              </w:rPr>
              <w:t xml:space="preserve"> trial</w:t>
            </w:r>
            <w:r w:rsidR="00FE158C">
              <w:rPr>
                <w:rFonts w:ascii="Arial Narrow" w:eastAsiaTheme="majorEastAsia" w:hAnsi="Arial Narrow" w:cstheme="majorBidi"/>
                <w:bCs/>
                <w:sz w:val="20"/>
              </w:rPr>
              <w:t xml:space="preserve"> (</w:t>
            </w:r>
            <w:r w:rsidR="006E59ED">
              <w:rPr>
                <w:rFonts w:ascii="Arial Narrow" w:eastAsiaTheme="majorEastAsia" w:hAnsi="Arial Narrow" w:cstheme="majorBidi"/>
                <w:bCs/>
                <w:sz w:val="20"/>
              </w:rPr>
              <w:t xml:space="preserve">the </w:t>
            </w:r>
            <w:r w:rsidR="00FE158C">
              <w:rPr>
                <w:rFonts w:ascii="Arial Narrow" w:eastAsiaTheme="majorEastAsia" w:hAnsi="Arial Narrow" w:cstheme="majorBidi"/>
                <w:bCs/>
                <w:sz w:val="20"/>
              </w:rPr>
              <w:t>OS KM data for osimertinib was adjusted [discussed below])</w:t>
            </w:r>
            <w:r w:rsidR="00873C13">
              <w:rPr>
                <w:rFonts w:ascii="Arial Narrow" w:eastAsiaTheme="majorEastAsia" w:hAnsi="Arial Narrow" w:cstheme="majorBidi"/>
                <w:bCs/>
                <w:sz w:val="20"/>
              </w:rPr>
              <w:t>,</w:t>
            </w:r>
            <w:r w:rsidRPr="007C3922">
              <w:rPr>
                <w:rFonts w:ascii="Arial Narrow" w:eastAsiaTheme="majorEastAsia" w:hAnsi="Arial Narrow" w:cstheme="majorBidi"/>
                <w:bCs/>
                <w:sz w:val="20"/>
              </w:rPr>
              <w:t xml:space="preserve"> up to the truncation time points</w:t>
            </w:r>
            <w:r w:rsidR="00C05B70" w:rsidRPr="007C3922">
              <w:rPr>
                <w:rFonts w:ascii="Arial Narrow" w:eastAsiaTheme="majorEastAsia" w:hAnsi="Arial Narrow" w:cstheme="majorBidi"/>
                <w:bCs/>
                <w:sz w:val="20"/>
              </w:rPr>
              <w:t xml:space="preserve"> (PFS: 36 and 13 months for osimertinib and placebo</w:t>
            </w:r>
            <w:r w:rsidR="006550E0">
              <w:rPr>
                <w:rFonts w:ascii="Arial Narrow" w:eastAsiaTheme="majorEastAsia" w:hAnsi="Arial Narrow" w:cstheme="majorBidi"/>
                <w:bCs/>
                <w:sz w:val="20"/>
              </w:rPr>
              <w:t>,</w:t>
            </w:r>
            <w:r w:rsidR="00C05B70" w:rsidRPr="007C3922">
              <w:rPr>
                <w:rFonts w:ascii="Arial Narrow" w:eastAsiaTheme="majorEastAsia" w:hAnsi="Arial Narrow" w:cstheme="majorBidi"/>
                <w:bCs/>
                <w:sz w:val="20"/>
              </w:rPr>
              <w:t xml:space="preserve"> respectively; OS: 50 and 46 months for osimertinib and placebo</w:t>
            </w:r>
            <w:r w:rsidR="006550E0">
              <w:rPr>
                <w:rFonts w:ascii="Arial Narrow" w:eastAsiaTheme="majorEastAsia" w:hAnsi="Arial Narrow" w:cstheme="majorBidi"/>
                <w:bCs/>
                <w:sz w:val="20"/>
              </w:rPr>
              <w:t>,</w:t>
            </w:r>
            <w:r w:rsidR="00C05B70" w:rsidRPr="007C3922">
              <w:rPr>
                <w:rFonts w:ascii="Arial Narrow" w:eastAsiaTheme="majorEastAsia" w:hAnsi="Arial Narrow" w:cstheme="majorBidi"/>
                <w:bCs/>
                <w:sz w:val="20"/>
              </w:rPr>
              <w:t xml:space="preserve"> respectively)</w:t>
            </w:r>
            <w:r w:rsidRPr="007C3922">
              <w:rPr>
                <w:rFonts w:ascii="Arial Narrow" w:eastAsiaTheme="majorEastAsia" w:hAnsi="Arial Narrow" w:cstheme="majorBidi"/>
                <w:bCs/>
                <w:sz w:val="20"/>
                <w:szCs w:val="20"/>
              </w:rPr>
              <w:t xml:space="preserve">. </w:t>
            </w:r>
            <w:r w:rsidR="00A432C1" w:rsidRPr="00955EA2">
              <w:rPr>
                <w:rFonts w:ascii="Arial Narrow" w:hAnsi="Arial Narrow"/>
                <w:snapToGrid w:val="0"/>
                <w:sz w:val="20"/>
                <w:szCs w:val="20"/>
              </w:rPr>
              <w:t>The</w:t>
            </w:r>
            <w:r w:rsidR="0015434C" w:rsidRPr="00955EA2">
              <w:rPr>
                <w:rFonts w:ascii="Arial Narrow" w:hAnsi="Arial Narrow"/>
                <w:snapToGrid w:val="0"/>
                <w:sz w:val="20"/>
                <w:szCs w:val="20"/>
              </w:rPr>
              <w:t xml:space="preserve"> evaluation considered that the</w:t>
            </w:r>
            <w:r w:rsidR="00A432C1" w:rsidRPr="007C3922">
              <w:rPr>
                <w:rFonts w:ascii="Arial Narrow" w:hAnsi="Arial Narrow"/>
                <w:snapToGrid w:val="0"/>
                <w:sz w:val="20"/>
                <w:szCs w:val="20"/>
              </w:rPr>
              <w:t xml:space="preserve"> point of truncation was </w:t>
            </w:r>
            <w:r w:rsidR="007D6DA2" w:rsidRPr="007C3922">
              <w:rPr>
                <w:rFonts w:ascii="Arial Narrow" w:hAnsi="Arial Narrow"/>
                <w:snapToGrid w:val="0"/>
                <w:sz w:val="20"/>
                <w:szCs w:val="20"/>
              </w:rPr>
              <w:t xml:space="preserve">reasonably </w:t>
            </w:r>
            <w:r w:rsidR="00A432C1" w:rsidRPr="007C3922">
              <w:rPr>
                <w:rFonts w:ascii="Arial Narrow" w:hAnsi="Arial Narrow"/>
                <w:snapToGrid w:val="0"/>
                <w:sz w:val="20"/>
                <w:szCs w:val="20"/>
              </w:rPr>
              <w:t>set at the point at which approximately 20% of patients remain in the risk set (Pocock 2002)</w:t>
            </w:r>
            <w:r w:rsidR="00511000" w:rsidRPr="007C3922">
              <w:rPr>
                <w:rFonts w:ascii="Arial Narrow" w:hAnsi="Arial Narrow"/>
                <w:snapToGrid w:val="0"/>
                <w:sz w:val="20"/>
                <w:szCs w:val="20"/>
              </w:rPr>
              <w:t>. The Pocock publication stated that it would often be reasonable to curtail the plot when only 10</w:t>
            </w:r>
            <w:r w:rsidR="0015434C">
              <w:rPr>
                <w:rFonts w:ascii="Arial Narrow" w:hAnsi="Arial Narrow"/>
                <w:snapToGrid w:val="0"/>
                <w:sz w:val="20"/>
                <w:szCs w:val="20"/>
              </w:rPr>
              <w:t>−</w:t>
            </w:r>
            <w:r w:rsidR="00511000" w:rsidRPr="007C3922">
              <w:rPr>
                <w:rFonts w:ascii="Arial Narrow" w:hAnsi="Arial Narrow"/>
                <w:snapToGrid w:val="0"/>
                <w:sz w:val="20"/>
                <w:szCs w:val="20"/>
              </w:rPr>
              <w:t>20% are still in follow-up</w:t>
            </w:r>
            <w:r w:rsidR="00A432C1" w:rsidRPr="007C3922">
              <w:rPr>
                <w:rFonts w:ascii="Arial Narrow" w:hAnsi="Arial Narrow"/>
                <w:snapToGrid w:val="0"/>
                <w:sz w:val="20"/>
                <w:szCs w:val="20"/>
              </w:rPr>
              <w:t>.</w:t>
            </w:r>
            <w:r w:rsidR="00C05B70" w:rsidRPr="007C3922">
              <w:rPr>
                <w:rFonts w:ascii="Arial Narrow" w:hAnsi="Arial Narrow"/>
                <w:snapToGrid w:val="0"/>
                <w:sz w:val="20"/>
                <w:szCs w:val="20"/>
              </w:rPr>
              <w:t xml:space="preserve"> </w:t>
            </w:r>
          </w:p>
          <w:p w14:paraId="2BD0FF25" w14:textId="41137BC5" w:rsidR="007202A5" w:rsidRPr="007C3922" w:rsidRDefault="007202A5" w:rsidP="00A12328">
            <w:pPr>
              <w:spacing w:after="120"/>
              <w:ind w:right="63"/>
              <w:contextualSpacing/>
              <w:rPr>
                <w:rFonts w:ascii="Arial Narrow" w:hAnsi="Arial Narrow"/>
                <w:snapToGrid w:val="0"/>
                <w:sz w:val="20"/>
                <w:szCs w:val="20"/>
              </w:rPr>
            </w:pPr>
            <w:r>
              <w:rPr>
                <w:rFonts w:ascii="Arial Narrow" w:hAnsi="Arial Narrow"/>
                <w:snapToGrid w:val="0"/>
                <w:sz w:val="20"/>
                <w:szCs w:val="20"/>
              </w:rPr>
              <w:t>A</w:t>
            </w:r>
            <w:r w:rsidRPr="007202A5">
              <w:rPr>
                <w:rFonts w:ascii="Arial Narrow" w:hAnsi="Arial Narrow"/>
                <w:snapToGrid w:val="0"/>
                <w:sz w:val="20"/>
                <w:szCs w:val="20"/>
              </w:rPr>
              <w:t xml:space="preserve">n adjustment was applied to the first 30 months of the model </w:t>
            </w:r>
            <w:r w:rsidR="0053396B">
              <w:rPr>
                <w:rFonts w:ascii="Arial Narrow" w:hAnsi="Arial Narrow"/>
                <w:snapToGrid w:val="0"/>
                <w:sz w:val="20"/>
                <w:szCs w:val="20"/>
              </w:rPr>
              <w:t>which</w:t>
            </w:r>
            <w:r w:rsidRPr="007202A5">
              <w:rPr>
                <w:rFonts w:ascii="Arial Narrow" w:hAnsi="Arial Narrow"/>
                <w:snapToGrid w:val="0"/>
                <w:sz w:val="20"/>
                <w:szCs w:val="20"/>
              </w:rPr>
              <w:t xml:space="preserve"> assumed that the survival modelled for the osimertinib arm could not be worse than the survival</w:t>
            </w:r>
            <w:r w:rsidR="0053396B">
              <w:rPr>
                <w:rFonts w:ascii="Arial Narrow" w:hAnsi="Arial Narrow"/>
                <w:snapToGrid w:val="0"/>
                <w:sz w:val="20"/>
                <w:szCs w:val="20"/>
              </w:rPr>
              <w:t xml:space="preserve"> observed</w:t>
            </w:r>
            <w:r w:rsidRPr="007202A5">
              <w:rPr>
                <w:rFonts w:ascii="Arial Narrow" w:hAnsi="Arial Narrow"/>
                <w:snapToGrid w:val="0"/>
                <w:sz w:val="20"/>
                <w:szCs w:val="20"/>
              </w:rPr>
              <w:t xml:space="preserve"> in the placebo arm. Therefore, for the first 30 months of the model, the OS of the osimertinib arm was assumed to equal the OS of the placebo arm. </w:t>
            </w:r>
            <w:r w:rsidR="000E53B9">
              <w:rPr>
                <w:rFonts w:ascii="Arial Narrow" w:hAnsi="Arial Narrow"/>
                <w:snapToGrid w:val="0"/>
                <w:sz w:val="20"/>
                <w:szCs w:val="20"/>
              </w:rPr>
              <w:t>This assumption favoured osimertinib.</w:t>
            </w:r>
          </w:p>
          <w:p w14:paraId="3EF2E9B1" w14:textId="5595C4DD" w:rsidR="009745EA" w:rsidRPr="007C3922" w:rsidRDefault="009745EA" w:rsidP="00A12328">
            <w:pPr>
              <w:ind w:right="63"/>
              <w:jc w:val="left"/>
              <w:rPr>
                <w:rFonts w:ascii="Arial Narrow" w:eastAsiaTheme="majorEastAsia" w:hAnsi="Arial Narrow" w:cstheme="majorBidi"/>
                <w:sz w:val="20"/>
                <w:szCs w:val="20"/>
              </w:rPr>
            </w:pPr>
            <w:r w:rsidRPr="6A7C443A">
              <w:rPr>
                <w:rFonts w:ascii="Arial Narrow" w:eastAsiaTheme="majorEastAsia" w:hAnsi="Arial Narrow" w:cstheme="majorBidi"/>
                <w:sz w:val="20"/>
                <w:szCs w:val="20"/>
              </w:rPr>
              <w:t>After truncation points, PFS (both arms) and OS (placebo arm only in base case analysis)</w:t>
            </w:r>
            <w:r w:rsidR="0015434C" w:rsidRPr="6A7C443A">
              <w:rPr>
                <w:rFonts w:ascii="Arial Narrow" w:eastAsiaTheme="majorEastAsia" w:hAnsi="Arial Narrow" w:cstheme="majorBidi"/>
                <w:sz w:val="20"/>
                <w:szCs w:val="20"/>
              </w:rPr>
              <w:t xml:space="preserve"> was extrapolated</w:t>
            </w:r>
            <w:r w:rsidRPr="6A7C443A">
              <w:rPr>
                <w:rFonts w:ascii="Arial Narrow" w:eastAsiaTheme="majorEastAsia" w:hAnsi="Arial Narrow" w:cstheme="majorBidi"/>
                <w:sz w:val="20"/>
                <w:szCs w:val="20"/>
              </w:rPr>
              <w:t xml:space="preserve">. The OS for the osimertinib arm was estimated by applying </w:t>
            </w:r>
            <w:r w:rsidR="0015434C" w:rsidRPr="6A7C443A">
              <w:rPr>
                <w:rFonts w:ascii="Arial Narrow" w:eastAsiaTheme="majorEastAsia" w:hAnsi="Arial Narrow" w:cstheme="majorBidi"/>
                <w:sz w:val="20"/>
                <w:szCs w:val="20"/>
              </w:rPr>
              <w:t>a</w:t>
            </w:r>
            <w:r w:rsidRPr="6A7C443A">
              <w:rPr>
                <w:rFonts w:ascii="Arial Narrow" w:eastAsiaTheme="majorEastAsia" w:hAnsi="Arial Narrow" w:cstheme="majorBidi"/>
                <w:sz w:val="20"/>
                <w:szCs w:val="20"/>
              </w:rPr>
              <w:t xml:space="preserve"> HR</w:t>
            </w:r>
            <w:r w:rsidR="0053396B" w:rsidRPr="6A7C443A">
              <w:rPr>
                <w:rFonts w:ascii="Arial Narrow" w:eastAsiaTheme="majorEastAsia" w:hAnsi="Arial Narrow" w:cstheme="majorBidi"/>
                <w:sz w:val="20"/>
                <w:szCs w:val="20"/>
              </w:rPr>
              <w:t xml:space="preserve"> (0.67)</w:t>
            </w:r>
            <w:r w:rsidRPr="6A7C443A">
              <w:rPr>
                <w:rFonts w:ascii="Arial Narrow" w:eastAsiaTheme="majorEastAsia" w:hAnsi="Arial Narrow" w:cstheme="majorBidi"/>
                <w:sz w:val="20"/>
                <w:szCs w:val="20"/>
              </w:rPr>
              <w:t xml:space="preserve">. </w:t>
            </w:r>
          </w:p>
        </w:tc>
      </w:tr>
      <w:tr w:rsidR="009745EA" w:rsidRPr="007C3922" w14:paraId="39D65767" w14:textId="77777777" w:rsidTr="6A7C443A">
        <w:tc>
          <w:tcPr>
            <w:tcW w:w="862" w:type="pct"/>
          </w:tcPr>
          <w:p w14:paraId="6C972E24"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Extrapolation method</w:t>
            </w:r>
          </w:p>
        </w:tc>
        <w:tc>
          <w:tcPr>
            <w:tcW w:w="4138" w:type="pct"/>
          </w:tcPr>
          <w:p w14:paraId="7ED2107D"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PFS: Parametric model fitted to KM estimates from each treatment arm, selection of parametric function was based on goodness of fit (AIC/BIC) in the placebo arm, and the most conservative extrapolation of PFS in the osimertinib arm.</w:t>
            </w:r>
          </w:p>
          <w:p w14:paraId="5BCF7D86" w14:textId="77777777" w:rsidR="009745EA" w:rsidRPr="007C3922" w:rsidRDefault="009745EA" w:rsidP="00A12328">
            <w:pPr>
              <w:jc w:val="left"/>
              <w:rPr>
                <w:rFonts w:ascii="Arial Narrow" w:eastAsiaTheme="majorEastAsia" w:hAnsi="Arial Narrow" w:cstheme="majorBidi"/>
                <w:bCs/>
                <w:sz w:val="20"/>
              </w:rPr>
            </w:pPr>
          </w:p>
          <w:p w14:paraId="420F7018" w14:textId="5CBD9E3B"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OS: Base case: Parametric models were fitted to</w:t>
            </w:r>
            <w:r w:rsidR="0092322E">
              <w:rPr>
                <w:rFonts w:ascii="Arial Narrow" w:eastAsiaTheme="majorEastAsia" w:hAnsi="Arial Narrow" w:cstheme="majorBidi"/>
                <w:bCs/>
                <w:sz w:val="20"/>
              </w:rPr>
              <w:t xml:space="preserve"> the</w:t>
            </w:r>
            <w:r w:rsidRPr="007C3922">
              <w:rPr>
                <w:rFonts w:ascii="Arial Narrow" w:eastAsiaTheme="majorEastAsia" w:hAnsi="Arial Narrow" w:cstheme="majorBidi"/>
                <w:bCs/>
                <w:sz w:val="20"/>
              </w:rPr>
              <w:t xml:space="preserve"> placebo arm KM data, selection of parametric function based on goodness of fit (AIC/BIC). A HR approach was applied beyond the truncation time point to estimate modelled osimertinib OS. Time-varying HR from </w:t>
            </w:r>
            <w:r w:rsidR="00794AA8" w:rsidRPr="007C3922">
              <w:rPr>
                <w:rFonts w:ascii="Arial Narrow" w:eastAsiaTheme="majorEastAsia" w:hAnsi="Arial Narrow" w:cstheme="majorBidi"/>
                <w:bCs/>
                <w:sz w:val="20"/>
              </w:rPr>
              <w:t>Year 3</w:t>
            </w:r>
            <w:r w:rsidRPr="007C3922">
              <w:rPr>
                <w:rFonts w:ascii="Arial Narrow" w:eastAsiaTheme="majorEastAsia" w:hAnsi="Arial Narrow" w:cstheme="majorBidi"/>
                <w:bCs/>
                <w:sz w:val="20"/>
              </w:rPr>
              <w:t xml:space="preserve"> to </w:t>
            </w:r>
            <w:r w:rsidR="00C73B55" w:rsidRPr="007C3922">
              <w:rPr>
                <w:rFonts w:ascii="Arial Narrow" w:eastAsiaTheme="majorEastAsia" w:hAnsi="Arial Narrow" w:cstheme="majorBidi"/>
                <w:bCs/>
                <w:sz w:val="20"/>
              </w:rPr>
              <w:t>Year 10</w:t>
            </w:r>
            <w:r w:rsidRPr="007C3922">
              <w:rPr>
                <w:rFonts w:ascii="Arial Narrow" w:eastAsiaTheme="majorEastAsia" w:hAnsi="Arial Narrow" w:cstheme="majorBidi"/>
                <w:bCs/>
                <w:sz w:val="20"/>
              </w:rPr>
              <w:t xml:space="preserve"> was applied to represent the effect of treatment waning.</w:t>
            </w:r>
          </w:p>
          <w:p w14:paraId="654C3091" w14:textId="1CB5B50F" w:rsidR="009745EA" w:rsidRPr="007C3922" w:rsidRDefault="002A07DD" w:rsidP="00A12328">
            <w:pPr>
              <w:jc w:val="left"/>
              <w:rPr>
                <w:rFonts w:ascii="Arial Narrow" w:eastAsiaTheme="majorEastAsia" w:hAnsi="Arial Narrow" w:cstheme="majorBidi"/>
                <w:bCs/>
                <w:sz w:val="20"/>
              </w:rPr>
            </w:pPr>
            <w:r>
              <w:rPr>
                <w:rFonts w:ascii="Arial Narrow" w:eastAsiaTheme="majorEastAsia" w:hAnsi="Arial Narrow" w:cstheme="majorBidi"/>
                <w:bCs/>
                <w:sz w:val="20"/>
              </w:rPr>
              <w:t>The evaluation noted that there</w:t>
            </w:r>
            <w:r w:rsidR="009745EA" w:rsidRPr="007C3922">
              <w:rPr>
                <w:rFonts w:ascii="Arial Narrow" w:eastAsiaTheme="majorEastAsia" w:hAnsi="Arial Narrow" w:cstheme="majorBidi"/>
                <w:bCs/>
                <w:sz w:val="20"/>
              </w:rPr>
              <w:t xml:space="preserve"> were no significant differences in OS between osimertinib and placebo based on the results of LAURA, which was at 31% maturity in the latest follow-up data.</w:t>
            </w:r>
          </w:p>
          <w:p w14:paraId="36F02170"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OS: Sensitivity analysis: Parametric model fitted to each treatment arm.</w:t>
            </w:r>
          </w:p>
          <w:p w14:paraId="353F9BB5" w14:textId="77777777" w:rsidR="009745EA" w:rsidRPr="007C3922" w:rsidRDefault="009745EA" w:rsidP="00A12328">
            <w:pPr>
              <w:jc w:val="left"/>
              <w:rPr>
                <w:rFonts w:ascii="Arial Narrow" w:eastAsiaTheme="majorEastAsia" w:hAnsi="Arial Narrow" w:cstheme="majorBidi"/>
                <w:bCs/>
                <w:sz w:val="20"/>
              </w:rPr>
            </w:pPr>
          </w:p>
          <w:tbl>
            <w:tblPr>
              <w:tblStyle w:val="TableGrid"/>
              <w:tblW w:w="0" w:type="auto"/>
              <w:tblLayout w:type="fixed"/>
              <w:tblLook w:val="04A0" w:firstRow="1" w:lastRow="0" w:firstColumn="1" w:lastColumn="0" w:noHBand="0" w:noVBand="1"/>
            </w:tblPr>
            <w:tblGrid>
              <w:gridCol w:w="990"/>
              <w:gridCol w:w="2552"/>
              <w:gridCol w:w="2891"/>
            </w:tblGrid>
            <w:tr w:rsidR="009745EA" w:rsidRPr="007C3922" w14:paraId="3CC9F518" w14:textId="77777777">
              <w:tc>
                <w:tcPr>
                  <w:tcW w:w="990" w:type="dxa"/>
                </w:tcPr>
                <w:p w14:paraId="6445364F" w14:textId="77777777" w:rsidR="009745EA" w:rsidRPr="007C3922" w:rsidRDefault="009745EA" w:rsidP="00A12328">
                  <w:pPr>
                    <w:jc w:val="left"/>
                    <w:rPr>
                      <w:rFonts w:ascii="Arial Narrow" w:eastAsiaTheme="majorEastAsia" w:hAnsi="Arial Narrow" w:cstheme="majorBidi"/>
                      <w:bCs/>
                      <w:sz w:val="18"/>
                      <w:szCs w:val="18"/>
                    </w:rPr>
                  </w:pPr>
                </w:p>
              </w:tc>
              <w:tc>
                <w:tcPr>
                  <w:tcW w:w="2552" w:type="dxa"/>
                </w:tcPr>
                <w:p w14:paraId="4E416072" w14:textId="77777777" w:rsidR="009745EA" w:rsidRPr="007C3922" w:rsidRDefault="009745EA" w:rsidP="00A12328">
                  <w:pPr>
                    <w:jc w:val="left"/>
                    <w:rPr>
                      <w:rFonts w:ascii="Arial Narrow" w:eastAsiaTheme="majorEastAsia" w:hAnsi="Arial Narrow" w:cstheme="majorBidi"/>
                      <w:b/>
                      <w:sz w:val="18"/>
                      <w:szCs w:val="18"/>
                    </w:rPr>
                  </w:pPr>
                  <w:r w:rsidRPr="007C3922">
                    <w:rPr>
                      <w:rFonts w:ascii="Arial Narrow" w:eastAsiaTheme="majorEastAsia" w:hAnsi="Arial Narrow" w:cstheme="majorBidi"/>
                      <w:b/>
                      <w:sz w:val="18"/>
                      <w:szCs w:val="18"/>
                    </w:rPr>
                    <w:t>Osimertinib</w:t>
                  </w:r>
                </w:p>
              </w:tc>
              <w:tc>
                <w:tcPr>
                  <w:tcW w:w="2891" w:type="dxa"/>
                </w:tcPr>
                <w:p w14:paraId="3D1DD6E5" w14:textId="77777777" w:rsidR="009745EA" w:rsidRPr="007C3922" w:rsidRDefault="009745EA" w:rsidP="00A12328">
                  <w:pPr>
                    <w:jc w:val="left"/>
                    <w:rPr>
                      <w:rFonts w:ascii="Arial Narrow" w:eastAsiaTheme="majorEastAsia" w:hAnsi="Arial Narrow" w:cstheme="majorBidi"/>
                      <w:b/>
                      <w:sz w:val="18"/>
                      <w:szCs w:val="18"/>
                    </w:rPr>
                  </w:pPr>
                  <w:r w:rsidRPr="007C3922">
                    <w:rPr>
                      <w:rFonts w:ascii="Arial Narrow" w:eastAsiaTheme="majorEastAsia" w:hAnsi="Arial Narrow" w:cstheme="majorBidi"/>
                      <w:b/>
                      <w:sz w:val="18"/>
                      <w:szCs w:val="18"/>
                    </w:rPr>
                    <w:t>Placebo</w:t>
                  </w:r>
                </w:p>
              </w:tc>
            </w:tr>
            <w:tr w:rsidR="009745EA" w:rsidRPr="007C3922" w14:paraId="0E1538A4" w14:textId="77777777">
              <w:tc>
                <w:tcPr>
                  <w:tcW w:w="990" w:type="dxa"/>
                </w:tcPr>
                <w:p w14:paraId="2ACC74C2"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PFS</w:t>
                  </w:r>
                </w:p>
              </w:tc>
              <w:tc>
                <w:tcPr>
                  <w:tcW w:w="2552" w:type="dxa"/>
                </w:tcPr>
                <w:p w14:paraId="00A8048E"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exponential</w:t>
                  </w:r>
                </w:p>
              </w:tc>
              <w:tc>
                <w:tcPr>
                  <w:tcW w:w="2891" w:type="dxa"/>
                </w:tcPr>
                <w:p w14:paraId="48C37967"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generalised gamma</w:t>
                  </w:r>
                </w:p>
              </w:tc>
            </w:tr>
            <w:tr w:rsidR="009745EA" w:rsidRPr="007C3922" w14:paraId="4C7586EE" w14:textId="77777777">
              <w:tc>
                <w:tcPr>
                  <w:tcW w:w="990" w:type="dxa"/>
                </w:tcPr>
                <w:p w14:paraId="5F2AB0CF"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OS</w:t>
                  </w:r>
                </w:p>
              </w:tc>
              <w:tc>
                <w:tcPr>
                  <w:tcW w:w="2552" w:type="dxa"/>
                </w:tcPr>
                <w:p w14:paraId="03CDEF1D"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Weibull (sensitivity analysis)</w:t>
                  </w:r>
                </w:p>
              </w:tc>
              <w:tc>
                <w:tcPr>
                  <w:tcW w:w="2891" w:type="dxa"/>
                </w:tcPr>
                <w:p w14:paraId="0E5ACCF5"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gamma</w:t>
                  </w:r>
                </w:p>
              </w:tc>
            </w:tr>
            <w:tr w:rsidR="009745EA" w:rsidRPr="007C3922" w14:paraId="1207A27C" w14:textId="77777777">
              <w:tc>
                <w:tcPr>
                  <w:tcW w:w="990" w:type="dxa"/>
                </w:tcPr>
                <w:p w14:paraId="53C62D94"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TTD</w:t>
                  </w:r>
                </w:p>
              </w:tc>
              <w:tc>
                <w:tcPr>
                  <w:tcW w:w="2552" w:type="dxa"/>
                </w:tcPr>
                <w:p w14:paraId="74CF6DCA"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exponential</w:t>
                  </w:r>
                </w:p>
              </w:tc>
              <w:tc>
                <w:tcPr>
                  <w:tcW w:w="2891" w:type="dxa"/>
                </w:tcPr>
                <w:p w14:paraId="54B3D538"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n/a</w:t>
                  </w:r>
                </w:p>
              </w:tc>
            </w:tr>
          </w:tbl>
          <w:p w14:paraId="49F11A0E" w14:textId="77777777" w:rsidR="009745EA" w:rsidRPr="007C3922" w:rsidRDefault="009745EA" w:rsidP="00A12328">
            <w:pPr>
              <w:jc w:val="left"/>
              <w:rPr>
                <w:rFonts w:ascii="Arial Narrow" w:eastAsiaTheme="majorEastAsia" w:hAnsi="Arial Narrow" w:cstheme="majorBidi"/>
                <w:bCs/>
                <w:sz w:val="18"/>
                <w:szCs w:val="18"/>
              </w:rPr>
            </w:pPr>
            <w:r w:rsidRPr="007C3922">
              <w:rPr>
                <w:rFonts w:ascii="Arial Narrow" w:eastAsiaTheme="majorEastAsia" w:hAnsi="Arial Narrow" w:cstheme="majorBidi"/>
                <w:bCs/>
                <w:sz w:val="18"/>
                <w:szCs w:val="18"/>
              </w:rPr>
              <w:t>n/a = not applicable</w:t>
            </w:r>
          </w:p>
          <w:p w14:paraId="41816EF7" w14:textId="77777777" w:rsidR="009745EA" w:rsidRPr="007C3922" w:rsidRDefault="009745EA" w:rsidP="00A12328">
            <w:pPr>
              <w:jc w:val="left"/>
              <w:rPr>
                <w:rFonts w:ascii="Arial Narrow" w:eastAsiaTheme="majorEastAsia" w:hAnsi="Arial Narrow" w:cstheme="majorBidi"/>
                <w:bCs/>
                <w:sz w:val="20"/>
              </w:rPr>
            </w:pPr>
          </w:p>
          <w:p w14:paraId="729E314D" w14:textId="1EC6AB03"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21</w:t>
            </w:r>
            <w:r w:rsidR="005E210E">
              <w:rPr>
                <w:rFonts w:ascii="Arial Narrow" w:eastAsiaTheme="majorEastAsia" w:hAnsi="Arial Narrow" w:cstheme="majorBidi"/>
                <w:bCs/>
                <w:sz w:val="20"/>
              </w:rPr>
              <w:t>−</w:t>
            </w:r>
            <w:r w:rsidRPr="007C3922">
              <w:rPr>
                <w:rFonts w:ascii="Arial Narrow" w:eastAsiaTheme="majorEastAsia" w:hAnsi="Arial Narrow" w:cstheme="majorBidi"/>
                <w:bCs/>
                <w:sz w:val="20"/>
              </w:rPr>
              <w:t>29% of outcomes (and 16-24% of costs) occur in the extrapolated period.</w:t>
            </w:r>
          </w:p>
        </w:tc>
      </w:tr>
      <w:tr w:rsidR="009745EA" w:rsidRPr="007C3922" w14:paraId="279A8253" w14:textId="77777777" w:rsidTr="6A7C443A">
        <w:tc>
          <w:tcPr>
            <w:tcW w:w="862" w:type="pct"/>
          </w:tcPr>
          <w:p w14:paraId="6EE3CAC7"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Health related quality of life</w:t>
            </w:r>
          </w:p>
        </w:tc>
        <w:tc>
          <w:tcPr>
            <w:tcW w:w="4138" w:type="pct"/>
          </w:tcPr>
          <w:p w14:paraId="33E7359F" w14:textId="55AEAE03"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 xml:space="preserve">Progression-free </w:t>
            </w:r>
            <w:r w:rsidR="00EE7F56" w:rsidRPr="007C3922">
              <w:rPr>
                <w:rFonts w:ascii="Arial Narrow" w:eastAsiaTheme="majorEastAsia" w:hAnsi="Arial Narrow" w:cstheme="majorBidi"/>
                <w:bCs/>
                <w:sz w:val="20"/>
              </w:rPr>
              <w:t xml:space="preserve">survival </w:t>
            </w:r>
            <w:r w:rsidRPr="007C3922">
              <w:rPr>
                <w:rFonts w:ascii="Arial Narrow" w:eastAsiaTheme="majorEastAsia" w:hAnsi="Arial Narrow" w:cstheme="majorBidi"/>
                <w:bCs/>
                <w:sz w:val="20"/>
              </w:rPr>
              <w:t>(PFS) = 0.871 (pooled across treatment arms); mapped from EQ-5D-5L data from LAURA using an Australian algorithm (Viney 2011).</w:t>
            </w:r>
          </w:p>
          <w:p w14:paraId="4800DC05" w14:textId="6728CCDD"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Progress</w:t>
            </w:r>
            <w:r w:rsidR="00E819FC" w:rsidRPr="007C3922">
              <w:rPr>
                <w:rFonts w:ascii="Arial Narrow" w:eastAsiaTheme="majorEastAsia" w:hAnsi="Arial Narrow" w:cstheme="majorBidi"/>
                <w:bCs/>
                <w:sz w:val="20"/>
              </w:rPr>
              <w:t>ive</w:t>
            </w:r>
            <w:r w:rsidRPr="007C3922">
              <w:rPr>
                <w:rFonts w:ascii="Arial Narrow" w:eastAsiaTheme="majorEastAsia" w:hAnsi="Arial Narrow" w:cstheme="majorBidi"/>
                <w:bCs/>
                <w:sz w:val="20"/>
              </w:rPr>
              <w:t xml:space="preserve"> disease (PD) = 0.731; based on applying disutility of PD versus PFS (0.14) from the durvalumab November 2018 PBAC model. The submission </w:t>
            </w:r>
            <w:r w:rsidR="00CC0F95">
              <w:rPr>
                <w:rFonts w:ascii="Arial Narrow" w:eastAsiaTheme="majorEastAsia" w:hAnsi="Arial Narrow" w:cstheme="majorBidi"/>
                <w:bCs/>
                <w:sz w:val="20"/>
              </w:rPr>
              <w:t>stated</w:t>
            </w:r>
            <w:r w:rsidR="00CC0F95" w:rsidRPr="007C3922">
              <w:rPr>
                <w:rFonts w:ascii="Arial Narrow" w:eastAsiaTheme="majorEastAsia" w:hAnsi="Arial Narrow" w:cstheme="majorBidi"/>
                <w:bCs/>
                <w:sz w:val="20"/>
              </w:rPr>
              <w:t xml:space="preserve"> </w:t>
            </w:r>
            <w:r w:rsidRPr="007C3922">
              <w:rPr>
                <w:rFonts w:ascii="Arial Narrow" w:eastAsiaTheme="majorEastAsia" w:hAnsi="Arial Narrow" w:cstheme="majorBidi"/>
                <w:bCs/>
                <w:sz w:val="20"/>
              </w:rPr>
              <w:t xml:space="preserve">that it was inappropriate to use HRQoL data from </w:t>
            </w:r>
            <w:r w:rsidR="008E62AA" w:rsidRPr="007C3922">
              <w:rPr>
                <w:rFonts w:ascii="Arial Narrow" w:eastAsiaTheme="majorEastAsia" w:hAnsi="Arial Narrow" w:cstheme="majorBidi"/>
                <w:bCs/>
                <w:sz w:val="20"/>
              </w:rPr>
              <w:t xml:space="preserve">the </w:t>
            </w:r>
            <w:r w:rsidRPr="007C3922">
              <w:rPr>
                <w:rFonts w:ascii="Arial Narrow" w:eastAsiaTheme="majorEastAsia" w:hAnsi="Arial Narrow" w:cstheme="majorBidi"/>
                <w:bCs/>
                <w:sz w:val="20"/>
              </w:rPr>
              <w:t xml:space="preserve">LAURA </w:t>
            </w:r>
            <w:r w:rsidR="006400B7" w:rsidRPr="007C3922">
              <w:rPr>
                <w:rFonts w:ascii="Arial Narrow" w:eastAsiaTheme="majorEastAsia" w:hAnsi="Arial Narrow" w:cstheme="majorBidi"/>
                <w:bCs/>
                <w:sz w:val="20"/>
              </w:rPr>
              <w:t xml:space="preserve">trial </w:t>
            </w:r>
            <w:r w:rsidRPr="007C3922">
              <w:rPr>
                <w:rFonts w:ascii="Arial Narrow" w:eastAsiaTheme="majorEastAsia" w:hAnsi="Arial Narrow" w:cstheme="majorBidi"/>
                <w:bCs/>
                <w:sz w:val="20"/>
              </w:rPr>
              <w:t>for patients with progress</w:t>
            </w:r>
            <w:r w:rsidR="00AA32DB" w:rsidRPr="007C3922">
              <w:rPr>
                <w:rFonts w:ascii="Arial Narrow" w:eastAsiaTheme="majorEastAsia" w:hAnsi="Arial Narrow" w:cstheme="majorBidi"/>
                <w:bCs/>
                <w:sz w:val="20"/>
              </w:rPr>
              <w:t>ive</w:t>
            </w:r>
            <w:r w:rsidRPr="007C3922">
              <w:rPr>
                <w:rFonts w:ascii="Arial Narrow" w:eastAsiaTheme="majorEastAsia" w:hAnsi="Arial Narrow" w:cstheme="majorBidi"/>
                <w:bCs/>
                <w:sz w:val="20"/>
              </w:rPr>
              <w:t xml:space="preserve"> disease. The ICER was sensitive to the assumed disutility of PD versus PFS.</w:t>
            </w:r>
          </w:p>
          <w:p w14:paraId="64057BB0" w14:textId="77777777" w:rsidR="009745EA" w:rsidRPr="007C3922" w:rsidRDefault="009745EA" w:rsidP="00A12328">
            <w:pPr>
              <w:jc w:val="left"/>
              <w:rPr>
                <w:rFonts w:ascii="Arial Narrow" w:eastAsiaTheme="majorEastAsia" w:hAnsi="Arial Narrow" w:cstheme="majorBidi"/>
                <w:bCs/>
                <w:sz w:val="20"/>
              </w:rPr>
            </w:pPr>
          </w:p>
          <w:p w14:paraId="416700E7" w14:textId="246C0FF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Disutility of AEs (</w:t>
            </w:r>
            <w:r w:rsidR="006D147A" w:rsidRPr="007C3922">
              <w:rPr>
                <w:rFonts w:ascii="Arial Narrow" w:eastAsiaTheme="majorEastAsia" w:hAnsi="Arial Narrow" w:cstheme="majorBidi"/>
                <w:bCs/>
                <w:sz w:val="20"/>
              </w:rPr>
              <w:t>first line</w:t>
            </w:r>
            <w:r w:rsidRPr="007C3922">
              <w:rPr>
                <w:rFonts w:ascii="Arial Narrow" w:eastAsiaTheme="majorEastAsia" w:hAnsi="Arial Narrow" w:cstheme="majorBidi"/>
                <w:bCs/>
                <w:sz w:val="20"/>
              </w:rPr>
              <w:t>) = 0.0735 and 0.047 for grade ≥3 pneumonia/radiation pneumonitis and diarrhoea</w:t>
            </w:r>
            <w:r w:rsidR="009B61C6">
              <w:rPr>
                <w:rFonts w:ascii="Arial Narrow" w:eastAsiaTheme="majorEastAsia" w:hAnsi="Arial Narrow" w:cstheme="majorBidi"/>
                <w:bCs/>
                <w:sz w:val="20"/>
              </w:rPr>
              <w:t>,</w:t>
            </w:r>
            <w:r w:rsidRPr="007C3922">
              <w:rPr>
                <w:rFonts w:ascii="Arial Narrow" w:eastAsiaTheme="majorEastAsia" w:hAnsi="Arial Narrow" w:cstheme="majorBidi"/>
                <w:bCs/>
                <w:sz w:val="20"/>
              </w:rPr>
              <w:t xml:space="preserve"> respectively. The ICER was insensitive to the disutility of AEs.</w:t>
            </w:r>
          </w:p>
        </w:tc>
      </w:tr>
      <w:tr w:rsidR="009745EA" w:rsidRPr="007C3922" w14:paraId="4B7B80DA" w14:textId="77777777" w:rsidTr="6A7C443A">
        <w:tc>
          <w:tcPr>
            <w:tcW w:w="862" w:type="pct"/>
          </w:tcPr>
          <w:p w14:paraId="6D866CE9"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Costs of osimertinib (proposed listing)</w:t>
            </w:r>
          </w:p>
        </w:tc>
        <w:tc>
          <w:tcPr>
            <w:tcW w:w="4138" w:type="pct"/>
          </w:tcPr>
          <w:p w14:paraId="67AF4F21" w14:textId="4C087779" w:rsidR="009745EA" w:rsidRPr="007C3922" w:rsidRDefault="00FC5EF9" w:rsidP="00A12328">
            <w:pPr>
              <w:jc w:val="left"/>
              <w:rPr>
                <w:rFonts w:ascii="Arial Narrow" w:eastAsiaTheme="majorEastAsia" w:hAnsi="Arial Narrow" w:cstheme="majorBidi"/>
                <w:sz w:val="20"/>
                <w:szCs w:val="20"/>
              </w:rPr>
            </w:pPr>
            <w:r w:rsidRPr="6A7C443A">
              <w:rPr>
                <w:rFonts w:ascii="Arial Narrow" w:eastAsiaTheme="majorEastAsia" w:hAnsi="Arial Narrow" w:cstheme="minorBidi"/>
                <w:sz w:val="20"/>
                <w:szCs w:val="20"/>
              </w:rPr>
              <w:t xml:space="preserve">The submission assumed that TTD would follow a similar relationship to PFS, based on the PBS restriction that </w:t>
            </w:r>
            <w:r w:rsidRPr="00A6747A">
              <w:rPr>
                <w:rFonts w:ascii="Arial Narrow" w:eastAsiaTheme="majorEastAsia" w:hAnsi="Arial Narrow" w:cstheme="minorBidi"/>
                <w:sz w:val="20"/>
                <w:szCs w:val="20"/>
              </w:rPr>
              <w:t xml:space="preserve">patients should cease osimertinib treatment upon disease progression. </w:t>
            </w:r>
            <w:r w:rsidR="009745EA" w:rsidRPr="00A6747A">
              <w:rPr>
                <w:rFonts w:ascii="Arial Narrow" w:eastAsiaTheme="majorEastAsia" w:hAnsi="Arial Narrow" w:cstheme="majorBidi"/>
                <w:sz w:val="20"/>
                <w:szCs w:val="20"/>
              </w:rPr>
              <w:t xml:space="preserve">Mean duration of treatment was assumed to be </w:t>
            </w:r>
            <w:r w:rsidR="00B50819" w:rsidRPr="00B50819">
              <w:rPr>
                <w:rFonts w:ascii="Arial Narrow" w:eastAsiaTheme="majorEastAsia" w:hAnsi="Arial Narrow" w:cstheme="majorBidi"/>
                <w:color w:val="000000"/>
                <w:spacing w:val="45"/>
                <w:sz w:val="20"/>
                <w:szCs w:val="20"/>
                <w:shd w:val="solid" w:color="000000" w:fill="000000"/>
                <w:fitText w:val="330" w:id="-628958974"/>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5"/>
                <w:sz w:val="20"/>
                <w:szCs w:val="20"/>
                <w:shd w:val="solid" w:color="000000" w:fill="000000"/>
                <w:fitText w:val="330" w:id="-628958974"/>
                <w14:textFill>
                  <w14:solidFill>
                    <w14:srgbClr w14:val="000000">
                      <w14:alpha w14:val="100000"/>
                    </w14:srgbClr>
                  </w14:solidFill>
                </w14:textFill>
              </w:rPr>
              <w:t>|</w:t>
            </w:r>
            <w:r w:rsidR="009745EA" w:rsidRPr="00A6747A">
              <w:rPr>
                <w:rFonts w:ascii="Arial Narrow" w:eastAsiaTheme="majorEastAsia" w:hAnsi="Arial Narrow" w:cstheme="majorBidi"/>
                <w:sz w:val="20"/>
                <w:szCs w:val="20"/>
              </w:rPr>
              <w:t xml:space="preserve"> months in the base case, based on</w:t>
            </w:r>
            <w:r w:rsidR="009745EA" w:rsidRPr="00A6747A">
              <w:rPr>
                <w:rFonts w:ascii="Arial Narrow" w:eastAsiaTheme="majorEastAsia" w:hAnsi="Arial Narrow" w:cstheme="minorBidi"/>
                <w:sz w:val="20"/>
                <w:szCs w:val="20"/>
              </w:rPr>
              <w:t xml:space="preserve"> a median PFS of 39.1 months from LAURA.</w:t>
            </w:r>
            <w:r w:rsidR="00387863" w:rsidRPr="00A6747A">
              <w:rPr>
                <w:rFonts w:ascii="Arial Narrow" w:eastAsiaTheme="majorEastAsia" w:hAnsi="Arial Narrow" w:cstheme="minorBidi"/>
                <w:sz w:val="20"/>
                <w:szCs w:val="20"/>
              </w:rPr>
              <w:t xml:space="preserve"> </w:t>
            </w:r>
            <w:r w:rsidR="00BE2DAB" w:rsidRPr="00A6747A">
              <w:rPr>
                <w:rFonts w:ascii="Arial Narrow" w:eastAsiaTheme="majorEastAsia" w:hAnsi="Arial Narrow" w:cstheme="minorBidi"/>
                <w:sz w:val="20"/>
                <w:szCs w:val="20"/>
              </w:rPr>
              <w:t>I</w:t>
            </w:r>
            <w:r w:rsidR="00BE2DAB" w:rsidRPr="00A6747A">
              <w:rPr>
                <w:rFonts w:ascii="Arial Narrow" w:hAnsi="Arial Narrow" w:cstheme="minorBidi"/>
                <w:sz w:val="20"/>
                <w:szCs w:val="20"/>
              </w:rPr>
              <w:t xml:space="preserve">n order to achieve a mean of </w:t>
            </w:r>
            <w:r w:rsidR="00B50819" w:rsidRPr="00B50819">
              <w:rPr>
                <w:rFonts w:ascii="Arial Narrow" w:hAnsi="Arial Narrow" w:cstheme="minorBidi"/>
                <w:color w:val="000000"/>
                <w:spacing w:val="45"/>
                <w:sz w:val="20"/>
                <w:szCs w:val="20"/>
                <w:shd w:val="solid" w:color="000000" w:fill="000000"/>
                <w:fitText w:val="330" w:id="-628958973"/>
                <w14:textFill>
                  <w14:solidFill>
                    <w14:srgbClr w14:val="000000">
                      <w14:alpha w14:val="100000"/>
                    </w14:srgbClr>
                  </w14:solidFill>
                </w14:textFill>
              </w:rPr>
              <w:t>|||</w:t>
            </w:r>
            <w:r w:rsidR="00B50819" w:rsidRPr="00B50819">
              <w:rPr>
                <w:rFonts w:ascii="Arial Narrow" w:hAnsi="Arial Narrow" w:cstheme="minorBidi"/>
                <w:color w:val="000000"/>
                <w:spacing w:val="15"/>
                <w:sz w:val="20"/>
                <w:szCs w:val="20"/>
                <w:shd w:val="solid" w:color="000000" w:fill="000000"/>
                <w:fitText w:val="330" w:id="-628958973"/>
                <w14:textFill>
                  <w14:solidFill>
                    <w14:srgbClr w14:val="000000">
                      <w14:alpha w14:val="100000"/>
                    </w14:srgbClr>
                  </w14:solidFill>
                </w14:textFill>
              </w:rPr>
              <w:t>|</w:t>
            </w:r>
            <w:r w:rsidR="00BE2DAB" w:rsidRPr="00A6747A">
              <w:rPr>
                <w:rFonts w:ascii="Arial Narrow" w:hAnsi="Arial Narrow" w:cstheme="minorBidi"/>
                <w:sz w:val="20"/>
                <w:szCs w:val="20"/>
              </w:rPr>
              <w:t xml:space="preserve"> months in the model, the maximum duration of osimertinib treatment was set to 67 months.</w:t>
            </w:r>
            <w:r w:rsidR="00BE2DAB" w:rsidRPr="00A6747A">
              <w:rPr>
                <w:rFonts w:ascii="Arial Narrow" w:eastAsiaTheme="majorEastAsia" w:hAnsi="Arial Narrow" w:cstheme="minorBidi"/>
                <w:sz w:val="20"/>
                <w:szCs w:val="20"/>
              </w:rPr>
              <w:t xml:space="preserve"> The median TTD was </w:t>
            </w:r>
            <w:r w:rsidR="00B50819" w:rsidRPr="00B50819">
              <w:rPr>
                <w:rFonts w:ascii="Arial Narrow" w:eastAsiaTheme="majorEastAsia" w:hAnsi="Arial Narrow" w:cstheme="minorBidi"/>
                <w:color w:val="000000"/>
                <w:spacing w:val="48"/>
                <w:sz w:val="20"/>
                <w:szCs w:val="20"/>
                <w:shd w:val="solid" w:color="000000" w:fill="000000"/>
                <w:fitText w:val="315" w:id="-628958972"/>
                <w14:textFill>
                  <w14:solidFill>
                    <w14:srgbClr w14:val="000000">
                      <w14:alpha w14:val="100000"/>
                    </w14:srgbClr>
                  </w14:solidFill>
                </w14:textFill>
              </w:rPr>
              <w:t>|||</w:t>
            </w:r>
            <w:r w:rsidR="00B50819" w:rsidRPr="00B50819">
              <w:rPr>
                <w:rFonts w:ascii="Arial Narrow" w:eastAsiaTheme="majorEastAsia" w:hAnsi="Arial Narrow" w:cstheme="minorBidi"/>
                <w:color w:val="000000"/>
                <w:spacing w:val="1"/>
                <w:sz w:val="20"/>
                <w:szCs w:val="20"/>
                <w:shd w:val="solid" w:color="000000" w:fill="000000"/>
                <w:fitText w:val="315" w:id="-628958972"/>
                <w14:textFill>
                  <w14:solidFill>
                    <w14:srgbClr w14:val="000000">
                      <w14:alpha w14:val="100000"/>
                    </w14:srgbClr>
                  </w14:solidFill>
                </w14:textFill>
              </w:rPr>
              <w:t>|</w:t>
            </w:r>
            <w:r w:rsidR="00BE2DAB" w:rsidRPr="00A6747A">
              <w:rPr>
                <w:rFonts w:ascii="Arial Narrow" w:eastAsiaTheme="majorEastAsia" w:hAnsi="Arial Narrow" w:cstheme="minorBidi"/>
                <w:sz w:val="20"/>
                <w:szCs w:val="20"/>
              </w:rPr>
              <w:t xml:space="preserve"> months from the LAURA trial</w:t>
            </w:r>
            <w:r w:rsidR="007743C6" w:rsidRPr="00A6747A">
              <w:rPr>
                <w:rFonts w:ascii="Arial Narrow" w:eastAsiaTheme="majorEastAsia" w:hAnsi="Arial Narrow" w:cstheme="minorBidi"/>
                <w:sz w:val="20"/>
                <w:szCs w:val="20"/>
              </w:rPr>
              <w:t>,</w:t>
            </w:r>
            <w:r w:rsidR="00BE2DAB" w:rsidRPr="00A6747A">
              <w:rPr>
                <w:rFonts w:ascii="Arial Narrow" w:eastAsiaTheme="majorEastAsia" w:hAnsi="Arial Narrow" w:cstheme="minorBidi"/>
                <w:sz w:val="20"/>
                <w:szCs w:val="20"/>
              </w:rPr>
              <w:t xml:space="preserve"> as trial patients were allowed to remain on treatment post-progression.</w:t>
            </w:r>
            <w:r w:rsidR="00BB7043" w:rsidRPr="00A6747A">
              <w:rPr>
                <w:rFonts w:ascii="Arial Narrow" w:eastAsiaTheme="majorEastAsia" w:hAnsi="Arial Narrow" w:cstheme="minorBidi"/>
                <w:sz w:val="20"/>
                <w:szCs w:val="20"/>
              </w:rPr>
              <w:t xml:space="preserve"> </w:t>
            </w:r>
            <w:r w:rsidR="007D7234" w:rsidRPr="00A6747A">
              <w:rPr>
                <w:rFonts w:ascii="Arial Narrow" w:eastAsiaTheme="majorEastAsia" w:hAnsi="Arial Narrow" w:cstheme="minorBidi"/>
                <w:sz w:val="20"/>
                <w:szCs w:val="20"/>
              </w:rPr>
              <w:t xml:space="preserve">The evaluation noted that </w:t>
            </w:r>
            <w:r w:rsidR="009745EA" w:rsidRPr="00A6747A">
              <w:rPr>
                <w:rFonts w:ascii="Arial Narrow" w:eastAsiaTheme="majorEastAsia" w:hAnsi="Arial Narrow" w:cstheme="minorBidi"/>
                <w:sz w:val="20"/>
                <w:szCs w:val="20"/>
              </w:rPr>
              <w:t xml:space="preserve">OS data is immature and there is a lack of guidance </w:t>
            </w:r>
            <w:r w:rsidR="00644228" w:rsidRPr="00A6747A">
              <w:rPr>
                <w:rFonts w:ascii="Arial Narrow" w:eastAsiaTheme="majorEastAsia" w:hAnsi="Arial Narrow" w:cstheme="minorBidi"/>
                <w:sz w:val="20"/>
                <w:szCs w:val="20"/>
              </w:rPr>
              <w:t xml:space="preserve">on </w:t>
            </w:r>
            <w:r w:rsidR="009745EA" w:rsidRPr="00A6747A">
              <w:rPr>
                <w:rFonts w:ascii="Arial Narrow" w:eastAsiaTheme="majorEastAsia" w:hAnsi="Arial Narrow" w:cstheme="minorBidi"/>
                <w:sz w:val="20"/>
                <w:szCs w:val="20"/>
              </w:rPr>
              <w:t>the optimal duration of treatment for osimertinib, hence there is a risk of extended use of osimertinib in this setting</w:t>
            </w:r>
            <w:r w:rsidR="009745EA" w:rsidRPr="00A6747A">
              <w:rPr>
                <w:rFonts w:asciiTheme="minorHAnsi" w:eastAsiaTheme="majorEastAsia" w:hAnsiTheme="minorHAnsi" w:cstheme="minorBidi"/>
                <w:sz w:val="20"/>
                <w:szCs w:val="20"/>
              </w:rPr>
              <w:t>.</w:t>
            </w:r>
          </w:p>
        </w:tc>
      </w:tr>
      <w:tr w:rsidR="009745EA" w:rsidRPr="007C3922" w14:paraId="1AB51DBF" w14:textId="77777777" w:rsidTr="6A7C443A">
        <w:tc>
          <w:tcPr>
            <w:tcW w:w="862" w:type="pct"/>
          </w:tcPr>
          <w:p w14:paraId="5C0AF932" w14:textId="77777777" w:rsidR="009745EA" w:rsidRPr="007C3922" w:rsidRDefault="009745EA"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Costs of subsequent treatment</w:t>
            </w:r>
          </w:p>
        </w:tc>
        <w:tc>
          <w:tcPr>
            <w:tcW w:w="4138" w:type="pct"/>
          </w:tcPr>
          <w:p w14:paraId="2C06D060" w14:textId="14681943" w:rsidR="009745EA" w:rsidRPr="007C3922" w:rsidRDefault="00C45A6D" w:rsidP="00A12328">
            <w:pPr>
              <w:jc w:val="left"/>
              <w:rPr>
                <w:rFonts w:ascii="Arial Narrow" w:eastAsiaTheme="majorEastAsia" w:hAnsi="Arial Narrow" w:cstheme="minorHAnsi"/>
                <w:bCs/>
                <w:sz w:val="20"/>
              </w:rPr>
            </w:pPr>
            <w:r w:rsidRPr="00C45A6D">
              <w:rPr>
                <w:rFonts w:ascii="Arial Narrow" w:eastAsiaTheme="majorEastAsia" w:hAnsi="Arial Narrow" w:cstheme="minorHAnsi"/>
                <w:bCs/>
                <w:i/>
                <w:sz w:val="20"/>
              </w:rPr>
              <w:t>EGFR</w:t>
            </w:r>
            <w:r w:rsidR="009745EA" w:rsidRPr="007C3922">
              <w:rPr>
                <w:rFonts w:ascii="Arial Narrow" w:eastAsiaTheme="majorEastAsia" w:hAnsi="Arial Narrow" w:cstheme="minorHAnsi"/>
                <w:bCs/>
                <w:sz w:val="20"/>
              </w:rPr>
              <w:t xml:space="preserve">-TKIs are restricted to once in a lifetime use on PBS. Hence, the model assumed 0% of patients in the osimertinib arm would receive subsequent osimertinib. </w:t>
            </w:r>
            <w:r w:rsidR="00D30408">
              <w:rPr>
                <w:rFonts w:ascii="Arial Narrow" w:eastAsiaTheme="majorEastAsia" w:hAnsi="Arial Narrow" w:cstheme="minorHAnsi"/>
                <w:bCs/>
                <w:sz w:val="20"/>
              </w:rPr>
              <w:t>This</w:t>
            </w:r>
            <w:r w:rsidR="009745EA" w:rsidRPr="007C3922">
              <w:rPr>
                <w:rFonts w:ascii="Arial Narrow" w:eastAsiaTheme="majorEastAsia" w:hAnsi="Arial Narrow" w:cstheme="minorHAnsi"/>
                <w:bCs/>
                <w:sz w:val="20"/>
              </w:rPr>
              <w:t xml:space="preserve"> was reasonable. However, subsequent treatments with immunotherapy were excluded in the osimertinib arm of the model, </w:t>
            </w:r>
            <w:r w:rsidR="009745EA" w:rsidRPr="00842BF8">
              <w:rPr>
                <w:rFonts w:ascii="Arial Narrow" w:eastAsiaTheme="majorEastAsia" w:hAnsi="Arial Narrow" w:cstheme="minorHAnsi"/>
                <w:bCs/>
                <w:sz w:val="20"/>
              </w:rPr>
              <w:t xml:space="preserve">which </w:t>
            </w:r>
            <w:r w:rsidR="00C5237D" w:rsidRPr="00842BF8">
              <w:rPr>
                <w:rFonts w:ascii="Arial Narrow" w:eastAsiaTheme="majorEastAsia" w:hAnsi="Arial Narrow" w:cstheme="minorHAnsi"/>
                <w:bCs/>
                <w:sz w:val="20"/>
              </w:rPr>
              <w:t>the evaluation considered</w:t>
            </w:r>
            <w:r w:rsidR="00C5237D">
              <w:rPr>
                <w:rFonts w:ascii="Arial Narrow" w:eastAsiaTheme="majorEastAsia" w:hAnsi="Arial Narrow" w:cstheme="minorHAnsi"/>
                <w:bCs/>
                <w:sz w:val="20"/>
              </w:rPr>
              <w:t xml:space="preserve"> </w:t>
            </w:r>
            <w:r w:rsidR="009745EA" w:rsidRPr="007C3922">
              <w:rPr>
                <w:rFonts w:ascii="Arial Narrow" w:eastAsiaTheme="majorEastAsia" w:hAnsi="Arial Narrow" w:cstheme="minorHAnsi"/>
                <w:bCs/>
                <w:sz w:val="20"/>
              </w:rPr>
              <w:t>was inappropriate given effective subsequent options such as ABCP (atezolizumab, bevacizumab in combination with platinum doublet chemotherapy).</w:t>
            </w:r>
          </w:p>
          <w:p w14:paraId="1C74CB38" w14:textId="77777777" w:rsidR="009745EA" w:rsidRPr="007C3922" w:rsidRDefault="009745EA" w:rsidP="00A12328">
            <w:pPr>
              <w:jc w:val="left"/>
              <w:rPr>
                <w:rFonts w:ascii="Arial Narrow" w:eastAsiaTheme="majorEastAsia" w:hAnsi="Arial Narrow" w:cstheme="minorHAnsi"/>
                <w:bCs/>
                <w:sz w:val="20"/>
              </w:rPr>
            </w:pPr>
          </w:p>
          <w:p w14:paraId="78C5D011" w14:textId="42D475E9" w:rsidR="009745EA" w:rsidRDefault="009745EA" w:rsidP="00A12328">
            <w:pPr>
              <w:jc w:val="left"/>
              <w:rPr>
                <w:rFonts w:ascii="Arial Narrow" w:eastAsiaTheme="majorEastAsia" w:hAnsi="Arial Narrow" w:cstheme="majorBidi"/>
                <w:sz w:val="20"/>
                <w:szCs w:val="20"/>
              </w:rPr>
            </w:pPr>
            <w:r w:rsidRPr="6A7C443A">
              <w:rPr>
                <w:rFonts w:ascii="Arial Narrow" w:eastAsiaTheme="majorEastAsia" w:hAnsi="Arial Narrow" w:cstheme="majorBidi"/>
                <w:sz w:val="20"/>
                <w:szCs w:val="20"/>
              </w:rPr>
              <w:t xml:space="preserve">Duration of treatment of </w:t>
            </w:r>
            <w:r w:rsidRPr="00A6747A">
              <w:rPr>
                <w:rFonts w:ascii="Arial Narrow" w:eastAsiaTheme="majorEastAsia" w:hAnsi="Arial Narrow" w:cstheme="majorBidi"/>
                <w:sz w:val="20"/>
                <w:szCs w:val="20"/>
              </w:rPr>
              <w:t xml:space="preserve">osimertinib (in the metastatic setting) was assumed to be </w:t>
            </w:r>
            <w:r w:rsidR="00B50819" w:rsidRPr="00B50819">
              <w:rPr>
                <w:rFonts w:ascii="Arial Narrow" w:eastAsiaTheme="majorEastAsia" w:hAnsi="Arial Narrow" w:cstheme="majorBidi"/>
                <w:color w:val="000000"/>
                <w:spacing w:val="48"/>
                <w:sz w:val="20"/>
                <w:szCs w:val="20"/>
                <w:shd w:val="solid" w:color="000000" w:fill="000000"/>
                <w:fitText w:val="315" w:id="-628958971"/>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zCs w:val="20"/>
                <w:shd w:val="solid" w:color="000000" w:fill="000000"/>
                <w:fitText w:val="315" w:id="-628958971"/>
                <w14:textFill>
                  <w14:solidFill>
                    <w14:srgbClr w14:val="000000">
                      <w14:alpha w14:val="100000"/>
                    </w14:srgbClr>
                  </w14:solidFill>
                </w14:textFill>
              </w:rPr>
              <w:t>|</w:t>
            </w:r>
            <w:r w:rsidRPr="00A6747A">
              <w:rPr>
                <w:rFonts w:ascii="Arial Narrow" w:eastAsiaTheme="majorEastAsia" w:hAnsi="Arial Narrow" w:cstheme="majorBidi"/>
                <w:sz w:val="20"/>
                <w:szCs w:val="20"/>
              </w:rPr>
              <w:t xml:space="preserve"> months, based on details in the 2021 deed for osimertinib based on FLAURA.</w:t>
            </w:r>
            <w:r w:rsidRPr="6A7C443A">
              <w:rPr>
                <w:rFonts w:ascii="Arial Narrow" w:eastAsiaTheme="majorEastAsia" w:hAnsi="Arial Narrow" w:cstheme="majorBidi"/>
                <w:sz w:val="20"/>
                <w:szCs w:val="20"/>
              </w:rPr>
              <w:t xml:space="preserve"> </w:t>
            </w:r>
          </w:p>
          <w:p w14:paraId="04B9AB7F" w14:textId="77777777" w:rsidR="003A065E" w:rsidRDefault="003A065E" w:rsidP="00A12328">
            <w:pPr>
              <w:jc w:val="left"/>
              <w:rPr>
                <w:rFonts w:ascii="Arial Narrow" w:eastAsiaTheme="majorEastAsia" w:hAnsi="Arial Narrow" w:cstheme="majorBidi"/>
                <w:bCs/>
                <w:sz w:val="20"/>
              </w:rPr>
            </w:pPr>
          </w:p>
          <w:p w14:paraId="47A4DCBD" w14:textId="7C187934" w:rsidR="003A065E" w:rsidRPr="003A065E" w:rsidRDefault="003A065E" w:rsidP="00A12328">
            <w:pPr>
              <w:pStyle w:val="TableText0"/>
              <w:keepNext w:val="0"/>
              <w:rPr>
                <w:szCs w:val="20"/>
              </w:rPr>
            </w:pPr>
            <w:r w:rsidRPr="00E74258">
              <w:rPr>
                <w:szCs w:val="20"/>
              </w:rPr>
              <w:t xml:space="preserve">The model assumed a 50% rebate for the published prices of atezolizumab and nivolumab. </w:t>
            </w:r>
          </w:p>
        </w:tc>
      </w:tr>
      <w:tr w:rsidR="009745EA" w:rsidRPr="007C3922" w14:paraId="6F38A44B" w14:textId="77777777" w:rsidTr="6A7C443A">
        <w:tc>
          <w:tcPr>
            <w:tcW w:w="862" w:type="pct"/>
          </w:tcPr>
          <w:p w14:paraId="3142EF1F" w14:textId="41C44B6E" w:rsidR="009745EA" w:rsidRPr="007C3922" w:rsidRDefault="00BC344B"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Disease monitoring</w:t>
            </w:r>
            <w:r w:rsidR="009745EA" w:rsidRPr="007C3922">
              <w:rPr>
                <w:rFonts w:ascii="Arial Narrow" w:eastAsiaTheme="majorEastAsia" w:hAnsi="Arial Narrow" w:cstheme="majorBidi"/>
                <w:bCs/>
                <w:sz w:val="20"/>
              </w:rPr>
              <w:t xml:space="preserve"> costs</w:t>
            </w:r>
          </w:p>
        </w:tc>
        <w:tc>
          <w:tcPr>
            <w:tcW w:w="4138" w:type="pct"/>
          </w:tcPr>
          <w:p w14:paraId="0F09BA1C" w14:textId="1D8F6A58" w:rsidR="006228CC" w:rsidRPr="007C3922" w:rsidRDefault="009745EA" w:rsidP="00A12328">
            <w:pPr>
              <w:jc w:val="left"/>
              <w:rPr>
                <w:rFonts w:ascii="Arial Narrow" w:hAnsi="Arial Narrow"/>
                <w:sz w:val="20"/>
                <w:szCs w:val="20"/>
              </w:rPr>
            </w:pPr>
            <w:r w:rsidRPr="007C3922">
              <w:rPr>
                <w:rFonts w:ascii="Arial Narrow" w:eastAsiaTheme="majorEastAsia" w:hAnsi="Arial Narrow" w:cstheme="minorHAnsi"/>
                <w:bCs/>
                <w:sz w:val="20"/>
              </w:rPr>
              <w:t>One hospitalisation per year for PFS patients</w:t>
            </w:r>
            <w:r w:rsidRPr="007C3922">
              <w:rPr>
                <w:rFonts w:ascii="Arial Narrow" w:eastAsiaTheme="majorEastAsia" w:hAnsi="Arial Narrow" w:cstheme="majorBidi"/>
                <w:bCs/>
                <w:sz w:val="20"/>
              </w:rPr>
              <w:t xml:space="preserve"> and </w:t>
            </w:r>
            <w:r w:rsidRPr="007C3922">
              <w:rPr>
                <w:rFonts w:ascii="Arial Narrow" w:eastAsiaTheme="majorEastAsia" w:hAnsi="Arial Narrow" w:cstheme="minorHAnsi"/>
                <w:bCs/>
                <w:sz w:val="20"/>
              </w:rPr>
              <w:t>two hospitalisations per year for PD patients, based on assumptions.</w:t>
            </w:r>
            <w:r w:rsidR="000826DD" w:rsidRPr="007C3922">
              <w:rPr>
                <w:rFonts w:ascii="Arial Narrow" w:eastAsiaTheme="majorEastAsia" w:hAnsi="Arial Narrow" w:cstheme="minorHAnsi"/>
                <w:bCs/>
                <w:sz w:val="20"/>
              </w:rPr>
              <w:t xml:space="preserve"> </w:t>
            </w:r>
            <w:r w:rsidR="000826DD" w:rsidRPr="007C3922">
              <w:rPr>
                <w:rFonts w:ascii="Arial Narrow" w:hAnsi="Arial Narrow" w:cs="Calibri"/>
                <w:sz w:val="20"/>
                <w:szCs w:val="20"/>
              </w:rPr>
              <w:t>The submission stated that AIHW data found</w:t>
            </w:r>
            <w:r w:rsidR="000826DD" w:rsidRPr="007C3922">
              <w:rPr>
                <w:rFonts w:ascii="Arial Narrow" w:hAnsi="Arial Narrow"/>
                <w:sz w:val="20"/>
                <w:szCs w:val="20"/>
              </w:rPr>
              <w:t xml:space="preserve"> two hospitalisations per year for patients with NSCLC, which could not be verified</w:t>
            </w:r>
            <w:r w:rsidR="00F53091">
              <w:rPr>
                <w:rFonts w:ascii="Arial Narrow" w:hAnsi="Arial Narrow"/>
                <w:sz w:val="20"/>
                <w:szCs w:val="20"/>
              </w:rPr>
              <w:t xml:space="preserve"> </w:t>
            </w:r>
            <w:r w:rsidR="00F53091" w:rsidRPr="00955EA2">
              <w:rPr>
                <w:rFonts w:ascii="Arial Narrow" w:hAnsi="Arial Narrow"/>
                <w:sz w:val="20"/>
                <w:szCs w:val="20"/>
              </w:rPr>
              <w:t>during the evaluation</w:t>
            </w:r>
            <w:r w:rsidR="000826DD" w:rsidRPr="007C3922">
              <w:rPr>
                <w:rFonts w:ascii="Arial Narrow" w:hAnsi="Arial Narrow"/>
                <w:sz w:val="20"/>
                <w:szCs w:val="20"/>
              </w:rPr>
              <w:t>.</w:t>
            </w:r>
            <w:r w:rsidR="00132C82" w:rsidRPr="007C3922">
              <w:rPr>
                <w:rFonts w:ascii="Arial Narrow" w:hAnsi="Arial Narrow"/>
                <w:sz w:val="20"/>
                <w:szCs w:val="20"/>
              </w:rPr>
              <w:t xml:space="preserve"> The model applied a hospitalisation cost </w:t>
            </w:r>
            <w:r w:rsidR="00132C82" w:rsidRPr="000544E2">
              <w:rPr>
                <w:rFonts w:ascii="Arial Narrow" w:hAnsi="Arial Narrow"/>
                <w:sz w:val="20"/>
                <w:szCs w:val="20"/>
              </w:rPr>
              <w:t>of $9,203 based</w:t>
            </w:r>
            <w:r w:rsidR="00132C82" w:rsidRPr="007C3922">
              <w:rPr>
                <w:rFonts w:ascii="Arial Narrow" w:hAnsi="Arial Narrow"/>
                <w:sz w:val="20"/>
                <w:szCs w:val="20"/>
              </w:rPr>
              <w:t xml:space="preserve"> on AR-DRG E71A-B.</w:t>
            </w:r>
          </w:p>
          <w:p w14:paraId="6FDC3DB8" w14:textId="0BF170CE" w:rsidR="00BA52F7" w:rsidRPr="007C3922" w:rsidRDefault="00BA52F7" w:rsidP="00A12328">
            <w:pPr>
              <w:jc w:val="left"/>
              <w:rPr>
                <w:rFonts w:ascii="Arial Narrow" w:eastAsiaTheme="majorEastAsia" w:hAnsi="Arial Narrow" w:cstheme="majorBidi"/>
                <w:bCs/>
                <w:sz w:val="20"/>
                <w:szCs w:val="20"/>
              </w:rPr>
            </w:pPr>
            <w:r w:rsidRPr="007C3922">
              <w:rPr>
                <w:rFonts w:ascii="Arial Narrow" w:hAnsi="Arial Narrow" w:cstheme="minorHAnsi"/>
                <w:sz w:val="20"/>
                <w:szCs w:val="20"/>
              </w:rPr>
              <w:t xml:space="preserve">The submission also assumed that all patients would require regular follow-up visits as well as pathology and diagnostic tests as part of routine disease </w:t>
            </w:r>
            <w:r w:rsidR="006D147A" w:rsidRPr="007C3922">
              <w:rPr>
                <w:rFonts w:ascii="Arial Narrow" w:hAnsi="Arial Narrow" w:cstheme="minorHAnsi"/>
                <w:sz w:val="20"/>
                <w:szCs w:val="20"/>
              </w:rPr>
              <w:t>monitoring,</w:t>
            </w:r>
            <w:r w:rsidRPr="007C3922">
              <w:rPr>
                <w:rFonts w:ascii="Arial Narrow" w:hAnsi="Arial Narrow" w:cstheme="minorHAnsi"/>
                <w:sz w:val="20"/>
                <w:szCs w:val="20"/>
              </w:rPr>
              <w:t xml:space="preserve"> but the model assumed no difference in utilisation of all other healthcare costs, aside from hospitalisation costs, between </w:t>
            </w:r>
            <w:r w:rsidRPr="007C3922">
              <w:rPr>
                <w:rFonts w:ascii="Arial Narrow" w:hAnsi="Arial Narrow"/>
                <w:sz w:val="20"/>
                <w:szCs w:val="20"/>
              </w:rPr>
              <w:t>PFS</w:t>
            </w:r>
            <w:r w:rsidRPr="007C3922">
              <w:rPr>
                <w:rFonts w:ascii="Arial Narrow" w:hAnsi="Arial Narrow" w:cstheme="minorHAnsi"/>
                <w:sz w:val="20"/>
                <w:szCs w:val="20"/>
              </w:rPr>
              <w:t xml:space="preserve"> and PD patients.</w:t>
            </w:r>
          </w:p>
        </w:tc>
      </w:tr>
      <w:tr w:rsidR="00BC344B" w:rsidRPr="007C3922" w14:paraId="4ECC6542" w14:textId="77777777" w:rsidTr="6A7C443A">
        <w:tc>
          <w:tcPr>
            <w:tcW w:w="862" w:type="pct"/>
          </w:tcPr>
          <w:p w14:paraId="3221D42B" w14:textId="15C3F6E0" w:rsidR="00BC344B" w:rsidRPr="007C3922" w:rsidRDefault="00BC344B" w:rsidP="00A12328">
            <w:pPr>
              <w:jc w:val="left"/>
              <w:rPr>
                <w:rFonts w:ascii="Arial Narrow" w:eastAsiaTheme="majorEastAsia" w:hAnsi="Arial Narrow" w:cstheme="majorBidi"/>
                <w:bCs/>
                <w:sz w:val="20"/>
              </w:rPr>
            </w:pPr>
            <w:r w:rsidRPr="007C3922">
              <w:rPr>
                <w:rFonts w:ascii="Arial Narrow" w:eastAsiaTheme="majorEastAsia" w:hAnsi="Arial Narrow" w:cstheme="majorBidi"/>
                <w:bCs/>
                <w:sz w:val="20"/>
              </w:rPr>
              <w:t>End of life costs</w:t>
            </w:r>
          </w:p>
        </w:tc>
        <w:tc>
          <w:tcPr>
            <w:tcW w:w="4138" w:type="pct"/>
          </w:tcPr>
          <w:p w14:paraId="56D54532" w14:textId="2C3FABAB" w:rsidR="00BC344B" w:rsidRPr="007C3922" w:rsidRDefault="00971FA7" w:rsidP="00A12328">
            <w:pPr>
              <w:jc w:val="left"/>
              <w:rPr>
                <w:rFonts w:ascii="Arial Narrow" w:eastAsiaTheme="majorEastAsia" w:hAnsi="Arial Narrow" w:cstheme="minorHAnsi"/>
                <w:bCs/>
                <w:sz w:val="20"/>
                <w:szCs w:val="20"/>
              </w:rPr>
            </w:pPr>
            <w:r w:rsidRPr="007C3922">
              <w:rPr>
                <w:rFonts w:ascii="Arial Narrow" w:hAnsi="Arial Narrow"/>
                <w:sz w:val="20"/>
                <w:szCs w:val="20"/>
              </w:rPr>
              <w:t xml:space="preserve">The model applied a one-off </w:t>
            </w:r>
            <w:r w:rsidRPr="000544E2">
              <w:rPr>
                <w:rFonts w:ascii="Arial Narrow" w:hAnsi="Arial Narrow"/>
                <w:sz w:val="20"/>
                <w:szCs w:val="20"/>
              </w:rPr>
              <w:t>cost</w:t>
            </w:r>
            <w:r w:rsidR="0015356B" w:rsidRPr="000544E2">
              <w:rPr>
                <w:rFonts w:ascii="Arial Narrow" w:hAnsi="Arial Narrow"/>
                <w:sz w:val="20"/>
                <w:szCs w:val="20"/>
              </w:rPr>
              <w:t xml:space="preserve"> ($17,904)</w:t>
            </w:r>
            <w:r w:rsidRPr="000544E2">
              <w:rPr>
                <w:rFonts w:ascii="Arial Narrow" w:hAnsi="Arial Narrow"/>
                <w:sz w:val="20"/>
                <w:szCs w:val="20"/>
              </w:rPr>
              <w:t xml:space="preserve"> upon transition to the dead health state.</w:t>
            </w:r>
            <w:r w:rsidR="0015356B" w:rsidRPr="000544E2">
              <w:rPr>
                <w:rFonts w:ascii="Arial Narrow" w:hAnsi="Arial Narrow"/>
                <w:sz w:val="20"/>
                <w:szCs w:val="20"/>
              </w:rPr>
              <w:t xml:space="preserve"> The cost of an episode of hospitalisation was removed to avoid double-counting. This was based on the cost of palliation from Reeve 2018 (estimating total healthcare cost in the last 6 months of life in cancer cohort in elderly Australian patients), however the quoted value of $27,107 could not</w:t>
            </w:r>
            <w:r w:rsidR="0015356B" w:rsidRPr="0015356B">
              <w:rPr>
                <w:rFonts w:ascii="Arial Narrow" w:hAnsi="Arial Narrow"/>
                <w:sz w:val="20"/>
                <w:szCs w:val="20"/>
              </w:rPr>
              <w:t xml:space="preserve"> verified</w:t>
            </w:r>
            <w:r w:rsidR="001A2205">
              <w:rPr>
                <w:rFonts w:ascii="Arial Narrow" w:hAnsi="Arial Narrow"/>
                <w:sz w:val="20"/>
                <w:szCs w:val="20"/>
              </w:rPr>
              <w:t xml:space="preserve"> during the evaluation</w:t>
            </w:r>
            <w:r w:rsidR="0015356B" w:rsidRPr="0015356B">
              <w:rPr>
                <w:rFonts w:ascii="Arial Narrow" w:hAnsi="Arial Narrow"/>
                <w:sz w:val="20"/>
                <w:szCs w:val="20"/>
              </w:rPr>
              <w:t xml:space="preserve">, the 2009/2010 cost quoted in Reeve 2018 </w:t>
            </w:r>
            <w:r w:rsidR="0015356B" w:rsidRPr="000544E2">
              <w:rPr>
                <w:rFonts w:ascii="Arial Narrow" w:hAnsi="Arial Narrow"/>
                <w:sz w:val="20"/>
                <w:szCs w:val="20"/>
              </w:rPr>
              <w:t>was $28,091</w:t>
            </w:r>
            <w:r w:rsidR="001A2205" w:rsidRPr="000544E2">
              <w:rPr>
                <w:rFonts w:ascii="Arial Narrow" w:hAnsi="Arial Narrow"/>
                <w:sz w:val="20"/>
                <w:szCs w:val="20"/>
              </w:rPr>
              <w:t>.</w:t>
            </w:r>
          </w:p>
        </w:tc>
      </w:tr>
    </w:tbl>
    <w:p w14:paraId="07FDAEC7" w14:textId="77777777"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Source: Table 3-1, p114 of the submission.</w:t>
      </w:r>
    </w:p>
    <w:p w14:paraId="2A26AB49" w14:textId="249BB4AE" w:rsidR="009745EA" w:rsidRPr="009745EA" w:rsidRDefault="009745EA" w:rsidP="00A12328">
      <w:pPr>
        <w:spacing w:after="120"/>
        <w:contextualSpacing/>
        <w:rPr>
          <w:rFonts w:ascii="Arial Narrow" w:hAnsi="Arial Narrow"/>
          <w:snapToGrid w:val="0"/>
          <w:sz w:val="18"/>
          <w:szCs w:val="18"/>
        </w:rPr>
      </w:pPr>
      <w:r w:rsidRPr="009745EA">
        <w:rPr>
          <w:rFonts w:ascii="Arial Narrow" w:hAnsi="Arial Narrow"/>
          <w:snapToGrid w:val="0"/>
          <w:sz w:val="18"/>
          <w:szCs w:val="22"/>
        </w:rPr>
        <w:t xml:space="preserve">AE = adverse event; AIC/BIC= Akaike/Bayesian information criterion; </w:t>
      </w:r>
      <w:r w:rsidR="00C45A6D" w:rsidRPr="00C45A6D">
        <w:rPr>
          <w:rFonts w:ascii="Arial Narrow" w:hAnsi="Arial Narrow"/>
          <w:i/>
          <w:snapToGrid w:val="0"/>
          <w:sz w:val="18"/>
          <w:szCs w:val="22"/>
        </w:rPr>
        <w:t>EGFR</w:t>
      </w:r>
      <w:r w:rsidRPr="009745EA">
        <w:rPr>
          <w:rFonts w:ascii="Arial Narrow" w:hAnsi="Arial Narrow"/>
          <w:snapToGrid w:val="0"/>
          <w:sz w:val="18"/>
          <w:szCs w:val="22"/>
        </w:rPr>
        <w:t xml:space="preserve"> = epidermal growth factor receptor; </w:t>
      </w:r>
      <w:r w:rsidRPr="009745EA">
        <w:rPr>
          <w:rFonts w:ascii="Arial Narrow" w:hAnsi="Arial Narrow"/>
          <w:snapToGrid w:val="0"/>
          <w:sz w:val="18"/>
          <w:szCs w:val="18"/>
        </w:rPr>
        <w:t>HR = hazard ratio; KM = Kaplan-Meier; LYG=life years gained, NSCLC = non-small-cell lung cancer; OS = overall survival; PD = progress</w:t>
      </w:r>
      <w:r w:rsidR="00E819FC">
        <w:rPr>
          <w:rFonts w:ascii="Arial Narrow" w:hAnsi="Arial Narrow"/>
          <w:snapToGrid w:val="0"/>
          <w:sz w:val="18"/>
          <w:szCs w:val="18"/>
        </w:rPr>
        <w:t>ive</w:t>
      </w:r>
      <w:r w:rsidRPr="009745EA">
        <w:rPr>
          <w:rFonts w:ascii="Arial Narrow" w:hAnsi="Arial Narrow"/>
          <w:snapToGrid w:val="0"/>
          <w:sz w:val="18"/>
          <w:szCs w:val="18"/>
        </w:rPr>
        <w:t xml:space="preserve"> disease; PFS = progression free survival; TTD = time to treatment discontinuation; QALYs=quality adjusted life years, </w:t>
      </w:r>
      <w:r w:rsidRPr="009745EA">
        <w:rPr>
          <w:rFonts w:ascii="Arial Narrow" w:hAnsi="Arial Narrow" w:cstheme="minorHAnsi"/>
          <w:snapToGrid w:val="0"/>
          <w:sz w:val="18"/>
          <w:szCs w:val="18"/>
        </w:rPr>
        <w:t>TKI = tyrosine kinase inhibitor</w:t>
      </w:r>
      <w:r w:rsidRPr="009745EA">
        <w:rPr>
          <w:rFonts w:ascii="Arial Narrow" w:hAnsi="Arial Narrow"/>
          <w:snapToGrid w:val="0"/>
          <w:sz w:val="18"/>
          <w:szCs w:val="18"/>
        </w:rPr>
        <w:t>.</w:t>
      </w:r>
    </w:p>
    <w:p w14:paraId="2885E2B1" w14:textId="77777777" w:rsidR="009745EA" w:rsidRPr="009745EA" w:rsidRDefault="009745EA" w:rsidP="00A12328">
      <w:pPr>
        <w:spacing w:after="120"/>
        <w:ind w:left="165" w:hanging="165"/>
        <w:contextualSpacing/>
        <w:rPr>
          <w:rFonts w:ascii="Arial Narrow" w:hAnsi="Arial Narrow"/>
          <w:snapToGrid w:val="0"/>
          <w:sz w:val="18"/>
          <w:szCs w:val="18"/>
        </w:rPr>
      </w:pPr>
      <w:r w:rsidRPr="009745EA">
        <w:rPr>
          <w:rFonts w:ascii="Arial Narrow" w:hAnsi="Arial Narrow"/>
          <w:snapToGrid w:val="0"/>
          <w:sz w:val="18"/>
          <w:szCs w:val="18"/>
          <w:vertAlign w:val="superscript"/>
        </w:rPr>
        <w:t>a</w:t>
      </w:r>
      <w:r w:rsidRPr="009745EA">
        <w:rPr>
          <w:rFonts w:ascii="Arial Narrow" w:hAnsi="Arial Narrow"/>
          <w:snapToGrid w:val="0"/>
          <w:sz w:val="18"/>
          <w:szCs w:val="18"/>
          <w:vertAlign w:val="superscript"/>
        </w:rPr>
        <w:tab/>
      </w:r>
      <w:r w:rsidRPr="009745EA">
        <w:rPr>
          <w:rFonts w:ascii="Arial Narrow" w:hAnsi="Arial Narrow"/>
          <w:snapToGrid w:val="0"/>
          <w:sz w:val="18"/>
          <w:szCs w:val="18"/>
        </w:rPr>
        <w:t>The total follow-up duration for the LAURA trial was not reported. 49 months is the duration for which PFS data from DCO1 is available for both treatment arms (p116 of submission). Median follow-up for OS was 29.5 months and 28.1 months for osimertinib and placebo, respectively.</w:t>
      </w:r>
    </w:p>
    <w:p w14:paraId="3A588133" w14:textId="41880565" w:rsidR="00811754" w:rsidRPr="007C3922" w:rsidRDefault="00811754" w:rsidP="00A12328">
      <w:pPr>
        <w:pStyle w:val="3-BodyText"/>
        <w:rPr>
          <w:iCs/>
        </w:rPr>
      </w:pPr>
      <w:r w:rsidRPr="009745EA">
        <w:t>The economic model assumed a 10-year time horizon. The selection of this time horizon was based on the time horizons of 15 years in the adjuvant NSCLC setting (</w:t>
      </w:r>
      <w:r w:rsidRPr="00811754">
        <w:rPr>
          <w:iCs/>
        </w:rPr>
        <w:t>paragraph 6.28, osimertinib PSD, November 2023 and paragraph 6.37, atezolizumab PSD, July 2022)</w:t>
      </w:r>
      <w:r w:rsidRPr="009745EA">
        <w:t xml:space="preserve"> and 7.5 years in the first-line metastatic NSCLC setting (</w:t>
      </w:r>
      <w:r w:rsidRPr="00811754">
        <w:rPr>
          <w:iCs/>
        </w:rPr>
        <w:t>Table 9, osimertinib PSD, July 2020).</w:t>
      </w:r>
      <w:r w:rsidR="00585495">
        <w:rPr>
          <w:iCs/>
        </w:rPr>
        <w:t xml:space="preserve"> </w:t>
      </w:r>
      <w:r w:rsidR="00585495" w:rsidRPr="00955EA2">
        <w:t>The evaluation considered that this was likely reasonable</w:t>
      </w:r>
      <w:r w:rsidR="00F31B17" w:rsidRPr="00955EA2">
        <w:t>.</w:t>
      </w:r>
      <w:r w:rsidRPr="009745EA">
        <w:t xml:space="preserve"> </w:t>
      </w:r>
      <w:r w:rsidRPr="007C3922">
        <w:rPr>
          <w:iCs/>
        </w:rPr>
        <w:t xml:space="preserve">The PBAC </w:t>
      </w:r>
      <w:r w:rsidR="002824AF">
        <w:rPr>
          <w:iCs/>
        </w:rPr>
        <w:t>previously</w:t>
      </w:r>
      <w:r w:rsidR="002824AF" w:rsidRPr="007C3922">
        <w:rPr>
          <w:iCs/>
        </w:rPr>
        <w:t xml:space="preserve"> </w:t>
      </w:r>
      <w:r w:rsidRPr="007C3922">
        <w:rPr>
          <w:iCs/>
        </w:rPr>
        <w:t>considered that a 10-year time horizon was reasonable for durvalumab for</w:t>
      </w:r>
      <w:r w:rsidR="00E77447">
        <w:rPr>
          <w:iCs/>
        </w:rPr>
        <w:t xml:space="preserve"> the</w:t>
      </w:r>
      <w:r w:rsidRPr="007C3922">
        <w:rPr>
          <w:iCs/>
        </w:rPr>
        <w:t xml:space="preserve"> treatment of Stage III unresectable NSCLC in patients who have not progressed after platinum-based CRT (paragraph</w:t>
      </w:r>
      <w:r w:rsidR="000420AE">
        <w:rPr>
          <w:iCs/>
        </w:rPr>
        <w:t>s</w:t>
      </w:r>
      <w:r w:rsidRPr="007C3922">
        <w:rPr>
          <w:iCs/>
        </w:rPr>
        <w:t xml:space="preserve"> 6.42</w:t>
      </w:r>
      <w:r w:rsidR="000420AE">
        <w:rPr>
          <w:iCs/>
        </w:rPr>
        <w:t xml:space="preserve"> and</w:t>
      </w:r>
      <w:r w:rsidRPr="007C3922">
        <w:rPr>
          <w:iCs/>
        </w:rPr>
        <w:t xml:space="preserve"> 7.7, durvalumab PSD, July </w:t>
      </w:r>
      <w:r w:rsidRPr="00F31B17">
        <w:t>2019). The incremental cost effectiveness ratio (ICER) was sensitive to time horizon.</w:t>
      </w:r>
    </w:p>
    <w:p w14:paraId="4220F6F7" w14:textId="4CFAC246" w:rsidR="009745EA" w:rsidRPr="00095CCB" w:rsidRDefault="009745EA" w:rsidP="00A12328">
      <w:pPr>
        <w:pStyle w:val="3-BodyText"/>
      </w:pPr>
      <w:r w:rsidRPr="00095CCB">
        <w:t>Health state allocation for treatment arms in the model was determined by PFS and OS curves from</w:t>
      </w:r>
      <w:r w:rsidR="00F31B17">
        <w:t xml:space="preserve"> </w:t>
      </w:r>
      <w:r w:rsidR="00F31B17" w:rsidRPr="00015B6C">
        <w:t>the</w:t>
      </w:r>
      <w:r w:rsidRPr="00095CCB">
        <w:t xml:space="preserve"> LAURA</w:t>
      </w:r>
      <w:r w:rsidR="00F31B17">
        <w:t xml:space="preserve"> </w:t>
      </w:r>
      <w:r w:rsidR="00F31B17" w:rsidRPr="00955EA2">
        <w:t>trial</w:t>
      </w:r>
      <w:r w:rsidRPr="00095CCB">
        <w:t xml:space="preserve">. </w:t>
      </w:r>
    </w:p>
    <w:p w14:paraId="604F8C48" w14:textId="6D0CD2C6" w:rsidR="00FF78E7" w:rsidRPr="00095CCB" w:rsidRDefault="009745EA" w:rsidP="00A12328">
      <w:pPr>
        <w:pStyle w:val="3-BodyText"/>
        <w:rPr>
          <w:iCs/>
        </w:rPr>
      </w:pPr>
      <w:r w:rsidRPr="00095CCB">
        <w:t xml:space="preserve">The model fitted independent parametric survival models to observed KM data from each arm of </w:t>
      </w:r>
      <w:r w:rsidR="0059462B" w:rsidRPr="00095CCB">
        <w:t xml:space="preserve">the </w:t>
      </w:r>
      <w:r w:rsidRPr="00095CCB">
        <w:t xml:space="preserve">LAURA </w:t>
      </w:r>
      <w:r w:rsidR="0059462B" w:rsidRPr="00095CCB">
        <w:t xml:space="preserve">trial </w:t>
      </w:r>
      <w:r w:rsidRPr="00095CCB">
        <w:t>for PFS curves</w:t>
      </w:r>
      <w:r w:rsidR="009B009E" w:rsidRPr="00095CCB">
        <w:t xml:space="preserve">, beyond truncation points </w:t>
      </w:r>
      <w:r w:rsidR="009B009E" w:rsidRPr="00095CCB">
        <w:rPr>
          <w:rFonts w:eastAsiaTheme="majorEastAsia"/>
        </w:rPr>
        <w:t>(36 and 13 months for osimertinib and placebo</w:t>
      </w:r>
      <w:r w:rsidR="00F31B17">
        <w:rPr>
          <w:rFonts w:eastAsiaTheme="majorEastAsia"/>
        </w:rPr>
        <w:t>,</w:t>
      </w:r>
      <w:r w:rsidR="009B009E" w:rsidRPr="00095CCB">
        <w:rPr>
          <w:rFonts w:eastAsiaTheme="majorEastAsia"/>
        </w:rPr>
        <w:t xml:space="preserve"> respectively)</w:t>
      </w:r>
      <w:r w:rsidR="009B009E" w:rsidRPr="00095CCB">
        <w:rPr>
          <w:rFonts w:eastAsiaTheme="majorEastAsia"/>
          <w:szCs w:val="20"/>
        </w:rPr>
        <w:t xml:space="preserve">. </w:t>
      </w:r>
      <w:r w:rsidR="009B009E" w:rsidRPr="00095CCB">
        <w:rPr>
          <w:szCs w:val="20"/>
        </w:rPr>
        <w:t>The point of truncation was set at the point at which approximately 20% of patients remain in the risk set (Pocock 2002)</w:t>
      </w:r>
      <w:r w:rsidR="00E5678F">
        <w:rPr>
          <w:szCs w:val="20"/>
        </w:rPr>
        <w:t xml:space="preserve">; </w:t>
      </w:r>
      <w:r w:rsidR="00E5678F" w:rsidRPr="00955EA2">
        <w:rPr>
          <w:szCs w:val="20"/>
        </w:rPr>
        <w:t>the evaluation considered that this was reasonable</w:t>
      </w:r>
      <w:r w:rsidR="009B009E" w:rsidRPr="00095CCB">
        <w:rPr>
          <w:szCs w:val="20"/>
        </w:rPr>
        <w:t xml:space="preserve">. </w:t>
      </w:r>
    </w:p>
    <w:p w14:paraId="7AAB32A0" w14:textId="107DFACB" w:rsidR="00FF78E7" w:rsidRPr="007C3922" w:rsidRDefault="00FF78E7" w:rsidP="00A12328">
      <w:pPr>
        <w:pStyle w:val="3-BodyText"/>
        <w:rPr>
          <w:iCs/>
        </w:rPr>
      </w:pPr>
      <w:bookmarkStart w:id="66" w:name="_Ref201391722"/>
      <w:r w:rsidRPr="00095CCB">
        <w:t>The submission chose the generalised gamma function for the placebo arm based on goodness of fit statistics. The submission chose the exponential function for the osimertinib arm in the base case, to represent the most conservative extrapolation of PFS</w:t>
      </w:r>
      <w:r w:rsidR="00415CD5" w:rsidRPr="00955EA2">
        <w:t xml:space="preserve">; </w:t>
      </w:r>
      <w:r w:rsidR="00415CD5" w:rsidRPr="00955EA2">
        <w:rPr>
          <w:szCs w:val="20"/>
        </w:rPr>
        <w:t>the evaluation considered that this was reasonable</w:t>
      </w:r>
      <w:r w:rsidRPr="00095CCB">
        <w:t xml:space="preserve">. </w:t>
      </w:r>
      <w:r w:rsidRPr="007C3922">
        <w:rPr>
          <w:iCs/>
        </w:rPr>
        <w:t>The ICER was fairly insensitive to the parametric function chosen to extrapolate PFS for the osimertinib arm.</w:t>
      </w:r>
      <w:r w:rsidR="00780802" w:rsidRPr="007C3922">
        <w:rPr>
          <w:iCs/>
        </w:rPr>
        <w:t xml:space="preserve"> </w:t>
      </w:r>
      <w:r w:rsidR="007A6CF2" w:rsidRPr="007C3922">
        <w:rPr>
          <w:iCs/>
        </w:rPr>
        <w:t xml:space="preserve">The submission did not discuss </w:t>
      </w:r>
      <w:r w:rsidR="0040673A" w:rsidRPr="007C3922">
        <w:rPr>
          <w:iCs/>
        </w:rPr>
        <w:t xml:space="preserve">testing </w:t>
      </w:r>
      <w:r w:rsidR="007A6CF2" w:rsidRPr="007C3922">
        <w:rPr>
          <w:iCs/>
        </w:rPr>
        <w:t>the proportional hazards assumption</w:t>
      </w:r>
      <w:r w:rsidR="00780802" w:rsidRPr="007C3922">
        <w:rPr>
          <w:iCs/>
        </w:rPr>
        <w:t>,</w:t>
      </w:r>
      <w:r w:rsidR="0040673A" w:rsidRPr="007C3922">
        <w:rPr>
          <w:iCs/>
        </w:rPr>
        <w:t xml:space="preserve"> but it appeared that the proportional hazards assumption </w:t>
      </w:r>
      <w:r w:rsidR="0040673A" w:rsidRPr="00010663">
        <w:rPr>
          <w:iCs/>
        </w:rPr>
        <w:t>was violated</w:t>
      </w:r>
      <w:r w:rsidR="00780802" w:rsidRPr="00010663">
        <w:rPr>
          <w:iCs/>
        </w:rPr>
        <w:t>,</w:t>
      </w:r>
      <w:r w:rsidR="0040673A" w:rsidRPr="00010663">
        <w:rPr>
          <w:iCs/>
        </w:rPr>
        <w:t xml:space="preserve"> </w:t>
      </w:r>
      <w:r w:rsidR="00FB6F9B" w:rsidRPr="00010663">
        <w:rPr>
          <w:iCs/>
        </w:rPr>
        <w:t xml:space="preserve">given the </w:t>
      </w:r>
      <w:r w:rsidR="00780802" w:rsidRPr="00010663">
        <w:rPr>
          <w:iCs/>
        </w:rPr>
        <w:t>S</w:t>
      </w:r>
      <w:r w:rsidR="00FB6F9B" w:rsidRPr="00010663">
        <w:rPr>
          <w:iCs/>
        </w:rPr>
        <w:t>cho</w:t>
      </w:r>
      <w:r w:rsidR="00780802" w:rsidRPr="00010663">
        <w:rPr>
          <w:iCs/>
        </w:rPr>
        <w:t>e</w:t>
      </w:r>
      <w:r w:rsidR="00FB6F9B" w:rsidRPr="00010663">
        <w:rPr>
          <w:iCs/>
        </w:rPr>
        <w:t>nfield</w:t>
      </w:r>
      <w:r w:rsidR="00780802" w:rsidRPr="00010663">
        <w:rPr>
          <w:iCs/>
        </w:rPr>
        <w:t xml:space="preserve"> residual plots indicated time trends</w:t>
      </w:r>
      <w:r w:rsidR="0040673A" w:rsidRPr="00010663">
        <w:rPr>
          <w:iCs/>
        </w:rPr>
        <w:t>.</w:t>
      </w:r>
      <w:r w:rsidR="00330E50" w:rsidRPr="00010663">
        <w:rPr>
          <w:iCs/>
        </w:rPr>
        <w:t xml:space="preserve"> Parametric</w:t>
      </w:r>
      <w:r w:rsidR="00330E50" w:rsidRPr="007C3922">
        <w:rPr>
          <w:iCs/>
        </w:rPr>
        <w:t xml:space="preserve"> functions for PFS are presented in </w:t>
      </w:r>
      <w:r w:rsidR="00330E50" w:rsidRPr="007C3922">
        <w:rPr>
          <w:iCs/>
        </w:rPr>
        <w:fldChar w:fldCharType="begin"/>
      </w:r>
      <w:r w:rsidR="00330E50" w:rsidRPr="007C3922">
        <w:rPr>
          <w:iCs/>
        </w:rPr>
        <w:instrText xml:space="preserve"> REF _Ref198714909 \h </w:instrText>
      </w:r>
      <w:r w:rsidR="00A02C11" w:rsidRPr="007C3922">
        <w:rPr>
          <w:iCs/>
        </w:rPr>
        <w:instrText xml:space="preserve"> \* MERGEFORMAT </w:instrText>
      </w:r>
      <w:r w:rsidR="00330E50" w:rsidRPr="007C3922">
        <w:rPr>
          <w:iCs/>
        </w:rPr>
      </w:r>
      <w:r w:rsidR="00330E50" w:rsidRPr="007C3922">
        <w:rPr>
          <w:iCs/>
        </w:rPr>
        <w:fldChar w:fldCharType="separate"/>
      </w:r>
      <w:r w:rsidR="009F3D59" w:rsidRPr="009F3D59">
        <w:rPr>
          <w:iCs/>
        </w:rPr>
        <w:t xml:space="preserve">Figure </w:t>
      </w:r>
      <w:r w:rsidR="009F3D59" w:rsidRPr="009F3D59">
        <w:rPr>
          <w:iCs/>
          <w:noProof/>
        </w:rPr>
        <w:t>5</w:t>
      </w:r>
      <w:r w:rsidR="00330E50" w:rsidRPr="007C3922">
        <w:rPr>
          <w:iCs/>
        </w:rPr>
        <w:fldChar w:fldCharType="end"/>
      </w:r>
      <w:r w:rsidR="00A02C11" w:rsidRPr="007C3922">
        <w:rPr>
          <w:iCs/>
        </w:rPr>
        <w:t>.</w:t>
      </w:r>
      <w:bookmarkEnd w:id="66"/>
    </w:p>
    <w:p w14:paraId="54067A9A" w14:textId="28EC6619" w:rsidR="00FF78E7" w:rsidRPr="00F74C9D" w:rsidRDefault="00FF78E7" w:rsidP="00A12328">
      <w:pPr>
        <w:pStyle w:val="Caption"/>
        <w:rPr>
          <w:rStyle w:val="CommentReference"/>
          <w:b/>
          <w:szCs w:val="20"/>
        </w:rPr>
      </w:pPr>
      <w:bookmarkStart w:id="67" w:name="_Ref198714909"/>
      <w:r>
        <w:t xml:space="preserve">Figure </w:t>
      </w:r>
      <w:r w:rsidR="002E1944">
        <w:fldChar w:fldCharType="begin"/>
      </w:r>
      <w:r w:rsidR="002E1944">
        <w:instrText xml:space="preserve"> SEQ Figure \* ARABIC </w:instrText>
      </w:r>
      <w:r w:rsidR="002E1944">
        <w:fldChar w:fldCharType="separate"/>
      </w:r>
      <w:r w:rsidR="009F3D59">
        <w:rPr>
          <w:noProof/>
        </w:rPr>
        <w:t>5</w:t>
      </w:r>
      <w:r w:rsidR="002E1944">
        <w:rPr>
          <w:noProof/>
        </w:rPr>
        <w:fldChar w:fldCharType="end"/>
      </w:r>
      <w:bookmarkEnd w:id="67"/>
      <w:r w:rsidRPr="00FF78E7">
        <w:rPr>
          <w:rStyle w:val="CommentReference"/>
          <w:b/>
          <w:sz w:val="22"/>
          <w:szCs w:val="22"/>
        </w:rPr>
        <w:t xml:space="preserve">: </w:t>
      </w:r>
      <w:r w:rsidRPr="00F74C9D">
        <w:rPr>
          <w:rStyle w:val="CommentReference"/>
          <w:b/>
          <w:szCs w:val="20"/>
        </w:rPr>
        <w:t>Parametric functions for PFS</w:t>
      </w:r>
    </w:p>
    <w:p w14:paraId="179A59CA" w14:textId="77777777" w:rsidR="00FF78E7" w:rsidRPr="00C42502" w:rsidRDefault="00FF78E7" w:rsidP="00A12328">
      <w:r w:rsidRPr="00C42502">
        <w:rPr>
          <w:noProof/>
        </w:rPr>
        <w:drawing>
          <wp:inline distT="0" distB="0" distL="0" distR="0" wp14:anchorId="26902DD7" wp14:editId="0FB16142">
            <wp:extent cx="5713281" cy="2941955"/>
            <wp:effectExtent l="0" t="0" r="1905" b="0"/>
            <wp:docPr id="2" name="Picture 31" descr="Figure 5: Parametric functions for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1" descr="Figure 5: Parametric functions for PF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8827" cy="2960259"/>
                    </a:xfrm>
                    <a:prstGeom prst="rect">
                      <a:avLst/>
                    </a:prstGeom>
                    <a:noFill/>
                  </pic:spPr>
                </pic:pic>
              </a:graphicData>
            </a:graphic>
          </wp:inline>
        </w:drawing>
      </w:r>
    </w:p>
    <w:p w14:paraId="177346D1" w14:textId="77777777" w:rsidR="00FF78E7" w:rsidRPr="00FA6303" w:rsidRDefault="00FF78E7" w:rsidP="00A12328">
      <w:pPr>
        <w:pStyle w:val="FooterTableFigure"/>
      </w:pPr>
      <w:r w:rsidRPr="00FA6303">
        <w:t>Source: independently constructed during the evaluation from ‘Osi extrap’ and ‘Placebo extrap’ worksheets of LAURA economic evaluation file. Figure 3-2, p128 of the submission appears to be inaccurate and mislabelled generalised gamma and gamma functions.</w:t>
      </w:r>
    </w:p>
    <w:p w14:paraId="0DEA5876" w14:textId="748A7BC8" w:rsidR="00FF78E7" w:rsidRPr="00FA6303" w:rsidRDefault="00FF78E7" w:rsidP="00A12328">
      <w:pPr>
        <w:pStyle w:val="FooterTableFigure"/>
      </w:pPr>
      <w:r w:rsidRPr="00FA6303">
        <w:t>KM = Kaplan-Meier; PFS = progression-free survival.</w:t>
      </w:r>
    </w:p>
    <w:p w14:paraId="0C96B929" w14:textId="2BCB07E6" w:rsidR="00744F20" w:rsidRPr="00F466A7" w:rsidRDefault="00845112" w:rsidP="00A12328">
      <w:pPr>
        <w:pStyle w:val="3-BodyText"/>
      </w:pPr>
      <w:r w:rsidRPr="00955EA2">
        <w:t>The evaluation considered that</w:t>
      </w:r>
      <w:r>
        <w:t xml:space="preserve"> p</w:t>
      </w:r>
      <w:r w:rsidR="007B4B53" w:rsidRPr="00F466A7">
        <w:t xml:space="preserve">lacebo patients in Australia may have better PFS than those in </w:t>
      </w:r>
      <w:r w:rsidR="00A344F4">
        <w:t xml:space="preserve">the </w:t>
      </w:r>
      <w:r w:rsidR="007B4B53" w:rsidRPr="00F466A7">
        <w:t>LAURA</w:t>
      </w:r>
      <w:r w:rsidR="00A344F4">
        <w:t xml:space="preserve"> trial</w:t>
      </w:r>
      <w:r w:rsidR="007B4B53" w:rsidRPr="00F466A7">
        <w:t>, and therefore, the magnitude of the benefit from osimertinib post-CRT may be smaller in the Australian setting than reported in the LAURA trial</w:t>
      </w:r>
      <w:r w:rsidR="00710074">
        <w:t xml:space="preserve"> </w:t>
      </w:r>
      <w:r w:rsidR="00710074" w:rsidRPr="00955EA2">
        <w:t>(paragraph</w:t>
      </w:r>
      <w:r w:rsidR="00420863">
        <w:t>s</w:t>
      </w:r>
      <w:r w:rsidR="00710074" w:rsidRPr="00955EA2">
        <w:t xml:space="preserve"> </w:t>
      </w:r>
      <w:r w:rsidR="00420863">
        <w:fldChar w:fldCharType="begin"/>
      </w:r>
      <w:r w:rsidR="00420863">
        <w:instrText xml:space="preserve"> REF _Ref201150400 \r \h </w:instrText>
      </w:r>
      <w:r w:rsidR="00420863">
        <w:fldChar w:fldCharType="separate"/>
      </w:r>
      <w:r w:rsidR="009F3D59">
        <w:t>6.36</w:t>
      </w:r>
      <w:r w:rsidR="00420863">
        <w:fldChar w:fldCharType="end"/>
      </w:r>
      <w:r w:rsidR="00420863">
        <w:rPr>
          <w:rFonts w:cstheme="minorHAnsi"/>
        </w:rPr>
        <w:t>−</w:t>
      </w:r>
      <w:r w:rsidR="00CC0C41" w:rsidRPr="00955EA2">
        <w:fldChar w:fldCharType="begin"/>
      </w:r>
      <w:r w:rsidR="00CC0C41" w:rsidRPr="00955EA2">
        <w:instrText xml:space="preserve"> REF _Ref201157252 \r \h  \* MERGEFORMAT </w:instrText>
      </w:r>
      <w:r w:rsidR="00CC0C41" w:rsidRPr="00955EA2">
        <w:fldChar w:fldCharType="separate"/>
      </w:r>
      <w:r w:rsidR="009F3D59">
        <w:t>6.37</w:t>
      </w:r>
      <w:r w:rsidR="00CC0C41" w:rsidRPr="00955EA2">
        <w:fldChar w:fldCharType="end"/>
      </w:r>
      <w:r w:rsidR="00710074" w:rsidRPr="00955EA2">
        <w:t>)</w:t>
      </w:r>
      <w:r w:rsidR="007B4B53" w:rsidRPr="00955EA2">
        <w:t>.</w:t>
      </w:r>
      <w:r w:rsidR="00744F20" w:rsidRPr="00F466A7">
        <w:t xml:space="preserve"> LAURA subgroup data showed that patients who had a </w:t>
      </w:r>
      <w:r w:rsidR="00FC23C0">
        <w:br/>
      </w:r>
      <w:r w:rsidR="00744F20" w:rsidRPr="00F466A7">
        <w:t>pre-CRT PET scan had better PFS outcomes than those who did not</w:t>
      </w:r>
      <w:r w:rsidR="00D90519">
        <w:t xml:space="preserve"> </w:t>
      </w:r>
      <w:r w:rsidR="00D90519" w:rsidRPr="00955EA2">
        <w:t xml:space="preserve">(paragraph </w:t>
      </w:r>
      <w:r w:rsidR="00D90519" w:rsidRPr="00955EA2">
        <w:fldChar w:fldCharType="begin"/>
      </w:r>
      <w:r w:rsidR="00D90519" w:rsidRPr="00955EA2">
        <w:instrText xml:space="preserve"> REF _Ref198206801 \r \h  \* MERGEFORMAT </w:instrText>
      </w:r>
      <w:r w:rsidR="00D90519" w:rsidRPr="00955EA2">
        <w:fldChar w:fldCharType="separate"/>
      </w:r>
      <w:r w:rsidR="009F3D59">
        <w:t>6.12</w:t>
      </w:r>
      <w:r w:rsidR="00D90519" w:rsidRPr="00955EA2">
        <w:fldChar w:fldCharType="end"/>
      </w:r>
      <w:r w:rsidR="00D90519" w:rsidRPr="00955EA2">
        <w:t>)</w:t>
      </w:r>
      <w:r w:rsidR="00744F20" w:rsidRPr="00955EA2">
        <w:t>.</w:t>
      </w:r>
      <w:r w:rsidR="00744F20" w:rsidRPr="00F466A7">
        <w:t xml:space="preserve"> </w:t>
      </w:r>
      <w:r w:rsidR="00E32500" w:rsidRPr="00F466A7">
        <w:t>An additional sensitivity analysis performed during the evaluation</w:t>
      </w:r>
      <w:r w:rsidR="00657120" w:rsidRPr="00F466A7">
        <w:t>,</w:t>
      </w:r>
      <w:r w:rsidR="00E32500" w:rsidRPr="00F466A7">
        <w:t xml:space="preserve"> replacing</w:t>
      </w:r>
      <w:r w:rsidR="00744F20" w:rsidRPr="00F466A7">
        <w:t xml:space="preserve"> the PFS curves for this subgroup in the model </w:t>
      </w:r>
      <w:r w:rsidR="00E32500" w:rsidRPr="00F466A7">
        <w:t>(</w:t>
      </w:r>
      <w:r w:rsidR="00744F20" w:rsidRPr="00F466A7">
        <w:t xml:space="preserve">instead of those for the </w:t>
      </w:r>
      <w:r w:rsidR="003470F5" w:rsidRPr="00F466A7">
        <w:t xml:space="preserve">FAS </w:t>
      </w:r>
      <w:r w:rsidR="00744F20" w:rsidRPr="00F466A7">
        <w:t>population</w:t>
      </w:r>
      <w:r w:rsidR="00E32500" w:rsidRPr="00F466A7">
        <w:t>)</w:t>
      </w:r>
      <w:r w:rsidR="00744F20" w:rsidRPr="00F466A7">
        <w:t xml:space="preserve">, </w:t>
      </w:r>
      <w:r w:rsidR="00E32500" w:rsidRPr="00F466A7">
        <w:t xml:space="preserve">found that </w:t>
      </w:r>
      <w:r w:rsidR="00744F20" w:rsidRPr="00F466A7">
        <w:t>the ICER increased to $</w:t>
      </w:r>
      <w:r w:rsidR="00361FA2">
        <w:t>55,000 to &lt; $75,000</w:t>
      </w:r>
      <w:r w:rsidR="00744F20" w:rsidRPr="00F466A7">
        <w:t>/</w:t>
      </w:r>
      <w:r w:rsidR="00030176">
        <w:t>quality adjusted life year (</w:t>
      </w:r>
      <w:r w:rsidR="00744F20" w:rsidRPr="00F466A7">
        <w:t>QALY</w:t>
      </w:r>
      <w:r w:rsidR="00030176">
        <w:t>)</w:t>
      </w:r>
      <w:r w:rsidR="00744F20" w:rsidRPr="00F466A7">
        <w:t xml:space="preserve"> from a base case of $</w:t>
      </w:r>
      <w:r w:rsidR="001B0E72">
        <w:t>55,000 to &lt; $75,000</w:t>
      </w:r>
      <w:r w:rsidR="00744F20" w:rsidRPr="00F466A7">
        <w:t>/QALY gained.</w:t>
      </w:r>
      <w:r w:rsidR="00BA1D2D" w:rsidRPr="00F466A7">
        <w:t xml:space="preserve"> </w:t>
      </w:r>
      <w:r w:rsidR="003E6BD9" w:rsidRPr="00F466A7">
        <w:fldChar w:fldCharType="begin"/>
      </w:r>
      <w:r w:rsidR="003E6BD9" w:rsidRPr="00F466A7">
        <w:instrText xml:space="preserve"> REF _Ref198623375 \h </w:instrText>
      </w:r>
      <w:r w:rsidR="00AC7A6B" w:rsidRPr="00F466A7">
        <w:instrText xml:space="preserve"> \* MERGEFORMAT </w:instrText>
      </w:r>
      <w:r w:rsidR="003E6BD9" w:rsidRPr="00F466A7">
        <w:fldChar w:fldCharType="separate"/>
      </w:r>
      <w:r w:rsidR="009F3D59" w:rsidRPr="00A02C11">
        <w:t xml:space="preserve">Figure </w:t>
      </w:r>
      <w:r w:rsidR="009F3D59">
        <w:rPr>
          <w:noProof/>
        </w:rPr>
        <w:t>6</w:t>
      </w:r>
      <w:r w:rsidR="003E6BD9" w:rsidRPr="00F466A7">
        <w:fldChar w:fldCharType="end"/>
      </w:r>
      <w:r w:rsidR="00AC7A6B" w:rsidRPr="00F466A7">
        <w:t xml:space="preserve"> </w:t>
      </w:r>
      <w:r w:rsidR="00BA1D2D" w:rsidRPr="00F466A7">
        <w:t>shows</w:t>
      </w:r>
      <w:r w:rsidR="00166128" w:rsidRPr="00F466A7">
        <w:t xml:space="preserve"> the PFS curves from the LAURA trial for the FAS population and the subgroup with pre</w:t>
      </w:r>
      <w:r w:rsidR="003470F5" w:rsidRPr="00F466A7">
        <w:t>-</w:t>
      </w:r>
      <w:r w:rsidR="00166128" w:rsidRPr="00F466A7">
        <w:t>CRT PET scan.</w:t>
      </w:r>
    </w:p>
    <w:p w14:paraId="10707959" w14:textId="35FBD652" w:rsidR="00166128" w:rsidRPr="00A02C11" w:rsidRDefault="00166128" w:rsidP="00A12328">
      <w:pPr>
        <w:pStyle w:val="Caption"/>
      </w:pPr>
      <w:bookmarkStart w:id="68" w:name="_Ref198623375"/>
      <w:r w:rsidRPr="00A02C11">
        <w:t xml:space="preserve">Figure </w:t>
      </w:r>
      <w:r w:rsidR="002E1944">
        <w:fldChar w:fldCharType="begin"/>
      </w:r>
      <w:r w:rsidR="002E1944">
        <w:instrText xml:space="preserve"> SEQ Figure \* ARABIC </w:instrText>
      </w:r>
      <w:r w:rsidR="002E1944">
        <w:fldChar w:fldCharType="separate"/>
      </w:r>
      <w:r w:rsidR="009F3D59">
        <w:rPr>
          <w:noProof/>
        </w:rPr>
        <w:t>6</w:t>
      </w:r>
      <w:r w:rsidR="002E1944">
        <w:rPr>
          <w:noProof/>
        </w:rPr>
        <w:fldChar w:fldCharType="end"/>
      </w:r>
      <w:bookmarkEnd w:id="68"/>
      <w:r w:rsidRPr="00A02C11">
        <w:t>: PFS curves from the LAURA trial: FAS and subgroup with preCRT PET scan</w:t>
      </w:r>
    </w:p>
    <w:p w14:paraId="6DFB5CC3" w14:textId="042DA1A5" w:rsidR="00166128" w:rsidRPr="00A02C11" w:rsidRDefault="003E6BD9" w:rsidP="00A12328">
      <w:r w:rsidRPr="00A02C11">
        <w:rPr>
          <w:noProof/>
        </w:rPr>
        <w:drawing>
          <wp:inline distT="0" distB="0" distL="0" distR="0" wp14:anchorId="7DACDCA8" wp14:editId="06FBA802">
            <wp:extent cx="5582285" cy="3609474"/>
            <wp:effectExtent l="0" t="0" r="0" b="0"/>
            <wp:docPr id="4" name="Picture 4" descr="Figure 6: PFS curves from the LAURA trial: FAS and subgroup with preCRT PET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6: PFS curves from the LAURA trial: FAS and subgroup with preCRT PET sc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2666" cy="3616186"/>
                    </a:xfrm>
                    <a:prstGeom prst="rect">
                      <a:avLst/>
                    </a:prstGeom>
                    <a:noFill/>
                  </pic:spPr>
                </pic:pic>
              </a:graphicData>
            </a:graphic>
          </wp:inline>
        </w:drawing>
      </w:r>
    </w:p>
    <w:p w14:paraId="4D567D6F" w14:textId="06B3AA27" w:rsidR="00166128" w:rsidRPr="00F466A7" w:rsidRDefault="003E6BD9" w:rsidP="00A12328">
      <w:pPr>
        <w:rPr>
          <w:rFonts w:ascii="Arial Narrow" w:hAnsi="Arial Narrow" w:cstheme="majorBidi"/>
          <w:sz w:val="18"/>
          <w:szCs w:val="18"/>
        </w:rPr>
      </w:pPr>
      <w:r w:rsidRPr="00F466A7">
        <w:rPr>
          <w:rFonts w:ascii="Arial Narrow" w:hAnsi="Arial Narrow" w:cstheme="majorBidi"/>
          <w:sz w:val="18"/>
          <w:szCs w:val="18"/>
        </w:rPr>
        <w:t>Source: independently constructed during the evaluation.</w:t>
      </w:r>
      <w:r w:rsidR="00396EE9" w:rsidRPr="00F466A7">
        <w:rPr>
          <w:rFonts w:ascii="Arial Narrow" w:hAnsi="Arial Narrow" w:cstheme="majorBidi"/>
          <w:sz w:val="18"/>
          <w:szCs w:val="18"/>
        </w:rPr>
        <w:t xml:space="preserve"> Data for preCRT PET scan </w:t>
      </w:r>
      <w:r w:rsidR="00D57C2D" w:rsidRPr="00F466A7">
        <w:rPr>
          <w:rFonts w:ascii="Arial Narrow" w:hAnsi="Arial Narrow" w:cstheme="majorBidi"/>
          <w:sz w:val="18"/>
          <w:szCs w:val="18"/>
        </w:rPr>
        <w:t xml:space="preserve">were digitised </w:t>
      </w:r>
      <w:r w:rsidR="00396EE9" w:rsidRPr="00F466A7">
        <w:rPr>
          <w:rFonts w:ascii="Arial Narrow" w:hAnsi="Arial Narrow" w:cstheme="majorBidi"/>
          <w:sz w:val="18"/>
          <w:szCs w:val="18"/>
        </w:rPr>
        <w:t>from Figure 1A, Lu 2024a</w:t>
      </w:r>
      <w:r w:rsidR="00396EE9" w:rsidRPr="00F466A7">
        <w:rPr>
          <w:rFonts w:ascii="Arial Narrow" w:hAnsi="Arial Narrow" w:cstheme="majorBidi"/>
          <w:sz w:val="18"/>
          <w:szCs w:val="18"/>
          <w:vertAlign w:val="superscript"/>
        </w:rPr>
        <w:t>a</w:t>
      </w:r>
      <w:r w:rsidR="00D57C2D" w:rsidRPr="00F466A7">
        <w:rPr>
          <w:rFonts w:ascii="Arial Narrow" w:hAnsi="Arial Narrow" w:cstheme="majorBidi"/>
          <w:sz w:val="18"/>
          <w:szCs w:val="18"/>
        </w:rPr>
        <w:t xml:space="preserve"> </w:t>
      </w:r>
    </w:p>
    <w:p w14:paraId="1D38EC94" w14:textId="3B082385" w:rsidR="003E6BD9" w:rsidRPr="00F466A7" w:rsidRDefault="003E6BD9" w:rsidP="00A12328">
      <w:pPr>
        <w:rPr>
          <w:rFonts w:ascii="Arial Narrow" w:hAnsi="Arial Narrow" w:cstheme="majorBidi"/>
          <w:sz w:val="18"/>
          <w:szCs w:val="18"/>
        </w:rPr>
      </w:pPr>
      <w:r w:rsidRPr="00F466A7">
        <w:rPr>
          <w:rFonts w:ascii="Arial Narrow" w:hAnsi="Arial Narrow" w:cstheme="majorBidi"/>
          <w:sz w:val="18"/>
          <w:szCs w:val="18"/>
        </w:rPr>
        <w:t>CRT = chemoradiation therapy; FAS = Full Analysis Set; KM = Kaplan-Meier; Osi = osimertinib; PET = positron emission tomography; PFS = progression-free survival.</w:t>
      </w:r>
    </w:p>
    <w:p w14:paraId="02B793DA" w14:textId="65B40189" w:rsidR="007B4B53" w:rsidRPr="0043388B" w:rsidRDefault="00396EE9" w:rsidP="00A12328">
      <w:pPr>
        <w:ind w:left="165"/>
        <w:rPr>
          <w:rFonts w:ascii="Arial Narrow" w:hAnsi="Arial Narrow" w:cstheme="majorBidi"/>
          <w:sz w:val="18"/>
          <w:szCs w:val="18"/>
        </w:rPr>
      </w:pPr>
      <w:r w:rsidRPr="00A02C11">
        <w:rPr>
          <w:rFonts w:ascii="Arial Narrow" w:hAnsi="Arial Narrow" w:cstheme="majorBidi"/>
          <w:sz w:val="18"/>
          <w:szCs w:val="18"/>
          <w:vertAlign w:val="superscript"/>
        </w:rPr>
        <w:t>a</w:t>
      </w:r>
      <w:r w:rsidRPr="00A02C11">
        <w:rPr>
          <w:rFonts w:ascii="Arial Narrow" w:hAnsi="Arial Narrow" w:cstheme="majorBidi"/>
          <w:sz w:val="18"/>
          <w:szCs w:val="18"/>
          <w:vertAlign w:val="superscript"/>
        </w:rPr>
        <w:tab/>
      </w:r>
      <w:r w:rsidRPr="00A02C11">
        <w:rPr>
          <w:rFonts w:ascii="Arial Narrow" w:hAnsi="Arial Narrow" w:cstheme="majorBidi"/>
          <w:sz w:val="18"/>
          <w:szCs w:val="18"/>
        </w:rPr>
        <w:t>Lu, S. et al. Osimertinib after definitive chemoradiotherapy in unresectable stage III epidermal growth factor receptor-mutated non-small-cell lung cancer: analyses of central nervous system efficacy and distant progression from the phase III LAURA study</w:t>
      </w:r>
      <w:r w:rsidR="00BD2852">
        <w:rPr>
          <w:rFonts w:ascii="Arial Narrow" w:hAnsi="Arial Narrow" w:cstheme="majorBidi"/>
          <w:sz w:val="18"/>
          <w:szCs w:val="18"/>
        </w:rPr>
        <w:t xml:space="preserve">, </w:t>
      </w:r>
      <w:r w:rsidRPr="00A02C11">
        <w:rPr>
          <w:rFonts w:ascii="Arial Narrow" w:hAnsi="Arial Narrow" w:cstheme="majorBidi"/>
          <w:sz w:val="18"/>
          <w:szCs w:val="18"/>
        </w:rPr>
        <w:t>Annals of Oncology, Volume 35, Issue 12, 1116 - 1125</w:t>
      </w:r>
    </w:p>
    <w:p w14:paraId="31CC3339" w14:textId="26CFB4ED" w:rsidR="009B009E" w:rsidRPr="005F2315" w:rsidRDefault="00B171C4" w:rsidP="00A12328">
      <w:pPr>
        <w:pStyle w:val="3-BodyText"/>
        <w:rPr>
          <w:iCs/>
        </w:rPr>
      </w:pPr>
      <w:bookmarkStart w:id="69" w:name="_Ref204591448"/>
      <w:r>
        <w:t>Overall survival was based on the o</w:t>
      </w:r>
      <w:r w:rsidR="00716173">
        <w:t xml:space="preserve">bserved KM data from </w:t>
      </w:r>
      <w:r w:rsidR="00F24374">
        <w:t xml:space="preserve">the </w:t>
      </w:r>
      <w:r w:rsidR="00716173">
        <w:t>LAURA</w:t>
      </w:r>
      <w:r w:rsidR="00F24374">
        <w:t xml:space="preserve"> trial</w:t>
      </w:r>
      <w:r w:rsidR="00716173">
        <w:t xml:space="preserve"> up to truncation points for OS curves</w:t>
      </w:r>
      <w:r w:rsidR="009B009E">
        <w:t xml:space="preserve"> (</w:t>
      </w:r>
      <w:r w:rsidR="009B009E" w:rsidRPr="009B009E">
        <w:rPr>
          <w:rFonts w:eastAsiaTheme="majorEastAsia"/>
        </w:rPr>
        <w:t>50 and 46 months for osimertinib and placebo</w:t>
      </w:r>
      <w:r w:rsidR="008C5E90">
        <w:rPr>
          <w:rFonts w:eastAsiaTheme="majorEastAsia"/>
        </w:rPr>
        <w:t>,</w:t>
      </w:r>
      <w:r w:rsidR="009B009E" w:rsidRPr="009B009E">
        <w:rPr>
          <w:rFonts w:eastAsiaTheme="majorEastAsia"/>
        </w:rPr>
        <w:t xml:space="preserve"> respectively</w:t>
      </w:r>
      <w:r w:rsidR="009B009E">
        <w:rPr>
          <w:rFonts w:eastAsiaTheme="majorEastAsia"/>
        </w:rPr>
        <w:t>)</w:t>
      </w:r>
      <w:r w:rsidR="00716173">
        <w:t>, and subsequently</w:t>
      </w:r>
      <w:r w:rsidR="000E4CE7">
        <w:t xml:space="preserve"> </w:t>
      </w:r>
      <w:r w:rsidR="00716173">
        <w:t>applied</w:t>
      </w:r>
      <w:r w:rsidR="009745EA" w:rsidRPr="009745EA">
        <w:t xml:space="preserve"> a HR approach to</w:t>
      </w:r>
      <w:r w:rsidR="00716173">
        <w:t xml:space="preserve"> the extrapolated OS curve for the placebo arm to</w:t>
      </w:r>
      <w:r w:rsidR="009745EA" w:rsidRPr="009745EA">
        <w:t xml:space="preserve"> generate the OS curve for the osimertinib arm. </w:t>
      </w:r>
      <w:r w:rsidR="00C12394">
        <w:t>A</w:t>
      </w:r>
      <w:r w:rsidR="00F32115">
        <w:t xml:space="preserve">n adjustment was applied </w:t>
      </w:r>
      <w:r w:rsidR="00CF56FA">
        <w:t>to</w:t>
      </w:r>
      <w:r w:rsidR="00F32115">
        <w:t xml:space="preserve"> the first 30 months of the model</w:t>
      </w:r>
      <w:r w:rsidR="004D0E89">
        <w:t xml:space="preserve"> that assumed that </w:t>
      </w:r>
      <w:r w:rsidR="0002576E">
        <w:t xml:space="preserve">the survival </w:t>
      </w:r>
      <w:r w:rsidR="00426ABD">
        <w:t>modelled for</w:t>
      </w:r>
      <w:r w:rsidR="00EF1A20">
        <w:t xml:space="preserve"> the</w:t>
      </w:r>
      <w:r w:rsidR="0002576E">
        <w:t xml:space="preserve"> osimertinib arm could not be worse than the</w:t>
      </w:r>
      <w:r w:rsidR="00F23F45">
        <w:t xml:space="preserve"> survival in the</w:t>
      </w:r>
      <w:r w:rsidR="00F6702D">
        <w:t xml:space="preserve"> placebo arm.</w:t>
      </w:r>
      <w:r w:rsidR="001D1B4F">
        <w:t xml:space="preserve"> Therefore, for the first 30 months of the model, the OS of the </w:t>
      </w:r>
      <w:r w:rsidR="00EF1A20">
        <w:t>osimertinib</w:t>
      </w:r>
      <w:r w:rsidR="001D1B4F">
        <w:t xml:space="preserve"> </w:t>
      </w:r>
      <w:r w:rsidR="00EF1A20">
        <w:t xml:space="preserve">arm </w:t>
      </w:r>
      <w:r w:rsidR="001D1B4F">
        <w:t xml:space="preserve">was assumed to equal the </w:t>
      </w:r>
      <w:r w:rsidR="00EF1A20">
        <w:t xml:space="preserve">OS of the </w:t>
      </w:r>
      <w:r w:rsidR="001D1B4F">
        <w:t>placebo arm.</w:t>
      </w:r>
      <w:r w:rsidR="00F6702D">
        <w:t xml:space="preserve"> Removing this adjustment increased the ICER from $</w:t>
      </w:r>
      <w:r w:rsidR="001B0E72">
        <w:t>55,000 to &lt; $75,000</w:t>
      </w:r>
      <w:r w:rsidR="00405DE6">
        <w:t xml:space="preserve"> per quality adjusted life year </w:t>
      </w:r>
      <w:r w:rsidR="00B734D0">
        <w:t xml:space="preserve">(QALY) </w:t>
      </w:r>
      <w:r w:rsidR="00405DE6">
        <w:t>gained</w:t>
      </w:r>
      <w:r w:rsidR="00F23F45">
        <w:t xml:space="preserve"> </w:t>
      </w:r>
      <w:r w:rsidR="00405DE6">
        <w:t>to $</w:t>
      </w:r>
      <w:r w:rsidR="00A26BA4">
        <w:t>55,00 to &lt; $75,000</w:t>
      </w:r>
      <w:r w:rsidR="000C6911">
        <w:t xml:space="preserve"> QALY gained.</w:t>
      </w:r>
      <w:r w:rsidR="0002576E">
        <w:t xml:space="preserve"> </w:t>
      </w:r>
      <w:bookmarkEnd w:id="69"/>
    </w:p>
    <w:p w14:paraId="0D13816C" w14:textId="6E27E02A" w:rsidR="00EE2B09" w:rsidRPr="00955EA2" w:rsidRDefault="00B74F6C" w:rsidP="00A12328">
      <w:pPr>
        <w:pStyle w:val="3-BodyText"/>
      </w:pPr>
      <w:bookmarkStart w:id="70" w:name="_Ref204591455"/>
      <w:r>
        <w:t>The OS for the osimertinib arm was extrapolated by applying</w:t>
      </w:r>
      <w:r w:rsidR="006D58FE">
        <w:t xml:space="preserve"> a HR of 0.67 to the</w:t>
      </w:r>
      <w:r w:rsidR="00F74936">
        <w:t xml:space="preserve"> OS curve of the </w:t>
      </w:r>
      <w:r w:rsidR="006D58FE">
        <w:t>placebo arm.</w:t>
      </w:r>
      <w:r w:rsidR="002B736C">
        <w:t xml:space="preserve"> </w:t>
      </w:r>
      <w:r w:rsidR="009745EA">
        <w:t xml:space="preserve">The model assumed that the HR for OS increased linearly each cycle up to a maximum of 1.0 between </w:t>
      </w:r>
      <w:r w:rsidR="007D4378">
        <w:t>Year 3</w:t>
      </w:r>
      <w:r w:rsidR="009745EA">
        <w:t xml:space="preserve">, and </w:t>
      </w:r>
      <w:r w:rsidR="007D4378">
        <w:t>Year 10</w:t>
      </w:r>
      <w:r w:rsidR="00EC1A46">
        <w:t xml:space="preserve"> to represent</w:t>
      </w:r>
      <w:r w:rsidR="004A12AB">
        <w:t xml:space="preserve"> the effect of treatment waning</w:t>
      </w:r>
      <w:r w:rsidR="009745EA">
        <w:t>.</w:t>
      </w:r>
      <w:r w:rsidR="005F2315">
        <w:t xml:space="preserve"> The OS HR for osimertinib versus placebo from LAURA was not statistically significant: DCO2 HR=0.67 (95%CI 0.40, 1.14, p=0.140). The submission stated that a HR approach had been previously accepted by the PBAC in the olaparib consideration for metastatic breast cancer (paragraph 7.12, olaparib PSD, July 2024), despite no statistically significant improvement in OS.</w:t>
      </w:r>
      <w:r w:rsidR="002B736C">
        <w:t xml:space="preserve"> </w:t>
      </w:r>
      <w:r w:rsidR="00463B1E">
        <w:t xml:space="preserve">The PSCR </w:t>
      </w:r>
      <w:r w:rsidR="008925E6">
        <w:t xml:space="preserve">also </w:t>
      </w:r>
      <w:r w:rsidR="00463B1E">
        <w:t>noted that</w:t>
      </w:r>
      <w:r w:rsidR="00744574">
        <w:t xml:space="preserve"> this methodology</w:t>
      </w:r>
      <w:r w:rsidR="00463B1E">
        <w:t xml:space="preserve"> </w:t>
      </w:r>
      <w:r w:rsidR="00744574">
        <w:t>was used to adjust for the subsequent TKI use in 19.6% of the osimertinib arm</w:t>
      </w:r>
      <w:r w:rsidR="00A91E65">
        <w:t xml:space="preserve"> of the LAURA trial</w:t>
      </w:r>
      <w:r w:rsidR="00744574">
        <w:t>.</w:t>
      </w:r>
      <w:bookmarkEnd w:id="70"/>
    </w:p>
    <w:p w14:paraId="34D68FCE" w14:textId="530739CE" w:rsidR="007705B5" w:rsidRPr="00955EA2" w:rsidRDefault="00EE2B09" w:rsidP="00A12328">
      <w:pPr>
        <w:pStyle w:val="3-BodyText"/>
        <w:rPr>
          <w:iCs/>
        </w:rPr>
      </w:pPr>
      <w:bookmarkStart w:id="71" w:name="_Ref204591500"/>
      <w:r w:rsidRPr="00F466A7">
        <w:rPr>
          <w:iCs/>
        </w:rPr>
        <w:t xml:space="preserve">It </w:t>
      </w:r>
      <w:r w:rsidR="00BC03B5" w:rsidRPr="00F466A7">
        <w:rPr>
          <w:iCs/>
        </w:rPr>
        <w:t>wa</w:t>
      </w:r>
      <w:r w:rsidRPr="00F466A7">
        <w:rPr>
          <w:iCs/>
        </w:rPr>
        <w:t>s noted</w:t>
      </w:r>
      <w:r w:rsidR="00EA5ADC">
        <w:rPr>
          <w:i/>
        </w:rPr>
        <w:t xml:space="preserve"> </w:t>
      </w:r>
      <w:r w:rsidR="00EA5ADC" w:rsidRPr="00955EA2">
        <w:rPr>
          <w:iCs/>
        </w:rPr>
        <w:t>by the evaluation</w:t>
      </w:r>
      <w:r w:rsidRPr="00F466A7">
        <w:rPr>
          <w:iCs/>
        </w:rPr>
        <w:t xml:space="preserve"> that </w:t>
      </w:r>
      <w:r w:rsidRPr="00F466A7">
        <w:rPr>
          <w:rFonts w:eastAsiaTheme="majorEastAsia" w:cstheme="minorHAnsi"/>
          <w:bCs/>
          <w:iCs/>
        </w:rPr>
        <w:t xml:space="preserve">long-term extrapolations were likely to be uncertain. Overall survival data from </w:t>
      </w:r>
      <w:r w:rsidR="00653542">
        <w:rPr>
          <w:rFonts w:eastAsiaTheme="majorEastAsia" w:cstheme="minorHAnsi"/>
          <w:bCs/>
          <w:iCs/>
        </w:rPr>
        <w:t xml:space="preserve">the </w:t>
      </w:r>
      <w:r w:rsidRPr="00F466A7">
        <w:rPr>
          <w:rFonts w:eastAsiaTheme="majorEastAsia" w:cstheme="minorHAnsi"/>
          <w:bCs/>
          <w:iCs/>
        </w:rPr>
        <w:t>LAURA</w:t>
      </w:r>
      <w:r w:rsidR="00653542">
        <w:rPr>
          <w:rFonts w:eastAsiaTheme="majorEastAsia" w:cstheme="minorHAnsi"/>
          <w:bCs/>
          <w:iCs/>
        </w:rPr>
        <w:t xml:space="preserve"> trial</w:t>
      </w:r>
      <w:r w:rsidRPr="00F466A7">
        <w:rPr>
          <w:rFonts w:eastAsiaTheme="majorEastAsia" w:cstheme="minorHAnsi"/>
          <w:bCs/>
          <w:iCs/>
        </w:rPr>
        <w:t xml:space="preserve"> w</w:t>
      </w:r>
      <w:r w:rsidR="00BC03B5" w:rsidRPr="00F466A7">
        <w:rPr>
          <w:rFonts w:eastAsiaTheme="majorEastAsia" w:cstheme="minorHAnsi"/>
          <w:bCs/>
          <w:iCs/>
        </w:rPr>
        <w:t>ere</w:t>
      </w:r>
      <w:r w:rsidRPr="00F466A7">
        <w:rPr>
          <w:rFonts w:eastAsiaTheme="majorEastAsia" w:cstheme="minorHAnsi"/>
          <w:bCs/>
          <w:iCs/>
        </w:rPr>
        <w:t xml:space="preserve"> immature (31% maturity at DCO2)</w:t>
      </w:r>
      <w:r w:rsidR="00653542">
        <w:rPr>
          <w:rFonts w:eastAsiaTheme="majorEastAsia" w:cstheme="minorHAnsi"/>
          <w:bCs/>
          <w:iCs/>
        </w:rPr>
        <w:t xml:space="preserve"> and the</w:t>
      </w:r>
      <w:r w:rsidRPr="00F466A7">
        <w:rPr>
          <w:iCs/>
        </w:rPr>
        <w:t xml:space="preserve"> crossing of KM curves suggests a violation of the proportional hazards assumption. Therefore, the HR should be interpreted cautiously, as it may not reflect time-varying effects.</w:t>
      </w:r>
      <w:r w:rsidRPr="00712E02">
        <w:rPr>
          <w:i/>
          <w:iCs/>
        </w:rPr>
        <w:t xml:space="preserve"> </w:t>
      </w:r>
      <w:r w:rsidRPr="00712E02">
        <w:rPr>
          <w:iCs/>
        </w:rPr>
        <w:t>In sensitivity analysis, the model extrapolated OS data using parametric functions for both arms of the model. In this scenario, the ICER decreased to $</w:t>
      </w:r>
      <w:r w:rsidR="00A26BA4">
        <w:rPr>
          <w:iCs/>
        </w:rPr>
        <w:t>45,000 to &lt; $55,000</w:t>
      </w:r>
      <w:r w:rsidRPr="00712E02">
        <w:rPr>
          <w:iCs/>
        </w:rPr>
        <w:t>/QALY from a base case of $</w:t>
      </w:r>
      <w:r w:rsidR="00031265">
        <w:rPr>
          <w:rFonts w:cstheme="minorHAnsi"/>
          <w:iCs/>
        </w:rPr>
        <w:t>55,000 to &lt; $75,000</w:t>
      </w:r>
      <w:r w:rsidRPr="00712E02">
        <w:rPr>
          <w:rFonts w:cstheme="minorHAnsi"/>
          <w:iCs/>
        </w:rPr>
        <w:t xml:space="preserve">/QALY gained. </w:t>
      </w:r>
      <w:r w:rsidRPr="00F466A7">
        <w:rPr>
          <w:rFonts w:cstheme="minorHAnsi"/>
          <w:iCs/>
        </w:rPr>
        <w:t>However, the</w:t>
      </w:r>
      <w:r w:rsidR="00B856F4">
        <w:rPr>
          <w:rFonts w:cstheme="minorHAnsi"/>
          <w:iCs/>
        </w:rPr>
        <w:t xml:space="preserve"> </w:t>
      </w:r>
      <w:r w:rsidR="00B856F4" w:rsidRPr="00015B6C">
        <w:rPr>
          <w:rFonts w:cstheme="minorHAnsi"/>
          <w:iCs/>
        </w:rPr>
        <w:t>evaluation noted that</w:t>
      </w:r>
      <w:r w:rsidRPr="00F466A7">
        <w:rPr>
          <w:rFonts w:cstheme="minorHAnsi"/>
          <w:iCs/>
        </w:rPr>
        <w:t xml:space="preserve"> </w:t>
      </w:r>
      <w:r w:rsidR="003007BD">
        <w:rPr>
          <w:rFonts w:cstheme="minorHAnsi"/>
          <w:iCs/>
        </w:rPr>
        <w:t xml:space="preserve">the </w:t>
      </w:r>
      <w:r w:rsidRPr="00F466A7">
        <w:rPr>
          <w:rFonts w:cstheme="minorHAnsi"/>
          <w:iCs/>
        </w:rPr>
        <w:t xml:space="preserve">LAURA trial showed no statistically significant improvement in OS. </w:t>
      </w:r>
      <w:r w:rsidR="00AD4852" w:rsidRPr="00015B6C">
        <w:rPr>
          <w:rFonts w:cstheme="minorHAnsi"/>
          <w:iCs/>
        </w:rPr>
        <w:t xml:space="preserve">The ESC noted that </w:t>
      </w:r>
      <w:r w:rsidR="00AD4852" w:rsidRPr="00015B6C">
        <w:rPr>
          <w:iCs/>
        </w:rPr>
        <w:t>a</w:t>
      </w:r>
      <w:r w:rsidRPr="00015B6C">
        <w:rPr>
          <w:iCs/>
        </w:rPr>
        <w:t xml:space="preserve">ssuming </w:t>
      </w:r>
      <w:r w:rsidRPr="00F466A7">
        <w:rPr>
          <w:iCs/>
        </w:rPr>
        <w:t>a HR of 1 for OS increased the ICER to $</w:t>
      </w:r>
      <w:r w:rsidR="00031265">
        <w:rPr>
          <w:iCs/>
        </w:rPr>
        <w:t>55,000 to &lt; $75,000</w:t>
      </w:r>
      <w:r w:rsidRPr="00F466A7">
        <w:rPr>
          <w:iCs/>
        </w:rPr>
        <w:t>/QALY from a base case of $</w:t>
      </w:r>
      <w:r w:rsidR="00031265">
        <w:rPr>
          <w:iCs/>
        </w:rPr>
        <w:t>55,000 to &lt; $75,000</w:t>
      </w:r>
      <w:r w:rsidRPr="00F466A7">
        <w:rPr>
          <w:iCs/>
        </w:rPr>
        <w:t>/QALY gained.</w:t>
      </w:r>
      <w:r w:rsidR="0028192B">
        <w:rPr>
          <w:iCs/>
        </w:rPr>
        <w:t xml:space="preserve"> </w:t>
      </w:r>
      <w:r w:rsidR="0028192B" w:rsidRPr="00955EA2">
        <w:rPr>
          <w:iCs/>
        </w:rPr>
        <w:t xml:space="preserve">The PSCR stated that </w:t>
      </w:r>
      <w:r w:rsidR="00F8505C" w:rsidRPr="00955EA2">
        <w:rPr>
          <w:iCs/>
        </w:rPr>
        <w:t>the submission’s approach was balanced</w:t>
      </w:r>
      <w:r w:rsidR="00A21BF9" w:rsidRPr="00955EA2">
        <w:rPr>
          <w:iCs/>
        </w:rPr>
        <w:t xml:space="preserve"> between</w:t>
      </w:r>
      <w:r w:rsidR="00DD4A34" w:rsidRPr="00955EA2">
        <w:rPr>
          <w:iCs/>
        </w:rPr>
        <w:t xml:space="preserve"> </w:t>
      </w:r>
      <w:r w:rsidR="00C34493">
        <w:rPr>
          <w:iCs/>
        </w:rPr>
        <w:t xml:space="preserve">a </w:t>
      </w:r>
      <w:r w:rsidR="00DD4A34" w:rsidRPr="00955EA2">
        <w:rPr>
          <w:iCs/>
        </w:rPr>
        <w:t>favourable</w:t>
      </w:r>
      <w:r w:rsidR="00A21BF9" w:rsidRPr="00955EA2">
        <w:rPr>
          <w:iCs/>
        </w:rPr>
        <w:t xml:space="preserve"> extrapolati</w:t>
      </w:r>
      <w:r w:rsidR="00DD4A34" w:rsidRPr="00955EA2">
        <w:rPr>
          <w:iCs/>
        </w:rPr>
        <w:t>on of</w:t>
      </w:r>
      <w:r w:rsidR="00A21BF9" w:rsidRPr="00955EA2">
        <w:rPr>
          <w:iCs/>
        </w:rPr>
        <w:t xml:space="preserve"> OS </w:t>
      </w:r>
      <w:r w:rsidR="00AC753D" w:rsidRPr="00955EA2">
        <w:rPr>
          <w:iCs/>
        </w:rPr>
        <w:t xml:space="preserve">and the conservative </w:t>
      </w:r>
      <w:r w:rsidR="00E13342" w:rsidRPr="00955EA2">
        <w:rPr>
          <w:iCs/>
        </w:rPr>
        <w:t>suggestion of assuming a HR of 1.</w:t>
      </w:r>
      <w:r w:rsidR="00232B63" w:rsidRPr="00955EA2">
        <w:rPr>
          <w:iCs/>
        </w:rPr>
        <w:t xml:space="preserve"> The PSCR </w:t>
      </w:r>
      <w:r w:rsidR="00C230F0" w:rsidRPr="00955EA2">
        <w:rPr>
          <w:iCs/>
        </w:rPr>
        <w:t>argued</w:t>
      </w:r>
      <w:r w:rsidR="00232B63" w:rsidRPr="00955EA2">
        <w:rPr>
          <w:iCs/>
        </w:rPr>
        <w:t xml:space="preserve"> that using a HR of 1</w:t>
      </w:r>
      <w:r w:rsidR="00032D8A" w:rsidRPr="00955EA2">
        <w:rPr>
          <w:iCs/>
        </w:rPr>
        <w:t xml:space="preserve"> </w:t>
      </w:r>
      <w:r w:rsidR="004F38F4" w:rsidRPr="00955EA2">
        <w:rPr>
          <w:iCs/>
        </w:rPr>
        <w:t>wa</w:t>
      </w:r>
      <w:r w:rsidR="00032D8A" w:rsidRPr="00955EA2">
        <w:rPr>
          <w:iCs/>
        </w:rPr>
        <w:t>s not reasonable as it</w:t>
      </w:r>
      <w:r w:rsidR="00232B63" w:rsidRPr="00955EA2">
        <w:rPr>
          <w:iCs/>
        </w:rPr>
        <w:t xml:space="preserve"> assumes</w:t>
      </w:r>
      <w:r w:rsidR="00E4732C" w:rsidRPr="00955EA2">
        <w:rPr>
          <w:iCs/>
        </w:rPr>
        <w:t xml:space="preserve"> </w:t>
      </w:r>
      <w:r w:rsidR="00E4762D" w:rsidRPr="00955EA2">
        <w:rPr>
          <w:iCs/>
        </w:rPr>
        <w:t>there is</w:t>
      </w:r>
      <w:r w:rsidR="00E4732C" w:rsidRPr="00955EA2">
        <w:rPr>
          <w:iCs/>
        </w:rPr>
        <w:t xml:space="preserve"> no continued OS benefit after trial follow-up</w:t>
      </w:r>
      <w:r w:rsidR="00E4762D" w:rsidRPr="00955EA2">
        <w:rPr>
          <w:iCs/>
        </w:rPr>
        <w:t>,</w:t>
      </w:r>
      <w:r w:rsidR="00E4732C" w:rsidRPr="00955EA2">
        <w:rPr>
          <w:iCs/>
        </w:rPr>
        <w:t xml:space="preserve"> </w:t>
      </w:r>
      <w:r w:rsidR="00CF3159" w:rsidRPr="00955EA2">
        <w:rPr>
          <w:iCs/>
        </w:rPr>
        <w:t>even though</w:t>
      </w:r>
      <w:r w:rsidR="00E4732C" w:rsidRPr="00955EA2">
        <w:rPr>
          <w:iCs/>
        </w:rPr>
        <w:t xml:space="preserve"> 45% of the osimertinib arm remain free from disease progression at the end of trial follow-up (compared to only 7% in the placebo arm).</w:t>
      </w:r>
      <w:bookmarkEnd w:id="71"/>
    </w:p>
    <w:p w14:paraId="3116C47C" w14:textId="5CFE56A7" w:rsidR="009745EA" w:rsidRPr="00F466A7" w:rsidRDefault="009745EA" w:rsidP="00A12328">
      <w:pPr>
        <w:pStyle w:val="3-BodyText"/>
      </w:pPr>
      <w:r w:rsidRPr="009745EA">
        <w:t xml:space="preserve">For the PFS health state in the base case, the model applied EQ-5D-5L data from the LAURA trial, using the </w:t>
      </w:r>
      <w:r w:rsidRPr="003111F8">
        <w:t xml:space="preserve">published Australian algorithm from Viney 2011, which resulted in a utility of 0.871. </w:t>
      </w:r>
      <w:r w:rsidR="00984BFB" w:rsidRPr="003111F8">
        <w:t xml:space="preserve">The difference in utility </w:t>
      </w:r>
      <w:r w:rsidRPr="003111F8">
        <w:t>associated with PD versus PFS was derived from the November 2018 PBAC model for durvalumab</w:t>
      </w:r>
      <w:r w:rsidR="002C448C">
        <w:t>.</w:t>
      </w:r>
      <w:r w:rsidRPr="003111F8">
        <w:t xml:space="preserve"> </w:t>
      </w:r>
      <w:r w:rsidR="002C448C">
        <w:t>T</w:t>
      </w:r>
      <w:r w:rsidRPr="003111F8">
        <w:t xml:space="preserve">he utility for the PD health state </w:t>
      </w:r>
      <w:r w:rsidR="002C448C">
        <w:t>was estimated to be</w:t>
      </w:r>
      <w:r w:rsidR="002C448C" w:rsidRPr="003111F8">
        <w:t xml:space="preserve"> </w:t>
      </w:r>
      <w:r w:rsidRPr="003111F8">
        <w:t xml:space="preserve">0.731. </w:t>
      </w:r>
      <w:r w:rsidR="00F05DA0" w:rsidRPr="00F466A7">
        <w:t xml:space="preserve">Although it is </w:t>
      </w:r>
      <w:r w:rsidR="00DB0F58" w:rsidRPr="00F466A7">
        <w:t xml:space="preserve">generally </w:t>
      </w:r>
      <w:r w:rsidR="00F05DA0" w:rsidRPr="00F466A7">
        <w:t>more appropriate to use PFS and PD utilities from the same source</w:t>
      </w:r>
      <w:r w:rsidRPr="00F466A7">
        <w:t xml:space="preserve">, the submission </w:t>
      </w:r>
      <w:r w:rsidR="00F61205">
        <w:t>stated</w:t>
      </w:r>
      <w:r w:rsidR="00F61205" w:rsidRPr="00F466A7">
        <w:t xml:space="preserve"> </w:t>
      </w:r>
      <w:r w:rsidRPr="00F466A7">
        <w:t>that it was inappropriate to use HRQoL data from the LAURA trial for the following reasons:</w:t>
      </w:r>
    </w:p>
    <w:p w14:paraId="517C97CC" w14:textId="25CE5EEE" w:rsidR="009745EA" w:rsidRPr="00F466A7" w:rsidRDefault="009745EA" w:rsidP="00A12328">
      <w:pPr>
        <w:numPr>
          <w:ilvl w:val="0"/>
          <w:numId w:val="8"/>
        </w:numPr>
        <w:spacing w:after="120"/>
        <w:ind w:left="1134"/>
        <w:rPr>
          <w:rFonts w:asciiTheme="minorHAnsi" w:hAnsiTheme="minorHAnsi"/>
          <w:snapToGrid w:val="0"/>
        </w:rPr>
      </w:pPr>
      <w:r w:rsidRPr="009745EA">
        <w:rPr>
          <w:rFonts w:asciiTheme="minorHAnsi" w:hAnsiTheme="minorHAnsi"/>
          <w:snapToGrid w:val="0"/>
        </w:rPr>
        <w:t xml:space="preserve">Patients in </w:t>
      </w:r>
      <w:r w:rsidR="009217F8">
        <w:rPr>
          <w:rFonts w:asciiTheme="minorHAnsi" w:hAnsiTheme="minorHAnsi"/>
          <w:snapToGrid w:val="0"/>
        </w:rPr>
        <w:t xml:space="preserve">the </w:t>
      </w:r>
      <w:r w:rsidRPr="009745EA">
        <w:rPr>
          <w:rFonts w:asciiTheme="minorHAnsi" w:hAnsiTheme="minorHAnsi"/>
          <w:snapToGrid w:val="0"/>
        </w:rPr>
        <w:t xml:space="preserve">LAURA </w:t>
      </w:r>
      <w:r w:rsidR="009217F8">
        <w:rPr>
          <w:rFonts w:asciiTheme="minorHAnsi" w:hAnsiTheme="minorHAnsi"/>
          <w:snapToGrid w:val="0"/>
        </w:rPr>
        <w:t xml:space="preserve">trial </w:t>
      </w:r>
      <w:r w:rsidRPr="009745EA">
        <w:rPr>
          <w:rFonts w:asciiTheme="minorHAnsi" w:hAnsiTheme="minorHAnsi"/>
          <w:snapToGrid w:val="0"/>
        </w:rPr>
        <w:t>received subsequent anti-cancer treatments (TKIs, platinum chemotherapy, monoclonal antibodies and PD-1/PD-L1 inhibitors)</w:t>
      </w:r>
      <w:r w:rsidR="00615707">
        <w:rPr>
          <w:rFonts w:asciiTheme="minorHAnsi" w:hAnsiTheme="minorHAnsi"/>
          <w:snapToGrid w:val="0"/>
        </w:rPr>
        <w:t xml:space="preserve">, </w:t>
      </w:r>
      <w:r w:rsidR="00615707" w:rsidRPr="00F466A7">
        <w:rPr>
          <w:rFonts w:asciiTheme="minorHAnsi" w:hAnsiTheme="minorHAnsi"/>
          <w:snapToGrid w:val="0"/>
        </w:rPr>
        <w:t xml:space="preserve">many of which </w:t>
      </w:r>
      <w:r w:rsidR="00BC03B5" w:rsidRPr="00F466A7">
        <w:rPr>
          <w:rFonts w:asciiTheme="minorHAnsi" w:hAnsiTheme="minorHAnsi"/>
          <w:snapToGrid w:val="0"/>
        </w:rPr>
        <w:t>we</w:t>
      </w:r>
      <w:r w:rsidR="00615707" w:rsidRPr="00F466A7">
        <w:rPr>
          <w:rFonts w:asciiTheme="minorHAnsi" w:hAnsiTheme="minorHAnsi"/>
          <w:snapToGrid w:val="0"/>
        </w:rPr>
        <w:t>re not consistent with Australian practice</w:t>
      </w:r>
      <w:r w:rsidRPr="00F466A7">
        <w:rPr>
          <w:rFonts w:asciiTheme="minorHAnsi" w:hAnsiTheme="minorHAnsi"/>
          <w:snapToGrid w:val="0"/>
        </w:rPr>
        <w:t>.</w:t>
      </w:r>
    </w:p>
    <w:p w14:paraId="33D84347" w14:textId="00AEADA1" w:rsidR="009745EA" w:rsidRPr="009745EA" w:rsidRDefault="009745EA" w:rsidP="00A12328">
      <w:pPr>
        <w:numPr>
          <w:ilvl w:val="0"/>
          <w:numId w:val="8"/>
        </w:numPr>
        <w:spacing w:after="120"/>
        <w:ind w:left="1134"/>
        <w:rPr>
          <w:rFonts w:asciiTheme="minorHAnsi" w:hAnsiTheme="minorHAnsi"/>
          <w:snapToGrid w:val="0"/>
        </w:rPr>
      </w:pPr>
      <w:r w:rsidRPr="009745EA">
        <w:rPr>
          <w:rFonts w:asciiTheme="minorHAnsi" w:hAnsiTheme="minorHAnsi"/>
          <w:snapToGrid w:val="0"/>
        </w:rPr>
        <w:t>High loss of follow-up for post-progression utilities from</w:t>
      </w:r>
      <w:r w:rsidR="008D578E">
        <w:rPr>
          <w:rFonts w:asciiTheme="minorHAnsi" w:hAnsiTheme="minorHAnsi"/>
          <w:snapToGrid w:val="0"/>
        </w:rPr>
        <w:t xml:space="preserve"> the</w:t>
      </w:r>
      <w:r w:rsidRPr="009745EA">
        <w:rPr>
          <w:rFonts w:asciiTheme="minorHAnsi" w:hAnsiTheme="minorHAnsi"/>
          <w:snapToGrid w:val="0"/>
        </w:rPr>
        <w:t xml:space="preserve"> LAURA</w:t>
      </w:r>
      <w:r w:rsidR="008D578E">
        <w:rPr>
          <w:rFonts w:asciiTheme="minorHAnsi" w:hAnsiTheme="minorHAnsi"/>
          <w:snapToGrid w:val="0"/>
        </w:rPr>
        <w:t xml:space="preserve"> trial</w:t>
      </w:r>
      <w:r w:rsidRPr="009745EA">
        <w:rPr>
          <w:rFonts w:asciiTheme="minorHAnsi" w:hAnsiTheme="minorHAnsi"/>
          <w:snapToGrid w:val="0"/>
        </w:rPr>
        <w:t xml:space="preserve"> skewed the post-progression utility score to be higher than would be observed in clinical practice</w:t>
      </w:r>
      <w:r w:rsidR="009B009E">
        <w:rPr>
          <w:rFonts w:asciiTheme="minorHAnsi" w:hAnsiTheme="minorHAnsi"/>
          <w:snapToGrid w:val="0"/>
        </w:rPr>
        <w:t xml:space="preserve"> (</w:t>
      </w:r>
      <w:r w:rsidR="00A04EE2">
        <w:rPr>
          <w:rFonts w:asciiTheme="minorHAnsi" w:hAnsiTheme="minorHAnsi"/>
          <w:snapToGrid w:val="0"/>
        </w:rPr>
        <w:t>0.798 pooled across treatment arms</w:t>
      </w:r>
      <w:r w:rsidR="005229E8">
        <w:rPr>
          <w:rFonts w:asciiTheme="minorHAnsi" w:hAnsiTheme="minorHAnsi"/>
          <w:snapToGrid w:val="0"/>
        </w:rPr>
        <w:t>; using the algorithm from Viney 2011)</w:t>
      </w:r>
      <w:r w:rsidRPr="009745EA">
        <w:rPr>
          <w:rFonts w:asciiTheme="minorHAnsi" w:hAnsiTheme="minorHAnsi"/>
          <w:snapToGrid w:val="0"/>
        </w:rPr>
        <w:t>.</w:t>
      </w:r>
    </w:p>
    <w:p w14:paraId="66C00F2B" w14:textId="4BADA105" w:rsidR="006C48DE" w:rsidRDefault="009745EA" w:rsidP="00A12328">
      <w:pPr>
        <w:pStyle w:val="3-BodyText"/>
      </w:pPr>
      <w:r w:rsidRPr="009745EA">
        <w:t>The submission presented</w:t>
      </w:r>
      <w:r w:rsidR="00804361">
        <w:t xml:space="preserve"> alternat</w:t>
      </w:r>
      <w:r w:rsidR="008801DB">
        <w:t>e</w:t>
      </w:r>
      <w:r w:rsidRPr="009745EA">
        <w:t xml:space="preserve"> utility values from the published literature</w:t>
      </w:r>
      <w:r w:rsidR="004F1438">
        <w:t xml:space="preserve"> </w:t>
      </w:r>
      <w:r w:rsidRPr="009745EA">
        <w:rPr>
          <w:rFonts w:ascii="Symbol" w:eastAsia="Symbol" w:hAnsi="Symbol" w:cs="Symbol"/>
        </w:rPr>
        <w:t>-</w:t>
      </w:r>
      <w:r w:rsidR="004F1438">
        <w:rPr>
          <w:rFonts w:ascii="Symbol" w:eastAsia="Symbol" w:hAnsi="Symbol" w:cs="Symbol"/>
        </w:rPr>
        <w:t xml:space="preserve"> </w:t>
      </w:r>
      <w:r w:rsidRPr="009745EA">
        <w:t>mostly all based on published durvalumab models, with smaller differences in PD and PFS health state utilities</w:t>
      </w:r>
      <w:r w:rsidR="00A25AC1">
        <w:t>, ranging between</w:t>
      </w:r>
      <w:r w:rsidR="005043A6">
        <w:t xml:space="preserve"> </w:t>
      </w:r>
      <w:r w:rsidRPr="009745EA">
        <w:t>-0.03 (NICE durvalumab model)</w:t>
      </w:r>
      <w:r w:rsidR="00A25AC1">
        <w:t xml:space="preserve"> and </w:t>
      </w:r>
      <w:r w:rsidR="00842843">
        <w:t>-0.16</w:t>
      </w:r>
      <w:r w:rsidRPr="009745EA">
        <w:t>. The osimertinib PBAC model for Stage IIIB/IV metastatic NSCLC assumed utility values of 0.804 and 0.784 for PFS (osimertinib) and PFS (standard care), respectively, and 0.704 for PD (</w:t>
      </w:r>
      <w:r w:rsidRPr="009745EA">
        <w:rPr>
          <w:rFonts w:cs="Calibri"/>
        </w:rPr>
        <w:t>≥</w:t>
      </w:r>
      <w:r w:rsidRPr="009745EA">
        <w:t>180 days to death).</w:t>
      </w:r>
      <w:r w:rsidR="009B5CAE">
        <w:t xml:space="preserve"> </w:t>
      </w:r>
      <w:r w:rsidRPr="00F466A7">
        <w:t xml:space="preserve">The ICER was sensitive to the </w:t>
      </w:r>
      <w:r w:rsidR="00BD4369" w:rsidRPr="00F466A7">
        <w:t>utility</w:t>
      </w:r>
      <w:r w:rsidR="0007426C" w:rsidRPr="00F466A7">
        <w:t xml:space="preserve"> assumed</w:t>
      </w:r>
      <w:r w:rsidR="00BD4369" w:rsidRPr="00F466A7">
        <w:t xml:space="preserve"> </w:t>
      </w:r>
      <w:r w:rsidR="0007426C" w:rsidRPr="00F466A7">
        <w:t>for</w:t>
      </w:r>
      <w:r w:rsidR="00BD4369" w:rsidRPr="00F466A7">
        <w:t xml:space="preserve"> </w:t>
      </w:r>
      <w:r w:rsidRPr="00F466A7">
        <w:t xml:space="preserve">PD </w:t>
      </w:r>
      <w:r w:rsidR="005D615B" w:rsidRPr="00F466A7">
        <w:t xml:space="preserve">and </w:t>
      </w:r>
      <w:r w:rsidRPr="00F466A7">
        <w:t>PFS.</w:t>
      </w:r>
      <w:r w:rsidRPr="009B5CAE">
        <w:rPr>
          <w:i/>
          <w:iCs/>
        </w:rPr>
        <w:t xml:space="preserve"> </w:t>
      </w:r>
      <w:r w:rsidR="00D57817">
        <w:t>W</w:t>
      </w:r>
      <w:r w:rsidRPr="009745EA">
        <w:t>hen both PFS and PD utilities were derived from the LAURA trial (</w:t>
      </w:r>
      <w:r w:rsidR="001D2A1B">
        <w:t xml:space="preserve">PD utility of 0.798 using </w:t>
      </w:r>
      <w:r w:rsidRPr="009745EA">
        <w:t>Viney 2011 algorithm)</w:t>
      </w:r>
      <w:r w:rsidR="00D57817">
        <w:t>, the ICER i</w:t>
      </w:r>
      <w:r w:rsidR="00500CD6">
        <w:t>ncreased to</w:t>
      </w:r>
      <w:r w:rsidR="00D57817" w:rsidRPr="009745EA">
        <w:t xml:space="preserve"> $</w:t>
      </w:r>
      <w:r w:rsidR="00513F77">
        <w:t>55,000 to &lt; $75,000</w:t>
      </w:r>
      <w:r w:rsidR="00D57817" w:rsidRPr="009745EA">
        <w:t>/QALY</w:t>
      </w:r>
      <w:r w:rsidR="00500CD6">
        <w:t>,</w:t>
      </w:r>
      <w:r w:rsidR="00D57817" w:rsidRPr="009745EA">
        <w:t xml:space="preserve"> from a base case of $</w:t>
      </w:r>
      <w:r w:rsidR="00513F77">
        <w:t>55,000 to &lt; $75,000</w:t>
      </w:r>
      <w:r w:rsidR="00D57817" w:rsidRPr="009745EA">
        <w:t>/QALY gained</w:t>
      </w:r>
      <w:r w:rsidRPr="009745EA">
        <w:t xml:space="preserve">. </w:t>
      </w:r>
      <w:r w:rsidRPr="00F466A7">
        <w:t>Additional sensitivity analysis showed that the ICER increased to $</w:t>
      </w:r>
      <w:r w:rsidR="00513F77">
        <w:t>75,000 to &lt; $</w:t>
      </w:r>
      <w:r w:rsidR="00D209EC">
        <w:t>95,000</w:t>
      </w:r>
      <w:r w:rsidRPr="00F466A7">
        <w:t xml:space="preserve">/QALY when the </w:t>
      </w:r>
      <w:r w:rsidR="006E6B15" w:rsidRPr="00F466A7">
        <w:t>utility</w:t>
      </w:r>
      <w:r w:rsidRPr="00F466A7">
        <w:t xml:space="preserve"> of PD </w:t>
      </w:r>
      <w:r w:rsidR="006E6B15" w:rsidRPr="00F466A7">
        <w:t>was assumed to be 0.03 lower than the utility of</w:t>
      </w:r>
      <w:r w:rsidRPr="00F466A7">
        <w:t xml:space="preserve"> PFS (NICE durvalumab model).</w:t>
      </w:r>
      <w:r w:rsidR="009D5CA0">
        <w:t xml:space="preserve"> </w:t>
      </w:r>
    </w:p>
    <w:p w14:paraId="082885D6" w14:textId="01301C51" w:rsidR="00FE1F5B" w:rsidRDefault="00120C94" w:rsidP="00A12328">
      <w:pPr>
        <w:pStyle w:val="3-BodyText"/>
      </w:pPr>
      <w:r w:rsidRPr="00955EA2">
        <w:t xml:space="preserve">The PSCR </w:t>
      </w:r>
      <w:r w:rsidR="00E62D16" w:rsidRPr="00955EA2">
        <w:t>maintained that it would not be appropr</w:t>
      </w:r>
      <w:r w:rsidR="009A1751" w:rsidRPr="00955EA2">
        <w:t xml:space="preserve">iate to </w:t>
      </w:r>
      <w:r w:rsidR="005F7E89" w:rsidRPr="00955EA2">
        <w:t>use EQ-5D</w:t>
      </w:r>
      <w:r w:rsidR="001B3DE2" w:rsidRPr="00955EA2">
        <w:t xml:space="preserve"> </w:t>
      </w:r>
      <w:r w:rsidR="00C97A7A" w:rsidRPr="00955EA2">
        <w:t xml:space="preserve">data </w:t>
      </w:r>
      <w:r w:rsidR="001B3DE2" w:rsidRPr="00955EA2">
        <w:t xml:space="preserve">collected in the LAURA trial to </w:t>
      </w:r>
      <w:r w:rsidR="00C97A7A" w:rsidRPr="00955EA2">
        <w:t xml:space="preserve">inform the post-progression utility value due to the low number </w:t>
      </w:r>
      <w:r w:rsidR="005965C5" w:rsidRPr="00955EA2">
        <w:t xml:space="preserve">and timing </w:t>
      </w:r>
      <w:r w:rsidR="00C97A7A" w:rsidRPr="00955EA2">
        <w:t xml:space="preserve">of observations recorded post-progression. In total, 2,624 EQ-5D observations were available from 213 patients. Of these, 2,189 observations were recorded pre-progression and 435 were recorded at or </w:t>
      </w:r>
      <w:r w:rsidR="00BF3FE4" w:rsidRPr="00955EA2">
        <w:t xml:space="preserve">soon </w:t>
      </w:r>
      <w:r w:rsidR="00C97A7A" w:rsidRPr="00955EA2">
        <w:t>after treatment discontinuation/progression.</w:t>
      </w:r>
      <w:r w:rsidR="003749CA" w:rsidRPr="00955EA2">
        <w:t xml:space="preserve"> </w:t>
      </w:r>
      <w:r w:rsidR="001B36CC" w:rsidRPr="00955EA2">
        <w:t>Out</w:t>
      </w:r>
      <w:r w:rsidR="00C97A7A" w:rsidRPr="00955EA2">
        <w:t xml:space="preserve"> of the 232 EQ-5D observations recorded at or after progression, 196 were conducted at or within 16 weeks of progression and only 36 observations were conducted later than 16 weeks after progression. The</w:t>
      </w:r>
      <w:r w:rsidR="008A5DE1" w:rsidRPr="00955EA2">
        <w:t xml:space="preserve"> PSCR argued that the</w:t>
      </w:r>
      <w:r w:rsidR="00C97A7A" w:rsidRPr="00955EA2">
        <w:t xml:space="preserve"> PD health state should capture the entire period of time between first progression and death. Given that post-progression EQ-5D assessments in the trial were performed shortly after progression when patients are receiving effective subsequent therapies, the resulting trial-based post-progression utility score does not represent the poorer quality of life observed in later line / terminal patients.</w:t>
      </w:r>
      <w:r w:rsidR="00DB6E47">
        <w:t xml:space="preserve"> </w:t>
      </w:r>
    </w:p>
    <w:p w14:paraId="6DF74C3F" w14:textId="30B71D92" w:rsidR="00B27C69" w:rsidRPr="00955EA2" w:rsidRDefault="006A2FC3" w:rsidP="00A12328">
      <w:pPr>
        <w:pStyle w:val="3-BodyText"/>
      </w:pPr>
      <w:bookmarkStart w:id="72" w:name="_Ref204591170"/>
      <w:r w:rsidRPr="6A7C443A">
        <w:rPr>
          <w:rFonts w:eastAsiaTheme="majorEastAsia"/>
        </w:rPr>
        <w:t xml:space="preserve">The submission assumed that TTD would follow a similar relationship to PFS, based on the PBS restriction that patients should cease osimertinib treatment upon disease progression. </w:t>
      </w:r>
      <w:r w:rsidR="006C48DE">
        <w:t xml:space="preserve">The </w:t>
      </w:r>
      <w:r w:rsidR="006C48DE" w:rsidRPr="009745EA">
        <w:t xml:space="preserve">base case analysis assumed a mean duration of treatment for osimertinib of </w:t>
      </w:r>
      <w:r w:rsidR="00B50819" w:rsidRPr="002B736C">
        <w:rPr>
          <w:color w:val="000000"/>
          <w:spacing w:val="6"/>
          <w:w w:val="61"/>
          <w:shd w:val="solid" w:color="000000" w:fill="000000"/>
          <w:fitText w:val="475" w:id="-628958970"/>
          <w14:textFill>
            <w14:solidFill>
              <w14:srgbClr w14:val="000000">
                <w14:alpha w14:val="100000"/>
              </w14:srgbClr>
            </w14:solidFill>
          </w14:textFill>
        </w:rPr>
        <w:t>|||</w:t>
      </w:r>
      <w:r w:rsidR="002B736C" w:rsidRPr="002B736C">
        <w:rPr>
          <w:color w:val="000000"/>
          <w:spacing w:val="6"/>
          <w:w w:val="61"/>
          <w:shd w:val="solid" w:color="000000" w:fill="000000"/>
          <w:fitText w:val="475" w:id="-628958970"/>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970"/>
          <w14:textFill>
            <w14:solidFill>
              <w14:srgbClr w14:val="000000">
                <w14:alpha w14:val="100000"/>
              </w14:srgbClr>
            </w14:solidFill>
          </w14:textFill>
        </w:rPr>
        <w:t>||</w:t>
      </w:r>
      <w:r w:rsidR="00B50819" w:rsidRPr="002B736C">
        <w:rPr>
          <w:color w:val="000000"/>
          <w:spacing w:val="3"/>
          <w:w w:val="61"/>
          <w:shd w:val="solid" w:color="000000" w:fill="000000"/>
          <w:fitText w:val="475" w:id="-628958970"/>
          <w14:textFill>
            <w14:solidFill>
              <w14:srgbClr w14:val="000000">
                <w14:alpha w14:val="100000"/>
              </w14:srgbClr>
            </w14:solidFill>
          </w14:textFill>
        </w:rPr>
        <w:t>|</w:t>
      </w:r>
      <w:r w:rsidR="006C48DE" w:rsidRPr="009745EA">
        <w:t xml:space="preserve"> months</w:t>
      </w:r>
      <w:r w:rsidR="00D13DE4">
        <w:t xml:space="preserve">, </w:t>
      </w:r>
      <w:r w:rsidR="006C48DE" w:rsidRPr="009745EA">
        <w:t>based on the observed median PFS of 39.1 months from LAURA</w:t>
      </w:r>
      <w:r w:rsidR="006C48DE" w:rsidRPr="6A7C443A">
        <w:rPr>
          <w:i/>
          <w:iCs/>
        </w:rPr>
        <w:t xml:space="preserve"> </w:t>
      </w:r>
      <w:r w:rsidR="006C48DE" w:rsidRPr="6A7C443A">
        <w:rPr>
          <w:rFonts w:cstheme="minorBidi"/>
        </w:rPr>
        <w:t xml:space="preserve">(in order to achieve this in the model, the maximum duration of treatment was set to 67 months). </w:t>
      </w:r>
      <w:r w:rsidR="00107100" w:rsidRPr="6A7C443A">
        <w:rPr>
          <w:rFonts w:eastAsiaTheme="majorEastAsia" w:cstheme="minorBidi"/>
        </w:rPr>
        <w:t>The median time to TTD was slightly longer</w:t>
      </w:r>
      <w:r w:rsidRPr="6A7C443A">
        <w:rPr>
          <w:rFonts w:eastAsiaTheme="majorEastAsia" w:cstheme="minorBidi"/>
        </w:rPr>
        <w:t xml:space="preserve"> in the LAURA trial</w:t>
      </w:r>
      <w:r w:rsidR="00107100" w:rsidRPr="6A7C443A">
        <w:rPr>
          <w:rFonts w:eastAsiaTheme="majorEastAsia" w:cstheme="minorBidi"/>
        </w:rPr>
        <w:t xml:space="preserve"> (</w:t>
      </w:r>
      <w:r w:rsidR="00B50819" w:rsidRPr="002B736C">
        <w:rPr>
          <w:rFonts w:eastAsiaTheme="majorEastAsia" w:cstheme="minorBidi"/>
          <w:color w:val="000000"/>
          <w:spacing w:val="6"/>
          <w:w w:val="61"/>
          <w:shd w:val="solid" w:color="000000" w:fill="000000"/>
          <w:fitText w:val="475" w:id="-628958969"/>
          <w14:textFill>
            <w14:solidFill>
              <w14:srgbClr w14:val="000000">
                <w14:alpha w14:val="100000"/>
              </w14:srgbClr>
            </w14:solidFill>
          </w14:textFill>
        </w:rPr>
        <w:t>|||</w:t>
      </w:r>
      <w:r w:rsidR="002B736C" w:rsidRPr="002B736C">
        <w:rPr>
          <w:rFonts w:eastAsiaTheme="majorEastAsia" w:cstheme="minorBidi"/>
          <w:color w:val="000000"/>
          <w:spacing w:val="6"/>
          <w:w w:val="61"/>
          <w:shd w:val="solid" w:color="000000" w:fill="000000"/>
          <w:fitText w:val="475" w:id="-628958969"/>
          <w14:textFill>
            <w14:solidFill>
              <w14:srgbClr w14:val="000000">
                <w14:alpha w14:val="100000"/>
              </w14:srgbClr>
            </w14:solidFill>
          </w14:textFill>
        </w:rPr>
        <w:t xml:space="preserve"> </w:t>
      </w:r>
      <w:r w:rsidR="00B50819" w:rsidRPr="002B736C">
        <w:rPr>
          <w:rFonts w:eastAsiaTheme="majorEastAsia" w:cstheme="minorBidi"/>
          <w:color w:val="000000"/>
          <w:spacing w:val="6"/>
          <w:w w:val="61"/>
          <w:shd w:val="solid" w:color="000000" w:fill="000000"/>
          <w:fitText w:val="475" w:id="-628958969"/>
          <w14:textFill>
            <w14:solidFill>
              <w14:srgbClr w14:val="000000">
                <w14:alpha w14:val="100000"/>
              </w14:srgbClr>
            </w14:solidFill>
          </w14:textFill>
        </w:rPr>
        <w:t>||</w:t>
      </w:r>
      <w:r w:rsidR="00B50819" w:rsidRPr="002B736C">
        <w:rPr>
          <w:rFonts w:eastAsiaTheme="majorEastAsia" w:cstheme="minorBidi"/>
          <w:color w:val="000000"/>
          <w:spacing w:val="3"/>
          <w:w w:val="61"/>
          <w:shd w:val="solid" w:color="000000" w:fill="000000"/>
          <w:fitText w:val="475" w:id="-628958969"/>
          <w14:textFill>
            <w14:solidFill>
              <w14:srgbClr w14:val="000000">
                <w14:alpha w14:val="100000"/>
              </w14:srgbClr>
            </w14:solidFill>
          </w14:textFill>
        </w:rPr>
        <w:t>|</w:t>
      </w:r>
      <w:r w:rsidR="00107100" w:rsidRPr="6A7C443A">
        <w:rPr>
          <w:rFonts w:eastAsiaTheme="majorEastAsia" w:cstheme="minorBidi"/>
        </w:rPr>
        <w:t xml:space="preserve"> months), as patients were allowed to remain on treatment post-progression. </w:t>
      </w:r>
      <w:r w:rsidR="002A5208" w:rsidRPr="6A7C443A">
        <w:rPr>
          <w:rFonts w:cstheme="minorBidi"/>
        </w:rPr>
        <w:t>However, the evaluation noted that in</w:t>
      </w:r>
      <w:r w:rsidR="001E1667" w:rsidRPr="6A7C443A">
        <w:rPr>
          <w:rFonts w:cstheme="minorBidi"/>
        </w:rPr>
        <w:t xml:space="preserve"> the proposed restriction, the</w:t>
      </w:r>
      <w:r w:rsidR="00681E26" w:rsidRPr="6A7C443A">
        <w:rPr>
          <w:rFonts w:cstheme="minorBidi"/>
        </w:rPr>
        <w:t xml:space="preserve"> only</w:t>
      </w:r>
      <w:r w:rsidR="001E1667" w:rsidRPr="6A7C443A">
        <w:rPr>
          <w:rFonts w:cstheme="minorBidi"/>
        </w:rPr>
        <w:t xml:space="preserve"> stopping rule</w:t>
      </w:r>
      <w:r w:rsidR="00681E26" w:rsidRPr="6A7C443A">
        <w:rPr>
          <w:rFonts w:cstheme="minorBidi"/>
        </w:rPr>
        <w:t>s</w:t>
      </w:r>
      <w:r w:rsidR="001E1667" w:rsidRPr="6A7C443A">
        <w:rPr>
          <w:rFonts w:cstheme="minorBidi"/>
        </w:rPr>
        <w:t xml:space="preserve"> for osimertinib treatment</w:t>
      </w:r>
      <w:r w:rsidR="00681E26" w:rsidRPr="6A7C443A">
        <w:rPr>
          <w:rFonts w:cstheme="minorBidi"/>
        </w:rPr>
        <w:t xml:space="preserve"> are </w:t>
      </w:r>
      <w:r w:rsidR="001E1667" w:rsidRPr="00E63603">
        <w:rPr>
          <w:rFonts w:ascii="Calibri" w:hAnsi="Calibri"/>
        </w:rPr>
        <w:t xml:space="preserve">disease progression or unacceptable toxicity. </w:t>
      </w:r>
      <w:r w:rsidR="00B27C69" w:rsidRPr="00AA0D6C">
        <w:t>There is</w:t>
      </w:r>
      <w:r w:rsidR="00B27C69" w:rsidRPr="009745EA">
        <w:t xml:space="preserve"> no confirmed OS data to inform the optimal duration of treatment for osimertinib, and there is a risk of extended use of osimertinib in this setting. The LAURA trial suggested a decline in PFS between 36 and 48 months, implying treatment may need to be continued for at least 4 years (Nozaki 2024</w:t>
      </w:r>
      <w:r w:rsidR="00B27C69" w:rsidRPr="6A7C443A">
        <w:rPr>
          <w:rFonts w:cstheme="minorBidi"/>
          <w:vertAlign w:val="superscript"/>
        </w:rPr>
        <w:footnoteReference w:id="20"/>
      </w:r>
      <w:r w:rsidR="00B27C69" w:rsidRPr="009745EA">
        <w:t>). The</w:t>
      </w:r>
      <w:r w:rsidR="00DE28A8">
        <w:t xml:space="preserve"> ESC noted that the </w:t>
      </w:r>
      <w:r w:rsidR="00B27C69" w:rsidRPr="009745EA">
        <w:t xml:space="preserve">ICER was sensitive to the duration of osimertinib treatment. If assuming the mean duration of treatment to be </w:t>
      </w:r>
      <w:r w:rsidR="00B50819" w:rsidRPr="002B736C">
        <w:rPr>
          <w:color w:val="000000"/>
          <w:spacing w:val="6"/>
          <w:w w:val="59"/>
          <w:shd w:val="solid" w:color="000000" w:fill="000000"/>
          <w:fitText w:val="460" w:id="-628958968"/>
          <w14:textFill>
            <w14:solidFill>
              <w14:srgbClr w14:val="000000">
                <w14:alpha w14:val="100000"/>
              </w14:srgbClr>
            </w14:solidFill>
          </w14:textFill>
        </w:rPr>
        <w:t>|||</w:t>
      </w:r>
      <w:r w:rsidR="002B736C" w:rsidRPr="002B736C">
        <w:rPr>
          <w:color w:val="000000"/>
          <w:spacing w:val="6"/>
          <w:w w:val="59"/>
          <w:shd w:val="solid" w:color="000000" w:fill="000000"/>
          <w:fitText w:val="460" w:id="-628958968"/>
          <w14:textFill>
            <w14:solidFill>
              <w14:srgbClr w14:val="000000">
                <w14:alpha w14:val="100000"/>
              </w14:srgbClr>
            </w14:solidFill>
          </w14:textFill>
        </w:rPr>
        <w:t xml:space="preserve"> </w:t>
      </w:r>
      <w:r w:rsidR="00B50819" w:rsidRPr="002B736C">
        <w:rPr>
          <w:color w:val="000000"/>
          <w:spacing w:val="6"/>
          <w:w w:val="59"/>
          <w:shd w:val="solid" w:color="000000" w:fill="000000"/>
          <w:fitText w:val="460" w:id="-628958968"/>
          <w14:textFill>
            <w14:solidFill>
              <w14:srgbClr w14:val="000000">
                <w14:alpha w14:val="100000"/>
              </w14:srgbClr>
            </w14:solidFill>
          </w14:textFill>
        </w:rPr>
        <w:t>||</w:t>
      </w:r>
      <w:r w:rsidR="00B50819" w:rsidRPr="002B736C">
        <w:rPr>
          <w:color w:val="000000"/>
          <w:spacing w:val="2"/>
          <w:w w:val="59"/>
          <w:shd w:val="solid" w:color="000000" w:fill="000000"/>
          <w:fitText w:val="460" w:id="-628958968"/>
          <w14:textFill>
            <w14:solidFill>
              <w14:srgbClr w14:val="000000">
                <w14:alpha w14:val="100000"/>
              </w14:srgbClr>
            </w14:solidFill>
          </w14:textFill>
        </w:rPr>
        <w:t>|</w:t>
      </w:r>
      <w:r w:rsidR="00B27C69" w:rsidRPr="009745EA">
        <w:t xml:space="preserve"> months (</w:t>
      </w:r>
      <w:r w:rsidR="00B50819" w:rsidRPr="002B736C">
        <w:rPr>
          <w:color w:val="000000"/>
          <w:spacing w:val="6"/>
          <w:w w:val="61"/>
          <w:shd w:val="solid" w:color="000000" w:fill="000000"/>
          <w:fitText w:val="475" w:id="-628958967"/>
          <w14:textFill>
            <w14:solidFill>
              <w14:srgbClr w14:val="000000">
                <w14:alpha w14:val="100000"/>
              </w14:srgbClr>
            </w14:solidFill>
          </w14:textFill>
        </w:rPr>
        <w:t>|||</w:t>
      </w:r>
      <w:r w:rsidR="002B736C" w:rsidRPr="002B736C">
        <w:rPr>
          <w:color w:val="000000"/>
          <w:spacing w:val="6"/>
          <w:w w:val="61"/>
          <w:shd w:val="solid" w:color="000000" w:fill="000000"/>
          <w:fitText w:val="475" w:id="-628958967"/>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967"/>
          <w14:textFill>
            <w14:solidFill>
              <w14:srgbClr w14:val="000000">
                <w14:alpha w14:val="100000"/>
              </w14:srgbClr>
            </w14:solidFill>
          </w14:textFill>
        </w:rPr>
        <w:t>||</w:t>
      </w:r>
      <w:r w:rsidR="00B50819" w:rsidRPr="002B736C">
        <w:rPr>
          <w:color w:val="000000"/>
          <w:spacing w:val="3"/>
          <w:w w:val="61"/>
          <w:shd w:val="solid" w:color="000000" w:fill="000000"/>
          <w:fitText w:val="475" w:id="-628958967"/>
          <w14:textFill>
            <w14:solidFill>
              <w14:srgbClr w14:val="000000">
                <w14:alpha w14:val="100000"/>
              </w14:srgbClr>
            </w14:solidFill>
          </w14:textFill>
        </w:rPr>
        <w:t>|</w:t>
      </w:r>
      <w:r w:rsidR="00B27C69" w:rsidRPr="009745EA">
        <w:t xml:space="preserve"> years), derived by setting the maximum duration of osimertinib treatment to be the entire model time horizon of 10 years, the ICER increased to $</w:t>
      </w:r>
      <w:r w:rsidR="00D209EC">
        <w:t>75,000 to &lt; $95,000</w:t>
      </w:r>
      <w:r w:rsidR="00B27C69" w:rsidRPr="009745EA">
        <w:t>/QALY from a base case of $</w:t>
      </w:r>
      <w:r w:rsidR="00D209EC">
        <w:t>55,000 to &lt; $75,000</w:t>
      </w:r>
      <w:r w:rsidR="00B27C69" w:rsidRPr="009745EA">
        <w:t xml:space="preserve">/QALY gained. </w:t>
      </w:r>
      <w:r w:rsidR="002048B9" w:rsidRPr="00955EA2">
        <w:t xml:space="preserve">The PSCR stated that </w:t>
      </w:r>
      <w:r w:rsidR="002F3002" w:rsidRPr="00955EA2">
        <w:t>duration of treatment</w:t>
      </w:r>
      <w:r w:rsidR="00C358C9" w:rsidRPr="00955EA2">
        <w:t xml:space="preserve"> (</w:t>
      </w:r>
      <w:r w:rsidR="00B50819" w:rsidRPr="002B736C">
        <w:rPr>
          <w:color w:val="000000"/>
          <w:spacing w:val="6"/>
          <w:w w:val="61"/>
          <w:shd w:val="solid" w:color="000000" w:fill="000000"/>
          <w:fitText w:val="475" w:id="-628958966"/>
          <w14:textFill>
            <w14:solidFill>
              <w14:srgbClr w14:val="000000">
                <w14:alpha w14:val="100000"/>
              </w14:srgbClr>
            </w14:solidFill>
          </w14:textFill>
        </w:rPr>
        <w:t>|||</w:t>
      </w:r>
      <w:r w:rsidR="002B736C" w:rsidRPr="002B736C">
        <w:rPr>
          <w:color w:val="000000"/>
          <w:spacing w:val="6"/>
          <w:w w:val="61"/>
          <w:shd w:val="solid" w:color="000000" w:fill="000000"/>
          <w:fitText w:val="475" w:id="-628958966"/>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966"/>
          <w14:textFill>
            <w14:solidFill>
              <w14:srgbClr w14:val="000000">
                <w14:alpha w14:val="100000"/>
              </w14:srgbClr>
            </w14:solidFill>
          </w14:textFill>
        </w:rPr>
        <w:t>||</w:t>
      </w:r>
      <w:r w:rsidR="00B50819" w:rsidRPr="002B736C">
        <w:rPr>
          <w:color w:val="000000"/>
          <w:spacing w:val="3"/>
          <w:w w:val="61"/>
          <w:shd w:val="solid" w:color="000000" w:fill="000000"/>
          <w:fitText w:val="475" w:id="-628958966"/>
          <w14:textFill>
            <w14:solidFill>
              <w14:srgbClr w14:val="000000">
                <w14:alpha w14:val="100000"/>
              </w14:srgbClr>
            </w14:solidFill>
          </w14:textFill>
        </w:rPr>
        <w:t>|</w:t>
      </w:r>
      <w:r w:rsidR="00C358C9" w:rsidRPr="00955EA2">
        <w:t xml:space="preserve"> months)</w:t>
      </w:r>
      <w:r w:rsidR="002F3002" w:rsidRPr="00955EA2">
        <w:t xml:space="preserve"> should be limited by PFS because (i) the proposed restriction </w:t>
      </w:r>
      <w:r w:rsidR="00CF27AE" w:rsidRPr="00955EA2">
        <w:t xml:space="preserve">does not allow treatment beyond disease progression; (ii) </w:t>
      </w:r>
      <w:r w:rsidR="00CC0DC1" w:rsidRPr="00955EA2">
        <w:t>median TTD in the LAURA trial</w:t>
      </w:r>
      <w:r w:rsidR="00704AF7" w:rsidRPr="00955EA2">
        <w:t xml:space="preserve"> was only slightly longer (</w:t>
      </w:r>
      <w:r w:rsidR="00B50819" w:rsidRPr="002B736C">
        <w:rPr>
          <w:color w:val="000000"/>
          <w:spacing w:val="6"/>
          <w:w w:val="59"/>
          <w:shd w:val="solid" w:color="000000" w:fill="000000"/>
          <w:fitText w:val="460" w:id="-628958965"/>
          <w14:textFill>
            <w14:solidFill>
              <w14:srgbClr w14:val="000000">
                <w14:alpha w14:val="100000"/>
              </w14:srgbClr>
            </w14:solidFill>
          </w14:textFill>
        </w:rPr>
        <w:t>|||</w:t>
      </w:r>
      <w:r w:rsidR="002B736C" w:rsidRPr="002B736C">
        <w:rPr>
          <w:color w:val="000000"/>
          <w:spacing w:val="6"/>
          <w:w w:val="59"/>
          <w:shd w:val="solid" w:color="000000" w:fill="000000"/>
          <w:fitText w:val="460" w:id="-628958965"/>
          <w14:textFill>
            <w14:solidFill>
              <w14:srgbClr w14:val="000000">
                <w14:alpha w14:val="100000"/>
              </w14:srgbClr>
            </w14:solidFill>
          </w14:textFill>
        </w:rPr>
        <w:t xml:space="preserve"> </w:t>
      </w:r>
      <w:r w:rsidR="00B50819" w:rsidRPr="002B736C">
        <w:rPr>
          <w:color w:val="000000"/>
          <w:spacing w:val="6"/>
          <w:w w:val="59"/>
          <w:shd w:val="solid" w:color="000000" w:fill="000000"/>
          <w:fitText w:val="460" w:id="-628958965"/>
          <w14:textFill>
            <w14:solidFill>
              <w14:srgbClr w14:val="000000">
                <w14:alpha w14:val="100000"/>
              </w14:srgbClr>
            </w14:solidFill>
          </w14:textFill>
        </w:rPr>
        <w:t>||</w:t>
      </w:r>
      <w:r w:rsidR="00B50819" w:rsidRPr="002B736C">
        <w:rPr>
          <w:color w:val="000000"/>
          <w:spacing w:val="2"/>
          <w:w w:val="59"/>
          <w:shd w:val="solid" w:color="000000" w:fill="000000"/>
          <w:fitText w:val="460" w:id="-628958965"/>
          <w14:textFill>
            <w14:solidFill>
              <w14:srgbClr w14:val="000000">
                <w14:alpha w14:val="100000"/>
              </w14:srgbClr>
            </w14:solidFill>
          </w14:textFill>
        </w:rPr>
        <w:t>|</w:t>
      </w:r>
      <w:r w:rsidR="00704AF7" w:rsidRPr="00955EA2">
        <w:t xml:space="preserve"> months) than median PFS (39.1 months</w:t>
      </w:r>
      <w:r w:rsidR="008E3E7D" w:rsidRPr="00955EA2">
        <w:t>)</w:t>
      </w:r>
      <w:r w:rsidR="00625B23" w:rsidRPr="00955EA2">
        <w:t>, despite</w:t>
      </w:r>
      <w:r w:rsidR="00E74DB5" w:rsidRPr="00955EA2">
        <w:t xml:space="preserve"> osimertinib</w:t>
      </w:r>
      <w:r w:rsidR="00625B23" w:rsidRPr="00955EA2">
        <w:t xml:space="preserve"> patients in LAURA being able to remain on treatment</w:t>
      </w:r>
      <w:r w:rsidR="00E74DB5" w:rsidRPr="00955EA2">
        <w:t xml:space="preserve"> after progression</w:t>
      </w:r>
      <w:r w:rsidR="001E30CF" w:rsidRPr="00955EA2">
        <w:t>, with the median values being close once</w:t>
      </w:r>
      <w:r w:rsidR="0029126A" w:rsidRPr="00955EA2">
        <w:t xml:space="preserve"> treatment interruptions are considered</w:t>
      </w:r>
      <w:r w:rsidR="00E74DB5" w:rsidRPr="00955EA2">
        <w:t xml:space="preserve">; </w:t>
      </w:r>
      <w:r w:rsidR="000E397D" w:rsidRPr="00955EA2">
        <w:t>(ii</w:t>
      </w:r>
      <w:r w:rsidR="0080767C" w:rsidRPr="00955EA2">
        <w:t>i</w:t>
      </w:r>
      <w:r w:rsidR="000E397D" w:rsidRPr="00955EA2">
        <w:t xml:space="preserve">) </w:t>
      </w:r>
      <w:r w:rsidR="00E13F7C" w:rsidRPr="00955EA2">
        <w:t xml:space="preserve">a RSA will cover the financial risk </w:t>
      </w:r>
      <w:r w:rsidR="0024397E" w:rsidRPr="00955EA2">
        <w:t xml:space="preserve">if </w:t>
      </w:r>
      <w:r w:rsidR="000E397D" w:rsidRPr="00955EA2">
        <w:t xml:space="preserve">the duration of </w:t>
      </w:r>
      <w:r w:rsidR="0024397E" w:rsidRPr="00955EA2">
        <w:t>treatment</w:t>
      </w:r>
      <w:r w:rsidR="002D51F6" w:rsidRPr="00955EA2">
        <w:t xml:space="preserve"> is longer than the proposed </w:t>
      </w:r>
      <w:r w:rsidR="00B50819" w:rsidRPr="002B736C">
        <w:rPr>
          <w:color w:val="000000"/>
          <w:spacing w:val="6"/>
          <w:w w:val="61"/>
          <w:shd w:val="solid" w:color="000000" w:fill="000000"/>
          <w:fitText w:val="475" w:id="-628958964"/>
          <w14:textFill>
            <w14:solidFill>
              <w14:srgbClr w14:val="000000">
                <w14:alpha w14:val="100000"/>
              </w14:srgbClr>
            </w14:solidFill>
          </w14:textFill>
        </w:rPr>
        <w:t>|||</w:t>
      </w:r>
      <w:r w:rsidR="002B736C" w:rsidRPr="002B736C">
        <w:rPr>
          <w:color w:val="000000"/>
          <w:spacing w:val="6"/>
          <w:w w:val="61"/>
          <w:shd w:val="solid" w:color="000000" w:fill="000000"/>
          <w:fitText w:val="475" w:id="-628958964"/>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964"/>
          <w14:textFill>
            <w14:solidFill>
              <w14:srgbClr w14:val="000000">
                <w14:alpha w14:val="100000"/>
              </w14:srgbClr>
            </w14:solidFill>
          </w14:textFill>
        </w:rPr>
        <w:t>||</w:t>
      </w:r>
      <w:r w:rsidR="00B50819" w:rsidRPr="002B736C">
        <w:rPr>
          <w:color w:val="000000"/>
          <w:spacing w:val="3"/>
          <w:w w:val="61"/>
          <w:shd w:val="solid" w:color="000000" w:fill="000000"/>
          <w:fitText w:val="475" w:id="-628958964"/>
          <w14:textFill>
            <w14:solidFill>
              <w14:srgbClr w14:val="000000">
                <w14:alpha w14:val="100000"/>
              </w14:srgbClr>
            </w14:solidFill>
          </w14:textFill>
        </w:rPr>
        <w:t>|</w:t>
      </w:r>
      <w:r w:rsidR="002D51F6" w:rsidRPr="00955EA2">
        <w:t>months.</w:t>
      </w:r>
      <w:bookmarkEnd w:id="72"/>
      <w:r w:rsidR="00F66154">
        <w:t xml:space="preserve"> </w:t>
      </w:r>
    </w:p>
    <w:p w14:paraId="56CAFCF6" w14:textId="72581537" w:rsidR="00800DEF" w:rsidRDefault="00A103FC" w:rsidP="00A12328">
      <w:pPr>
        <w:pStyle w:val="3-BodyText"/>
      </w:pPr>
      <w:bookmarkStart w:id="73" w:name="_Ref204591072"/>
      <w:r>
        <w:rPr>
          <w:szCs w:val="20"/>
        </w:rPr>
        <w:t>Fixed</w:t>
      </w:r>
      <w:r w:rsidR="009745EA" w:rsidRPr="009745EA">
        <w:rPr>
          <w:szCs w:val="20"/>
        </w:rPr>
        <w:t xml:space="preserve"> one-off cost</w:t>
      </w:r>
      <w:r>
        <w:rPr>
          <w:szCs w:val="20"/>
        </w:rPr>
        <w:t>s</w:t>
      </w:r>
      <w:r w:rsidR="009745EA" w:rsidRPr="009745EA">
        <w:rPr>
          <w:szCs w:val="20"/>
        </w:rPr>
        <w:t xml:space="preserve"> </w:t>
      </w:r>
      <w:r>
        <w:rPr>
          <w:szCs w:val="20"/>
        </w:rPr>
        <w:t>for</w:t>
      </w:r>
      <w:r w:rsidR="009745EA" w:rsidRPr="009745EA">
        <w:rPr>
          <w:szCs w:val="20"/>
        </w:rPr>
        <w:t xml:space="preserve"> subsequent treatments </w:t>
      </w:r>
      <w:r w:rsidR="004335A9">
        <w:rPr>
          <w:szCs w:val="20"/>
        </w:rPr>
        <w:t>were</w:t>
      </w:r>
      <w:r w:rsidR="004335A9" w:rsidRPr="009745EA">
        <w:rPr>
          <w:szCs w:val="20"/>
        </w:rPr>
        <w:t xml:space="preserve"> </w:t>
      </w:r>
      <w:r w:rsidR="009745EA" w:rsidRPr="009745EA">
        <w:rPr>
          <w:szCs w:val="20"/>
        </w:rPr>
        <w:t xml:space="preserve">applied to the proportion of patients </w:t>
      </w:r>
      <w:r w:rsidR="00F43E4E">
        <w:rPr>
          <w:szCs w:val="20"/>
        </w:rPr>
        <w:t xml:space="preserve">transitioning to PD </w:t>
      </w:r>
      <w:r w:rsidR="009745EA" w:rsidRPr="009745EA">
        <w:rPr>
          <w:szCs w:val="20"/>
        </w:rPr>
        <w:t xml:space="preserve">each cycle. </w:t>
      </w:r>
      <w:r w:rsidR="009745EA" w:rsidRPr="009745EA">
        <w:rPr>
          <w:rFonts w:cstheme="minorHAnsi"/>
        </w:rPr>
        <w:t xml:space="preserve">The use of subsequent treatments in each arm of the model was based on subsequent anti-cancer therapies </w:t>
      </w:r>
      <w:r w:rsidR="00DD72A8" w:rsidRPr="00955EA2">
        <w:rPr>
          <w:rFonts w:cstheme="minorHAnsi"/>
        </w:rPr>
        <w:t>used in the</w:t>
      </w:r>
      <w:r w:rsidR="009745EA" w:rsidRPr="00955EA2">
        <w:rPr>
          <w:rFonts w:cstheme="minorHAnsi"/>
        </w:rPr>
        <w:t xml:space="preserve"> LAURA</w:t>
      </w:r>
      <w:r w:rsidR="00DD72A8" w:rsidRPr="00955EA2">
        <w:rPr>
          <w:rFonts w:cstheme="minorHAnsi"/>
        </w:rPr>
        <w:t xml:space="preserve"> trial</w:t>
      </w:r>
      <w:r w:rsidR="009745EA" w:rsidRPr="00955EA2">
        <w:rPr>
          <w:rFonts w:cstheme="minorHAnsi"/>
        </w:rPr>
        <w:t>.</w:t>
      </w:r>
      <w:r w:rsidR="009745EA" w:rsidRPr="009745EA">
        <w:rPr>
          <w:rFonts w:cstheme="minorHAnsi"/>
        </w:rPr>
        <w:t xml:space="preserve"> </w:t>
      </w:r>
      <w:r w:rsidR="009745EA" w:rsidRPr="009745EA">
        <w:t xml:space="preserve">The model assumed 0% of patients in the osimertinib arm would use subsequent </w:t>
      </w:r>
      <w:r w:rsidR="00C45A6D" w:rsidRPr="00C45A6D">
        <w:rPr>
          <w:i/>
        </w:rPr>
        <w:t>EGFR</w:t>
      </w:r>
      <w:r w:rsidR="009745EA" w:rsidRPr="009745EA">
        <w:t xml:space="preserve">-TKI / osimertinib post-progression, based on </w:t>
      </w:r>
      <w:r w:rsidR="003032F3">
        <w:t xml:space="preserve">current </w:t>
      </w:r>
      <w:r w:rsidR="009745EA" w:rsidRPr="009745EA">
        <w:t xml:space="preserve">PBS restrictions. </w:t>
      </w:r>
      <w:r w:rsidR="009745EA" w:rsidRPr="00F466A7">
        <w:t xml:space="preserve">However, the model did not consider that the proportion of patients in the osimertinib arm who went on to subsequent </w:t>
      </w:r>
      <w:r w:rsidR="00C45A6D" w:rsidRPr="00C45A6D">
        <w:rPr>
          <w:i/>
        </w:rPr>
        <w:t>EGFR</w:t>
      </w:r>
      <w:r w:rsidR="009745EA" w:rsidRPr="00F466A7">
        <w:t>-TKI in the trial</w:t>
      </w:r>
      <w:r w:rsidR="002B736C">
        <w:t xml:space="preserve"> </w:t>
      </w:r>
      <w:r w:rsidR="002B2C74">
        <w:t>(</w:t>
      </w:r>
      <w:r w:rsidR="009745EA" w:rsidRPr="00F466A7">
        <w:t>28/143 (19.6%) of patients in the FAS or 28/63 (44.4%) of patients who discontinued</w:t>
      </w:r>
      <w:r w:rsidR="002B2C74">
        <w:t>)</w:t>
      </w:r>
      <w:r w:rsidR="009745EA" w:rsidRPr="00F466A7">
        <w:t xml:space="preserve"> </w:t>
      </w:r>
      <w:r w:rsidR="0075598D" w:rsidRPr="00F466A7">
        <w:t xml:space="preserve">would </w:t>
      </w:r>
      <w:r w:rsidR="009745EA" w:rsidRPr="00F466A7">
        <w:t xml:space="preserve">in practice, </w:t>
      </w:r>
      <w:r w:rsidR="000C1889" w:rsidRPr="00F466A7">
        <w:t xml:space="preserve">likely </w:t>
      </w:r>
      <w:r w:rsidR="009745EA" w:rsidRPr="00F466A7">
        <w:t>receive other effective therapies such as atezolizumab, bevacizumab in combination with platinum doublet chemotherapy</w:t>
      </w:r>
      <w:r w:rsidR="00F91A95" w:rsidRPr="00F466A7">
        <w:t xml:space="preserve"> (ABCP</w:t>
      </w:r>
      <w:r w:rsidR="009745EA" w:rsidRPr="00F466A7">
        <w:t>)</w:t>
      </w:r>
      <w:r w:rsidR="000879D4" w:rsidRPr="00F466A7">
        <w:t xml:space="preserve"> </w:t>
      </w:r>
      <w:r w:rsidR="00CC1C4E">
        <w:t>(</w:t>
      </w:r>
      <w:r w:rsidR="000879D4" w:rsidRPr="00F466A7">
        <w:fldChar w:fldCharType="begin"/>
      </w:r>
      <w:r w:rsidR="000879D4" w:rsidRPr="00F466A7">
        <w:instrText xml:space="preserve"> REF _Ref198624600 \h  \* MERGEFORMAT </w:instrText>
      </w:r>
      <w:r w:rsidR="000879D4" w:rsidRPr="00F466A7">
        <w:fldChar w:fldCharType="separate"/>
      </w:r>
      <w:r w:rsidR="009F3D59">
        <w:t xml:space="preserve">Table </w:t>
      </w:r>
      <w:r w:rsidR="009F3D59">
        <w:rPr>
          <w:noProof/>
        </w:rPr>
        <w:t>4</w:t>
      </w:r>
      <w:r w:rsidR="000879D4" w:rsidRPr="00F466A7">
        <w:fldChar w:fldCharType="end"/>
      </w:r>
      <w:r w:rsidR="00CC1C4E">
        <w:t>)</w:t>
      </w:r>
      <w:r w:rsidR="009745EA" w:rsidRPr="00F466A7">
        <w:t>.</w:t>
      </w:r>
      <w:r w:rsidR="00CD2E6A">
        <w:t xml:space="preserve"> </w:t>
      </w:r>
      <w:r w:rsidR="00CD2E6A" w:rsidRPr="00955EA2">
        <w:t>Instead</w:t>
      </w:r>
      <w:r w:rsidR="001E72EF" w:rsidRPr="00955EA2">
        <w:t>, these patients were assumed to receive no other treatment.</w:t>
      </w:r>
      <w:r w:rsidR="009745EA" w:rsidRPr="00F466A7">
        <w:t xml:space="preserve"> </w:t>
      </w:r>
      <w:r w:rsidR="001E72EF">
        <w:t>O</w:t>
      </w:r>
      <w:r w:rsidR="009745EA" w:rsidRPr="00F466A7">
        <w:t>nly those who received a subsequent VEGF inhibitor in</w:t>
      </w:r>
      <w:r w:rsidR="00C67942">
        <w:t xml:space="preserve"> the</w:t>
      </w:r>
      <w:r w:rsidR="009745EA" w:rsidRPr="00F466A7">
        <w:t xml:space="preserve"> LAURA</w:t>
      </w:r>
      <w:r w:rsidR="00C67942">
        <w:t xml:space="preserve"> trial</w:t>
      </w:r>
      <w:r w:rsidR="009745EA" w:rsidRPr="00F466A7">
        <w:t xml:space="preserve"> (8/143</w:t>
      </w:r>
      <w:r w:rsidR="009338A3">
        <w:t xml:space="preserve"> </w:t>
      </w:r>
      <w:r w:rsidR="00FA556B">
        <w:t>[</w:t>
      </w:r>
      <w:r w:rsidR="009338A3">
        <w:t>5.6%</w:t>
      </w:r>
      <w:r w:rsidR="00FA556B">
        <w:t>]</w:t>
      </w:r>
      <w:r w:rsidR="009745EA" w:rsidRPr="00F466A7">
        <w:t xml:space="preserve"> patients in the FAS or 8/63</w:t>
      </w:r>
      <w:r w:rsidR="009338A3">
        <w:t xml:space="preserve"> </w:t>
      </w:r>
      <w:r w:rsidR="00FA556B">
        <w:t>[</w:t>
      </w:r>
      <w:r w:rsidR="009338A3">
        <w:t>12.7%</w:t>
      </w:r>
      <w:r w:rsidR="00FA556B">
        <w:t>]</w:t>
      </w:r>
      <w:r w:rsidR="00FB41C8">
        <w:t xml:space="preserve"> of</w:t>
      </w:r>
      <w:r w:rsidR="009745EA" w:rsidRPr="00F466A7">
        <w:t xml:space="preserve"> patients who discontinued treatment) were assumed to receive ABCP in the base case. If those who received subsequent </w:t>
      </w:r>
      <w:r w:rsidR="00C45A6D" w:rsidRPr="00C45A6D">
        <w:rPr>
          <w:i/>
        </w:rPr>
        <w:t>EGFR</w:t>
      </w:r>
      <w:r w:rsidR="009745EA" w:rsidRPr="00F466A7">
        <w:t xml:space="preserve">-TKI in LAURA were assumed to instead receive ABCP, as that would be most likely in Australian clinical practice, this </w:t>
      </w:r>
      <w:r w:rsidR="001E3081" w:rsidRPr="00F466A7">
        <w:t xml:space="preserve">percentage </w:t>
      </w:r>
      <w:r w:rsidR="009745EA" w:rsidRPr="00F466A7">
        <w:t xml:space="preserve">would increase to 57.1% of those who discontinued treatment (i.e., </w:t>
      </w:r>
      <w:r w:rsidR="000A70AD" w:rsidRPr="00955EA2">
        <w:t xml:space="preserve">28 </w:t>
      </w:r>
      <w:r w:rsidR="002A0D9F" w:rsidRPr="00955EA2">
        <w:t>+</w:t>
      </w:r>
      <w:r w:rsidR="000A70AD" w:rsidRPr="00955EA2">
        <w:t xml:space="preserve"> </w:t>
      </w:r>
      <w:r w:rsidR="002A0D9F" w:rsidRPr="00955EA2">
        <w:t xml:space="preserve">8 = </w:t>
      </w:r>
      <w:r w:rsidR="009745EA" w:rsidRPr="00955EA2">
        <w:t>36</w:t>
      </w:r>
      <w:r w:rsidR="002A0D9F" w:rsidRPr="00955EA2">
        <w:t>/</w:t>
      </w:r>
      <w:r w:rsidR="009745EA" w:rsidRPr="00955EA2">
        <w:t>63).</w:t>
      </w:r>
      <w:r w:rsidR="009745EA" w:rsidRPr="00F466A7">
        <w:t xml:space="preserve"> </w:t>
      </w:r>
      <w:r w:rsidR="00AF12FC" w:rsidRPr="00955EA2">
        <w:t xml:space="preserve">In the placebo arm, </w:t>
      </w:r>
      <w:r w:rsidR="00C8531C">
        <w:t xml:space="preserve">the evaluation considered that </w:t>
      </w:r>
      <w:r w:rsidR="00AF12FC" w:rsidRPr="00955EA2">
        <w:t>it was reasonable to assume that patients who progressed on placebo would initiate osimertinib (86.4%).</w:t>
      </w:r>
      <w:r w:rsidR="00AF12FC">
        <w:rPr>
          <w:i/>
          <w:iCs/>
        </w:rPr>
        <w:t xml:space="preserve"> </w:t>
      </w:r>
      <w:r w:rsidR="00CF486E" w:rsidRPr="00F466A7">
        <w:t xml:space="preserve">Assuming all osimertinib patients who used subsequent </w:t>
      </w:r>
      <w:r w:rsidR="00C45A6D" w:rsidRPr="00C45A6D">
        <w:rPr>
          <w:i/>
        </w:rPr>
        <w:t>EGFR</w:t>
      </w:r>
      <w:r w:rsidR="00CF486E" w:rsidRPr="00F466A7">
        <w:t>-TKI in the LAURA trial used subsequent ABCP post-progression and applying proportions who discontinued and who used subsequent treatments, increased the ICER to $</w:t>
      </w:r>
      <w:r w:rsidR="00530C60">
        <w:t>75,000 to &lt; $95,000</w:t>
      </w:r>
      <w:r w:rsidR="00CF486E" w:rsidRPr="00F466A7">
        <w:t>/QALY, from a base case of $</w:t>
      </w:r>
      <w:r w:rsidR="00530C60">
        <w:t>50,000 to &lt; $75,000</w:t>
      </w:r>
      <w:r w:rsidR="00CF486E" w:rsidRPr="00F466A7">
        <w:t xml:space="preserve">/QALY gained. </w:t>
      </w:r>
      <w:r w:rsidR="00800DEF" w:rsidRPr="00955EA2">
        <w:t>The PSCR presented an alternative sensitivity analysis that appeared to assume subsequent treatment use was estimated as a proportion of the FAS for both arms of the model rather than as a proportion of those who discontinued treatment. This may not be appropriate, since subsequent treatment costs in the model were applied to newly progressed patients each cycle. The PSCR also stated that the use of treatment waning HR (assuming loss of treatment effect for osimertinib over time) negates the need to include ABCP costs for the 19.6% of patients in the LAURA trial who used osimertinib post-progression.</w:t>
      </w:r>
      <w:bookmarkEnd w:id="73"/>
    </w:p>
    <w:p w14:paraId="53CB6E78" w14:textId="3CD08A19" w:rsidR="00FD463C" w:rsidRDefault="00572512" w:rsidP="00A12328">
      <w:pPr>
        <w:pStyle w:val="3-BodyText"/>
      </w:pPr>
      <w:r w:rsidRPr="00955EA2">
        <w:t xml:space="preserve">The ESC considered there was uncertainty related to whether the trial accurately represented the Australian population in terms of placebo. The ESC considered that the percentage of patients who would receive subsequent ABCP post progression would likely be less than 57.1% and considered an assumption of approximately </w:t>
      </w:r>
      <w:r w:rsidR="00A9586F" w:rsidRPr="00955EA2">
        <w:t>30</w:t>
      </w:r>
      <w:r w:rsidR="00A9586F" w:rsidRPr="00955EA2">
        <w:rPr>
          <w:rFonts w:cstheme="minorHAnsi"/>
        </w:rPr>
        <w:t>−</w:t>
      </w:r>
      <w:r w:rsidR="00A9586F" w:rsidRPr="00955EA2">
        <w:t>35% may be more appropriate (resulting ICER = $</w:t>
      </w:r>
      <w:r w:rsidR="00824199">
        <w:t>55,000 to &lt; $75,000</w:t>
      </w:r>
      <w:r w:rsidR="00A9586F" w:rsidRPr="00955EA2">
        <w:rPr>
          <w:rFonts w:cstheme="minorHAnsi"/>
        </w:rPr>
        <w:t>/QALY)</w:t>
      </w:r>
      <w:r w:rsidR="00A9586F" w:rsidRPr="00955EA2">
        <w:t>.</w:t>
      </w:r>
      <w:r w:rsidR="002A3DF1">
        <w:t xml:space="preserve"> </w:t>
      </w:r>
    </w:p>
    <w:p w14:paraId="0CE6A7AB" w14:textId="5C765329" w:rsidR="00AA1C0B" w:rsidRPr="00955EA2" w:rsidRDefault="00FD463C" w:rsidP="00A12328">
      <w:pPr>
        <w:pStyle w:val="3-BodyText"/>
      </w:pPr>
      <w:bookmarkStart w:id="74" w:name="_Ref204353568"/>
      <w:r>
        <w:t>The Pre-PBAC response argued that the increased use of ABCP further reduces the likelihood of patients continuing osimertinib after disease progression</w:t>
      </w:r>
      <w:r w:rsidR="00852D27">
        <w:t xml:space="preserve"> and</w:t>
      </w:r>
      <w:r w:rsidR="00C9671B">
        <w:t xml:space="preserve"> </w:t>
      </w:r>
      <w:r w:rsidR="009067CC">
        <w:t>should not be included</w:t>
      </w:r>
      <w:r w:rsidR="00CE4C85">
        <w:t xml:space="preserve"> without</w:t>
      </w:r>
      <w:r w:rsidR="00871A17">
        <w:t xml:space="preserve"> </w:t>
      </w:r>
      <w:r w:rsidR="002314E6">
        <w:t>considering the likely</w:t>
      </w:r>
      <w:r w:rsidR="00063DEC">
        <w:t xml:space="preserve"> </w:t>
      </w:r>
      <w:r w:rsidR="005F1041">
        <w:t>additional</w:t>
      </w:r>
      <w:r w:rsidR="00063DEC">
        <w:t xml:space="preserve"> efficacy</w:t>
      </w:r>
      <w:r>
        <w:t xml:space="preserve">. </w:t>
      </w:r>
      <w:r w:rsidR="00B4720A" w:rsidRPr="6A7C443A">
        <w:rPr>
          <w:rFonts w:ascii="Calibri" w:eastAsia="Calibri" w:hAnsi="Calibri" w:cs="Calibri"/>
        </w:rPr>
        <w:t xml:space="preserve">The Response stated that the application of a treatment waning hazard ratio (as included in the submission base case) would no longer be suitable when projecting the likely impact of increased subsequent ABCP therapy. </w:t>
      </w:r>
      <w:r w:rsidR="00871FEC" w:rsidRPr="6A7C443A">
        <w:rPr>
          <w:rFonts w:ascii="Calibri" w:eastAsia="Calibri" w:hAnsi="Calibri" w:cs="Calibri"/>
        </w:rPr>
        <w:t>The</w:t>
      </w:r>
      <w:r w:rsidR="007258B4" w:rsidRPr="6A7C443A">
        <w:rPr>
          <w:rFonts w:ascii="Calibri" w:eastAsia="Calibri" w:hAnsi="Calibri" w:cs="Calibri"/>
        </w:rPr>
        <w:t xml:space="preserve"> pre-PBAC response </w:t>
      </w:r>
      <w:r w:rsidR="00871FEC" w:rsidRPr="6A7C443A">
        <w:rPr>
          <w:rFonts w:ascii="Calibri" w:eastAsia="Calibri" w:hAnsi="Calibri" w:cs="Calibri"/>
        </w:rPr>
        <w:t xml:space="preserve">argued that the </w:t>
      </w:r>
      <w:r w:rsidR="007E6906" w:rsidRPr="6A7C443A">
        <w:rPr>
          <w:rFonts w:ascii="Calibri" w:eastAsia="Calibri" w:hAnsi="Calibri" w:cs="Calibri"/>
        </w:rPr>
        <w:t xml:space="preserve">ICER of </w:t>
      </w:r>
      <w:r w:rsidR="007258B4" w:rsidRPr="6A7C443A">
        <w:rPr>
          <w:rFonts w:ascii="Calibri" w:eastAsia="Calibri" w:hAnsi="Calibri" w:cs="Calibri"/>
        </w:rPr>
        <w:t>$</w:t>
      </w:r>
      <w:r w:rsidR="00824199" w:rsidRPr="6A7C443A">
        <w:rPr>
          <w:rFonts w:ascii="Calibri" w:eastAsia="Calibri" w:hAnsi="Calibri" w:cs="Calibri"/>
        </w:rPr>
        <w:t>55,000 to &lt; $75,000</w:t>
      </w:r>
      <w:r w:rsidR="007E6906" w:rsidRPr="6A7C443A">
        <w:rPr>
          <w:rFonts w:ascii="Calibri" w:eastAsia="Calibri" w:hAnsi="Calibri" w:cs="Calibri"/>
        </w:rPr>
        <w:t xml:space="preserve"> (when assuming 30% subsequent ABCP use)</w:t>
      </w:r>
      <w:r w:rsidR="007258B4" w:rsidRPr="6A7C443A">
        <w:rPr>
          <w:rFonts w:ascii="Calibri" w:eastAsia="Calibri" w:hAnsi="Calibri" w:cs="Calibri"/>
        </w:rPr>
        <w:t xml:space="preserve"> </w:t>
      </w:r>
      <w:r w:rsidR="00DB4504" w:rsidRPr="6A7C443A">
        <w:rPr>
          <w:rFonts w:ascii="Calibri" w:eastAsia="Calibri" w:hAnsi="Calibri" w:cs="Calibri"/>
        </w:rPr>
        <w:t xml:space="preserve">reduces </w:t>
      </w:r>
      <w:r w:rsidR="007258B4" w:rsidRPr="6A7C443A">
        <w:rPr>
          <w:rFonts w:ascii="Calibri" w:eastAsia="Calibri" w:hAnsi="Calibri" w:cs="Calibri"/>
        </w:rPr>
        <w:t>to $</w:t>
      </w:r>
      <w:r w:rsidR="00824199" w:rsidRPr="6A7C443A">
        <w:rPr>
          <w:rFonts w:ascii="Calibri" w:eastAsia="Calibri" w:hAnsi="Calibri" w:cs="Calibri"/>
        </w:rPr>
        <w:t>55,000 to &lt; $75,000</w:t>
      </w:r>
      <w:r w:rsidR="007258B4" w:rsidRPr="6A7C443A">
        <w:rPr>
          <w:rFonts w:ascii="Calibri" w:eastAsia="Calibri" w:hAnsi="Calibri" w:cs="Calibri"/>
        </w:rPr>
        <w:t xml:space="preserve"> when a constant HR is applied to represent the increased efficacy of </w:t>
      </w:r>
      <w:r w:rsidR="003A296A" w:rsidRPr="6A7C443A">
        <w:rPr>
          <w:rFonts w:ascii="Calibri" w:eastAsia="Calibri" w:hAnsi="Calibri" w:cs="Calibri"/>
        </w:rPr>
        <w:t xml:space="preserve">additional </w:t>
      </w:r>
      <w:r w:rsidR="007258B4" w:rsidRPr="6A7C443A">
        <w:rPr>
          <w:rFonts w:ascii="Calibri" w:eastAsia="Calibri" w:hAnsi="Calibri" w:cs="Calibri"/>
        </w:rPr>
        <w:t>subsequent ABCP in the osimertinib arm</w:t>
      </w:r>
      <w:r w:rsidR="00527755" w:rsidRPr="6A7C443A">
        <w:rPr>
          <w:rFonts w:ascii="Calibri" w:eastAsia="Calibri" w:hAnsi="Calibri" w:cs="Calibri"/>
        </w:rPr>
        <w:t>.</w:t>
      </w:r>
      <w:r w:rsidR="00527755">
        <w:t xml:space="preserve"> </w:t>
      </w:r>
      <w:r w:rsidR="00BB0B3E">
        <w:t>The</w:t>
      </w:r>
      <w:r>
        <w:t xml:space="preserve"> Response </w:t>
      </w:r>
      <w:r w:rsidR="00527755">
        <w:t xml:space="preserve">also </w:t>
      </w:r>
      <w:r>
        <w:t xml:space="preserve">proposed an alternative scenario </w:t>
      </w:r>
      <w:r w:rsidR="00D97D18">
        <w:t>with</w:t>
      </w:r>
      <w:r w:rsidR="005F1041">
        <w:t xml:space="preserve"> an</w:t>
      </w:r>
      <w:r w:rsidR="00D97D18">
        <w:t xml:space="preserve"> osimertinib </w:t>
      </w:r>
      <w:r w:rsidR="00D17A43">
        <w:t xml:space="preserve">mean </w:t>
      </w:r>
      <w:r w:rsidR="00D97D18">
        <w:t xml:space="preserve">treatment duration extended to </w:t>
      </w:r>
      <w:r w:rsidR="00B50819" w:rsidRPr="002B736C">
        <w:rPr>
          <w:color w:val="000000"/>
          <w:spacing w:val="6"/>
          <w:w w:val="61"/>
          <w:shd w:val="solid" w:color="000000" w:fill="000000"/>
          <w:fitText w:val="475" w:id="-628958963"/>
          <w14:textFill>
            <w14:solidFill>
              <w14:srgbClr w14:val="000000">
                <w14:alpha w14:val="100000"/>
              </w14:srgbClr>
            </w14:solidFill>
          </w14:textFill>
        </w:rPr>
        <w:t>|||</w:t>
      </w:r>
      <w:r w:rsidR="002B736C" w:rsidRPr="002B736C">
        <w:rPr>
          <w:color w:val="000000"/>
          <w:spacing w:val="6"/>
          <w:w w:val="61"/>
          <w:shd w:val="solid" w:color="000000" w:fill="000000"/>
          <w:fitText w:val="475" w:id="-628958963"/>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963"/>
          <w14:textFill>
            <w14:solidFill>
              <w14:srgbClr w14:val="000000">
                <w14:alpha w14:val="100000"/>
              </w14:srgbClr>
            </w14:solidFill>
          </w14:textFill>
        </w:rPr>
        <w:t>||</w:t>
      </w:r>
      <w:r w:rsidR="00B50819" w:rsidRPr="002B736C">
        <w:rPr>
          <w:color w:val="000000"/>
          <w:spacing w:val="3"/>
          <w:w w:val="61"/>
          <w:shd w:val="solid" w:color="000000" w:fill="000000"/>
          <w:fitText w:val="475" w:id="-628958963"/>
          <w14:textFill>
            <w14:solidFill>
              <w14:srgbClr w14:val="000000">
                <w14:alpha w14:val="100000"/>
              </w14:srgbClr>
            </w14:solidFill>
          </w14:textFill>
        </w:rPr>
        <w:t>|</w:t>
      </w:r>
      <w:r w:rsidR="00D97D18">
        <w:t xml:space="preserve"> months and 30% post-progression </w:t>
      </w:r>
      <w:r w:rsidR="00687CE1">
        <w:t>A</w:t>
      </w:r>
      <w:r w:rsidR="004447CD">
        <w:t>BCP</w:t>
      </w:r>
      <w:r w:rsidR="00D97D18">
        <w:t xml:space="preserve"> use</w:t>
      </w:r>
      <w:r w:rsidR="00D17A43">
        <w:t xml:space="preserve"> (as suggested by ESC)</w:t>
      </w:r>
      <w:r w:rsidR="00D97D18">
        <w:t xml:space="preserve">, </w:t>
      </w:r>
      <w:r w:rsidR="00687CE1">
        <w:t xml:space="preserve">but </w:t>
      </w:r>
      <w:r w:rsidR="00D17A43">
        <w:t xml:space="preserve">with </w:t>
      </w:r>
      <w:r w:rsidR="00D97D18">
        <w:t xml:space="preserve">independent </w:t>
      </w:r>
      <w:r w:rsidR="00D17A43">
        <w:t xml:space="preserve">OS </w:t>
      </w:r>
      <w:r w:rsidR="00D97D18">
        <w:t>extrapolations</w:t>
      </w:r>
      <w:r w:rsidR="007B5B97">
        <w:t xml:space="preserve"> and </w:t>
      </w:r>
      <w:r w:rsidR="00687CE1">
        <w:t xml:space="preserve">the </w:t>
      </w:r>
      <w:r w:rsidR="00F837DC">
        <w:t>inclusion</w:t>
      </w:r>
      <w:r w:rsidR="007B5B97">
        <w:t xml:space="preserve"> of third-line </w:t>
      </w:r>
      <w:r w:rsidR="00570519">
        <w:t>treatment</w:t>
      </w:r>
      <w:r w:rsidR="007B5B97">
        <w:t xml:space="preserve"> costs,</w:t>
      </w:r>
      <w:r w:rsidR="009E5451">
        <w:t xml:space="preserve"> </w:t>
      </w:r>
      <w:r w:rsidR="00D97D18">
        <w:t>which result</w:t>
      </w:r>
      <w:r w:rsidR="007B5B97">
        <w:t>ed</w:t>
      </w:r>
      <w:r w:rsidR="00D97D18">
        <w:t xml:space="preserve"> in an ICER of $</w:t>
      </w:r>
      <w:r w:rsidR="00824199">
        <w:t>55,000 to &lt; $75,000</w:t>
      </w:r>
      <w:r w:rsidR="000F4AAA">
        <w:t xml:space="preserve"> per QALY gained</w:t>
      </w:r>
      <w:r w:rsidR="007B5B97">
        <w:t>.</w:t>
      </w:r>
      <w:bookmarkEnd w:id="74"/>
    </w:p>
    <w:p w14:paraId="32F8205A" w14:textId="238FB35E" w:rsidR="00FE1F5B" w:rsidRPr="00657872" w:rsidRDefault="00657872" w:rsidP="00A12328">
      <w:pPr>
        <w:pStyle w:val="3-BodyText"/>
        <w:rPr>
          <w:i/>
          <w:iCs/>
        </w:rPr>
      </w:pPr>
      <w:r>
        <w:t xml:space="preserve">The cost of subsequent therapies, including subsequent osimertinib in the placebo arm, as well as costs related to disease monitoring, managing AEs, CNS metastases and palliative care were also included in the model. </w:t>
      </w:r>
      <w:r w:rsidR="00CE6422">
        <w:t xml:space="preserve">The model assumed a 50% rebate for the published prices of atezolizumab and nivolumab. </w:t>
      </w:r>
      <w:r w:rsidR="009745EA">
        <w:t xml:space="preserve">The duration of treatment of post-progression osimertinib use (metastatic setting) </w:t>
      </w:r>
      <w:r w:rsidR="0061013F">
        <w:t xml:space="preserve">in the placebo arm </w:t>
      </w:r>
      <w:r w:rsidR="009745EA">
        <w:t xml:space="preserve">was limited to </w:t>
      </w:r>
      <w:r w:rsidR="00B50819" w:rsidRPr="002B736C">
        <w:rPr>
          <w:color w:val="000000"/>
          <w:spacing w:val="6"/>
          <w:w w:val="61"/>
          <w:shd w:val="solid" w:color="000000" w:fill="000000"/>
          <w:fitText w:val="475" w:id="-628958962"/>
          <w14:textFill>
            <w14:solidFill>
              <w14:srgbClr w14:val="000000">
                <w14:alpha w14:val="100000"/>
              </w14:srgbClr>
            </w14:solidFill>
          </w14:textFill>
        </w:rPr>
        <w:t>|||</w:t>
      </w:r>
      <w:r w:rsidR="002B736C" w:rsidRPr="002B736C">
        <w:rPr>
          <w:color w:val="000000"/>
          <w:spacing w:val="6"/>
          <w:w w:val="61"/>
          <w:shd w:val="solid" w:color="000000" w:fill="000000"/>
          <w:fitText w:val="475" w:id="-628958962"/>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962"/>
          <w14:textFill>
            <w14:solidFill>
              <w14:srgbClr w14:val="000000">
                <w14:alpha w14:val="100000"/>
              </w14:srgbClr>
            </w14:solidFill>
          </w14:textFill>
        </w:rPr>
        <w:t>||</w:t>
      </w:r>
      <w:r w:rsidR="00B50819" w:rsidRPr="002B736C">
        <w:rPr>
          <w:color w:val="000000"/>
          <w:spacing w:val="3"/>
          <w:w w:val="61"/>
          <w:shd w:val="solid" w:color="000000" w:fill="000000"/>
          <w:fitText w:val="475" w:id="-628958962"/>
          <w14:textFill>
            <w14:solidFill>
              <w14:srgbClr w14:val="000000">
                <w14:alpha w14:val="100000"/>
              </w14:srgbClr>
            </w14:solidFill>
          </w14:textFill>
        </w:rPr>
        <w:t>|</w:t>
      </w:r>
      <w:r w:rsidR="009745EA">
        <w:t xml:space="preserve"> months to be consistent with details in the 2021 deed for osimertinib based on data from the FLAURA trial. The ICER was sensitive to the assumed duration of treatment of osimertinib post-progression.</w:t>
      </w:r>
      <w:r w:rsidR="009745EA" w:rsidRPr="6A7C443A">
        <w:rPr>
          <w:i/>
          <w:iCs/>
        </w:rPr>
        <w:t xml:space="preserve"> </w:t>
      </w:r>
    </w:p>
    <w:p w14:paraId="66DD9E68" w14:textId="6A72EAA5" w:rsidR="009745EA" w:rsidRPr="009745EA" w:rsidRDefault="00374BB6" w:rsidP="00A12328">
      <w:pPr>
        <w:pStyle w:val="3-BodyText"/>
        <w:rPr>
          <w:i/>
          <w:iCs/>
        </w:rPr>
      </w:pPr>
      <w:r w:rsidRPr="00374BB6">
        <w:fldChar w:fldCharType="begin"/>
      </w:r>
      <w:r w:rsidRPr="00374BB6">
        <w:instrText xml:space="preserve"> REF _Ref198201702 \h </w:instrText>
      </w:r>
      <w:r>
        <w:instrText xml:space="preserve"> \* MERGEFORMAT </w:instrText>
      </w:r>
      <w:r w:rsidRPr="00374BB6">
        <w:fldChar w:fldCharType="separate"/>
      </w:r>
      <w:r w:rsidR="009F3D59" w:rsidRPr="009F3D59">
        <w:t>Table 13</w:t>
      </w:r>
      <w:r w:rsidRPr="00374BB6">
        <w:fldChar w:fldCharType="end"/>
      </w:r>
      <w:r w:rsidR="009745EA" w:rsidRPr="009745EA">
        <w:rPr>
          <w:iCs/>
        </w:rPr>
        <w:t xml:space="preserve"> </w:t>
      </w:r>
      <w:r w:rsidR="009745EA" w:rsidRPr="009745EA">
        <w:t>presents the disaggregated summary of costs from the economic evaluation</w:t>
      </w:r>
      <w:r w:rsidR="009745EA" w:rsidRPr="009745EA">
        <w:rPr>
          <w:iCs/>
        </w:rPr>
        <w:t>.</w:t>
      </w:r>
    </w:p>
    <w:p w14:paraId="5F12E31B" w14:textId="3296F3CB" w:rsidR="009745EA" w:rsidRPr="009745EA" w:rsidRDefault="009745EA" w:rsidP="00A12328">
      <w:pPr>
        <w:keepNext/>
        <w:keepLines/>
        <w:rPr>
          <w:rFonts w:ascii="Arial Narrow" w:hAnsi="Arial Narrow"/>
          <w:b/>
          <w:bCs/>
          <w:sz w:val="20"/>
        </w:rPr>
      </w:pPr>
      <w:bookmarkStart w:id="75" w:name="_Ref198201702"/>
      <w:r w:rsidRPr="009745EA">
        <w:rPr>
          <w:rFonts w:ascii="Arial Narrow" w:hAnsi="Arial Narrow"/>
          <w:b/>
          <w:bCs/>
          <w:sz w:val="20"/>
          <w:szCs w:val="18"/>
        </w:rPr>
        <w:t xml:space="preserve">Table </w:t>
      </w:r>
      <w:r w:rsidRPr="009745EA">
        <w:rPr>
          <w:rFonts w:ascii="Arial Narrow" w:hAnsi="Arial Narrow"/>
          <w:b/>
          <w:bCs/>
          <w:sz w:val="20"/>
          <w:szCs w:val="18"/>
        </w:rPr>
        <w:fldChar w:fldCharType="begin"/>
      </w:r>
      <w:r w:rsidRPr="009745EA">
        <w:rPr>
          <w:rFonts w:ascii="Arial Narrow" w:hAnsi="Arial Narrow"/>
          <w:b/>
          <w:bCs/>
          <w:sz w:val="20"/>
          <w:szCs w:val="18"/>
        </w:rPr>
        <w:instrText xml:space="preserve"> SEQ Table \* ARABIC </w:instrText>
      </w:r>
      <w:r w:rsidRPr="009745EA">
        <w:rPr>
          <w:rFonts w:ascii="Arial Narrow" w:hAnsi="Arial Narrow"/>
          <w:b/>
          <w:bCs/>
          <w:sz w:val="20"/>
          <w:szCs w:val="18"/>
        </w:rPr>
        <w:fldChar w:fldCharType="separate"/>
      </w:r>
      <w:r w:rsidR="009F3D59">
        <w:rPr>
          <w:rFonts w:ascii="Arial Narrow" w:hAnsi="Arial Narrow"/>
          <w:b/>
          <w:bCs/>
          <w:noProof/>
          <w:sz w:val="20"/>
          <w:szCs w:val="18"/>
        </w:rPr>
        <w:t>13</w:t>
      </w:r>
      <w:r w:rsidRPr="009745EA">
        <w:rPr>
          <w:rFonts w:ascii="Arial Narrow" w:hAnsi="Arial Narrow"/>
          <w:b/>
          <w:bCs/>
          <w:noProof/>
          <w:sz w:val="20"/>
          <w:szCs w:val="18"/>
        </w:rPr>
        <w:fldChar w:fldCharType="end"/>
      </w:r>
      <w:bookmarkEnd w:id="75"/>
      <w:r w:rsidRPr="009745EA">
        <w:rPr>
          <w:rFonts w:ascii="Arial Narrow" w:hAnsi="Arial Narrow"/>
          <w:b/>
          <w:bCs/>
          <w:sz w:val="20"/>
          <w:szCs w:val="18"/>
        </w:rPr>
        <w:t xml:space="preserve">: </w:t>
      </w:r>
      <w:r w:rsidRPr="009745EA">
        <w:rPr>
          <w:rFonts w:ascii="Arial Narrow" w:hAnsi="Arial Narrow"/>
          <w:b/>
          <w:bCs/>
          <w:sz w:val="20"/>
        </w:rPr>
        <w:t>Health care resource items: disaggregated summary of costs (discounted)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Health care resource items: disaggregated summary of costs (discounted)"/>
      </w:tblPr>
      <w:tblGrid>
        <w:gridCol w:w="3261"/>
        <w:gridCol w:w="1417"/>
        <w:gridCol w:w="1418"/>
        <w:gridCol w:w="1417"/>
        <w:gridCol w:w="1504"/>
      </w:tblGrid>
      <w:tr w:rsidR="00B33DCB" w:rsidRPr="009745EA" w14:paraId="7FB980C6"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9F6F27" w14:textId="77777777" w:rsidR="009745EA" w:rsidRPr="00C42502" w:rsidRDefault="009745EA" w:rsidP="00A12328">
            <w:pPr>
              <w:keepNext/>
              <w:jc w:val="left"/>
              <w:rPr>
                <w:rFonts w:ascii="Arial Narrow" w:eastAsiaTheme="majorEastAsia" w:hAnsi="Arial Narrow" w:cs="Times New Roman"/>
                <w:b/>
                <w:sz w:val="20"/>
              </w:rPr>
            </w:pPr>
            <w:r w:rsidRPr="00C42502">
              <w:rPr>
                <w:rFonts w:ascii="Arial Narrow" w:eastAsiaTheme="majorEastAsia" w:hAnsi="Arial Narrow" w:cs="Times New Roman"/>
                <w:b/>
                <w:sz w:val="20"/>
              </w:rPr>
              <w:t>Resource use</w:t>
            </w:r>
          </w:p>
        </w:tc>
        <w:tc>
          <w:tcPr>
            <w:tcW w:w="1417" w:type="dxa"/>
            <w:tcBorders>
              <w:top w:val="single" w:sz="4" w:space="0" w:color="auto"/>
              <w:left w:val="single" w:sz="4" w:space="0" w:color="auto"/>
              <w:bottom w:val="single" w:sz="4" w:space="0" w:color="auto"/>
              <w:right w:val="single" w:sz="4" w:space="0" w:color="auto"/>
            </w:tcBorders>
          </w:tcPr>
          <w:p w14:paraId="69781E08"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Osimertinib</w:t>
            </w:r>
          </w:p>
        </w:tc>
        <w:tc>
          <w:tcPr>
            <w:tcW w:w="1418" w:type="dxa"/>
            <w:tcBorders>
              <w:top w:val="single" w:sz="4" w:space="0" w:color="auto"/>
              <w:left w:val="single" w:sz="4" w:space="0" w:color="auto"/>
              <w:bottom w:val="single" w:sz="4" w:space="0" w:color="auto"/>
              <w:right w:val="single" w:sz="4" w:space="0" w:color="auto"/>
            </w:tcBorders>
          </w:tcPr>
          <w:p w14:paraId="40250447"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Placebo</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21FCCB"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Incremental cost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EBF242"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 of total incremental cost</w:t>
            </w:r>
          </w:p>
        </w:tc>
      </w:tr>
      <w:tr w:rsidR="00B33DCB" w:rsidRPr="009745EA" w14:paraId="4249028E"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8E31FB"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Drug costs (osimertinib)</w:t>
            </w:r>
          </w:p>
        </w:tc>
        <w:tc>
          <w:tcPr>
            <w:tcW w:w="1417" w:type="dxa"/>
            <w:tcBorders>
              <w:top w:val="single" w:sz="4" w:space="0" w:color="auto"/>
              <w:left w:val="single" w:sz="4" w:space="0" w:color="auto"/>
              <w:bottom w:val="single" w:sz="4" w:space="0" w:color="auto"/>
              <w:right w:val="single" w:sz="4" w:space="0" w:color="auto"/>
            </w:tcBorders>
            <w:vAlign w:val="center"/>
          </w:tcPr>
          <w:p w14:paraId="0C201C04" w14:textId="2DF12913"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1"/>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46DF70E9" w14:textId="5809C8FD"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FB81F9" w14:textId="1E02C76D"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0"/>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0"/>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B5F371" w14:textId="7056C73E" w:rsidR="009745EA" w:rsidRPr="00955EA2" w:rsidRDefault="00B50819" w:rsidP="00A12328">
            <w:pPr>
              <w:keepNext/>
              <w:jc w:val="center"/>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shd w:val="solid" w:color="000000" w:fill="000000"/>
                <w:fitText w:val="330" w:id="-628958976"/>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shd w:val="solid" w:color="000000" w:fill="000000"/>
                <w:fitText w:val="330" w:id="-628958976"/>
                <w14:textFill>
                  <w14:solidFill>
                    <w14:srgbClr w14:val="000000">
                      <w14:alpha w14:val="100000"/>
                    </w14:srgbClr>
                  </w14:solidFill>
                </w14:textFill>
              </w:rPr>
              <w:t>|</w:t>
            </w:r>
            <w:r w:rsidR="009745EA" w:rsidRPr="00955EA2">
              <w:rPr>
                <w:rFonts w:ascii="Arial Narrow" w:eastAsiaTheme="majorEastAsia" w:hAnsi="Arial Narrow" w:cstheme="majorBidi"/>
                <w:bCs/>
                <w:sz w:val="20"/>
              </w:rPr>
              <w:t>%</w:t>
            </w:r>
          </w:p>
        </w:tc>
      </w:tr>
      <w:tr w:rsidR="00B33DCB" w:rsidRPr="009745EA" w14:paraId="3B720DCD"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F3C686"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Monitoring costs (osimertinib)</w:t>
            </w:r>
          </w:p>
        </w:tc>
        <w:tc>
          <w:tcPr>
            <w:tcW w:w="1417" w:type="dxa"/>
            <w:tcBorders>
              <w:top w:val="single" w:sz="4" w:space="0" w:color="auto"/>
              <w:left w:val="single" w:sz="4" w:space="0" w:color="auto"/>
              <w:bottom w:val="single" w:sz="4" w:space="0" w:color="auto"/>
              <w:right w:val="single" w:sz="4" w:space="0" w:color="auto"/>
            </w:tcBorders>
            <w:vAlign w:val="center"/>
          </w:tcPr>
          <w:p w14:paraId="7413BA59" w14:textId="17C19BF1"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C06EAA">
              <w:rPr>
                <w:rFonts w:ascii="Arial Narrow" w:eastAsiaTheme="majorEastAsia" w:hAnsi="Arial Narrow" w:cstheme="majorBidi"/>
                <w:bCs/>
                <w:color w:val="000000"/>
                <w:spacing w:val="53"/>
                <w:sz w:val="20"/>
                <w:shd w:val="solid" w:color="000000" w:fill="000000"/>
                <w:fitText w:val="330" w:id="-628958975"/>
                <w14:textFill>
                  <w14:solidFill>
                    <w14:srgbClr w14:val="000000">
                      <w14:alpha w14:val="100000"/>
                    </w14:srgbClr>
                  </w14:solidFill>
                </w14:textFill>
              </w:rPr>
              <w:t>|||</w:t>
            </w:r>
            <w:r w:rsidR="00B50819" w:rsidRPr="00C06EAA">
              <w:rPr>
                <w:rFonts w:ascii="Arial Narrow" w:eastAsiaTheme="majorEastAsia" w:hAnsi="Arial Narrow" w:cstheme="majorBidi"/>
                <w:bCs/>
                <w:color w:val="000000"/>
                <w:spacing w:val="1"/>
                <w:sz w:val="20"/>
                <w:shd w:val="solid" w:color="000000" w:fill="000000"/>
                <w:fitText w:val="330" w:id="-628958975"/>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33E0E6F6" w14:textId="0A7086A7"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09444E" w14:textId="6BA9574B"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4"/>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4"/>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8E557A" w14:textId="4640EDE4" w:rsidR="009745EA" w:rsidRPr="00955EA2" w:rsidRDefault="00B50819" w:rsidP="00A12328">
            <w:pPr>
              <w:keepNext/>
              <w:jc w:val="center"/>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shd w:val="solid" w:color="000000" w:fill="000000"/>
                <w:fitText w:val="330" w:id="-628958973"/>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shd w:val="solid" w:color="000000" w:fill="000000"/>
                <w:fitText w:val="330" w:id="-628958973"/>
                <w14:textFill>
                  <w14:solidFill>
                    <w14:srgbClr w14:val="000000">
                      <w14:alpha w14:val="100000"/>
                    </w14:srgbClr>
                  </w14:solidFill>
                </w14:textFill>
              </w:rPr>
              <w:t>|</w:t>
            </w:r>
            <w:r w:rsidR="009745EA" w:rsidRPr="00955EA2">
              <w:rPr>
                <w:rFonts w:ascii="Arial Narrow" w:eastAsiaTheme="majorEastAsia" w:hAnsi="Arial Narrow" w:cstheme="majorBidi"/>
                <w:bCs/>
                <w:sz w:val="20"/>
              </w:rPr>
              <w:t>%</w:t>
            </w:r>
          </w:p>
        </w:tc>
      </w:tr>
      <w:tr w:rsidR="00B33DCB" w:rsidRPr="009745EA" w14:paraId="6FE6FE48"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883B34"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 xml:space="preserve">Adverse events </w:t>
            </w:r>
          </w:p>
          <w:p w14:paraId="0254098B"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(intervention and comparator)</w:t>
            </w:r>
          </w:p>
        </w:tc>
        <w:tc>
          <w:tcPr>
            <w:tcW w:w="1417" w:type="dxa"/>
            <w:tcBorders>
              <w:top w:val="single" w:sz="4" w:space="0" w:color="auto"/>
              <w:left w:val="single" w:sz="4" w:space="0" w:color="auto"/>
              <w:bottom w:val="single" w:sz="4" w:space="0" w:color="auto"/>
              <w:right w:val="single" w:sz="4" w:space="0" w:color="auto"/>
            </w:tcBorders>
            <w:vAlign w:val="center"/>
          </w:tcPr>
          <w:p w14:paraId="6CFED031" w14:textId="79881E73"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C06EAA">
              <w:rPr>
                <w:rFonts w:ascii="Arial Narrow" w:eastAsiaTheme="majorEastAsia" w:hAnsi="Arial Narrow" w:cstheme="majorBidi"/>
                <w:bCs/>
                <w:color w:val="000000"/>
                <w:spacing w:val="53"/>
                <w:sz w:val="20"/>
                <w:shd w:val="solid" w:color="000000" w:fill="000000"/>
                <w:fitText w:val="330" w:id="-628958972"/>
                <w14:textFill>
                  <w14:solidFill>
                    <w14:srgbClr w14:val="000000">
                      <w14:alpha w14:val="100000"/>
                    </w14:srgbClr>
                  </w14:solidFill>
                </w14:textFill>
              </w:rPr>
              <w:t>|||</w:t>
            </w:r>
            <w:r w:rsidR="00B50819" w:rsidRPr="00C06EAA">
              <w:rPr>
                <w:rFonts w:ascii="Arial Narrow" w:eastAsiaTheme="majorEastAsia" w:hAnsi="Arial Narrow" w:cstheme="majorBidi"/>
                <w:bCs/>
                <w:color w:val="000000"/>
                <w:spacing w:val="1"/>
                <w:sz w:val="20"/>
                <w:shd w:val="solid" w:color="000000" w:fill="000000"/>
                <w:fitText w:val="330" w:id="-628958972"/>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0685D893" w14:textId="19EA67FF"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$11</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D231AE" w14:textId="5A86C903"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1"/>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C8B57B" w14:textId="18777750" w:rsidR="009745EA" w:rsidRPr="00955EA2" w:rsidRDefault="00B50819" w:rsidP="00A12328">
            <w:pPr>
              <w:keepNext/>
              <w:jc w:val="center"/>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shd w:val="solid" w:color="000000" w:fill="000000"/>
                <w:fitText w:val="330" w:id="-628958970"/>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shd w:val="solid" w:color="000000" w:fill="000000"/>
                <w:fitText w:val="330" w:id="-628958970"/>
                <w14:textFill>
                  <w14:solidFill>
                    <w14:srgbClr w14:val="000000">
                      <w14:alpha w14:val="100000"/>
                    </w14:srgbClr>
                  </w14:solidFill>
                </w14:textFill>
              </w:rPr>
              <w:t>|</w:t>
            </w:r>
            <w:r w:rsidR="009745EA" w:rsidRPr="00955EA2">
              <w:rPr>
                <w:rFonts w:ascii="Arial Narrow" w:eastAsiaTheme="majorEastAsia" w:hAnsi="Arial Narrow" w:cstheme="majorBidi"/>
                <w:bCs/>
                <w:sz w:val="20"/>
              </w:rPr>
              <w:t>%</w:t>
            </w:r>
          </w:p>
        </w:tc>
      </w:tr>
      <w:tr w:rsidR="00B33DCB" w:rsidRPr="009745EA" w14:paraId="6D953F29" w14:textId="77777777" w:rsidTr="005F2C8B">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0BB5FEC1"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Costs of subsequent treatments</w:t>
            </w:r>
            <w:r w:rsidRPr="009745EA">
              <w:rPr>
                <w:rFonts w:ascii="Arial Narrow" w:eastAsiaTheme="majorEastAsia" w:hAnsi="Arial Narrow" w:cstheme="majorBidi"/>
                <w:bCs/>
                <w:sz w:val="20"/>
                <w:vertAlign w:val="superscript"/>
              </w:rPr>
              <w:t>a</w:t>
            </w:r>
          </w:p>
        </w:tc>
        <w:tc>
          <w:tcPr>
            <w:tcW w:w="1417" w:type="dxa"/>
            <w:tcBorders>
              <w:top w:val="single" w:sz="4" w:space="0" w:color="auto"/>
              <w:left w:val="single" w:sz="4" w:space="0" w:color="auto"/>
              <w:bottom w:val="nil"/>
              <w:right w:val="single" w:sz="4" w:space="0" w:color="auto"/>
            </w:tcBorders>
            <w:vAlign w:val="center"/>
          </w:tcPr>
          <w:p w14:paraId="5FFAE97C" w14:textId="09A64FF1"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9"/>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9"/>
                <w14:textFill>
                  <w14:solidFill>
                    <w14:srgbClr w14:val="000000">
                      <w14:alpha w14:val="100000"/>
                    </w14:srgbClr>
                  </w14:solidFill>
                </w14:textFill>
              </w:rPr>
              <w:t>|</w:t>
            </w:r>
          </w:p>
        </w:tc>
        <w:tc>
          <w:tcPr>
            <w:tcW w:w="1418" w:type="dxa"/>
            <w:tcBorders>
              <w:top w:val="single" w:sz="4" w:space="0" w:color="auto"/>
              <w:left w:val="single" w:sz="4" w:space="0" w:color="auto"/>
              <w:bottom w:val="nil"/>
              <w:right w:val="single" w:sz="4" w:space="0" w:color="auto"/>
            </w:tcBorders>
            <w:vAlign w:val="center"/>
          </w:tcPr>
          <w:p w14:paraId="37DC1CCE" w14:textId="1B48EB38"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w:t>
            </w:r>
            <w:r w:rsidR="004273B7" w:rsidRPr="009F3D59">
              <w:rPr>
                <w:rFonts w:ascii="Arial Narrow" w:eastAsiaTheme="majorEastAsia" w:hAnsi="Arial Narrow" w:cstheme="majorBidi" w:hint="eastAsia"/>
                <w:bCs/>
                <w:w w:val="15"/>
                <w:sz w:val="20"/>
                <w:shd w:val="solid" w:color="000000" w:fill="000000"/>
                <w:fitText w:val="25" w:id="-617341952"/>
                <w14:textFill>
                  <w14:solidFill>
                    <w14:srgbClr w14:val="000000">
                      <w14:alpha w14:val="100000"/>
                    </w14:srgbClr>
                  </w14:solidFill>
                </w14:textFill>
              </w:rPr>
              <w:t xml:space="preserve">　</w:t>
            </w:r>
            <w:r w:rsidR="004273B7" w:rsidRPr="009F3D59">
              <w:rPr>
                <w:rFonts w:ascii="Arial Narrow" w:eastAsiaTheme="majorEastAsia" w:hAnsi="Arial Narrow" w:cstheme="majorBidi"/>
                <w:bCs/>
                <w:w w:val="15"/>
                <w:sz w:val="20"/>
                <w:shd w:val="solid" w:color="000000" w:fill="000000"/>
                <w:fitText w:val="25" w:id="-617341952"/>
                <w14:textFill>
                  <w14:solidFill>
                    <w14:srgbClr w14:val="000000">
                      <w14:alpha w14:val="100000"/>
                    </w14:srgbClr>
                  </w14:solidFill>
                </w14:textFill>
              </w:rPr>
              <w:t>|</w:t>
            </w:r>
            <w:r w:rsidR="004273B7" w:rsidRPr="009F3D59">
              <w:rPr>
                <w:rFonts w:ascii="Arial Narrow" w:eastAsiaTheme="majorEastAsia" w:hAnsi="Arial Narrow" w:cstheme="majorBidi" w:hint="eastAsia"/>
                <w:bCs/>
                <w:spacing w:val="-41"/>
                <w:w w:val="15"/>
                <w:sz w:val="20"/>
                <w:shd w:val="solid" w:color="000000" w:fill="000000"/>
                <w:fitText w:val="25" w:id="-617341952"/>
                <w14:textFill>
                  <w14:solidFill>
                    <w14:srgbClr w14:val="000000">
                      <w14:alpha w14:val="100000"/>
                    </w14:srgbClr>
                  </w14:solidFill>
                </w14:textFill>
              </w:rPr>
              <w:t xml:space="preserve">　</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1249CDC0" w14:textId="7FDA6029"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8"/>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8"/>
                <w14:textFill>
                  <w14:solidFill>
                    <w14:srgbClr w14:val="000000">
                      <w14:alpha w14:val="100000"/>
                    </w14:srgbClr>
                  </w14:solidFill>
                </w14:textFill>
              </w:rPr>
              <w:t>|</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3466FA18" w14:textId="303DFC65" w:rsidR="009745EA" w:rsidRPr="00955EA2" w:rsidRDefault="009745EA" w:rsidP="00A12328">
            <w:pPr>
              <w:keepNext/>
              <w:jc w:val="center"/>
              <w:rPr>
                <w:rFonts w:ascii="Arial Narrow" w:eastAsiaTheme="majorEastAsia" w:hAnsi="Arial Narrow" w:cstheme="majorBidi"/>
                <w:bCs/>
                <w:sz w:val="20"/>
              </w:rPr>
            </w:pPr>
            <w:r w:rsidRPr="00955EA2">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7"/>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7"/>
                <w14:textFill>
                  <w14:solidFill>
                    <w14:srgbClr w14:val="000000">
                      <w14:alpha w14:val="100000"/>
                    </w14:srgbClr>
                  </w14:solidFill>
                </w14:textFill>
              </w:rPr>
              <w:t>|</w:t>
            </w:r>
            <w:r w:rsidRPr="00955EA2">
              <w:rPr>
                <w:rFonts w:ascii="Arial Narrow" w:eastAsiaTheme="majorEastAsia" w:hAnsi="Arial Narrow" w:cstheme="majorBidi"/>
                <w:bCs/>
                <w:sz w:val="20"/>
              </w:rPr>
              <w:t>%</w:t>
            </w:r>
          </w:p>
        </w:tc>
      </w:tr>
      <w:tr w:rsidR="00B33DCB" w:rsidRPr="009745EA" w14:paraId="2A895A0B"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A4FCF0"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Costs of second-line adverse events</w:t>
            </w:r>
          </w:p>
        </w:tc>
        <w:tc>
          <w:tcPr>
            <w:tcW w:w="1417" w:type="dxa"/>
            <w:tcBorders>
              <w:top w:val="single" w:sz="4" w:space="0" w:color="auto"/>
              <w:left w:val="single" w:sz="4" w:space="0" w:color="auto"/>
              <w:bottom w:val="single" w:sz="4" w:space="0" w:color="auto"/>
              <w:right w:val="single" w:sz="4" w:space="0" w:color="auto"/>
            </w:tcBorders>
            <w:vAlign w:val="center"/>
          </w:tcPr>
          <w:p w14:paraId="01882C2D" w14:textId="65D4D3D1"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C06EAA">
              <w:rPr>
                <w:rFonts w:ascii="Arial Narrow" w:eastAsiaTheme="majorEastAsia" w:hAnsi="Arial Narrow" w:cstheme="majorBidi"/>
                <w:bCs/>
                <w:color w:val="000000"/>
                <w:spacing w:val="53"/>
                <w:sz w:val="20"/>
                <w:shd w:val="solid" w:color="000000" w:fill="000000"/>
                <w:fitText w:val="330" w:id="-628958966"/>
                <w14:textFill>
                  <w14:solidFill>
                    <w14:srgbClr w14:val="000000">
                      <w14:alpha w14:val="100000"/>
                    </w14:srgbClr>
                  </w14:solidFill>
                </w14:textFill>
              </w:rPr>
              <w:t>|||</w:t>
            </w:r>
            <w:r w:rsidR="00B50819" w:rsidRPr="00C06EAA">
              <w:rPr>
                <w:rFonts w:ascii="Arial Narrow" w:eastAsiaTheme="majorEastAsia" w:hAnsi="Arial Narrow" w:cstheme="majorBidi"/>
                <w:bCs/>
                <w:color w:val="000000"/>
                <w:spacing w:val="1"/>
                <w:sz w:val="20"/>
                <w:shd w:val="solid" w:color="000000" w:fill="000000"/>
                <w:fitText w:val="330" w:id="-628958966"/>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60137B89" w14:textId="4DD1CF25"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$93</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7711A8" w14:textId="77A8108F"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5"/>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ED4C00" w14:textId="7507D120" w:rsidR="009745EA" w:rsidRPr="00955EA2" w:rsidRDefault="009745EA" w:rsidP="00A12328">
            <w:pPr>
              <w:keepNext/>
              <w:jc w:val="center"/>
              <w:rPr>
                <w:rFonts w:ascii="Arial Narrow" w:eastAsiaTheme="majorEastAsia" w:hAnsi="Arial Narrow" w:cstheme="majorBidi"/>
                <w:bCs/>
                <w:sz w:val="20"/>
              </w:rPr>
            </w:pPr>
            <w:r w:rsidRPr="00955EA2">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4"/>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4"/>
                <w14:textFill>
                  <w14:solidFill>
                    <w14:srgbClr w14:val="000000">
                      <w14:alpha w14:val="100000"/>
                    </w14:srgbClr>
                  </w14:solidFill>
                </w14:textFill>
              </w:rPr>
              <w:t>|</w:t>
            </w:r>
            <w:r w:rsidRPr="00955EA2">
              <w:rPr>
                <w:rFonts w:ascii="Arial Narrow" w:eastAsiaTheme="majorEastAsia" w:hAnsi="Arial Narrow" w:cstheme="majorBidi"/>
                <w:bCs/>
                <w:sz w:val="20"/>
              </w:rPr>
              <w:t>%</w:t>
            </w:r>
          </w:p>
        </w:tc>
      </w:tr>
      <w:tr w:rsidR="00B33DCB" w:rsidRPr="009745EA" w14:paraId="6BB60C41" w14:textId="77777777" w:rsidTr="005F2C8B">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72501AC1"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 xml:space="preserve">Disease monitoring costs </w:t>
            </w:r>
            <w:r w:rsidRPr="009745EA">
              <w:rPr>
                <w:rFonts w:ascii="Arial Narrow" w:eastAsiaTheme="majorEastAsia" w:hAnsi="Arial Narrow" w:cstheme="majorBidi"/>
                <w:bCs/>
                <w:sz w:val="20"/>
                <w:vertAlign w:val="superscript"/>
              </w:rPr>
              <w:t>b</w:t>
            </w:r>
          </w:p>
        </w:tc>
        <w:tc>
          <w:tcPr>
            <w:tcW w:w="1417" w:type="dxa"/>
            <w:tcBorders>
              <w:top w:val="single" w:sz="4" w:space="0" w:color="auto"/>
              <w:left w:val="single" w:sz="4" w:space="0" w:color="auto"/>
              <w:bottom w:val="nil"/>
              <w:right w:val="single" w:sz="4" w:space="0" w:color="auto"/>
            </w:tcBorders>
            <w:vAlign w:val="center"/>
          </w:tcPr>
          <w:p w14:paraId="061F63C0" w14:textId="30CEE533"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C06EAA">
              <w:rPr>
                <w:rFonts w:ascii="Arial Narrow" w:eastAsiaTheme="majorEastAsia" w:hAnsi="Arial Narrow" w:cstheme="majorBidi"/>
                <w:bCs/>
                <w:color w:val="000000"/>
                <w:spacing w:val="53"/>
                <w:sz w:val="20"/>
                <w:shd w:val="solid" w:color="000000" w:fill="000000"/>
                <w:fitText w:val="330" w:id="-628958963"/>
                <w14:textFill>
                  <w14:solidFill>
                    <w14:srgbClr w14:val="000000">
                      <w14:alpha w14:val="100000"/>
                    </w14:srgbClr>
                  </w14:solidFill>
                </w14:textFill>
              </w:rPr>
              <w:t>|||</w:t>
            </w:r>
            <w:r w:rsidR="00B50819" w:rsidRPr="00C06EAA">
              <w:rPr>
                <w:rFonts w:ascii="Arial Narrow" w:eastAsiaTheme="majorEastAsia" w:hAnsi="Arial Narrow" w:cstheme="majorBidi"/>
                <w:bCs/>
                <w:color w:val="000000"/>
                <w:spacing w:val="1"/>
                <w:sz w:val="20"/>
                <w:shd w:val="solid" w:color="000000" w:fill="000000"/>
                <w:fitText w:val="330" w:id="-628958963"/>
                <w14:textFill>
                  <w14:solidFill>
                    <w14:srgbClr w14:val="000000">
                      <w14:alpha w14:val="100000"/>
                    </w14:srgbClr>
                  </w14:solidFill>
                </w14:textFill>
              </w:rPr>
              <w:t>|</w:t>
            </w:r>
          </w:p>
        </w:tc>
        <w:tc>
          <w:tcPr>
            <w:tcW w:w="1418" w:type="dxa"/>
            <w:tcBorders>
              <w:top w:val="single" w:sz="4" w:space="0" w:color="auto"/>
              <w:left w:val="single" w:sz="4" w:space="0" w:color="auto"/>
              <w:bottom w:val="nil"/>
              <w:right w:val="single" w:sz="4" w:space="0" w:color="auto"/>
            </w:tcBorders>
            <w:vAlign w:val="center"/>
          </w:tcPr>
          <w:p w14:paraId="7D4281C1" w14:textId="05048BEC"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$73,860</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7B78D47A" w14:textId="05902DF9"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2"/>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2"/>
                <w14:textFill>
                  <w14:solidFill>
                    <w14:srgbClr w14:val="000000">
                      <w14:alpha w14:val="100000"/>
                    </w14:srgbClr>
                  </w14:solidFill>
                </w14:textFill>
              </w:rPr>
              <w:t>|</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657C46D3" w14:textId="63DF4CF0" w:rsidR="009745EA" w:rsidRPr="00955EA2" w:rsidRDefault="009745EA" w:rsidP="00A12328">
            <w:pPr>
              <w:keepNext/>
              <w:jc w:val="center"/>
              <w:rPr>
                <w:rFonts w:ascii="Arial Narrow" w:eastAsiaTheme="majorEastAsia" w:hAnsi="Arial Narrow" w:cstheme="majorBidi"/>
                <w:bCs/>
                <w:sz w:val="20"/>
              </w:rPr>
            </w:pPr>
            <w:r w:rsidRPr="00955EA2">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1"/>
                <w14:textFill>
                  <w14:solidFill>
                    <w14:srgbClr w14:val="000000">
                      <w14:alpha w14:val="100000"/>
                    </w14:srgbClr>
                  </w14:solidFill>
                </w14:textFill>
              </w:rPr>
              <w:t>|</w:t>
            </w:r>
            <w:r w:rsidRPr="00955EA2">
              <w:rPr>
                <w:rFonts w:ascii="Arial Narrow" w:eastAsiaTheme="majorEastAsia" w:hAnsi="Arial Narrow" w:cstheme="majorBidi"/>
                <w:bCs/>
                <w:sz w:val="20"/>
              </w:rPr>
              <w:t>%</w:t>
            </w:r>
          </w:p>
        </w:tc>
      </w:tr>
      <w:tr w:rsidR="00B33DCB" w:rsidRPr="009745EA" w14:paraId="0171C702"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010044"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Costs of CNS metastases</w:t>
            </w:r>
          </w:p>
        </w:tc>
        <w:tc>
          <w:tcPr>
            <w:tcW w:w="1417" w:type="dxa"/>
            <w:tcBorders>
              <w:top w:val="single" w:sz="4" w:space="0" w:color="auto"/>
              <w:left w:val="single" w:sz="4" w:space="0" w:color="auto"/>
              <w:bottom w:val="single" w:sz="4" w:space="0" w:color="auto"/>
              <w:right w:val="single" w:sz="4" w:space="0" w:color="auto"/>
            </w:tcBorders>
            <w:vAlign w:val="center"/>
          </w:tcPr>
          <w:p w14:paraId="3B7404D9" w14:textId="0C3B9B10"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361F3F">
              <w:rPr>
                <w:rFonts w:ascii="Arial Narrow" w:eastAsiaTheme="majorEastAsia" w:hAnsi="Arial Narrow" w:cstheme="majorBidi"/>
                <w:bCs/>
                <w:color w:val="000000"/>
                <w:spacing w:val="53"/>
                <w:sz w:val="20"/>
                <w:shd w:val="solid" w:color="000000" w:fill="000000"/>
                <w:fitText w:val="330" w:id="-628958960"/>
                <w14:textFill>
                  <w14:solidFill>
                    <w14:srgbClr w14:val="000000">
                      <w14:alpha w14:val="100000"/>
                    </w14:srgbClr>
                  </w14:solidFill>
                </w14:textFill>
              </w:rPr>
              <w:t>|||</w:t>
            </w:r>
            <w:r w:rsidR="00B50819" w:rsidRPr="00361F3F">
              <w:rPr>
                <w:rFonts w:ascii="Arial Narrow" w:eastAsiaTheme="majorEastAsia" w:hAnsi="Arial Narrow" w:cstheme="majorBidi"/>
                <w:bCs/>
                <w:color w:val="000000"/>
                <w:spacing w:val="1"/>
                <w:sz w:val="20"/>
                <w:shd w:val="solid" w:color="000000" w:fill="000000"/>
                <w:fitText w:val="330" w:id="-628958960"/>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6CEAD1FF" w14:textId="1A78892B"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$16,587</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870353" w14:textId="07404BDA"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6"/>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6"/>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9738FA" w14:textId="1B9873F1" w:rsidR="009745EA" w:rsidRPr="00955EA2" w:rsidRDefault="009745EA" w:rsidP="00A12328">
            <w:pPr>
              <w:keepNext/>
              <w:jc w:val="center"/>
              <w:rPr>
                <w:rFonts w:ascii="Arial Narrow" w:eastAsiaTheme="majorEastAsia" w:hAnsi="Arial Narrow" w:cstheme="majorBidi"/>
                <w:bCs/>
                <w:sz w:val="20"/>
              </w:rPr>
            </w:pPr>
            <w:r w:rsidRPr="00955EA2">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5"/>
                <w14:textFill>
                  <w14:solidFill>
                    <w14:srgbClr w14:val="000000">
                      <w14:alpha w14:val="100000"/>
                    </w14:srgbClr>
                  </w14:solidFill>
                </w14:textFill>
              </w:rPr>
              <w:t>|</w:t>
            </w:r>
            <w:r w:rsidRPr="00955EA2">
              <w:rPr>
                <w:rFonts w:ascii="Arial Narrow" w:eastAsiaTheme="majorEastAsia" w:hAnsi="Arial Narrow" w:cstheme="majorBidi"/>
                <w:bCs/>
                <w:sz w:val="20"/>
              </w:rPr>
              <w:t>%</w:t>
            </w:r>
          </w:p>
        </w:tc>
      </w:tr>
      <w:tr w:rsidR="00B33DCB" w:rsidRPr="009745EA" w14:paraId="0F608C67"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EC58B1"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Costs of palliative care</w:t>
            </w:r>
          </w:p>
        </w:tc>
        <w:tc>
          <w:tcPr>
            <w:tcW w:w="1417" w:type="dxa"/>
            <w:tcBorders>
              <w:top w:val="single" w:sz="4" w:space="0" w:color="auto"/>
              <w:left w:val="single" w:sz="4" w:space="0" w:color="auto"/>
              <w:bottom w:val="single" w:sz="4" w:space="0" w:color="auto"/>
              <w:right w:val="single" w:sz="4" w:space="0" w:color="auto"/>
            </w:tcBorders>
            <w:vAlign w:val="center"/>
          </w:tcPr>
          <w:p w14:paraId="7A134448" w14:textId="5F0A259E"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4"/>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4"/>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502F7C84" w14:textId="1D330573" w:rsidR="009745EA" w:rsidRPr="00130397" w:rsidRDefault="009745EA" w:rsidP="00A12328">
            <w:pPr>
              <w:keepNext/>
              <w:jc w:val="center"/>
              <w:rPr>
                <w:rFonts w:ascii="Arial Narrow" w:eastAsiaTheme="majorEastAsia" w:hAnsi="Arial Narrow" w:cstheme="majorBidi"/>
                <w:bCs/>
                <w:sz w:val="20"/>
              </w:rPr>
            </w:pPr>
            <w:r w:rsidRPr="00130397">
              <w:rPr>
                <w:rFonts w:ascii="Arial Narrow" w:eastAsiaTheme="majorEastAsia" w:hAnsi="Arial Narrow" w:cstheme="majorBidi"/>
                <w:bCs/>
                <w:sz w:val="20"/>
              </w:rPr>
              <w:t>$14,338</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C8C65E" w14:textId="48AAABFB"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3"/>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3"/>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6EEBFF" w14:textId="38F15D5A" w:rsidR="009745EA" w:rsidRPr="00955EA2" w:rsidRDefault="009745EA" w:rsidP="00A12328">
            <w:pPr>
              <w:keepNext/>
              <w:jc w:val="center"/>
              <w:rPr>
                <w:rFonts w:ascii="Arial Narrow" w:eastAsiaTheme="majorEastAsia" w:hAnsi="Arial Narrow" w:cstheme="majorBidi"/>
                <w:bCs/>
                <w:sz w:val="20"/>
              </w:rPr>
            </w:pPr>
            <w:r w:rsidRPr="00955EA2">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2"/>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2"/>
                <w14:textFill>
                  <w14:solidFill>
                    <w14:srgbClr w14:val="000000">
                      <w14:alpha w14:val="100000"/>
                    </w14:srgbClr>
                  </w14:solidFill>
                </w14:textFill>
              </w:rPr>
              <w:t>|</w:t>
            </w:r>
            <w:r w:rsidRPr="00955EA2">
              <w:rPr>
                <w:rFonts w:ascii="Arial Narrow" w:eastAsiaTheme="majorEastAsia" w:hAnsi="Arial Narrow" w:cstheme="majorBidi"/>
                <w:bCs/>
                <w:sz w:val="20"/>
              </w:rPr>
              <w:t>%</w:t>
            </w:r>
          </w:p>
        </w:tc>
      </w:tr>
      <w:tr w:rsidR="00B33DCB" w:rsidRPr="009745EA" w14:paraId="1B099A90" w14:textId="77777777" w:rsidTr="005F2C8B">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F6FB14" w14:textId="77777777" w:rsidR="009745EA" w:rsidRPr="009745EA" w:rsidRDefault="009745EA" w:rsidP="00A12328">
            <w:pPr>
              <w:keepNext/>
              <w:jc w:val="left"/>
              <w:rPr>
                <w:rFonts w:ascii="Arial Narrow" w:eastAsiaTheme="majorEastAsia" w:hAnsi="Arial Narrow" w:cstheme="majorBidi"/>
                <w:b/>
                <w:sz w:val="20"/>
              </w:rPr>
            </w:pPr>
            <w:r w:rsidRPr="009745EA">
              <w:rPr>
                <w:rFonts w:ascii="Arial Narrow" w:eastAsiaTheme="majorEastAsia" w:hAnsi="Arial Narrow" w:cstheme="majorBidi"/>
                <w:b/>
                <w:sz w:val="20"/>
              </w:rPr>
              <w:t>Total Costs</w:t>
            </w:r>
          </w:p>
        </w:tc>
        <w:tc>
          <w:tcPr>
            <w:tcW w:w="1417" w:type="dxa"/>
            <w:tcBorders>
              <w:top w:val="single" w:sz="4" w:space="0" w:color="auto"/>
              <w:left w:val="single" w:sz="4" w:space="0" w:color="auto"/>
              <w:bottom w:val="single" w:sz="4" w:space="0" w:color="auto"/>
              <w:right w:val="single" w:sz="4" w:space="0" w:color="auto"/>
            </w:tcBorders>
            <w:vAlign w:val="center"/>
          </w:tcPr>
          <w:p w14:paraId="6F0ACF75" w14:textId="23520E7E" w:rsidR="009745EA" w:rsidRPr="009745EA" w:rsidRDefault="009745EA" w:rsidP="00A12328">
            <w:pPr>
              <w:keepNext/>
              <w:jc w:val="center"/>
              <w:rPr>
                <w:rFonts w:ascii="Arial Narrow" w:eastAsiaTheme="majorEastAsia" w:hAnsi="Arial Narrow" w:cstheme="majorBidi"/>
                <w:b/>
                <w:sz w:val="20"/>
              </w:rPr>
            </w:pPr>
            <w:r w:rsidRPr="009745EA">
              <w:rPr>
                <w:rFonts w:ascii="Arial Narrow" w:eastAsiaTheme="majorEastAsia" w:hAnsi="Arial Narrow" w:cstheme="majorBidi"/>
                <w:b/>
                <w:sz w:val="20"/>
              </w:rPr>
              <w:t>$</w:t>
            </w:r>
            <w:r w:rsidR="00B50819" w:rsidRPr="00B50819">
              <w:rPr>
                <w:rFonts w:ascii="Arial Narrow" w:eastAsiaTheme="majorEastAsia" w:hAnsi="Arial Narrow" w:cstheme="majorBidi"/>
                <w:b/>
                <w:color w:val="000000"/>
                <w:spacing w:val="53"/>
                <w:sz w:val="20"/>
                <w:shd w:val="solid" w:color="000000" w:fill="000000"/>
                <w:fitText w:val="345" w:id="-628958971"/>
                <w14:textFill>
                  <w14:solidFill>
                    <w14:srgbClr w14:val="000000">
                      <w14:alpha w14:val="100000"/>
                    </w14:srgbClr>
                  </w14:solidFill>
                </w14:textFill>
              </w:rPr>
              <w:t>|||</w:t>
            </w:r>
            <w:r w:rsidR="00B50819" w:rsidRPr="00B50819">
              <w:rPr>
                <w:rFonts w:ascii="Arial Narrow" w:eastAsiaTheme="majorEastAsia" w:hAnsi="Arial Narrow" w:cstheme="majorBidi"/>
                <w:b/>
                <w:color w:val="000000"/>
                <w:spacing w:val="3"/>
                <w:sz w:val="20"/>
                <w:shd w:val="solid" w:color="000000" w:fill="000000"/>
                <w:fitText w:val="345" w:id="-628958971"/>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0CC5A741" w14:textId="5B9BB990" w:rsidR="009745EA" w:rsidRPr="00130397" w:rsidRDefault="009745EA" w:rsidP="00A12328">
            <w:pPr>
              <w:keepNext/>
              <w:jc w:val="center"/>
              <w:rPr>
                <w:rFonts w:ascii="Arial Narrow" w:eastAsiaTheme="majorEastAsia" w:hAnsi="Arial Narrow" w:cstheme="majorBidi"/>
                <w:b/>
                <w:sz w:val="20"/>
                <w:szCs w:val="20"/>
              </w:rPr>
            </w:pPr>
            <w:r w:rsidRPr="00130397">
              <w:rPr>
                <w:rFonts w:ascii="Arial Narrow" w:eastAsiaTheme="majorEastAsia" w:hAnsi="Arial Narrow" w:cstheme="majorBidi"/>
                <w:b/>
                <w:sz w:val="20"/>
                <w:szCs w:val="20"/>
              </w:rPr>
              <w:t>$163,806</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AE23E2" w14:textId="5694A874" w:rsidR="009745EA" w:rsidRPr="009745EA" w:rsidRDefault="009745EA" w:rsidP="00A12328">
            <w:pPr>
              <w:keepNext/>
              <w:jc w:val="center"/>
              <w:rPr>
                <w:rFonts w:ascii="Arial Narrow" w:eastAsiaTheme="majorEastAsia" w:hAnsi="Arial Narrow" w:cstheme="majorBidi"/>
                <w:b/>
                <w:sz w:val="20"/>
                <w:szCs w:val="20"/>
              </w:rPr>
            </w:pPr>
            <w:r w:rsidRPr="009745EA">
              <w:rPr>
                <w:rFonts w:ascii="Arial Narrow" w:eastAsiaTheme="majorEastAsia" w:hAnsi="Arial Narrow" w:cstheme="majorBidi"/>
                <w:b/>
                <w:sz w:val="20"/>
                <w:szCs w:val="20"/>
              </w:rPr>
              <w:t>$</w:t>
            </w:r>
            <w:r w:rsidR="00B50819" w:rsidRPr="00B50819">
              <w:rPr>
                <w:rFonts w:ascii="Arial Narrow" w:eastAsiaTheme="majorEastAsia" w:hAnsi="Arial Narrow" w:cstheme="majorBidi"/>
                <w:b/>
                <w:color w:val="000000"/>
                <w:spacing w:val="61"/>
                <w:w w:val="87"/>
                <w:sz w:val="20"/>
                <w:szCs w:val="20"/>
                <w:shd w:val="solid" w:color="000000" w:fill="000000"/>
                <w:fitText w:val="345" w:id="-628958970"/>
                <w14:textFill>
                  <w14:solidFill>
                    <w14:srgbClr w14:val="000000">
                      <w14:alpha w14:val="100000"/>
                    </w14:srgbClr>
                  </w14:solidFill>
                </w14:textFill>
              </w:rPr>
              <w:t>|||</w:t>
            </w:r>
            <w:r w:rsidR="00B50819" w:rsidRPr="00B50819">
              <w:rPr>
                <w:rFonts w:ascii="Arial Narrow" w:eastAsiaTheme="majorEastAsia" w:hAnsi="Arial Narrow" w:cstheme="majorBidi"/>
                <w:b/>
                <w:color w:val="000000"/>
                <w:spacing w:val="3"/>
                <w:w w:val="87"/>
                <w:sz w:val="20"/>
                <w:szCs w:val="20"/>
                <w:shd w:val="solid" w:color="000000" w:fill="000000"/>
                <w:fitText w:val="345" w:id="-628958970"/>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A36294" w14:textId="5B1C1728" w:rsidR="009745EA" w:rsidRPr="00955EA2" w:rsidRDefault="00B50819" w:rsidP="00A12328">
            <w:pPr>
              <w:keepNext/>
              <w:jc w:val="center"/>
              <w:rPr>
                <w:rFonts w:ascii="Arial Narrow" w:eastAsiaTheme="majorEastAsia" w:hAnsi="Arial Narrow" w:cstheme="majorBidi"/>
                <w:b/>
                <w:sz w:val="20"/>
              </w:rPr>
            </w:pPr>
            <w:r w:rsidRPr="00B50819">
              <w:rPr>
                <w:rFonts w:ascii="Arial Narrow" w:eastAsiaTheme="majorEastAsia" w:hAnsi="Arial Narrow" w:cstheme="majorBidi"/>
                <w:b/>
                <w:color w:val="000000"/>
                <w:spacing w:val="53"/>
                <w:sz w:val="20"/>
                <w:shd w:val="solid" w:color="000000" w:fill="000000"/>
                <w:fitText w:val="345" w:id="-628958969"/>
                <w14:textFill>
                  <w14:solidFill>
                    <w14:srgbClr w14:val="000000">
                      <w14:alpha w14:val="100000"/>
                    </w14:srgbClr>
                  </w14:solidFill>
                </w14:textFill>
              </w:rPr>
              <w:t>|||</w:t>
            </w:r>
            <w:r w:rsidRPr="00B50819">
              <w:rPr>
                <w:rFonts w:ascii="Arial Narrow" w:eastAsiaTheme="majorEastAsia" w:hAnsi="Arial Narrow" w:cstheme="majorBidi"/>
                <w:b/>
                <w:color w:val="000000"/>
                <w:spacing w:val="3"/>
                <w:sz w:val="20"/>
                <w:shd w:val="solid" w:color="000000" w:fill="000000"/>
                <w:fitText w:val="345" w:id="-628958969"/>
                <w14:textFill>
                  <w14:solidFill>
                    <w14:srgbClr w14:val="000000">
                      <w14:alpha w14:val="100000"/>
                    </w14:srgbClr>
                  </w14:solidFill>
                </w14:textFill>
              </w:rPr>
              <w:t>|</w:t>
            </w:r>
            <w:r w:rsidR="009745EA" w:rsidRPr="00955EA2">
              <w:rPr>
                <w:rFonts w:ascii="Arial Narrow" w:eastAsiaTheme="majorEastAsia" w:hAnsi="Arial Narrow" w:cstheme="majorBidi"/>
                <w:b/>
                <w:sz w:val="20"/>
              </w:rPr>
              <w:t>%</w:t>
            </w:r>
          </w:p>
        </w:tc>
      </w:tr>
    </w:tbl>
    <w:p w14:paraId="5A7B5523" w14:textId="77777777" w:rsidR="009745EA" w:rsidRPr="009745EA" w:rsidRDefault="009745EA" w:rsidP="00A12328">
      <w:pPr>
        <w:spacing w:after="120"/>
        <w:contextualSpacing/>
        <w:rPr>
          <w:rFonts w:ascii="Arial Narrow" w:hAnsi="Arial Narrow"/>
          <w:bCs/>
          <w:snapToGrid w:val="0"/>
          <w:sz w:val="18"/>
          <w:szCs w:val="18"/>
        </w:rPr>
      </w:pPr>
      <w:r w:rsidRPr="009745EA">
        <w:rPr>
          <w:rFonts w:ascii="Arial Narrow" w:hAnsi="Arial Narrow"/>
          <w:snapToGrid w:val="0"/>
          <w:sz w:val="18"/>
          <w:szCs w:val="22"/>
        </w:rPr>
        <w:t>Source: Table 3-30, p157 of the submission.</w:t>
      </w:r>
    </w:p>
    <w:p w14:paraId="487DFCDA" w14:textId="77777777"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 xml:space="preserve">ABCP = </w:t>
      </w:r>
      <w:r w:rsidRPr="009745EA">
        <w:rPr>
          <w:rFonts w:ascii="Arial Narrow" w:hAnsi="Arial Narrow" w:cstheme="minorHAnsi"/>
          <w:snapToGrid w:val="0"/>
          <w:sz w:val="18"/>
          <w:szCs w:val="22"/>
        </w:rPr>
        <w:t xml:space="preserve">atezolizumab, bevacizumab in combination with platinum doublet chemotherapy; </w:t>
      </w:r>
      <w:r w:rsidRPr="009745EA">
        <w:rPr>
          <w:rFonts w:ascii="Arial Narrow" w:hAnsi="Arial Narrow"/>
          <w:snapToGrid w:val="0"/>
          <w:sz w:val="18"/>
          <w:szCs w:val="22"/>
        </w:rPr>
        <w:t>CNS = central nervous system.</w:t>
      </w:r>
    </w:p>
    <w:p w14:paraId="245A0892" w14:textId="77777777" w:rsidR="009745EA" w:rsidRPr="009745EA" w:rsidRDefault="009745EA" w:rsidP="00A12328">
      <w:pPr>
        <w:spacing w:after="120"/>
        <w:ind w:left="165" w:hanging="165"/>
        <w:contextualSpacing/>
        <w:rPr>
          <w:rFonts w:ascii="Arial Narrow" w:hAnsi="Arial Narrow"/>
          <w:snapToGrid w:val="0"/>
          <w:sz w:val="18"/>
          <w:szCs w:val="22"/>
        </w:rPr>
      </w:pPr>
      <w:r w:rsidRPr="009745EA">
        <w:rPr>
          <w:rFonts w:ascii="Arial Narrow" w:hAnsi="Arial Narrow"/>
          <w:snapToGrid w:val="0"/>
          <w:sz w:val="18"/>
          <w:szCs w:val="22"/>
          <w:vertAlign w:val="superscript"/>
        </w:rPr>
        <w:t>a</w:t>
      </w:r>
      <w:r w:rsidRPr="009745EA">
        <w:rPr>
          <w:rFonts w:ascii="Arial Narrow" w:hAnsi="Arial Narrow"/>
          <w:snapToGrid w:val="0"/>
          <w:sz w:val="18"/>
          <w:szCs w:val="22"/>
          <w:vertAlign w:val="superscript"/>
        </w:rPr>
        <w:tab/>
      </w:r>
      <w:r w:rsidRPr="009745EA">
        <w:rPr>
          <w:rFonts w:ascii="Arial Narrow" w:hAnsi="Arial Narrow"/>
          <w:snapToGrid w:val="0"/>
          <w:sz w:val="18"/>
          <w:szCs w:val="22"/>
        </w:rPr>
        <w:t>Costs of osimertinib, ABCP, PD1/PDL1, non-platinum chemotherapy, and platinum-based chemotherapy.</w:t>
      </w:r>
    </w:p>
    <w:p w14:paraId="2D07868F" w14:textId="77777777" w:rsid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vertAlign w:val="superscript"/>
        </w:rPr>
        <w:t>b</w:t>
      </w:r>
      <w:r w:rsidRPr="009745EA">
        <w:rPr>
          <w:rFonts w:ascii="Arial Narrow" w:hAnsi="Arial Narrow"/>
          <w:snapToGrid w:val="0"/>
          <w:sz w:val="18"/>
          <w:szCs w:val="22"/>
          <w:vertAlign w:val="superscript"/>
        </w:rPr>
        <w:tab/>
      </w:r>
      <w:r w:rsidRPr="009745EA">
        <w:rPr>
          <w:rFonts w:ascii="Arial Narrow" w:hAnsi="Arial Narrow"/>
          <w:snapToGrid w:val="0"/>
          <w:sz w:val="18"/>
          <w:szCs w:val="22"/>
        </w:rPr>
        <w:t>Monitoring comprise of doctor visits, pathology, radiography, CT scans and hospitalisations.</w:t>
      </w:r>
    </w:p>
    <w:p w14:paraId="20F70FB4" w14:textId="12570CB9" w:rsidR="00AA3606" w:rsidRPr="009745EA" w:rsidRDefault="00AA3606" w:rsidP="00A12328">
      <w:pPr>
        <w:spacing w:after="120"/>
        <w:contextualSpacing/>
        <w:rPr>
          <w:rFonts w:ascii="Arial Narrow" w:hAnsi="Arial Narrow"/>
          <w:snapToGrid w:val="0"/>
          <w:sz w:val="18"/>
          <w:szCs w:val="22"/>
        </w:rPr>
      </w:pPr>
    </w:p>
    <w:p w14:paraId="14C1D44C" w14:textId="7A96CC79" w:rsidR="009745EA" w:rsidRPr="00F466A7" w:rsidRDefault="009745EA" w:rsidP="00A12328">
      <w:pPr>
        <w:pStyle w:val="3-BodyText"/>
        <w:rPr>
          <w:iCs/>
        </w:rPr>
      </w:pPr>
      <w:r w:rsidRPr="00F466A7">
        <w:rPr>
          <w:iCs/>
        </w:rPr>
        <w:t>Osimertinib costs were the largest contributor to the incremental costs. The largest cost offsets were subsequent treatment costs, resulting from the high costs of osimertinib for patients in the placebo arm who progressed. The next largest cost offsets were disease monitoring costs, which were driven by assumptions about the frequency of hospitalisations.</w:t>
      </w:r>
    </w:p>
    <w:p w14:paraId="6AFA31DC" w14:textId="0FC0DAD4" w:rsidR="009745EA" w:rsidRPr="009745EA" w:rsidRDefault="009745EA" w:rsidP="00A12328">
      <w:pPr>
        <w:pStyle w:val="3-BodyText"/>
        <w:rPr>
          <w:i/>
        </w:rPr>
      </w:pPr>
      <w:r w:rsidRPr="00F466A7">
        <w:rPr>
          <w:iCs/>
        </w:rPr>
        <w:t>Model Markov traces are presente</w:t>
      </w:r>
      <w:r w:rsidRPr="00F466A7">
        <w:rPr>
          <w:iCs/>
          <w:lang w:eastAsia="en-US"/>
        </w:rPr>
        <w:t>d in</w:t>
      </w:r>
      <w:r w:rsidR="009534CE" w:rsidRPr="00F466A7">
        <w:rPr>
          <w:iCs/>
          <w:lang w:eastAsia="en-US"/>
        </w:rPr>
        <w:t xml:space="preserve"> </w:t>
      </w:r>
      <w:r w:rsidR="009534CE" w:rsidRPr="00F466A7">
        <w:rPr>
          <w:iCs/>
          <w:lang w:eastAsia="en-US"/>
        </w:rPr>
        <w:fldChar w:fldCharType="begin"/>
      </w:r>
      <w:r w:rsidR="009534CE" w:rsidRPr="00F466A7">
        <w:rPr>
          <w:iCs/>
          <w:lang w:eastAsia="en-US"/>
        </w:rPr>
        <w:instrText xml:space="preserve"> REF _Ref198207928 \h  \* MERGEFORMAT </w:instrText>
      </w:r>
      <w:r w:rsidR="009534CE" w:rsidRPr="00F466A7">
        <w:rPr>
          <w:iCs/>
          <w:lang w:eastAsia="en-US"/>
        </w:rPr>
      </w:r>
      <w:r w:rsidR="009534CE" w:rsidRPr="00F466A7">
        <w:rPr>
          <w:iCs/>
          <w:lang w:eastAsia="en-US"/>
        </w:rPr>
        <w:fldChar w:fldCharType="separate"/>
      </w:r>
      <w:r w:rsidR="009F3D59" w:rsidRPr="009F3D59">
        <w:rPr>
          <w:iCs/>
          <w:lang w:eastAsia="en-US"/>
        </w:rPr>
        <w:t>Figure 7</w:t>
      </w:r>
      <w:r w:rsidR="009534CE" w:rsidRPr="00F466A7">
        <w:rPr>
          <w:iCs/>
          <w:lang w:eastAsia="en-US"/>
        </w:rPr>
        <w:fldChar w:fldCharType="end"/>
      </w:r>
      <w:r w:rsidRPr="00F466A7">
        <w:rPr>
          <w:iCs/>
        </w:rPr>
        <w:t xml:space="preserve">. </w:t>
      </w:r>
      <w:r w:rsidRPr="00F466A7">
        <w:rPr>
          <w:iCs/>
          <w:lang w:eastAsia="en-US"/>
        </w:rPr>
        <w:t xml:space="preserve">The model traces illustrate a large benefit for osimertinib versus placebo with respect to PFS. </w:t>
      </w:r>
      <w:r w:rsidR="00121752">
        <w:rPr>
          <w:iCs/>
        </w:rPr>
        <w:t>The evaluation considered that p</w:t>
      </w:r>
      <w:r w:rsidR="00EB41B3" w:rsidRPr="00F466A7">
        <w:rPr>
          <w:iCs/>
        </w:rPr>
        <w:t xml:space="preserve">lacebo patients in Australia may have better PFS than those in LAURA, and therefore, the magnitude of the benefit from osimertinib post-CRT may be smaller in the Australian setting than reported in the LAURA trial. </w:t>
      </w:r>
      <w:r w:rsidR="00EB41B3" w:rsidRPr="00F466A7">
        <w:rPr>
          <w:iCs/>
          <w:lang w:eastAsia="en-US"/>
        </w:rPr>
        <w:t xml:space="preserve">They also show a large benefit with respect to OS given OS data from the LAURA trial was immature. </w:t>
      </w:r>
      <w:r w:rsidRPr="00F466A7">
        <w:rPr>
          <w:iCs/>
          <w:lang w:eastAsia="en-US"/>
        </w:rPr>
        <w:t>A large proportion of patients are in the progress</w:t>
      </w:r>
      <w:r w:rsidR="00EB41B3" w:rsidRPr="00F466A7">
        <w:rPr>
          <w:iCs/>
          <w:lang w:eastAsia="en-US"/>
        </w:rPr>
        <w:t>ive</w:t>
      </w:r>
      <w:r w:rsidRPr="00F466A7">
        <w:rPr>
          <w:iCs/>
          <w:lang w:eastAsia="en-US"/>
        </w:rPr>
        <w:t xml:space="preserve"> disease health state in the placebo arm compared to the osimertinib arm, especially in the first 50 months.</w:t>
      </w:r>
      <w:r w:rsidR="009150F0" w:rsidRPr="00F466A7">
        <w:rPr>
          <w:iCs/>
          <w:lang w:eastAsia="en-US"/>
        </w:rPr>
        <w:t xml:space="preserve"> </w:t>
      </w:r>
      <w:r w:rsidR="001201F6">
        <w:rPr>
          <w:iCs/>
          <w:lang w:eastAsia="en-US"/>
        </w:rPr>
        <w:t>As noted previously, the</w:t>
      </w:r>
      <w:r w:rsidR="001201F6" w:rsidRPr="00F466A7">
        <w:rPr>
          <w:iCs/>
          <w:lang w:eastAsia="en-US"/>
        </w:rPr>
        <w:t xml:space="preserve"> </w:t>
      </w:r>
      <w:r w:rsidR="009150F0" w:rsidRPr="00F466A7">
        <w:rPr>
          <w:iCs/>
          <w:lang w:eastAsia="en-US"/>
        </w:rPr>
        <w:t>OS curve for the osimertinib arm was adjusted and assumed to be the same as the placebo arm for the first 30 months of the model.</w:t>
      </w:r>
      <w:r w:rsidR="006C0C12">
        <w:rPr>
          <w:i/>
          <w:lang w:eastAsia="en-US"/>
        </w:rPr>
        <w:t xml:space="preserve"> </w:t>
      </w:r>
      <w:r w:rsidR="006C0C12">
        <w:t>T</w:t>
      </w:r>
      <w:r w:rsidR="006C0C12" w:rsidRPr="00FC6042">
        <w:t xml:space="preserve">he KM data from </w:t>
      </w:r>
      <w:r w:rsidR="006C0C12">
        <w:t xml:space="preserve">the </w:t>
      </w:r>
      <w:r w:rsidR="006C0C12" w:rsidRPr="00FC6042">
        <w:t xml:space="preserve">LAURA </w:t>
      </w:r>
      <w:r w:rsidR="006C0C12">
        <w:t xml:space="preserve">trial </w:t>
      </w:r>
      <w:r w:rsidR="00FD0BFF" w:rsidRPr="001201F6">
        <w:t>indicates</w:t>
      </w:r>
      <w:r w:rsidR="00FD0BFF" w:rsidRPr="00FC6042">
        <w:t xml:space="preserve"> </w:t>
      </w:r>
      <w:r w:rsidR="006C0C12" w:rsidRPr="00FC6042">
        <w:t>that patients receiving osimertinib experienced a higher rate of death</w:t>
      </w:r>
      <w:r w:rsidR="006C0C12">
        <w:t xml:space="preserve"> than placebo patients</w:t>
      </w:r>
      <w:r w:rsidR="006C0C12" w:rsidRPr="00FC6042">
        <w:t xml:space="preserve"> prior to Month </w:t>
      </w:r>
      <w:r w:rsidR="006C0C12" w:rsidRPr="00303DEE">
        <w:t>30</w:t>
      </w:r>
      <w:r w:rsidR="006C0C12">
        <w:t xml:space="preserve">. </w:t>
      </w:r>
    </w:p>
    <w:p w14:paraId="1B57C55A" w14:textId="7721B24B" w:rsidR="009745EA" w:rsidRPr="00322D71" w:rsidRDefault="009745EA" w:rsidP="00A12328">
      <w:pPr>
        <w:keepNext/>
        <w:keepLines/>
        <w:spacing w:before="60" w:after="60"/>
        <w:rPr>
          <w:rFonts w:ascii="Arial Narrow" w:hAnsi="Arial Narrow"/>
          <w:b/>
          <w:snapToGrid w:val="0"/>
          <w:sz w:val="20"/>
          <w:szCs w:val="20"/>
          <w:lang w:eastAsia="en-US"/>
        </w:rPr>
      </w:pPr>
      <w:bookmarkStart w:id="76" w:name="_Ref198207928"/>
      <w:r w:rsidRPr="00322D71">
        <w:rPr>
          <w:rFonts w:ascii="Arial Narrow" w:hAnsi="Arial Narrow"/>
          <w:b/>
          <w:snapToGrid w:val="0"/>
          <w:sz w:val="20"/>
          <w:szCs w:val="20"/>
        </w:rPr>
        <w:t xml:space="preserve">Figure </w:t>
      </w:r>
      <w:r w:rsidRPr="00322D71">
        <w:rPr>
          <w:rFonts w:ascii="Arial Narrow" w:hAnsi="Arial Narrow"/>
          <w:b/>
          <w:snapToGrid w:val="0"/>
          <w:sz w:val="20"/>
          <w:szCs w:val="20"/>
        </w:rPr>
        <w:fldChar w:fldCharType="begin"/>
      </w:r>
      <w:r w:rsidRPr="00322D71">
        <w:rPr>
          <w:rFonts w:ascii="Arial Narrow" w:hAnsi="Arial Narrow"/>
          <w:b/>
          <w:snapToGrid w:val="0"/>
          <w:sz w:val="20"/>
          <w:szCs w:val="20"/>
        </w:rPr>
        <w:instrText xml:space="preserve"> SEQ Figure \* ARABIC </w:instrText>
      </w:r>
      <w:r w:rsidRPr="00322D71">
        <w:rPr>
          <w:rFonts w:ascii="Arial Narrow" w:hAnsi="Arial Narrow"/>
          <w:b/>
          <w:snapToGrid w:val="0"/>
          <w:sz w:val="20"/>
          <w:szCs w:val="20"/>
        </w:rPr>
        <w:fldChar w:fldCharType="separate"/>
      </w:r>
      <w:r w:rsidR="009F3D59">
        <w:rPr>
          <w:rFonts w:ascii="Arial Narrow" w:hAnsi="Arial Narrow"/>
          <w:b/>
          <w:noProof/>
          <w:snapToGrid w:val="0"/>
          <w:sz w:val="20"/>
          <w:szCs w:val="20"/>
        </w:rPr>
        <w:t>7</w:t>
      </w:r>
      <w:r w:rsidRPr="00322D71">
        <w:rPr>
          <w:rFonts w:ascii="Arial Narrow" w:hAnsi="Arial Narrow"/>
          <w:b/>
          <w:noProof/>
          <w:snapToGrid w:val="0"/>
          <w:sz w:val="20"/>
          <w:szCs w:val="20"/>
        </w:rPr>
        <w:fldChar w:fldCharType="end"/>
      </w:r>
      <w:bookmarkEnd w:id="76"/>
      <w:r w:rsidRPr="00322D71">
        <w:rPr>
          <w:rFonts w:ascii="Arial Narrow" w:hAnsi="Arial Narrow"/>
          <w:b/>
          <w:snapToGrid w:val="0"/>
          <w:sz w:val="20"/>
          <w:szCs w:val="20"/>
          <w:lang w:eastAsia="en-US"/>
        </w:rPr>
        <w:t>: Markov traces</w:t>
      </w:r>
    </w:p>
    <w:p w14:paraId="113ACE10" w14:textId="77777777" w:rsidR="009745EA" w:rsidRPr="009745EA" w:rsidRDefault="009745EA" w:rsidP="00A12328">
      <w:pPr>
        <w:keepNext/>
        <w:keepLines/>
        <w:spacing w:before="60" w:after="60"/>
        <w:rPr>
          <w:rFonts w:ascii="Arial Narrow" w:hAnsi="Arial Narrow"/>
          <w:b/>
          <w:snapToGrid w:val="0"/>
          <w:sz w:val="20"/>
          <w:szCs w:val="20"/>
          <w:lang w:eastAsia="en-US"/>
        </w:rPr>
      </w:pPr>
      <w:r w:rsidRPr="009745EA">
        <w:rPr>
          <w:rFonts w:ascii="Arial Narrow" w:hAnsi="Arial Narrow"/>
          <w:i/>
          <w:iCs/>
          <w:noProof/>
          <w:snapToGrid w:val="0"/>
          <w:sz w:val="20"/>
          <w:szCs w:val="20"/>
        </w:rPr>
        <w:drawing>
          <wp:inline distT="0" distB="0" distL="0" distR="0" wp14:anchorId="36612DEF" wp14:editId="77BF3728">
            <wp:extent cx="5457825" cy="3177880"/>
            <wp:effectExtent l="0" t="0" r="0" b="3810"/>
            <wp:docPr id="20" name="Picture 20" descr="Figure 7: Markov t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7: Markov trac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3718" cy="3192957"/>
                    </a:xfrm>
                    <a:prstGeom prst="rect">
                      <a:avLst/>
                    </a:prstGeom>
                    <a:noFill/>
                  </pic:spPr>
                </pic:pic>
              </a:graphicData>
            </a:graphic>
          </wp:inline>
        </w:drawing>
      </w:r>
    </w:p>
    <w:p w14:paraId="17FFF06A" w14:textId="43CD5524" w:rsidR="009745EA" w:rsidRPr="00F466A7" w:rsidRDefault="009745EA" w:rsidP="00A12328">
      <w:pPr>
        <w:rPr>
          <w:rFonts w:ascii="Arial Narrow" w:hAnsi="Arial Narrow"/>
          <w:sz w:val="18"/>
          <w:szCs w:val="18"/>
        </w:rPr>
      </w:pPr>
      <w:r w:rsidRPr="00F466A7">
        <w:rPr>
          <w:rFonts w:ascii="Arial Narrow" w:hAnsi="Arial Narrow"/>
          <w:sz w:val="18"/>
          <w:szCs w:val="18"/>
        </w:rPr>
        <w:t xml:space="preserve">Source: </w:t>
      </w:r>
      <w:r w:rsidR="00322D71">
        <w:rPr>
          <w:rFonts w:ascii="Arial Narrow" w:hAnsi="Arial Narrow"/>
          <w:sz w:val="18"/>
          <w:szCs w:val="18"/>
        </w:rPr>
        <w:t>I</w:t>
      </w:r>
      <w:r w:rsidRPr="00F466A7">
        <w:rPr>
          <w:rFonts w:ascii="Arial Narrow" w:hAnsi="Arial Narrow"/>
          <w:sz w:val="18"/>
          <w:szCs w:val="18"/>
        </w:rPr>
        <w:t>ndependently constructed during the evaluation from ‘Trace-OSI’ and ‘Trace-Placebo’ worksheets in ‘LAURA economic evaluation’ file.</w:t>
      </w:r>
    </w:p>
    <w:p w14:paraId="50B6D99D" w14:textId="2F78660A" w:rsidR="009745EA" w:rsidRPr="00F466A7" w:rsidRDefault="009745EA" w:rsidP="00A12328">
      <w:pPr>
        <w:rPr>
          <w:rFonts w:ascii="Arial Narrow" w:hAnsi="Arial Narrow"/>
          <w:sz w:val="18"/>
          <w:szCs w:val="18"/>
        </w:rPr>
      </w:pPr>
      <w:r w:rsidRPr="00F466A7">
        <w:rPr>
          <w:rFonts w:ascii="Arial Narrow" w:hAnsi="Arial Narrow"/>
          <w:sz w:val="18"/>
          <w:szCs w:val="18"/>
        </w:rPr>
        <w:t>PD= progress</w:t>
      </w:r>
      <w:r w:rsidR="00F446BB" w:rsidRPr="00F466A7">
        <w:rPr>
          <w:rFonts w:ascii="Arial Narrow" w:hAnsi="Arial Narrow"/>
          <w:sz w:val="18"/>
          <w:szCs w:val="18"/>
        </w:rPr>
        <w:t>ive</w:t>
      </w:r>
      <w:r w:rsidRPr="00F466A7">
        <w:rPr>
          <w:rFonts w:ascii="Arial Narrow" w:hAnsi="Arial Narrow"/>
          <w:sz w:val="18"/>
          <w:szCs w:val="18"/>
        </w:rPr>
        <w:t xml:space="preserve"> disease; PFS = progression-free survival.</w:t>
      </w:r>
    </w:p>
    <w:p w14:paraId="11C74457" w14:textId="77777777" w:rsidR="009745EA" w:rsidRPr="009745EA" w:rsidRDefault="009745EA" w:rsidP="00A12328">
      <w:pPr>
        <w:spacing w:before="60" w:after="60"/>
        <w:rPr>
          <w:rFonts w:asciiTheme="minorHAnsi" w:hAnsiTheme="minorHAnsi"/>
          <w:snapToGrid w:val="0"/>
        </w:rPr>
      </w:pPr>
    </w:p>
    <w:p w14:paraId="71C1C77E" w14:textId="77777777" w:rsidR="00FC23C0" w:rsidRDefault="00FC23C0" w:rsidP="00A12328">
      <w:pPr>
        <w:jc w:val="left"/>
        <w:rPr>
          <w:rFonts w:asciiTheme="minorHAnsi" w:hAnsiTheme="minorHAnsi" w:cstheme="minorHAnsi"/>
          <w:snapToGrid w:val="0"/>
        </w:rPr>
      </w:pPr>
      <w:r>
        <w:rPr>
          <w:rFonts w:asciiTheme="minorHAnsi" w:hAnsiTheme="minorHAnsi" w:cstheme="minorHAnsi"/>
          <w:snapToGrid w:val="0"/>
        </w:rPr>
        <w:br w:type="page"/>
      </w:r>
    </w:p>
    <w:p w14:paraId="24956B17" w14:textId="2091937D" w:rsidR="009745EA" w:rsidRPr="009745EA" w:rsidRDefault="00DC5FCF" w:rsidP="00A12328">
      <w:pPr>
        <w:numPr>
          <w:ilvl w:val="1"/>
          <w:numId w:val="1"/>
        </w:numPr>
        <w:spacing w:after="160"/>
        <w:rPr>
          <w:rFonts w:asciiTheme="minorHAnsi" w:hAnsiTheme="minorHAnsi"/>
          <w:snapToGrid w:val="0"/>
        </w:rPr>
      </w:pPr>
      <w:r w:rsidRPr="00DC5FCF">
        <w:rPr>
          <w:rFonts w:asciiTheme="minorHAnsi" w:hAnsiTheme="minorHAnsi" w:cstheme="minorHAnsi"/>
          <w:snapToGrid w:val="0"/>
        </w:rPr>
        <w:fldChar w:fldCharType="begin"/>
      </w:r>
      <w:r w:rsidRPr="00DC5FCF">
        <w:rPr>
          <w:rFonts w:asciiTheme="minorHAnsi" w:hAnsiTheme="minorHAnsi" w:cstheme="minorHAnsi"/>
          <w:snapToGrid w:val="0"/>
        </w:rPr>
        <w:instrText xml:space="preserve"> REF _Ref198211091 \h  \* MERGEFORMAT </w:instrText>
      </w:r>
      <w:r w:rsidRPr="00DC5FCF">
        <w:rPr>
          <w:rFonts w:asciiTheme="minorHAnsi" w:hAnsiTheme="minorHAnsi" w:cstheme="minorHAnsi"/>
          <w:snapToGrid w:val="0"/>
        </w:rPr>
      </w:r>
      <w:r w:rsidRPr="00DC5FCF">
        <w:rPr>
          <w:rFonts w:asciiTheme="minorHAnsi" w:hAnsiTheme="minorHAnsi" w:cstheme="minorHAnsi"/>
          <w:snapToGrid w:val="0"/>
        </w:rPr>
        <w:fldChar w:fldCharType="separate"/>
      </w:r>
      <w:r w:rsidR="009F3D59" w:rsidRPr="009F3D59">
        <w:rPr>
          <w:rFonts w:asciiTheme="minorHAnsi" w:hAnsiTheme="minorHAnsi" w:cstheme="minorHAnsi"/>
        </w:rPr>
        <w:t xml:space="preserve">Table </w:t>
      </w:r>
      <w:r w:rsidR="009F3D59" w:rsidRPr="009F3D59">
        <w:rPr>
          <w:rFonts w:asciiTheme="minorHAnsi" w:hAnsiTheme="minorHAnsi" w:cstheme="minorHAnsi"/>
          <w:noProof/>
        </w:rPr>
        <w:t>14</w:t>
      </w:r>
      <w:r w:rsidRPr="00DC5FCF">
        <w:rPr>
          <w:rFonts w:asciiTheme="minorHAnsi" w:hAnsiTheme="minorHAnsi" w:cstheme="minorHAnsi"/>
          <w:snapToGrid w:val="0"/>
        </w:rPr>
        <w:fldChar w:fldCharType="end"/>
      </w:r>
      <w:r w:rsidRPr="00DC5FCF">
        <w:rPr>
          <w:rFonts w:asciiTheme="minorHAnsi" w:hAnsiTheme="minorHAnsi" w:cstheme="minorHAnsi"/>
          <w:snapToGrid w:val="0"/>
        </w:rPr>
        <w:t xml:space="preserve"> </w:t>
      </w:r>
      <w:r w:rsidR="009745EA" w:rsidRPr="00DC5FCF">
        <w:rPr>
          <w:rFonts w:asciiTheme="minorHAnsi" w:hAnsiTheme="minorHAnsi" w:cstheme="minorHAnsi"/>
          <w:snapToGrid w:val="0"/>
        </w:rPr>
        <w:t>prese</w:t>
      </w:r>
      <w:r w:rsidR="009745EA" w:rsidRPr="009745EA">
        <w:rPr>
          <w:rFonts w:asciiTheme="minorHAnsi" w:hAnsiTheme="minorHAnsi"/>
          <w:snapToGrid w:val="0"/>
        </w:rPr>
        <w:t>nts a summary of the key drivers of the model.</w:t>
      </w:r>
    </w:p>
    <w:p w14:paraId="133A0EA6" w14:textId="35BF0AF0" w:rsidR="009745EA" w:rsidRPr="009745EA" w:rsidRDefault="009745EA" w:rsidP="00A12328">
      <w:pPr>
        <w:keepNext/>
        <w:keepLines/>
        <w:jc w:val="left"/>
        <w:rPr>
          <w:rFonts w:ascii="Arial Narrow" w:hAnsi="Arial Narrow"/>
          <w:b/>
          <w:bCs/>
          <w:sz w:val="20"/>
        </w:rPr>
      </w:pPr>
      <w:bookmarkStart w:id="77" w:name="_Ref198211091"/>
      <w:r w:rsidRPr="009745EA">
        <w:rPr>
          <w:rFonts w:ascii="Arial Narrow" w:hAnsi="Arial Narrow"/>
          <w:b/>
          <w:bCs/>
          <w:sz w:val="20"/>
          <w:szCs w:val="18"/>
        </w:rPr>
        <w:t xml:space="preserve">Table </w:t>
      </w:r>
      <w:r w:rsidRPr="009745EA">
        <w:rPr>
          <w:rFonts w:ascii="Arial Narrow" w:hAnsi="Arial Narrow"/>
          <w:b/>
          <w:bCs/>
          <w:sz w:val="20"/>
          <w:szCs w:val="18"/>
        </w:rPr>
        <w:fldChar w:fldCharType="begin"/>
      </w:r>
      <w:r w:rsidRPr="009745EA">
        <w:rPr>
          <w:rFonts w:ascii="Arial Narrow" w:hAnsi="Arial Narrow"/>
          <w:b/>
          <w:bCs/>
          <w:sz w:val="20"/>
          <w:szCs w:val="18"/>
        </w:rPr>
        <w:instrText xml:space="preserve"> SEQ Table \* ARABIC </w:instrText>
      </w:r>
      <w:r w:rsidRPr="009745EA">
        <w:rPr>
          <w:rFonts w:ascii="Arial Narrow" w:hAnsi="Arial Narrow"/>
          <w:b/>
          <w:bCs/>
          <w:sz w:val="20"/>
          <w:szCs w:val="18"/>
        </w:rPr>
        <w:fldChar w:fldCharType="separate"/>
      </w:r>
      <w:r w:rsidR="009F3D59">
        <w:rPr>
          <w:rFonts w:ascii="Arial Narrow" w:hAnsi="Arial Narrow"/>
          <w:b/>
          <w:bCs/>
          <w:noProof/>
          <w:sz w:val="20"/>
          <w:szCs w:val="18"/>
        </w:rPr>
        <w:t>14</w:t>
      </w:r>
      <w:r w:rsidRPr="009745EA">
        <w:rPr>
          <w:rFonts w:ascii="Arial Narrow" w:hAnsi="Arial Narrow"/>
          <w:b/>
          <w:bCs/>
          <w:noProof/>
          <w:sz w:val="20"/>
          <w:szCs w:val="18"/>
        </w:rPr>
        <w:fldChar w:fldCharType="end"/>
      </w:r>
      <w:bookmarkEnd w:id="77"/>
      <w:r w:rsidRPr="009745EA">
        <w:rPr>
          <w:rFonts w:ascii="Arial Narrow" w:hAnsi="Arial Narrow"/>
          <w:b/>
          <w:bCs/>
          <w:sz w:val="20"/>
          <w:szCs w:val="18"/>
        </w:rPr>
        <w:t>:</w:t>
      </w:r>
      <w:r w:rsidRPr="009745EA">
        <w:rPr>
          <w:rFonts w:ascii="Arial Narrow" w:hAnsi="Arial Narrow"/>
          <w:b/>
          <w:bCs/>
          <w:sz w:val="20"/>
        </w:rPr>
        <w:t xml:space="preserve"> Key drivers of the model</w:t>
      </w:r>
    </w:p>
    <w:tbl>
      <w:tblPr>
        <w:tblStyle w:val="PBAClayout"/>
        <w:tblW w:w="5000" w:type="pct"/>
        <w:tblLayout w:type="fixed"/>
        <w:tblLook w:val="04A0" w:firstRow="1" w:lastRow="0" w:firstColumn="1" w:lastColumn="0" w:noHBand="0" w:noVBand="1"/>
        <w:tblCaption w:val="Table 14: Key drivers of the model"/>
      </w:tblPr>
      <w:tblGrid>
        <w:gridCol w:w="1981"/>
        <w:gridCol w:w="4252"/>
        <w:gridCol w:w="2784"/>
      </w:tblGrid>
      <w:tr w:rsidR="009745EA" w:rsidRPr="00F466A7" w14:paraId="2FBBF6D0" w14:textId="77777777" w:rsidTr="6A7C443A">
        <w:tc>
          <w:tcPr>
            <w:tcW w:w="1098" w:type="pct"/>
          </w:tcPr>
          <w:p w14:paraId="3550C01C" w14:textId="77777777" w:rsidR="009745EA" w:rsidRPr="00F466A7" w:rsidRDefault="009745EA" w:rsidP="00A12328">
            <w:pPr>
              <w:keepNext/>
              <w:jc w:val="left"/>
              <w:rPr>
                <w:rFonts w:ascii="Arial Narrow" w:eastAsiaTheme="majorEastAsia" w:hAnsi="Arial Narrow" w:cs="Times New Roman"/>
                <w:b/>
                <w:sz w:val="20"/>
              </w:rPr>
            </w:pPr>
            <w:r w:rsidRPr="00F466A7">
              <w:rPr>
                <w:rFonts w:ascii="Arial Narrow" w:eastAsiaTheme="majorEastAsia" w:hAnsi="Arial Narrow" w:cs="Times New Roman"/>
                <w:b/>
                <w:sz w:val="20"/>
              </w:rPr>
              <w:t>Description</w:t>
            </w:r>
          </w:p>
        </w:tc>
        <w:tc>
          <w:tcPr>
            <w:tcW w:w="2358" w:type="pct"/>
          </w:tcPr>
          <w:p w14:paraId="75E6C8C9" w14:textId="77777777" w:rsidR="009745EA" w:rsidRPr="00F466A7" w:rsidRDefault="009745EA" w:rsidP="00A12328">
            <w:pPr>
              <w:keepNext/>
              <w:jc w:val="center"/>
              <w:rPr>
                <w:rFonts w:ascii="Arial Narrow" w:eastAsiaTheme="majorEastAsia" w:hAnsi="Arial Narrow" w:cs="Times New Roman"/>
                <w:b/>
                <w:sz w:val="20"/>
              </w:rPr>
            </w:pPr>
            <w:r w:rsidRPr="00F466A7">
              <w:rPr>
                <w:rFonts w:ascii="Arial Narrow" w:eastAsiaTheme="majorEastAsia" w:hAnsi="Arial Narrow" w:cs="Times New Roman"/>
                <w:b/>
                <w:sz w:val="20"/>
              </w:rPr>
              <w:t>Method/Value</w:t>
            </w:r>
          </w:p>
        </w:tc>
        <w:tc>
          <w:tcPr>
            <w:tcW w:w="1544" w:type="pct"/>
          </w:tcPr>
          <w:p w14:paraId="31B1C653" w14:textId="77777777" w:rsidR="009745EA" w:rsidRPr="00F466A7" w:rsidRDefault="009745EA" w:rsidP="00A12328">
            <w:pPr>
              <w:keepNext/>
              <w:jc w:val="center"/>
              <w:rPr>
                <w:rFonts w:ascii="Arial Narrow" w:eastAsiaTheme="majorEastAsia" w:hAnsi="Arial Narrow" w:cs="Times New Roman"/>
                <w:b/>
                <w:sz w:val="20"/>
              </w:rPr>
            </w:pPr>
            <w:r w:rsidRPr="00F466A7">
              <w:rPr>
                <w:rFonts w:ascii="Arial Narrow" w:eastAsiaTheme="majorEastAsia" w:hAnsi="Arial Narrow" w:cs="Times New Roman"/>
                <w:b/>
                <w:sz w:val="20"/>
              </w:rPr>
              <w:t>Impact</w:t>
            </w:r>
          </w:p>
          <w:p w14:paraId="0C122902" w14:textId="16F013C2" w:rsidR="009745EA" w:rsidRPr="00F466A7" w:rsidRDefault="009745EA" w:rsidP="00A12328">
            <w:pPr>
              <w:keepNext/>
              <w:jc w:val="center"/>
              <w:rPr>
                <w:rFonts w:ascii="Arial Narrow" w:eastAsiaTheme="majorEastAsia" w:hAnsi="Arial Narrow" w:cs="Times New Roman"/>
                <w:b/>
                <w:sz w:val="20"/>
              </w:rPr>
            </w:pPr>
            <w:r w:rsidRPr="00F466A7">
              <w:rPr>
                <w:rFonts w:ascii="Arial Narrow" w:eastAsiaTheme="majorEastAsia" w:hAnsi="Arial Narrow"/>
                <w:b/>
                <w:sz w:val="20"/>
                <w:szCs w:val="20"/>
              </w:rPr>
              <w:t>Base case: $</w:t>
            </w:r>
            <w:r w:rsidR="00B50819" w:rsidRPr="00B50819">
              <w:rPr>
                <w:rFonts w:ascii="Arial Narrow" w:eastAsiaTheme="majorEastAsia" w:hAnsi="Arial Narrow"/>
                <w:b/>
                <w:color w:val="000000"/>
                <w:spacing w:val="58"/>
                <w:sz w:val="20"/>
                <w:szCs w:val="20"/>
                <w:shd w:val="solid" w:color="000000" w:fill="000000"/>
                <w:fitText w:val="360" w:id="-628958968"/>
                <w14:textFill>
                  <w14:solidFill>
                    <w14:srgbClr w14:val="000000">
                      <w14:alpha w14:val="100000"/>
                    </w14:srgbClr>
                  </w14:solidFill>
                </w14:textFill>
              </w:rPr>
              <w:t>|||</w:t>
            </w:r>
            <w:r w:rsidR="00B50819" w:rsidRPr="00B50819">
              <w:rPr>
                <w:rFonts w:ascii="Arial Narrow" w:eastAsiaTheme="majorEastAsia" w:hAnsi="Arial Narrow"/>
                <w:b/>
                <w:color w:val="000000"/>
                <w:spacing w:val="3"/>
                <w:sz w:val="20"/>
                <w:szCs w:val="20"/>
                <w:shd w:val="solid" w:color="000000" w:fill="000000"/>
                <w:fitText w:val="360" w:id="-628958968"/>
                <w14:textFill>
                  <w14:solidFill>
                    <w14:srgbClr w14:val="000000">
                      <w14:alpha w14:val="100000"/>
                    </w14:srgbClr>
                  </w14:solidFill>
                </w14:textFill>
              </w:rPr>
              <w:t>|</w:t>
            </w:r>
            <w:r w:rsidR="00454E25">
              <w:rPr>
                <w:rFonts w:ascii="Arial Narrow" w:eastAsiaTheme="majorEastAsia" w:hAnsi="Arial Narrow"/>
                <w:b/>
                <w:sz w:val="20"/>
                <w:szCs w:val="20"/>
                <w:vertAlign w:val="superscript"/>
              </w:rPr>
              <w:t>1</w:t>
            </w:r>
            <w:r w:rsidRPr="00F466A7">
              <w:rPr>
                <w:rFonts w:ascii="Arial Narrow" w:eastAsiaTheme="majorEastAsia" w:hAnsi="Arial Narrow"/>
                <w:b/>
                <w:sz w:val="20"/>
                <w:szCs w:val="20"/>
              </w:rPr>
              <w:t>/QALY gained</w:t>
            </w:r>
          </w:p>
        </w:tc>
      </w:tr>
      <w:tr w:rsidR="009745EA" w:rsidRPr="00F466A7" w14:paraId="7DD8C14E" w14:textId="77777777" w:rsidTr="6A7C443A">
        <w:tc>
          <w:tcPr>
            <w:tcW w:w="1098" w:type="pct"/>
          </w:tcPr>
          <w:p w14:paraId="58F84F2B"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Osimertinib (proposed listing) treatment duration and costs</w:t>
            </w:r>
          </w:p>
        </w:tc>
        <w:tc>
          <w:tcPr>
            <w:tcW w:w="2358" w:type="pct"/>
          </w:tcPr>
          <w:p w14:paraId="49021B02" w14:textId="7C162B68" w:rsidR="009745EA" w:rsidRPr="00F466A7" w:rsidRDefault="009745EA" w:rsidP="00A12328">
            <w:pPr>
              <w:keepNext/>
              <w:jc w:val="left"/>
              <w:rPr>
                <w:rFonts w:ascii="Arial Narrow" w:eastAsiaTheme="majorEastAsia" w:hAnsi="Arial Narrow" w:cstheme="majorBidi"/>
                <w:sz w:val="20"/>
                <w:szCs w:val="20"/>
              </w:rPr>
            </w:pPr>
            <w:r w:rsidRPr="6A7C443A">
              <w:rPr>
                <w:rFonts w:ascii="Arial Narrow" w:eastAsiaTheme="majorEastAsia" w:hAnsi="Arial Narrow" w:cstheme="minorBidi"/>
                <w:sz w:val="20"/>
                <w:szCs w:val="20"/>
              </w:rPr>
              <w:t xml:space="preserve">Mean duration of treatment for osimertinib was assumed to be </w:t>
            </w:r>
            <w:r w:rsidR="00B50819" w:rsidRPr="00B50819">
              <w:rPr>
                <w:rFonts w:ascii="Arial Narrow" w:eastAsiaTheme="majorEastAsia" w:hAnsi="Arial Narrow" w:cstheme="minorBidi"/>
                <w:color w:val="000000"/>
                <w:spacing w:val="53"/>
                <w:sz w:val="20"/>
                <w:szCs w:val="20"/>
                <w:shd w:val="solid" w:color="000000" w:fill="000000"/>
                <w:fitText w:val="330" w:id="-628958967"/>
                <w14:textFill>
                  <w14:solidFill>
                    <w14:srgbClr w14:val="000000">
                      <w14:alpha w14:val="100000"/>
                    </w14:srgbClr>
                  </w14:solidFill>
                </w14:textFill>
              </w:rPr>
              <w:t>|||</w:t>
            </w:r>
            <w:r w:rsidR="00B50819" w:rsidRPr="00B50819">
              <w:rPr>
                <w:rFonts w:ascii="Arial Narrow" w:eastAsiaTheme="majorEastAsia" w:hAnsi="Arial Narrow" w:cstheme="minorBidi"/>
                <w:color w:val="000000"/>
                <w:spacing w:val="1"/>
                <w:sz w:val="20"/>
                <w:szCs w:val="20"/>
                <w:shd w:val="solid" w:color="000000" w:fill="000000"/>
                <w:fitText w:val="330" w:id="-628958967"/>
                <w14:textFill>
                  <w14:solidFill>
                    <w14:srgbClr w14:val="000000">
                      <w14:alpha w14:val="100000"/>
                    </w14:srgbClr>
                  </w14:solidFill>
                </w14:textFill>
              </w:rPr>
              <w:t>|</w:t>
            </w:r>
            <w:r w:rsidRPr="6A7C443A">
              <w:rPr>
                <w:rFonts w:ascii="Arial Narrow" w:eastAsiaTheme="majorEastAsia" w:hAnsi="Arial Narrow" w:cstheme="minorBidi"/>
                <w:sz w:val="20"/>
                <w:szCs w:val="20"/>
              </w:rPr>
              <w:t xml:space="preserve"> months (based on the median PFS of 39.1 months from LAURA). </w:t>
            </w:r>
            <w:r w:rsidR="00DF50C3" w:rsidRPr="6A7C443A">
              <w:rPr>
                <w:rFonts w:ascii="Arial Narrow" w:eastAsiaTheme="majorEastAsia" w:hAnsi="Arial Narrow" w:cstheme="minorBidi"/>
                <w:sz w:val="20"/>
                <w:szCs w:val="20"/>
              </w:rPr>
              <w:t xml:space="preserve">The submission assumed that TTD would follow a similar relationship to PFS. </w:t>
            </w:r>
            <w:r w:rsidRPr="6A7C443A">
              <w:rPr>
                <w:rFonts w:ascii="Arial Narrow" w:eastAsiaTheme="majorEastAsia" w:hAnsi="Arial Narrow" w:cstheme="minorBidi"/>
                <w:sz w:val="20"/>
                <w:szCs w:val="20"/>
              </w:rPr>
              <w:t>There is no confirmed OS data to inform the optimal duration of treatment for osimertinib, and there is the risk of extended use of osimertinib in this setting.</w:t>
            </w:r>
          </w:p>
        </w:tc>
        <w:tc>
          <w:tcPr>
            <w:tcW w:w="1544" w:type="pct"/>
          </w:tcPr>
          <w:p w14:paraId="70D2F543"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High, favoured osimertinib</w:t>
            </w:r>
          </w:p>
          <w:p w14:paraId="68180DDD" w14:textId="6F74B1D9" w:rsidR="009745EA" w:rsidRPr="00F466A7" w:rsidRDefault="009745EA" w:rsidP="00A12328">
            <w:pPr>
              <w:keepNext/>
              <w:jc w:val="left"/>
              <w:rPr>
                <w:rFonts w:ascii="Arial Narrow" w:eastAsiaTheme="majorEastAsia" w:hAnsi="Arial Narrow" w:cstheme="majorBidi"/>
                <w:sz w:val="20"/>
                <w:szCs w:val="20"/>
              </w:rPr>
            </w:pPr>
            <w:r w:rsidRPr="6A7C443A">
              <w:rPr>
                <w:rFonts w:ascii="Arial Narrow" w:eastAsiaTheme="majorEastAsia" w:hAnsi="Arial Narrow" w:cstheme="majorBidi"/>
                <w:sz w:val="20"/>
                <w:szCs w:val="20"/>
              </w:rPr>
              <w:t xml:space="preserve">Assuming the maximum duration of osimertinib treatment to be the model time horizon of 10 years (mean duration of </w:t>
            </w:r>
            <w:r w:rsidR="00B50819" w:rsidRPr="00B50819">
              <w:rPr>
                <w:rFonts w:ascii="Arial Narrow" w:eastAsiaTheme="majorEastAsia" w:hAnsi="Arial Narrow" w:cstheme="majorBidi"/>
                <w:color w:val="000000"/>
                <w:spacing w:val="53"/>
                <w:sz w:val="20"/>
                <w:szCs w:val="20"/>
                <w:shd w:val="solid" w:color="000000" w:fill="000000"/>
                <w:fitText w:val="330" w:id="-628958966"/>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zCs w:val="20"/>
                <w:shd w:val="solid" w:color="000000" w:fill="000000"/>
                <w:fitText w:val="330" w:id="-628958966"/>
                <w14:textFill>
                  <w14:solidFill>
                    <w14:srgbClr w14:val="000000">
                      <w14:alpha w14:val="100000"/>
                    </w14:srgbClr>
                  </w14:solidFill>
                </w14:textFill>
              </w:rPr>
              <w:t>|</w:t>
            </w:r>
            <w:r w:rsidRPr="6A7C443A">
              <w:rPr>
                <w:rFonts w:ascii="Arial Narrow" w:eastAsiaTheme="majorEastAsia" w:hAnsi="Arial Narrow" w:cstheme="majorBidi"/>
                <w:sz w:val="20"/>
                <w:szCs w:val="20"/>
              </w:rPr>
              <w:t xml:space="preserve"> months), increased the ICER to $</w:t>
            </w:r>
            <w:r w:rsidR="00B50819" w:rsidRPr="00B50819">
              <w:rPr>
                <w:rFonts w:ascii="Arial Narrow" w:eastAsiaTheme="majorEastAsia" w:hAnsi="Arial Narrow" w:cstheme="majorBidi"/>
                <w:color w:val="000000"/>
                <w:spacing w:val="53"/>
                <w:sz w:val="20"/>
                <w:szCs w:val="20"/>
                <w:shd w:val="solid" w:color="000000" w:fill="000000"/>
                <w:fitText w:val="330" w:id="-628958965"/>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zCs w:val="20"/>
                <w:shd w:val="solid" w:color="000000" w:fill="000000"/>
                <w:fitText w:val="330" w:id="-628958965"/>
                <w14:textFill>
                  <w14:solidFill>
                    <w14:srgbClr w14:val="000000">
                      <w14:alpha w14:val="100000"/>
                    </w14:srgbClr>
                  </w14:solidFill>
                </w14:textFill>
              </w:rPr>
              <w:t>|</w:t>
            </w:r>
            <w:r w:rsidR="62CE8C5D" w:rsidRPr="6A7C443A">
              <w:rPr>
                <w:rFonts w:ascii="Arial Narrow" w:eastAsiaTheme="majorEastAsia" w:hAnsi="Arial Narrow" w:cstheme="majorBidi"/>
                <w:sz w:val="20"/>
                <w:szCs w:val="20"/>
                <w:vertAlign w:val="superscript"/>
              </w:rPr>
              <w:t>2</w:t>
            </w:r>
            <w:r w:rsidRPr="6A7C443A">
              <w:rPr>
                <w:rFonts w:ascii="Arial Narrow" w:eastAsiaTheme="majorEastAsia" w:hAnsi="Arial Narrow" w:cstheme="majorBidi"/>
                <w:sz w:val="20"/>
                <w:szCs w:val="20"/>
              </w:rPr>
              <w:t>/QALY gained.</w:t>
            </w:r>
          </w:p>
        </w:tc>
      </w:tr>
      <w:tr w:rsidR="009745EA" w:rsidRPr="00F466A7" w14:paraId="3FD6A2F6" w14:textId="77777777" w:rsidTr="6A7C443A">
        <w:tc>
          <w:tcPr>
            <w:tcW w:w="1098" w:type="pct"/>
          </w:tcPr>
          <w:p w14:paraId="63DCDE90"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Costs of ABCP post-progression for patients in the osimertinib arm</w:t>
            </w:r>
          </w:p>
        </w:tc>
        <w:tc>
          <w:tcPr>
            <w:tcW w:w="2358" w:type="pct"/>
          </w:tcPr>
          <w:p w14:paraId="2B5329CF" w14:textId="0BA2A2DC"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inorHAnsi"/>
                <w:bCs/>
                <w:sz w:val="20"/>
              </w:rPr>
              <w:t xml:space="preserve">The model assumed 0% of patients in the osimertinib arm would use subsequent </w:t>
            </w:r>
            <w:r w:rsidR="00C45A6D" w:rsidRPr="00C45A6D">
              <w:rPr>
                <w:rFonts w:ascii="Arial Narrow" w:eastAsiaTheme="majorEastAsia" w:hAnsi="Arial Narrow" w:cstheme="minorHAnsi"/>
                <w:bCs/>
                <w:i/>
                <w:sz w:val="20"/>
              </w:rPr>
              <w:t>EGFR</w:t>
            </w:r>
            <w:r w:rsidRPr="00F466A7">
              <w:rPr>
                <w:rFonts w:ascii="Arial Narrow" w:eastAsiaTheme="majorEastAsia" w:hAnsi="Arial Narrow" w:cstheme="minorHAnsi"/>
                <w:bCs/>
                <w:sz w:val="20"/>
              </w:rPr>
              <w:t xml:space="preserve">-TKI / osimertinib post-progression. </w:t>
            </w:r>
            <w:r w:rsidR="00524BDD" w:rsidRPr="00524BDD">
              <w:rPr>
                <w:rFonts w:ascii="Arial Narrow" w:eastAsiaTheme="majorEastAsia" w:hAnsi="Arial Narrow" w:cstheme="minorHAnsi"/>
                <w:bCs/>
                <w:sz w:val="20"/>
              </w:rPr>
              <w:t xml:space="preserve">However, the model did not consider that the proportion of patients in the osimertinib arm </w:t>
            </w:r>
            <w:r w:rsidR="00524BDD">
              <w:rPr>
                <w:rFonts w:ascii="Arial Narrow" w:eastAsiaTheme="majorEastAsia" w:hAnsi="Arial Narrow" w:cstheme="minorHAnsi"/>
                <w:bCs/>
                <w:sz w:val="20"/>
              </w:rPr>
              <w:t xml:space="preserve">in LAURA </w:t>
            </w:r>
            <w:r w:rsidR="00524BDD" w:rsidRPr="00524BDD">
              <w:rPr>
                <w:rFonts w:ascii="Arial Narrow" w:eastAsiaTheme="majorEastAsia" w:hAnsi="Arial Narrow" w:cstheme="minorHAnsi"/>
                <w:bCs/>
                <w:sz w:val="20"/>
              </w:rPr>
              <w:t xml:space="preserve">who went on to subsequent </w:t>
            </w:r>
            <w:r w:rsidR="00C45A6D" w:rsidRPr="00C45A6D">
              <w:rPr>
                <w:rFonts w:ascii="Arial Narrow" w:eastAsiaTheme="majorEastAsia" w:hAnsi="Arial Narrow" w:cstheme="minorHAnsi"/>
                <w:bCs/>
                <w:i/>
                <w:sz w:val="20"/>
              </w:rPr>
              <w:t>EGFR</w:t>
            </w:r>
            <w:r w:rsidR="00524BDD" w:rsidRPr="00524BDD">
              <w:rPr>
                <w:rFonts w:ascii="Arial Narrow" w:eastAsiaTheme="majorEastAsia" w:hAnsi="Arial Narrow" w:cstheme="minorHAnsi"/>
                <w:bCs/>
                <w:sz w:val="20"/>
              </w:rPr>
              <w:t>-TKI in the trial would in practice, likely receive other effective therapies such as atezolizumab, bevacizumab in combination with platinum doublet chemotherapy (ABCP)</w:t>
            </w:r>
            <w:r w:rsidR="00524BDD">
              <w:rPr>
                <w:rFonts w:ascii="Arial Narrow" w:eastAsiaTheme="majorEastAsia" w:hAnsi="Arial Narrow" w:cstheme="minorHAnsi"/>
                <w:bCs/>
                <w:sz w:val="20"/>
              </w:rPr>
              <w:t>.</w:t>
            </w:r>
          </w:p>
        </w:tc>
        <w:tc>
          <w:tcPr>
            <w:tcW w:w="1544" w:type="pct"/>
          </w:tcPr>
          <w:p w14:paraId="3077A877"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High, favoured osimertinib</w:t>
            </w:r>
          </w:p>
          <w:p w14:paraId="7986B4E5" w14:textId="65BEF2F8"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A sensitivity analysis conducted during the evaluation, assuming 57.1% of patients who progressed in the osimertinib arm receive ABCP</w:t>
            </w:r>
            <w:r w:rsidRPr="00F466A7">
              <w:rPr>
                <w:rFonts w:ascii="Arial Narrow" w:eastAsiaTheme="majorEastAsia" w:hAnsi="Arial Narrow" w:cstheme="majorBidi"/>
                <w:sz w:val="20"/>
                <w:vertAlign w:val="superscript"/>
              </w:rPr>
              <w:t>a</w:t>
            </w:r>
            <w:r w:rsidRPr="00F466A7">
              <w:rPr>
                <w:rFonts w:ascii="Arial Narrow" w:eastAsiaTheme="majorEastAsia" w:hAnsi="Arial Narrow" w:cstheme="majorBidi"/>
                <w:sz w:val="20"/>
              </w:rPr>
              <w:t>, increased the ICER to $</w:t>
            </w:r>
            <w:r w:rsidR="00B50819" w:rsidRPr="00B50819">
              <w:rPr>
                <w:rFonts w:ascii="Arial Narrow" w:eastAsiaTheme="majorEastAsia" w:hAnsi="Arial Narrow" w:cstheme="majorBidi"/>
                <w:color w:val="000000"/>
                <w:spacing w:val="53"/>
                <w:sz w:val="20"/>
                <w:shd w:val="solid" w:color="000000" w:fill="000000"/>
                <w:fitText w:val="330" w:id="-628958964"/>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hd w:val="solid" w:color="000000" w:fill="000000"/>
                <w:fitText w:val="330" w:id="-628958964"/>
                <w14:textFill>
                  <w14:solidFill>
                    <w14:srgbClr w14:val="000000">
                      <w14:alpha w14:val="100000"/>
                    </w14:srgbClr>
                  </w14:solidFill>
                </w14:textFill>
              </w:rPr>
              <w:t>|</w:t>
            </w:r>
            <w:r w:rsidR="00F918C7">
              <w:rPr>
                <w:rFonts w:ascii="Arial Narrow" w:eastAsiaTheme="majorEastAsia" w:hAnsi="Arial Narrow" w:cstheme="majorBidi"/>
                <w:sz w:val="20"/>
                <w:vertAlign w:val="superscript"/>
              </w:rPr>
              <w:t>2</w:t>
            </w:r>
            <w:r w:rsidRPr="00F466A7">
              <w:rPr>
                <w:rFonts w:ascii="Arial Narrow" w:eastAsiaTheme="majorEastAsia" w:hAnsi="Arial Narrow" w:cstheme="majorBidi"/>
                <w:sz w:val="20"/>
              </w:rPr>
              <w:t>/QALY gained.</w:t>
            </w:r>
          </w:p>
        </w:tc>
      </w:tr>
      <w:tr w:rsidR="009745EA" w:rsidRPr="00F466A7" w14:paraId="085A9BE6" w14:textId="77777777" w:rsidTr="6A7C443A">
        <w:tc>
          <w:tcPr>
            <w:tcW w:w="1098" w:type="pct"/>
          </w:tcPr>
          <w:p w14:paraId="28369541"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Hospitalisation costs</w:t>
            </w:r>
          </w:p>
        </w:tc>
        <w:tc>
          <w:tcPr>
            <w:tcW w:w="2358" w:type="pct"/>
          </w:tcPr>
          <w:p w14:paraId="5108A8F1" w14:textId="77777777" w:rsidR="009745EA" w:rsidRPr="00F466A7" w:rsidRDefault="009745EA" w:rsidP="00A12328">
            <w:pPr>
              <w:keepNext/>
              <w:jc w:val="left"/>
              <w:rPr>
                <w:rFonts w:ascii="Arial Narrow" w:eastAsiaTheme="majorEastAsia" w:hAnsi="Arial Narrow" w:cstheme="minorHAnsi"/>
                <w:bCs/>
                <w:sz w:val="20"/>
              </w:rPr>
            </w:pPr>
            <w:r w:rsidRPr="00F466A7">
              <w:rPr>
                <w:rFonts w:ascii="Arial Narrow" w:eastAsiaTheme="majorEastAsia" w:hAnsi="Arial Narrow" w:cstheme="minorHAnsi"/>
                <w:sz w:val="20"/>
              </w:rPr>
              <w:t>A</w:t>
            </w:r>
            <w:r w:rsidRPr="00F466A7">
              <w:rPr>
                <w:rFonts w:ascii="Arial Narrow" w:eastAsiaTheme="majorEastAsia" w:hAnsi="Arial Narrow" w:cstheme="minorHAnsi"/>
                <w:bCs/>
                <w:sz w:val="20"/>
              </w:rPr>
              <w:t>ssumed one hospitalisation per year for PFS patients and two hospitalisations per year for PD patients.</w:t>
            </w:r>
          </w:p>
        </w:tc>
        <w:tc>
          <w:tcPr>
            <w:tcW w:w="1544" w:type="pct"/>
          </w:tcPr>
          <w:p w14:paraId="54460695" w14:textId="77777777" w:rsidR="009745EA" w:rsidRPr="00F466A7" w:rsidRDefault="009745EA" w:rsidP="00A12328">
            <w:pPr>
              <w:keepNext/>
              <w:jc w:val="left"/>
              <w:rPr>
                <w:rFonts w:ascii="Arial Narrow" w:eastAsiaTheme="majorEastAsia" w:hAnsi="Arial Narrow" w:cstheme="majorBidi"/>
                <w:sz w:val="20"/>
                <w:szCs w:val="20"/>
              </w:rPr>
            </w:pPr>
            <w:r w:rsidRPr="00F466A7">
              <w:rPr>
                <w:rFonts w:ascii="Arial Narrow" w:eastAsiaTheme="majorEastAsia" w:hAnsi="Arial Narrow" w:cstheme="majorBidi"/>
                <w:sz w:val="20"/>
                <w:szCs w:val="20"/>
              </w:rPr>
              <w:t>High, favoured placebo.</w:t>
            </w:r>
          </w:p>
          <w:p w14:paraId="1D776496" w14:textId="015F3162" w:rsidR="009745EA" w:rsidRPr="00F466A7" w:rsidRDefault="009745EA" w:rsidP="00A12328">
            <w:pPr>
              <w:rPr>
                <w:rFonts w:ascii="Arial Narrow" w:hAnsi="Arial Narrow"/>
                <w:sz w:val="20"/>
                <w:szCs w:val="20"/>
              </w:rPr>
            </w:pPr>
            <w:r w:rsidRPr="00F466A7">
              <w:rPr>
                <w:rFonts w:ascii="Arial Narrow" w:hAnsi="Arial Narrow"/>
                <w:sz w:val="20"/>
                <w:szCs w:val="20"/>
              </w:rPr>
              <w:t>Assuming no hospitalisations for PFS patients, decreased the ICER to $</w:t>
            </w:r>
            <w:r w:rsidR="00B50819" w:rsidRPr="002B736C">
              <w:rPr>
                <w:rFonts w:ascii="Arial Narrow" w:hAnsi="Arial Narrow"/>
                <w:color w:val="000000"/>
                <w:spacing w:val="23"/>
                <w:sz w:val="20"/>
                <w:szCs w:val="20"/>
                <w:shd w:val="solid" w:color="000000" w:fill="000000"/>
                <w:fitText w:val="310" w:id="-628958963"/>
                <w14:textFill>
                  <w14:solidFill>
                    <w14:srgbClr w14:val="000000">
                      <w14:alpha w14:val="100000"/>
                    </w14:srgbClr>
                  </w14:solidFill>
                </w14:textFill>
              </w:rPr>
              <w:t>||</w:t>
            </w:r>
            <w:r w:rsidR="002B736C" w:rsidRPr="002B736C">
              <w:rPr>
                <w:rFonts w:ascii="Arial Narrow" w:hAnsi="Arial Narrow"/>
                <w:color w:val="000000"/>
                <w:spacing w:val="23"/>
                <w:sz w:val="20"/>
                <w:szCs w:val="20"/>
                <w:shd w:val="solid" w:color="000000" w:fill="000000"/>
                <w:fitText w:val="310" w:id="-628958963"/>
                <w14:textFill>
                  <w14:solidFill>
                    <w14:srgbClr w14:val="000000">
                      <w14:alpha w14:val="100000"/>
                    </w14:srgbClr>
                  </w14:solidFill>
                </w14:textFill>
              </w:rPr>
              <w:t xml:space="preserve"> </w:t>
            </w:r>
            <w:r w:rsidR="00B50819" w:rsidRPr="002B736C">
              <w:rPr>
                <w:rFonts w:ascii="Arial Narrow" w:hAnsi="Arial Narrow"/>
                <w:color w:val="000000"/>
                <w:spacing w:val="23"/>
                <w:sz w:val="20"/>
                <w:szCs w:val="20"/>
                <w:shd w:val="solid" w:color="000000" w:fill="000000"/>
                <w:fitText w:val="310" w:id="-628958963"/>
                <w14:textFill>
                  <w14:solidFill>
                    <w14:srgbClr w14:val="000000">
                      <w14:alpha w14:val="100000"/>
                    </w14:srgbClr>
                  </w14:solidFill>
                </w14:textFill>
              </w:rPr>
              <w:t>|</w:t>
            </w:r>
            <w:r w:rsidR="00B50819" w:rsidRPr="002B736C">
              <w:rPr>
                <w:rFonts w:ascii="Arial Narrow" w:hAnsi="Arial Narrow"/>
                <w:color w:val="000000"/>
                <w:spacing w:val="3"/>
                <w:sz w:val="20"/>
                <w:szCs w:val="20"/>
                <w:shd w:val="solid" w:color="000000" w:fill="000000"/>
                <w:fitText w:val="310" w:id="-628958963"/>
                <w14:textFill>
                  <w14:solidFill>
                    <w14:srgbClr w14:val="000000">
                      <w14:alpha w14:val="100000"/>
                    </w14:srgbClr>
                  </w14:solidFill>
                </w14:textFill>
              </w:rPr>
              <w:t>|</w:t>
            </w:r>
            <w:r w:rsidR="00D87F54">
              <w:rPr>
                <w:rFonts w:ascii="Arial Narrow" w:hAnsi="Arial Narrow"/>
                <w:sz w:val="20"/>
                <w:szCs w:val="20"/>
                <w:vertAlign w:val="superscript"/>
              </w:rPr>
              <w:t>3</w:t>
            </w:r>
            <w:r w:rsidRPr="00F466A7">
              <w:rPr>
                <w:rFonts w:ascii="Arial Narrow" w:hAnsi="Arial Narrow"/>
                <w:sz w:val="20"/>
                <w:szCs w:val="20"/>
              </w:rPr>
              <w:t>/QALY gained.</w:t>
            </w:r>
          </w:p>
        </w:tc>
      </w:tr>
      <w:tr w:rsidR="009745EA" w:rsidRPr="00F466A7" w14:paraId="395ED53A" w14:textId="77777777" w:rsidTr="6A7C443A">
        <w:tc>
          <w:tcPr>
            <w:tcW w:w="1098" w:type="pct"/>
          </w:tcPr>
          <w:p w14:paraId="171B6C06"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Disutility of progressive disease (PD versus PFS)</w:t>
            </w:r>
          </w:p>
        </w:tc>
        <w:tc>
          <w:tcPr>
            <w:tcW w:w="2358" w:type="pct"/>
          </w:tcPr>
          <w:p w14:paraId="120BCEC4" w14:textId="19D419CD"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 xml:space="preserve">PFS utility based on </w:t>
            </w:r>
            <w:r w:rsidR="00DF50C3" w:rsidRPr="00F466A7">
              <w:rPr>
                <w:rFonts w:ascii="Arial Narrow" w:eastAsiaTheme="majorEastAsia" w:hAnsi="Arial Narrow" w:cstheme="majorBidi"/>
                <w:sz w:val="20"/>
              </w:rPr>
              <w:t xml:space="preserve">the </w:t>
            </w:r>
            <w:r w:rsidRPr="00F466A7">
              <w:rPr>
                <w:rFonts w:ascii="Arial Narrow" w:eastAsiaTheme="majorEastAsia" w:hAnsi="Arial Narrow" w:cstheme="majorBidi"/>
                <w:sz w:val="20"/>
              </w:rPr>
              <w:t>LAURA</w:t>
            </w:r>
            <w:r w:rsidR="00DF50C3" w:rsidRPr="00F466A7">
              <w:rPr>
                <w:rFonts w:ascii="Arial Narrow" w:eastAsiaTheme="majorEastAsia" w:hAnsi="Arial Narrow" w:cstheme="majorBidi"/>
                <w:sz w:val="20"/>
              </w:rPr>
              <w:t xml:space="preserve"> trial</w:t>
            </w:r>
            <w:r w:rsidRPr="00F466A7">
              <w:rPr>
                <w:rFonts w:ascii="Arial Narrow" w:eastAsiaTheme="majorEastAsia" w:hAnsi="Arial Narrow" w:cstheme="majorBidi"/>
                <w:sz w:val="20"/>
              </w:rPr>
              <w:t xml:space="preserve"> </w:t>
            </w:r>
            <w:r w:rsidR="00DC389C">
              <w:rPr>
                <w:rFonts w:ascii="Arial Narrow" w:eastAsiaTheme="majorEastAsia" w:hAnsi="Arial Narrow" w:cstheme="majorBidi"/>
                <w:sz w:val="20"/>
              </w:rPr>
              <w:t>and</w:t>
            </w:r>
            <w:r w:rsidRPr="00F466A7">
              <w:rPr>
                <w:rFonts w:ascii="Arial Narrow" w:eastAsiaTheme="majorEastAsia" w:hAnsi="Arial Narrow" w:cstheme="majorBidi"/>
                <w:sz w:val="20"/>
              </w:rPr>
              <w:t xml:space="preserve"> applied a </w:t>
            </w:r>
            <w:r w:rsidR="00DF50C3" w:rsidRPr="00F466A7">
              <w:rPr>
                <w:rFonts w:ascii="Arial Narrow" w:eastAsiaTheme="majorEastAsia" w:hAnsi="Arial Narrow" w:cstheme="majorBidi"/>
                <w:sz w:val="20"/>
              </w:rPr>
              <w:t>difference in utility</w:t>
            </w:r>
            <w:r w:rsidRPr="00F466A7">
              <w:rPr>
                <w:rFonts w:ascii="Arial Narrow" w:eastAsiaTheme="majorEastAsia" w:hAnsi="Arial Narrow" w:cstheme="majorBidi"/>
                <w:sz w:val="20"/>
              </w:rPr>
              <w:t xml:space="preserve"> </w:t>
            </w:r>
            <w:r w:rsidR="00DF50C3" w:rsidRPr="00F466A7">
              <w:rPr>
                <w:rFonts w:ascii="Arial Narrow" w:eastAsiaTheme="majorEastAsia" w:hAnsi="Arial Narrow" w:cstheme="majorBidi"/>
                <w:sz w:val="20"/>
              </w:rPr>
              <w:t>for</w:t>
            </w:r>
            <w:r w:rsidRPr="00F466A7">
              <w:rPr>
                <w:rFonts w:ascii="Arial Narrow" w:eastAsiaTheme="majorEastAsia" w:hAnsi="Arial Narrow" w:cstheme="majorBidi"/>
                <w:sz w:val="20"/>
              </w:rPr>
              <w:t xml:space="preserve"> PD versus PFS from the PBAC model for durvalumab (November 2018) of </w:t>
            </w:r>
            <w:r w:rsidR="00DF50C3" w:rsidRPr="00F466A7">
              <w:rPr>
                <w:rFonts w:ascii="Arial Narrow" w:eastAsiaTheme="majorEastAsia" w:hAnsi="Arial Narrow" w:cstheme="majorBidi"/>
                <w:sz w:val="20"/>
              </w:rPr>
              <w:t>-</w:t>
            </w:r>
            <w:r w:rsidRPr="00F466A7">
              <w:rPr>
                <w:rFonts w:ascii="Arial Narrow" w:eastAsiaTheme="majorEastAsia" w:hAnsi="Arial Narrow" w:cstheme="majorBidi"/>
                <w:sz w:val="20"/>
              </w:rPr>
              <w:t>0.14. T</w:t>
            </w:r>
            <w:r w:rsidRPr="00F466A7">
              <w:rPr>
                <w:rFonts w:ascii="Arial Narrow" w:eastAsiaTheme="majorEastAsia" w:hAnsi="Arial Narrow" w:cstheme="majorBidi"/>
                <w:bCs/>
                <w:sz w:val="20"/>
              </w:rPr>
              <w:t xml:space="preserve">he submission argued that it was inappropriate to use HRQoL data from the LAURA trial. </w:t>
            </w:r>
          </w:p>
        </w:tc>
        <w:tc>
          <w:tcPr>
            <w:tcW w:w="1544" w:type="pct"/>
          </w:tcPr>
          <w:p w14:paraId="6A07EB99" w14:textId="77777777"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High, favoured osimertinib</w:t>
            </w:r>
          </w:p>
          <w:p w14:paraId="4CE647D7" w14:textId="1EEA47CC" w:rsidR="009745EA" w:rsidRPr="00F466A7" w:rsidRDefault="009745EA"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Assuming trial-based utilities for PD and PFS</w:t>
            </w:r>
            <w:r w:rsidRPr="00F466A7">
              <w:rPr>
                <w:rFonts w:ascii="Arial Narrow" w:eastAsiaTheme="majorEastAsia" w:hAnsi="Arial Narrow" w:cstheme="majorBidi"/>
                <w:sz w:val="20"/>
                <w:vertAlign w:val="superscript"/>
              </w:rPr>
              <w:t>b</w:t>
            </w:r>
            <w:r w:rsidRPr="00F466A7">
              <w:rPr>
                <w:rFonts w:ascii="Arial Narrow" w:eastAsiaTheme="majorEastAsia" w:hAnsi="Arial Narrow" w:cstheme="majorBidi"/>
                <w:sz w:val="20"/>
              </w:rPr>
              <w:t>, increased the ICER to $</w:t>
            </w:r>
            <w:r w:rsidR="00B50819" w:rsidRPr="00B50819">
              <w:rPr>
                <w:rFonts w:ascii="Arial Narrow" w:eastAsiaTheme="majorEastAsia" w:hAnsi="Arial Narrow" w:cstheme="majorBidi"/>
                <w:color w:val="000000"/>
                <w:spacing w:val="53"/>
                <w:sz w:val="20"/>
                <w:shd w:val="solid" w:color="000000" w:fill="000000"/>
                <w:fitText w:val="330" w:id="-628958962"/>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hd w:val="solid" w:color="000000" w:fill="000000"/>
                <w:fitText w:val="330" w:id="-628958962"/>
                <w14:textFill>
                  <w14:solidFill>
                    <w14:srgbClr w14:val="000000">
                      <w14:alpha w14:val="100000"/>
                    </w14:srgbClr>
                  </w14:solidFill>
                </w14:textFill>
              </w:rPr>
              <w:t>|</w:t>
            </w:r>
            <w:r w:rsidR="00454E25">
              <w:rPr>
                <w:rFonts w:ascii="Arial Narrow" w:eastAsiaTheme="majorEastAsia" w:hAnsi="Arial Narrow" w:cstheme="majorBidi"/>
                <w:sz w:val="20"/>
                <w:vertAlign w:val="superscript"/>
              </w:rPr>
              <w:t>1</w:t>
            </w:r>
            <w:r w:rsidRPr="00F466A7">
              <w:rPr>
                <w:rFonts w:ascii="Arial Narrow" w:eastAsiaTheme="majorEastAsia" w:hAnsi="Arial Narrow" w:cstheme="majorBidi"/>
                <w:sz w:val="20"/>
              </w:rPr>
              <w:t>/QALY gained.</w:t>
            </w:r>
          </w:p>
        </w:tc>
      </w:tr>
      <w:tr w:rsidR="001569AB" w:rsidRPr="00F466A7" w14:paraId="3E6B3A20" w14:textId="77777777" w:rsidTr="6A7C443A">
        <w:tc>
          <w:tcPr>
            <w:tcW w:w="1098" w:type="pct"/>
          </w:tcPr>
          <w:p w14:paraId="43AF66D6" w14:textId="3BD03072" w:rsidR="00B25B47" w:rsidRPr="00F466A7" w:rsidRDefault="00B25B47" w:rsidP="00A12328">
            <w:pPr>
              <w:keepNext/>
              <w:jc w:val="left"/>
              <w:rPr>
                <w:rFonts w:ascii="Arial Narrow" w:eastAsiaTheme="majorEastAsia" w:hAnsi="Arial Narrow" w:cstheme="majorBidi"/>
                <w:sz w:val="20"/>
                <w:szCs w:val="20"/>
              </w:rPr>
            </w:pPr>
            <w:r w:rsidRPr="00F466A7">
              <w:rPr>
                <w:rFonts w:ascii="Arial Narrow" w:hAnsi="Arial Narrow"/>
                <w:sz w:val="20"/>
                <w:szCs w:val="20"/>
                <w:lang w:val="en-US"/>
              </w:rPr>
              <w:t>Approach to estimating osimertinib OS curve</w:t>
            </w:r>
          </w:p>
        </w:tc>
        <w:tc>
          <w:tcPr>
            <w:tcW w:w="2358" w:type="pct"/>
          </w:tcPr>
          <w:p w14:paraId="3B090964" w14:textId="78EE9A1F" w:rsidR="00B25B47" w:rsidRPr="00F466A7" w:rsidRDefault="22861CBF" w:rsidP="00A12328">
            <w:pPr>
              <w:keepNext/>
              <w:jc w:val="left"/>
              <w:rPr>
                <w:rFonts w:ascii="Arial Narrow" w:hAnsi="Arial Narrow"/>
                <w:sz w:val="20"/>
                <w:szCs w:val="20"/>
              </w:rPr>
            </w:pPr>
            <w:r w:rsidRPr="6A7C443A">
              <w:rPr>
                <w:rFonts w:ascii="Arial Narrow" w:hAnsi="Arial Narrow"/>
                <w:sz w:val="20"/>
                <w:szCs w:val="20"/>
                <w:lang w:val="en-US"/>
              </w:rPr>
              <w:t>The base case analysis applied a HR approach beyond truncation points to generate the osimertinib OS curve.</w:t>
            </w:r>
            <w:r w:rsidR="4A59559F" w:rsidRPr="6A7C443A">
              <w:rPr>
                <w:rFonts w:ascii="Arial Narrow" w:hAnsi="Arial Narrow"/>
                <w:sz w:val="20"/>
                <w:szCs w:val="20"/>
                <w:lang w:val="en-US"/>
              </w:rPr>
              <w:t xml:space="preserve"> </w:t>
            </w:r>
            <w:r w:rsidR="4A59559F" w:rsidRPr="6A7C443A">
              <w:rPr>
                <w:rFonts w:ascii="Arial Narrow" w:hAnsi="Arial Narrow"/>
                <w:sz w:val="20"/>
                <w:szCs w:val="20"/>
              </w:rPr>
              <w:t>The OS HR for osimertinib versus placebo from LAURA (DCO2) was not statistically significant: 0.67 (0.40, 1.14).</w:t>
            </w:r>
            <w:r w:rsidR="4A59559F" w:rsidRPr="6A7C443A">
              <w:rPr>
                <w:rFonts w:ascii="Arial Narrow" w:hAnsi="Arial Narrow"/>
                <w:sz w:val="20"/>
                <w:szCs w:val="20"/>
                <w:lang w:val="en-US"/>
              </w:rPr>
              <w:t xml:space="preserve"> </w:t>
            </w:r>
            <w:r w:rsidR="4A59559F" w:rsidRPr="6A7C443A">
              <w:rPr>
                <w:rFonts w:ascii="Arial Narrow" w:hAnsi="Arial Narrow"/>
                <w:sz w:val="20"/>
                <w:szCs w:val="20"/>
              </w:rPr>
              <w:t xml:space="preserve">It </w:t>
            </w:r>
            <w:r w:rsidR="113DF71D" w:rsidRPr="6A7C443A">
              <w:rPr>
                <w:rFonts w:ascii="Arial Narrow" w:hAnsi="Arial Narrow"/>
                <w:sz w:val="20"/>
                <w:szCs w:val="20"/>
              </w:rPr>
              <w:t>wa</w:t>
            </w:r>
            <w:r w:rsidR="4A59559F" w:rsidRPr="6A7C443A">
              <w:rPr>
                <w:rFonts w:ascii="Arial Narrow" w:hAnsi="Arial Narrow"/>
                <w:sz w:val="20"/>
                <w:szCs w:val="20"/>
              </w:rPr>
              <w:t xml:space="preserve">s noted that </w:t>
            </w:r>
            <w:r w:rsidR="4A59559F" w:rsidRPr="6A7C443A">
              <w:rPr>
                <w:rFonts w:ascii="Arial Narrow" w:eastAsiaTheme="majorEastAsia" w:hAnsi="Arial Narrow" w:cstheme="minorBidi"/>
                <w:sz w:val="20"/>
                <w:szCs w:val="20"/>
              </w:rPr>
              <w:t>long-term extrapolations were likely to be uncertain. Overall survival data from LAURA w</w:t>
            </w:r>
            <w:r w:rsidR="113DF71D" w:rsidRPr="6A7C443A">
              <w:rPr>
                <w:rFonts w:ascii="Arial Narrow" w:eastAsiaTheme="majorEastAsia" w:hAnsi="Arial Narrow" w:cstheme="minorBidi"/>
                <w:sz w:val="20"/>
                <w:szCs w:val="20"/>
              </w:rPr>
              <w:t>ere</w:t>
            </w:r>
            <w:r w:rsidR="4A59559F" w:rsidRPr="6A7C443A">
              <w:rPr>
                <w:rFonts w:ascii="Arial Narrow" w:eastAsiaTheme="majorEastAsia" w:hAnsi="Arial Narrow" w:cstheme="minorBidi"/>
                <w:sz w:val="20"/>
                <w:szCs w:val="20"/>
              </w:rPr>
              <w:t xml:space="preserve"> immature (31% maturity at DCO2). </w:t>
            </w:r>
            <w:r w:rsidR="4A59559F" w:rsidRPr="6A7C443A">
              <w:rPr>
                <w:rFonts w:ascii="Arial Narrow" w:hAnsi="Arial Narrow"/>
                <w:sz w:val="20"/>
                <w:szCs w:val="20"/>
              </w:rPr>
              <w:t>The crossing of KM curves suggests a violation of the proportional hazards assumption. Therefore, the HR should be interpreted cautiously, as it may not reflect time-varying effects.</w:t>
            </w:r>
          </w:p>
        </w:tc>
        <w:tc>
          <w:tcPr>
            <w:tcW w:w="1544" w:type="pct"/>
          </w:tcPr>
          <w:p w14:paraId="7EC05EBE" w14:textId="770D04BB" w:rsidR="00B25B47" w:rsidRPr="00F466A7" w:rsidRDefault="00B25B47" w:rsidP="00A12328">
            <w:pPr>
              <w:pStyle w:val="TableText0"/>
              <w:rPr>
                <w:szCs w:val="20"/>
                <w:lang w:val="en-US"/>
              </w:rPr>
            </w:pPr>
            <w:r w:rsidRPr="00F466A7">
              <w:rPr>
                <w:szCs w:val="20"/>
                <w:lang w:val="en-US"/>
              </w:rPr>
              <w:t>Moderate, favour</w:t>
            </w:r>
            <w:r w:rsidR="00FB6F9B" w:rsidRPr="00F466A7">
              <w:rPr>
                <w:szCs w:val="20"/>
                <w:lang w:val="en-US"/>
              </w:rPr>
              <w:t>ed</w:t>
            </w:r>
            <w:r w:rsidRPr="00F466A7">
              <w:rPr>
                <w:szCs w:val="20"/>
                <w:lang w:val="en-US"/>
              </w:rPr>
              <w:t xml:space="preserve"> </w:t>
            </w:r>
            <w:r w:rsidR="00C63154" w:rsidRPr="00F466A7">
              <w:rPr>
                <w:szCs w:val="20"/>
                <w:lang w:val="en-US"/>
              </w:rPr>
              <w:t>osimertinib</w:t>
            </w:r>
          </w:p>
          <w:p w14:paraId="39E1FAF2" w14:textId="3A8CA310" w:rsidR="00C63154" w:rsidRPr="00F466A7" w:rsidRDefault="00C63154" w:rsidP="00A12328">
            <w:pPr>
              <w:pStyle w:val="TableText0"/>
              <w:rPr>
                <w:szCs w:val="20"/>
                <w:lang w:val="en-US"/>
              </w:rPr>
            </w:pPr>
            <w:r w:rsidRPr="00F466A7">
              <w:rPr>
                <w:szCs w:val="20"/>
                <w:lang w:val="en-US"/>
              </w:rPr>
              <w:t>Assuming HR for OS of 1 increased the ICER to $</w:t>
            </w:r>
            <w:r w:rsidR="00B50819" w:rsidRPr="00B50819">
              <w:rPr>
                <w:color w:val="000000"/>
                <w:spacing w:val="53"/>
                <w:szCs w:val="20"/>
                <w:shd w:val="solid" w:color="000000" w:fill="000000"/>
                <w:fitText w:val="330" w:id="-628958961"/>
                <w:lang w:val="en-US"/>
                <w14:textFill>
                  <w14:solidFill>
                    <w14:srgbClr w14:val="000000">
                      <w14:alpha w14:val="100000"/>
                    </w14:srgbClr>
                  </w14:solidFill>
                </w14:textFill>
              </w:rPr>
              <w:t>|||</w:t>
            </w:r>
            <w:r w:rsidR="00B50819" w:rsidRPr="00B50819">
              <w:rPr>
                <w:color w:val="000000"/>
                <w:spacing w:val="1"/>
                <w:szCs w:val="20"/>
                <w:shd w:val="solid" w:color="000000" w:fill="000000"/>
                <w:fitText w:val="330" w:id="-628958961"/>
                <w:lang w:val="en-US"/>
                <w14:textFill>
                  <w14:solidFill>
                    <w14:srgbClr w14:val="000000">
                      <w14:alpha w14:val="100000"/>
                    </w14:srgbClr>
                  </w14:solidFill>
                </w14:textFill>
              </w:rPr>
              <w:t>|</w:t>
            </w:r>
            <w:r w:rsidR="00454E25">
              <w:rPr>
                <w:szCs w:val="20"/>
                <w:vertAlign w:val="superscript"/>
                <w:lang w:val="en-US"/>
              </w:rPr>
              <w:t>1</w:t>
            </w:r>
            <w:r w:rsidRPr="00F466A7">
              <w:rPr>
                <w:szCs w:val="20"/>
                <w:lang w:val="en-US"/>
              </w:rPr>
              <w:t>/QALY gained.</w:t>
            </w:r>
          </w:p>
          <w:p w14:paraId="2AC9F49A" w14:textId="0531E094" w:rsidR="00C63154" w:rsidRPr="00F466A7" w:rsidRDefault="00C63154" w:rsidP="00A12328">
            <w:pPr>
              <w:pStyle w:val="TableText0"/>
              <w:rPr>
                <w:szCs w:val="20"/>
                <w:lang w:val="en-US"/>
              </w:rPr>
            </w:pPr>
          </w:p>
          <w:p w14:paraId="64BA1F83" w14:textId="0785FC8E" w:rsidR="00B25B47" w:rsidRPr="00F466A7" w:rsidRDefault="00B25B47" w:rsidP="00A12328">
            <w:pPr>
              <w:keepNext/>
              <w:jc w:val="left"/>
              <w:rPr>
                <w:rFonts w:ascii="Arial Narrow" w:eastAsiaTheme="majorEastAsia" w:hAnsi="Arial Narrow" w:cstheme="majorBidi"/>
                <w:sz w:val="20"/>
                <w:szCs w:val="20"/>
                <w:highlight w:val="yellow"/>
              </w:rPr>
            </w:pPr>
          </w:p>
        </w:tc>
      </w:tr>
      <w:tr w:rsidR="001569AB" w:rsidRPr="00F466A7" w14:paraId="104D834A" w14:textId="77777777" w:rsidTr="6A7C443A">
        <w:tc>
          <w:tcPr>
            <w:tcW w:w="1098" w:type="pct"/>
          </w:tcPr>
          <w:p w14:paraId="3389ECFA" w14:textId="3F999E82" w:rsidR="0059462B" w:rsidRPr="00F466A7" w:rsidRDefault="0059462B"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PFS</w:t>
            </w:r>
          </w:p>
        </w:tc>
        <w:tc>
          <w:tcPr>
            <w:tcW w:w="2358" w:type="pct"/>
          </w:tcPr>
          <w:p w14:paraId="4D54F967" w14:textId="1B84952B" w:rsidR="0059462B" w:rsidRPr="00F466A7" w:rsidRDefault="0059462B" w:rsidP="00A12328">
            <w:pPr>
              <w:keepNext/>
              <w:jc w:val="left"/>
              <w:rPr>
                <w:rFonts w:ascii="Arial Narrow" w:eastAsiaTheme="majorEastAsia" w:hAnsi="Arial Narrow" w:cstheme="majorBidi"/>
                <w:sz w:val="20"/>
                <w:szCs w:val="20"/>
              </w:rPr>
            </w:pPr>
            <w:r w:rsidRPr="00F466A7">
              <w:rPr>
                <w:rFonts w:ascii="Arial Narrow" w:hAnsi="Arial Narrow"/>
                <w:sz w:val="20"/>
                <w:szCs w:val="20"/>
              </w:rPr>
              <w:t xml:space="preserve">The model fitted independent parametric survival models to observed KM data from each arm of LAURA for PFS curves, beyond truncation points </w:t>
            </w:r>
            <w:r w:rsidRPr="00F466A7">
              <w:rPr>
                <w:rFonts w:ascii="Arial Narrow" w:eastAsiaTheme="majorEastAsia" w:hAnsi="Arial Narrow"/>
                <w:sz w:val="20"/>
                <w:szCs w:val="20"/>
              </w:rPr>
              <w:t>(36 and 13 months for osimertinib and placebo respectively).</w:t>
            </w:r>
          </w:p>
        </w:tc>
        <w:tc>
          <w:tcPr>
            <w:tcW w:w="1544" w:type="pct"/>
          </w:tcPr>
          <w:p w14:paraId="4FF0C24D" w14:textId="732D6F01" w:rsidR="0059462B" w:rsidRPr="00F466A7" w:rsidRDefault="007C46ED" w:rsidP="00A12328">
            <w:pPr>
              <w:keepNext/>
              <w:jc w:val="left"/>
              <w:rPr>
                <w:rFonts w:ascii="Arial Narrow" w:eastAsiaTheme="majorEastAsia" w:hAnsi="Arial Narrow" w:cstheme="majorBidi"/>
                <w:sz w:val="20"/>
              </w:rPr>
            </w:pPr>
            <w:r w:rsidRPr="00F466A7">
              <w:rPr>
                <w:rFonts w:ascii="Arial Narrow" w:eastAsiaTheme="majorEastAsia" w:hAnsi="Arial Narrow" w:cstheme="majorBidi"/>
                <w:sz w:val="20"/>
              </w:rPr>
              <w:t xml:space="preserve">The expected </w:t>
            </w:r>
            <w:r w:rsidR="0059462B" w:rsidRPr="00F466A7">
              <w:rPr>
                <w:rFonts w:ascii="Arial Narrow" w:eastAsiaTheme="majorEastAsia" w:hAnsi="Arial Narrow" w:cstheme="majorBidi"/>
                <w:sz w:val="20"/>
              </w:rPr>
              <w:t>PFS</w:t>
            </w:r>
            <w:r w:rsidRPr="00F466A7">
              <w:rPr>
                <w:rFonts w:ascii="Arial Narrow" w:eastAsiaTheme="majorEastAsia" w:hAnsi="Arial Narrow" w:cstheme="majorBidi"/>
                <w:sz w:val="20"/>
              </w:rPr>
              <w:t xml:space="preserve"> benefit is likely smaller in the context, but this was not able to</w:t>
            </w:r>
            <w:r w:rsidR="00B01B22">
              <w:rPr>
                <w:rFonts w:ascii="Arial Narrow" w:eastAsiaTheme="majorEastAsia" w:hAnsi="Arial Narrow" w:cstheme="majorBidi"/>
                <w:sz w:val="20"/>
              </w:rPr>
              <w:t xml:space="preserve"> be</w:t>
            </w:r>
            <w:r w:rsidRPr="00F466A7">
              <w:rPr>
                <w:rFonts w:ascii="Arial Narrow" w:eastAsiaTheme="majorEastAsia" w:hAnsi="Arial Narrow" w:cstheme="majorBidi"/>
                <w:sz w:val="20"/>
              </w:rPr>
              <w:t xml:space="preserve"> explored due to the model structure.</w:t>
            </w:r>
          </w:p>
        </w:tc>
      </w:tr>
    </w:tbl>
    <w:p w14:paraId="75FBEBF7" w14:textId="0B0FE50D"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 xml:space="preserve">Source: </w:t>
      </w:r>
      <w:r w:rsidR="00F466A7">
        <w:rPr>
          <w:rFonts w:ascii="Arial Narrow" w:hAnsi="Arial Narrow"/>
          <w:snapToGrid w:val="0"/>
          <w:sz w:val="18"/>
          <w:szCs w:val="22"/>
        </w:rPr>
        <w:t>C</w:t>
      </w:r>
      <w:r w:rsidRPr="00F466A7">
        <w:rPr>
          <w:rFonts w:ascii="Arial Narrow" w:hAnsi="Arial Narrow"/>
          <w:snapToGrid w:val="0"/>
          <w:sz w:val="18"/>
          <w:szCs w:val="22"/>
        </w:rPr>
        <w:t>ompiled during the evaluation and</w:t>
      </w:r>
      <w:r w:rsidRPr="009745EA">
        <w:rPr>
          <w:rFonts w:ascii="Arial Narrow" w:hAnsi="Arial Narrow"/>
          <w:snapToGrid w:val="0"/>
          <w:sz w:val="18"/>
          <w:szCs w:val="22"/>
        </w:rPr>
        <w:t xml:space="preserve"> Table 3-37, p162 of the submission.</w:t>
      </w:r>
    </w:p>
    <w:p w14:paraId="5C98682D" w14:textId="08873A23"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 xml:space="preserve">ABCP = </w:t>
      </w:r>
      <w:r w:rsidRPr="009745EA">
        <w:rPr>
          <w:rFonts w:ascii="Arial Narrow" w:hAnsi="Arial Narrow" w:cstheme="minorHAnsi"/>
          <w:snapToGrid w:val="0"/>
          <w:sz w:val="18"/>
          <w:szCs w:val="22"/>
        </w:rPr>
        <w:t xml:space="preserve">atezolizumab, bevacizumab in combination with platinum doublet chemotherapy; DCO = data cut-off; </w:t>
      </w:r>
      <w:r w:rsidR="00C45A6D" w:rsidRPr="00C45A6D">
        <w:rPr>
          <w:rFonts w:ascii="Arial Narrow" w:hAnsi="Arial Narrow"/>
          <w:i/>
          <w:snapToGrid w:val="0"/>
          <w:sz w:val="18"/>
          <w:szCs w:val="22"/>
        </w:rPr>
        <w:t>EGFR</w:t>
      </w:r>
      <w:r w:rsidRPr="009745EA">
        <w:rPr>
          <w:rFonts w:ascii="Arial Narrow" w:hAnsi="Arial Narrow"/>
          <w:snapToGrid w:val="0"/>
          <w:sz w:val="18"/>
          <w:szCs w:val="22"/>
        </w:rPr>
        <w:t xml:space="preserve"> = epidermal growth factor receptor; HR = hazard ratio; KM = Kaplan-Meier; OS = overall survival; </w:t>
      </w:r>
      <w:r w:rsidRPr="009745EA">
        <w:rPr>
          <w:rFonts w:ascii="Arial Narrow" w:eastAsia="Calibri" w:hAnsi="Arial Narrow"/>
          <w:snapToGrid w:val="0"/>
          <w:sz w:val="18"/>
          <w:szCs w:val="20"/>
        </w:rPr>
        <w:t>PD = progress</w:t>
      </w:r>
      <w:r w:rsidR="00F446BB">
        <w:rPr>
          <w:rFonts w:ascii="Arial Narrow" w:eastAsia="Calibri" w:hAnsi="Arial Narrow"/>
          <w:snapToGrid w:val="0"/>
          <w:sz w:val="18"/>
          <w:szCs w:val="20"/>
        </w:rPr>
        <w:t>ive</w:t>
      </w:r>
      <w:r w:rsidRPr="009745EA">
        <w:rPr>
          <w:rFonts w:ascii="Arial Narrow" w:eastAsia="Calibri" w:hAnsi="Arial Narrow"/>
          <w:snapToGrid w:val="0"/>
          <w:sz w:val="18"/>
          <w:szCs w:val="20"/>
        </w:rPr>
        <w:t xml:space="preserve"> disease; PFS = progression-free survival; </w:t>
      </w:r>
      <w:r w:rsidRPr="009745EA">
        <w:rPr>
          <w:rFonts w:ascii="Arial Narrow" w:hAnsi="Arial Narrow"/>
          <w:snapToGrid w:val="0"/>
          <w:sz w:val="18"/>
          <w:szCs w:val="22"/>
        </w:rPr>
        <w:t>TKI = tyrosine kinase inhibitor</w:t>
      </w:r>
      <w:r w:rsidR="00DF50C3">
        <w:rPr>
          <w:rFonts w:ascii="Arial Narrow" w:hAnsi="Arial Narrow"/>
          <w:snapToGrid w:val="0"/>
          <w:sz w:val="18"/>
          <w:szCs w:val="22"/>
        </w:rPr>
        <w:t xml:space="preserve">; </w:t>
      </w:r>
      <w:r w:rsidR="00DF50C3" w:rsidRPr="009745EA">
        <w:rPr>
          <w:rFonts w:ascii="Arial Narrow" w:hAnsi="Arial Narrow"/>
          <w:snapToGrid w:val="0"/>
          <w:sz w:val="18"/>
          <w:szCs w:val="18"/>
        </w:rPr>
        <w:t>TTD = time to treatment discontinuation</w:t>
      </w:r>
      <w:r w:rsidR="00DF50C3">
        <w:rPr>
          <w:rFonts w:ascii="Arial Narrow" w:hAnsi="Arial Narrow"/>
          <w:snapToGrid w:val="0"/>
          <w:sz w:val="18"/>
          <w:szCs w:val="18"/>
        </w:rPr>
        <w:t>.</w:t>
      </w:r>
    </w:p>
    <w:p w14:paraId="5DE17384" w14:textId="77777777" w:rsidR="009745EA" w:rsidRPr="00F466A7" w:rsidRDefault="009745EA" w:rsidP="00A12328">
      <w:pPr>
        <w:spacing w:after="120"/>
        <w:ind w:left="165" w:hanging="165"/>
        <w:contextualSpacing/>
        <w:rPr>
          <w:rFonts w:ascii="Arial Narrow" w:hAnsi="Arial Narrow"/>
          <w:snapToGrid w:val="0"/>
          <w:sz w:val="20"/>
          <w:szCs w:val="22"/>
        </w:rPr>
      </w:pPr>
      <w:r w:rsidRPr="006514F6">
        <w:rPr>
          <w:rFonts w:ascii="Arial Narrow" w:hAnsi="Arial Narrow"/>
          <w:snapToGrid w:val="0"/>
          <w:sz w:val="18"/>
          <w:szCs w:val="22"/>
          <w:vertAlign w:val="superscript"/>
        </w:rPr>
        <w:t>a</w:t>
      </w:r>
      <w:r w:rsidRPr="009745EA">
        <w:rPr>
          <w:rFonts w:ascii="Arial Narrow" w:hAnsi="Arial Narrow"/>
          <w:snapToGrid w:val="0"/>
          <w:sz w:val="18"/>
          <w:szCs w:val="22"/>
        </w:rPr>
        <w:tab/>
      </w:r>
      <w:r w:rsidRPr="00F466A7">
        <w:rPr>
          <w:rFonts w:ascii="Arial Narrow" w:eastAsia="Calibri" w:hAnsi="Arial Narrow" w:cs="Times New Roman"/>
          <w:snapToGrid w:val="0"/>
          <w:sz w:val="18"/>
          <w:szCs w:val="22"/>
        </w:rPr>
        <w:t>B</w:t>
      </w:r>
      <w:r w:rsidRPr="00F466A7">
        <w:rPr>
          <w:rFonts w:ascii="Arial Narrow" w:hAnsi="Arial Narrow"/>
          <w:snapToGrid w:val="0"/>
          <w:sz w:val="18"/>
          <w:szCs w:val="22"/>
        </w:rPr>
        <w:t xml:space="preserve">ased on patients discontinuing treatment who used subsequent treatment in LAURA. </w:t>
      </w:r>
      <w:r w:rsidRPr="00F466A7">
        <w:rPr>
          <w:rFonts w:ascii="Arial Narrow" w:eastAsia="Calibri" w:hAnsi="Arial Narrow" w:cs="Times New Roman"/>
          <w:snapToGrid w:val="0"/>
          <w:sz w:val="18"/>
          <w:szCs w:val="22"/>
        </w:rPr>
        <w:t xml:space="preserve">57.1% was calculated as 12.7% using VEGF inhibitor – monoclonal antibody + 44.4% using </w:t>
      </w:r>
      <w:r w:rsidR="00C45A6D" w:rsidRPr="00C45A6D">
        <w:rPr>
          <w:rFonts w:ascii="Arial Narrow" w:eastAsia="Calibri" w:hAnsi="Arial Narrow" w:cs="Times New Roman"/>
          <w:i/>
          <w:snapToGrid w:val="0"/>
          <w:sz w:val="18"/>
          <w:szCs w:val="22"/>
        </w:rPr>
        <w:t>EGFR</w:t>
      </w:r>
      <w:r w:rsidRPr="00F466A7">
        <w:rPr>
          <w:rFonts w:ascii="Arial Narrow" w:eastAsia="Calibri" w:hAnsi="Arial Narrow" w:cs="Times New Roman"/>
          <w:snapToGrid w:val="0"/>
          <w:sz w:val="18"/>
          <w:szCs w:val="22"/>
        </w:rPr>
        <w:t xml:space="preserve">-TKI. </w:t>
      </w:r>
      <w:r w:rsidRPr="00F466A7">
        <w:rPr>
          <w:rFonts w:ascii="Arial Narrow" w:hAnsi="Arial Narrow" w:cstheme="minorHAnsi"/>
          <w:snapToGrid w:val="0"/>
          <w:sz w:val="18"/>
          <w:szCs w:val="22"/>
        </w:rPr>
        <w:t xml:space="preserve">The proportion of patients in the osimertinib arm who went on to subsequent </w:t>
      </w:r>
      <w:r w:rsidR="00C45A6D" w:rsidRPr="00C45A6D">
        <w:rPr>
          <w:rFonts w:ascii="Arial Narrow" w:hAnsi="Arial Narrow" w:cstheme="minorHAnsi"/>
          <w:i/>
          <w:snapToGrid w:val="0"/>
          <w:sz w:val="18"/>
          <w:szCs w:val="22"/>
        </w:rPr>
        <w:t>EGFR</w:t>
      </w:r>
      <w:r w:rsidRPr="00F466A7">
        <w:rPr>
          <w:rFonts w:ascii="Arial Narrow" w:hAnsi="Arial Narrow" w:cstheme="minorHAnsi"/>
          <w:snapToGrid w:val="0"/>
          <w:sz w:val="18"/>
          <w:szCs w:val="22"/>
        </w:rPr>
        <w:t>-TKI was 44.4% (28/63) of patients who discontinued; 8/63 (12.7%) of patients who discontinued received a subsequent VEGF inhibitor.</w:t>
      </w:r>
    </w:p>
    <w:p w14:paraId="2D1981BF" w14:textId="77777777" w:rsidR="009745EA" w:rsidRDefault="009745EA" w:rsidP="00A12328">
      <w:pPr>
        <w:spacing w:after="120"/>
        <w:contextualSpacing/>
        <w:rPr>
          <w:rFonts w:ascii="Arial Narrow" w:hAnsi="Arial Narrow"/>
          <w:snapToGrid w:val="0"/>
          <w:sz w:val="18"/>
          <w:szCs w:val="22"/>
        </w:rPr>
      </w:pPr>
      <w:r w:rsidRPr="006514F6">
        <w:rPr>
          <w:rFonts w:ascii="Arial Narrow" w:hAnsi="Arial Narrow"/>
          <w:snapToGrid w:val="0"/>
          <w:sz w:val="18"/>
          <w:szCs w:val="22"/>
          <w:vertAlign w:val="superscript"/>
        </w:rPr>
        <w:t>b</w:t>
      </w:r>
      <w:r w:rsidRPr="009745EA">
        <w:rPr>
          <w:rFonts w:ascii="Arial Narrow" w:hAnsi="Arial Narrow"/>
          <w:snapToGrid w:val="0"/>
          <w:sz w:val="18"/>
          <w:szCs w:val="22"/>
        </w:rPr>
        <w:tab/>
        <w:t>Viney 2011 Australian preference weights.</w:t>
      </w:r>
    </w:p>
    <w:p w14:paraId="7CCD278F" w14:textId="77777777" w:rsidR="00B0481B" w:rsidRPr="00B0481B" w:rsidRDefault="00B0481B" w:rsidP="00A12328">
      <w:pPr>
        <w:spacing w:after="120"/>
        <w:contextualSpacing/>
        <w:rPr>
          <w:rFonts w:ascii="Arial Narrow" w:hAnsi="Arial Narrow"/>
          <w:i/>
          <w:snapToGrid w:val="0"/>
          <w:sz w:val="18"/>
          <w:szCs w:val="22"/>
        </w:rPr>
      </w:pPr>
      <w:r w:rsidRPr="00B0481B">
        <w:rPr>
          <w:rFonts w:ascii="Arial Narrow" w:hAnsi="Arial Narrow"/>
          <w:i/>
          <w:snapToGrid w:val="0"/>
          <w:sz w:val="18"/>
          <w:szCs w:val="22"/>
        </w:rPr>
        <w:t xml:space="preserve">The redacted values correspond to the following ranges: </w:t>
      </w:r>
    </w:p>
    <w:p w14:paraId="65738FDC" w14:textId="729D2353" w:rsidR="00B0481B" w:rsidRPr="00B0481B" w:rsidRDefault="00B0481B" w:rsidP="00A12328">
      <w:pPr>
        <w:spacing w:after="120"/>
        <w:contextualSpacing/>
        <w:rPr>
          <w:rFonts w:ascii="Arial Narrow" w:hAnsi="Arial Narrow"/>
          <w:i/>
          <w:snapToGrid w:val="0"/>
          <w:sz w:val="18"/>
          <w:szCs w:val="22"/>
        </w:rPr>
      </w:pPr>
      <w:r w:rsidRPr="00B0481B">
        <w:rPr>
          <w:rFonts w:ascii="Arial Narrow" w:hAnsi="Arial Narrow"/>
          <w:i/>
          <w:snapToGrid w:val="0"/>
          <w:sz w:val="18"/>
          <w:szCs w:val="22"/>
          <w:vertAlign w:val="superscript"/>
        </w:rPr>
        <w:t>1</w:t>
      </w:r>
      <w:r w:rsidRPr="00B0481B">
        <w:rPr>
          <w:rFonts w:ascii="Arial Narrow" w:hAnsi="Arial Narrow"/>
          <w:i/>
          <w:snapToGrid w:val="0"/>
          <w:sz w:val="18"/>
          <w:szCs w:val="22"/>
        </w:rPr>
        <w:t xml:space="preserve"> </w:t>
      </w:r>
      <w:r w:rsidR="00454E25" w:rsidRPr="00454E25">
        <w:rPr>
          <w:rFonts w:ascii="Arial Narrow" w:hAnsi="Arial Narrow"/>
          <w:i/>
          <w:snapToGrid w:val="0"/>
          <w:sz w:val="18"/>
          <w:szCs w:val="22"/>
        </w:rPr>
        <w:t xml:space="preserve">$55,000 to &lt; $75,000 </w:t>
      </w:r>
    </w:p>
    <w:p w14:paraId="1D62CEF4" w14:textId="1CFD563C" w:rsidR="00B0481B" w:rsidRPr="00B0481B" w:rsidRDefault="00B0481B" w:rsidP="00A12328">
      <w:pPr>
        <w:spacing w:after="120"/>
        <w:contextualSpacing/>
        <w:rPr>
          <w:rFonts w:ascii="Arial Narrow" w:hAnsi="Arial Narrow"/>
          <w:i/>
          <w:snapToGrid w:val="0"/>
          <w:sz w:val="18"/>
          <w:szCs w:val="22"/>
        </w:rPr>
      </w:pPr>
      <w:r w:rsidRPr="00B0481B">
        <w:rPr>
          <w:rFonts w:ascii="Arial Narrow" w:hAnsi="Arial Narrow"/>
          <w:i/>
          <w:snapToGrid w:val="0"/>
          <w:sz w:val="18"/>
          <w:szCs w:val="22"/>
          <w:vertAlign w:val="superscript"/>
        </w:rPr>
        <w:t>2</w:t>
      </w:r>
      <w:r w:rsidRPr="00B0481B">
        <w:rPr>
          <w:rFonts w:ascii="Arial Narrow" w:hAnsi="Arial Narrow"/>
          <w:i/>
          <w:snapToGrid w:val="0"/>
          <w:sz w:val="18"/>
          <w:szCs w:val="22"/>
        </w:rPr>
        <w:t xml:space="preserve"> </w:t>
      </w:r>
      <w:r w:rsidR="00D87F54" w:rsidRPr="00D87F54">
        <w:rPr>
          <w:rFonts w:ascii="Arial Narrow" w:hAnsi="Arial Narrow"/>
          <w:i/>
          <w:snapToGrid w:val="0"/>
          <w:sz w:val="18"/>
          <w:szCs w:val="22"/>
        </w:rPr>
        <w:t>$75,000 to &lt; $95,000</w:t>
      </w:r>
    </w:p>
    <w:p w14:paraId="72AA2CEC" w14:textId="717ED6AF" w:rsidR="00B0481B" w:rsidRPr="00B0481B" w:rsidRDefault="00B0481B" w:rsidP="00A12328">
      <w:pPr>
        <w:spacing w:after="120"/>
        <w:contextualSpacing/>
        <w:rPr>
          <w:rFonts w:ascii="Arial Narrow" w:hAnsi="Arial Narrow"/>
          <w:i/>
          <w:snapToGrid w:val="0"/>
          <w:sz w:val="18"/>
          <w:szCs w:val="22"/>
        </w:rPr>
      </w:pPr>
      <w:r w:rsidRPr="00B0481B">
        <w:rPr>
          <w:rFonts w:ascii="Arial Narrow" w:hAnsi="Arial Narrow"/>
          <w:i/>
          <w:snapToGrid w:val="0"/>
          <w:sz w:val="18"/>
          <w:szCs w:val="22"/>
          <w:vertAlign w:val="superscript"/>
        </w:rPr>
        <w:t>3</w:t>
      </w:r>
      <w:r w:rsidRPr="00B0481B">
        <w:rPr>
          <w:rFonts w:ascii="Arial Narrow" w:hAnsi="Arial Narrow"/>
          <w:i/>
          <w:snapToGrid w:val="0"/>
          <w:sz w:val="18"/>
          <w:szCs w:val="22"/>
        </w:rPr>
        <w:t xml:space="preserve"> </w:t>
      </w:r>
      <w:r w:rsidR="008E645A" w:rsidRPr="008E645A">
        <w:rPr>
          <w:rFonts w:ascii="Arial Narrow" w:hAnsi="Arial Narrow"/>
          <w:i/>
          <w:snapToGrid w:val="0"/>
          <w:sz w:val="18"/>
          <w:szCs w:val="22"/>
        </w:rPr>
        <w:t>$25,000 to &lt; $35,000</w:t>
      </w:r>
    </w:p>
    <w:p w14:paraId="49E1DADD" w14:textId="77777777" w:rsidR="00B0481B" w:rsidRPr="009745EA" w:rsidRDefault="00B0481B" w:rsidP="00A12328">
      <w:pPr>
        <w:spacing w:after="120"/>
        <w:contextualSpacing/>
        <w:rPr>
          <w:rFonts w:ascii="Arial Narrow" w:hAnsi="Arial Narrow"/>
          <w:snapToGrid w:val="0"/>
          <w:sz w:val="18"/>
          <w:szCs w:val="22"/>
        </w:rPr>
      </w:pPr>
    </w:p>
    <w:p w14:paraId="46933A5A" w14:textId="2DFC1D11" w:rsidR="009745EA" w:rsidRPr="009745EA" w:rsidRDefault="00B961E7" w:rsidP="00A12328">
      <w:pPr>
        <w:numPr>
          <w:ilvl w:val="1"/>
          <w:numId w:val="1"/>
        </w:numPr>
        <w:spacing w:before="240" w:after="160"/>
        <w:rPr>
          <w:rFonts w:asciiTheme="minorHAnsi" w:hAnsiTheme="minorHAnsi"/>
          <w:snapToGrid w:val="0"/>
        </w:rPr>
      </w:pPr>
      <w:r w:rsidRPr="00B961E7">
        <w:rPr>
          <w:rFonts w:cs="Calibri"/>
          <w:snapToGrid w:val="0"/>
        </w:rPr>
        <w:fldChar w:fldCharType="begin"/>
      </w:r>
      <w:r w:rsidRPr="00B961E7">
        <w:rPr>
          <w:rFonts w:cs="Calibri"/>
          <w:snapToGrid w:val="0"/>
        </w:rPr>
        <w:instrText xml:space="preserve"> REF _Ref198210708 \h  \* MERGEFORMAT </w:instrText>
      </w:r>
      <w:r w:rsidRPr="00B961E7">
        <w:rPr>
          <w:rFonts w:cs="Calibri"/>
          <w:snapToGrid w:val="0"/>
        </w:rPr>
      </w:r>
      <w:r w:rsidRPr="00B961E7">
        <w:rPr>
          <w:rFonts w:cs="Calibri"/>
          <w:snapToGrid w:val="0"/>
        </w:rPr>
        <w:fldChar w:fldCharType="separate"/>
      </w:r>
      <w:r w:rsidR="009F3D59" w:rsidRPr="009F3D59">
        <w:rPr>
          <w:rFonts w:cs="Calibri"/>
        </w:rPr>
        <w:t xml:space="preserve">Table </w:t>
      </w:r>
      <w:r w:rsidR="009F3D59" w:rsidRPr="009F3D59">
        <w:rPr>
          <w:rFonts w:cs="Calibri"/>
          <w:noProof/>
        </w:rPr>
        <w:t>15</w:t>
      </w:r>
      <w:r w:rsidRPr="00B961E7">
        <w:rPr>
          <w:rFonts w:cs="Calibri"/>
          <w:snapToGrid w:val="0"/>
        </w:rPr>
        <w:fldChar w:fldCharType="end"/>
      </w:r>
      <w:r w:rsidR="009745EA" w:rsidRPr="00B961E7">
        <w:rPr>
          <w:rFonts w:cs="Calibri"/>
          <w:snapToGrid w:val="0"/>
        </w:rPr>
        <w:t xml:space="preserve"> </w:t>
      </w:r>
      <w:r w:rsidR="009745EA" w:rsidRPr="009745EA">
        <w:rPr>
          <w:rFonts w:asciiTheme="minorHAnsi" w:hAnsiTheme="minorHAnsi"/>
          <w:snapToGrid w:val="0"/>
        </w:rPr>
        <w:t>presents the results of the stepped economic evaluation presented in the submission.</w:t>
      </w:r>
    </w:p>
    <w:p w14:paraId="193270DB" w14:textId="7C76E0A5" w:rsidR="009745EA" w:rsidRPr="009745EA" w:rsidRDefault="009745EA" w:rsidP="00A12328">
      <w:pPr>
        <w:keepNext/>
        <w:keepLines/>
        <w:rPr>
          <w:rFonts w:ascii="Arial Narrow" w:hAnsi="Arial Narrow"/>
          <w:b/>
          <w:bCs/>
          <w:sz w:val="20"/>
          <w:szCs w:val="18"/>
        </w:rPr>
      </w:pPr>
      <w:bookmarkStart w:id="78" w:name="_Ref198210708"/>
      <w:r w:rsidRPr="009745EA">
        <w:rPr>
          <w:rFonts w:ascii="Arial Narrow" w:hAnsi="Arial Narrow"/>
          <w:b/>
          <w:bCs/>
          <w:sz w:val="20"/>
          <w:szCs w:val="18"/>
        </w:rPr>
        <w:t xml:space="preserve">Table </w:t>
      </w:r>
      <w:r w:rsidRPr="009745EA">
        <w:rPr>
          <w:rFonts w:ascii="Arial Narrow" w:hAnsi="Arial Narrow"/>
          <w:b/>
          <w:bCs/>
          <w:sz w:val="20"/>
          <w:szCs w:val="18"/>
        </w:rPr>
        <w:fldChar w:fldCharType="begin"/>
      </w:r>
      <w:r w:rsidRPr="009745EA">
        <w:rPr>
          <w:rFonts w:ascii="Arial Narrow" w:hAnsi="Arial Narrow"/>
          <w:b/>
          <w:bCs/>
          <w:sz w:val="20"/>
          <w:szCs w:val="18"/>
        </w:rPr>
        <w:instrText xml:space="preserve"> SEQ Table \* ARABIC </w:instrText>
      </w:r>
      <w:r w:rsidRPr="009745EA">
        <w:rPr>
          <w:rFonts w:ascii="Arial Narrow" w:hAnsi="Arial Narrow"/>
          <w:b/>
          <w:bCs/>
          <w:sz w:val="20"/>
          <w:szCs w:val="18"/>
        </w:rPr>
        <w:fldChar w:fldCharType="separate"/>
      </w:r>
      <w:r w:rsidR="009F3D59">
        <w:rPr>
          <w:rFonts w:ascii="Arial Narrow" w:hAnsi="Arial Narrow"/>
          <w:b/>
          <w:bCs/>
          <w:noProof/>
          <w:sz w:val="20"/>
          <w:szCs w:val="18"/>
        </w:rPr>
        <w:t>15</w:t>
      </w:r>
      <w:r w:rsidRPr="009745EA">
        <w:rPr>
          <w:rFonts w:ascii="Arial Narrow" w:hAnsi="Arial Narrow"/>
          <w:b/>
          <w:bCs/>
          <w:noProof/>
          <w:sz w:val="20"/>
          <w:szCs w:val="18"/>
        </w:rPr>
        <w:fldChar w:fldCharType="end"/>
      </w:r>
      <w:bookmarkEnd w:id="78"/>
      <w:r w:rsidRPr="009745EA">
        <w:rPr>
          <w:rFonts w:ascii="Arial Narrow" w:hAnsi="Arial Narrow"/>
          <w:b/>
          <w:bCs/>
          <w:sz w:val="20"/>
          <w:szCs w:val="18"/>
        </w:rPr>
        <w:t>:</w:t>
      </w:r>
      <w:r w:rsidRPr="009745EA">
        <w:rPr>
          <w:rFonts w:ascii="Arial Narrow" w:hAnsi="Arial Narrow"/>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Pr>
      <w:tblGrid>
        <w:gridCol w:w="2972"/>
        <w:gridCol w:w="2236"/>
        <w:gridCol w:w="2298"/>
        <w:gridCol w:w="1511"/>
      </w:tblGrid>
      <w:tr w:rsidR="009745EA" w:rsidRPr="009745EA" w14:paraId="70405A73" w14:textId="77777777" w:rsidTr="6A7C443A">
        <w:trPr>
          <w:tblHeader/>
        </w:trPr>
        <w:tc>
          <w:tcPr>
            <w:tcW w:w="1648" w:type="pct"/>
            <w:vAlign w:val="center"/>
          </w:tcPr>
          <w:p w14:paraId="3F203316" w14:textId="77777777" w:rsidR="009745EA" w:rsidRPr="00C42502" w:rsidRDefault="009745EA" w:rsidP="00A12328">
            <w:pPr>
              <w:keepNext/>
              <w:jc w:val="left"/>
              <w:rPr>
                <w:rFonts w:ascii="Arial Narrow" w:eastAsiaTheme="majorEastAsia" w:hAnsi="Arial Narrow" w:cs="Times New Roman"/>
                <w:b/>
                <w:sz w:val="20"/>
              </w:rPr>
            </w:pPr>
            <w:r w:rsidRPr="00C42502">
              <w:rPr>
                <w:rFonts w:ascii="Arial Narrow" w:eastAsiaTheme="majorEastAsia" w:hAnsi="Arial Narrow" w:cs="Times New Roman"/>
                <w:b/>
                <w:sz w:val="20"/>
              </w:rPr>
              <w:t>Step and component</w:t>
            </w:r>
          </w:p>
        </w:tc>
        <w:tc>
          <w:tcPr>
            <w:tcW w:w="1240" w:type="pct"/>
            <w:vAlign w:val="center"/>
          </w:tcPr>
          <w:p w14:paraId="5154AF4E"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Osimertinib</w:t>
            </w:r>
          </w:p>
        </w:tc>
        <w:tc>
          <w:tcPr>
            <w:tcW w:w="1274" w:type="pct"/>
            <w:vAlign w:val="center"/>
          </w:tcPr>
          <w:p w14:paraId="38D614C9"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Placebo</w:t>
            </w:r>
          </w:p>
        </w:tc>
        <w:tc>
          <w:tcPr>
            <w:tcW w:w="838" w:type="pct"/>
            <w:vAlign w:val="center"/>
          </w:tcPr>
          <w:p w14:paraId="07E82782"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Increment</w:t>
            </w:r>
          </w:p>
        </w:tc>
      </w:tr>
      <w:tr w:rsidR="009745EA" w:rsidRPr="009745EA" w14:paraId="3AA1021C" w14:textId="77777777" w:rsidTr="6A7C443A">
        <w:tc>
          <w:tcPr>
            <w:tcW w:w="5000" w:type="pct"/>
            <w:gridSpan w:val="4"/>
            <w:vAlign w:val="center"/>
          </w:tcPr>
          <w:p w14:paraId="6FDADEC4" w14:textId="77777777" w:rsidR="009745EA" w:rsidRPr="009745EA" w:rsidRDefault="009745EA" w:rsidP="00A12328">
            <w:pPr>
              <w:keepNext/>
              <w:jc w:val="left"/>
              <w:rPr>
                <w:rFonts w:ascii="Arial Narrow" w:eastAsiaTheme="majorEastAsia" w:hAnsi="Arial Narrow" w:cstheme="majorBidi"/>
                <w:b/>
                <w:bCs/>
                <w:sz w:val="20"/>
                <w:szCs w:val="20"/>
              </w:rPr>
            </w:pPr>
            <w:r w:rsidRPr="6A7C443A">
              <w:rPr>
                <w:rFonts w:ascii="Arial Narrow" w:eastAsiaTheme="majorEastAsia" w:hAnsi="Arial Narrow" w:cstheme="majorBidi"/>
                <w:b/>
                <w:bCs/>
                <w:sz w:val="20"/>
                <w:szCs w:val="20"/>
              </w:rPr>
              <w:t>Step 1: trial-based costs and outcomes: time horizon of 49 months. Including costs of osimertinib and treatment of adverse events.</w:t>
            </w:r>
          </w:p>
        </w:tc>
      </w:tr>
      <w:tr w:rsidR="009745EA" w:rsidRPr="009745EA" w14:paraId="0E23ADC6" w14:textId="77777777" w:rsidTr="6A7C443A">
        <w:tc>
          <w:tcPr>
            <w:tcW w:w="1648" w:type="pct"/>
            <w:vAlign w:val="center"/>
          </w:tcPr>
          <w:p w14:paraId="4DDABE38"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Costs (undiscounted)</w:t>
            </w:r>
            <w:r w:rsidRPr="009745EA">
              <w:rPr>
                <w:rFonts w:ascii="Arial Narrow" w:eastAsiaTheme="majorEastAsia" w:hAnsi="Arial Narrow" w:cstheme="majorBidi"/>
                <w:bCs/>
                <w:sz w:val="20"/>
                <w:vertAlign w:val="superscript"/>
              </w:rPr>
              <w:t>a</w:t>
            </w:r>
          </w:p>
        </w:tc>
        <w:tc>
          <w:tcPr>
            <w:tcW w:w="1240" w:type="pct"/>
            <w:vAlign w:val="center"/>
          </w:tcPr>
          <w:p w14:paraId="5BC04036" w14:textId="3777C985" w:rsidR="009745EA" w:rsidRPr="009745EA" w:rsidRDefault="009745EA" w:rsidP="00A12328">
            <w:pPr>
              <w:keepNext/>
              <w:jc w:val="center"/>
              <w:rPr>
                <w:rFonts w:ascii="Times" w:eastAsiaTheme="majorEastAsia" w:hAnsi="Times"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0"/>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0"/>
                <w14:textFill>
                  <w14:solidFill>
                    <w14:srgbClr w14:val="000000">
                      <w14:alpha w14:val="100000"/>
                    </w14:srgbClr>
                  </w14:solidFill>
                </w14:textFill>
              </w:rPr>
              <w:t>|</w:t>
            </w:r>
          </w:p>
        </w:tc>
        <w:tc>
          <w:tcPr>
            <w:tcW w:w="1274" w:type="pct"/>
            <w:vAlign w:val="center"/>
          </w:tcPr>
          <w:p w14:paraId="796C3799" w14:textId="02F14D89" w:rsidR="009745EA" w:rsidRPr="00251FC1" w:rsidRDefault="009745EA" w:rsidP="00A12328">
            <w:pPr>
              <w:keepNext/>
              <w:jc w:val="center"/>
              <w:rPr>
                <w:rFonts w:ascii="Times" w:eastAsiaTheme="majorEastAsia" w:hAnsi="Times" w:cstheme="majorBidi"/>
                <w:bCs/>
                <w:sz w:val="20"/>
              </w:rPr>
            </w:pPr>
            <w:r w:rsidRPr="00251FC1">
              <w:rPr>
                <w:rFonts w:ascii="Arial Narrow" w:eastAsiaTheme="majorEastAsia" w:hAnsi="Arial Narrow" w:cstheme="majorBidi"/>
                <w:bCs/>
                <w:sz w:val="20"/>
              </w:rPr>
              <w:t>$11</w:t>
            </w:r>
          </w:p>
        </w:tc>
        <w:tc>
          <w:tcPr>
            <w:tcW w:w="838" w:type="pct"/>
            <w:vAlign w:val="center"/>
          </w:tcPr>
          <w:p w14:paraId="479DDC92" w14:textId="54B48EB8" w:rsidR="009745EA" w:rsidRPr="009745EA" w:rsidRDefault="009745EA" w:rsidP="00A12328">
            <w:pPr>
              <w:keepNext/>
              <w:jc w:val="center"/>
              <w:rPr>
                <w:rFonts w:ascii="Times" w:eastAsiaTheme="majorEastAsia" w:hAnsi="Times"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6"/>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6"/>
                <w14:textFill>
                  <w14:solidFill>
                    <w14:srgbClr w14:val="000000">
                      <w14:alpha w14:val="100000"/>
                    </w14:srgbClr>
                  </w14:solidFill>
                </w14:textFill>
              </w:rPr>
              <w:t>|</w:t>
            </w:r>
          </w:p>
        </w:tc>
      </w:tr>
      <w:tr w:rsidR="009745EA" w:rsidRPr="009745EA" w14:paraId="3598BAB3" w14:textId="77777777" w:rsidTr="6A7C443A">
        <w:tc>
          <w:tcPr>
            <w:tcW w:w="1648" w:type="pct"/>
            <w:vAlign w:val="center"/>
          </w:tcPr>
          <w:p w14:paraId="09CE4B84"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Progression-free years (undiscounted)</w:t>
            </w:r>
            <w:r w:rsidRPr="009745EA">
              <w:rPr>
                <w:rFonts w:ascii="Arial Narrow" w:eastAsiaTheme="majorEastAsia" w:hAnsi="Arial Narrow" w:cstheme="majorBidi"/>
                <w:bCs/>
                <w:sz w:val="20"/>
                <w:vertAlign w:val="superscript"/>
              </w:rPr>
              <w:t>b</w:t>
            </w:r>
          </w:p>
        </w:tc>
        <w:tc>
          <w:tcPr>
            <w:tcW w:w="1240" w:type="pct"/>
            <w:vAlign w:val="center"/>
          </w:tcPr>
          <w:p w14:paraId="4A33BE7A" w14:textId="77777777" w:rsidR="009745EA" w:rsidRPr="009745EA" w:rsidRDefault="009745EA" w:rsidP="00A12328">
            <w:pPr>
              <w:keepNext/>
              <w:jc w:val="center"/>
              <w:rPr>
                <w:rFonts w:ascii="Times" w:eastAsiaTheme="majorEastAsia" w:hAnsi="Times" w:cstheme="majorBidi"/>
                <w:bCs/>
                <w:sz w:val="20"/>
              </w:rPr>
            </w:pPr>
            <w:r w:rsidRPr="009745EA">
              <w:rPr>
                <w:rFonts w:ascii="Arial Narrow" w:eastAsiaTheme="majorEastAsia" w:hAnsi="Arial Narrow" w:cstheme="majorBidi"/>
                <w:bCs/>
                <w:sz w:val="20"/>
              </w:rPr>
              <w:t>2.70</w:t>
            </w:r>
          </w:p>
        </w:tc>
        <w:tc>
          <w:tcPr>
            <w:tcW w:w="1274" w:type="pct"/>
            <w:vAlign w:val="center"/>
          </w:tcPr>
          <w:p w14:paraId="3E1F18A6" w14:textId="77777777" w:rsidR="009745EA" w:rsidRPr="00251FC1" w:rsidRDefault="009745EA" w:rsidP="00A12328">
            <w:pPr>
              <w:keepNext/>
              <w:jc w:val="center"/>
              <w:rPr>
                <w:rFonts w:ascii="Times" w:eastAsiaTheme="majorEastAsia" w:hAnsi="Times" w:cstheme="majorBidi"/>
                <w:bCs/>
                <w:sz w:val="20"/>
              </w:rPr>
            </w:pPr>
            <w:r w:rsidRPr="00251FC1">
              <w:rPr>
                <w:rFonts w:ascii="Arial Narrow" w:eastAsiaTheme="majorEastAsia" w:hAnsi="Arial Narrow" w:cstheme="majorBidi"/>
                <w:bCs/>
                <w:sz w:val="20"/>
              </w:rPr>
              <w:t>0.89</w:t>
            </w:r>
          </w:p>
        </w:tc>
        <w:tc>
          <w:tcPr>
            <w:tcW w:w="838" w:type="pct"/>
            <w:vAlign w:val="center"/>
          </w:tcPr>
          <w:p w14:paraId="4A017956" w14:textId="77777777"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1.81</w:t>
            </w:r>
          </w:p>
        </w:tc>
      </w:tr>
      <w:tr w:rsidR="009745EA" w:rsidRPr="009745EA" w14:paraId="6BE02553" w14:textId="77777777" w:rsidTr="6A7C443A">
        <w:tc>
          <w:tcPr>
            <w:tcW w:w="4162" w:type="pct"/>
            <w:gridSpan w:val="3"/>
            <w:vAlign w:val="center"/>
          </w:tcPr>
          <w:p w14:paraId="3F3F326E"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Incremental cost/extra progression-free year</w:t>
            </w:r>
          </w:p>
        </w:tc>
        <w:tc>
          <w:tcPr>
            <w:tcW w:w="838" w:type="pct"/>
            <w:vAlign w:val="center"/>
          </w:tcPr>
          <w:p w14:paraId="767E71C9" w14:textId="5CDDBA6B" w:rsidR="009745EA" w:rsidRPr="005F457F" w:rsidRDefault="009745EA" w:rsidP="00A12328">
            <w:pPr>
              <w:keepNext/>
              <w:jc w:val="center"/>
              <w:rPr>
                <w:rFonts w:ascii="Times" w:eastAsiaTheme="majorEastAsia" w:hAnsi="Times" w:cstheme="majorBidi"/>
                <w:bCs/>
                <w:sz w:val="20"/>
                <w:vertAlign w:val="superscript"/>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5"/>
                <w14:textFill>
                  <w14:solidFill>
                    <w14:srgbClr w14:val="000000">
                      <w14:alpha w14:val="100000"/>
                    </w14:srgbClr>
                  </w14:solidFill>
                </w14:textFill>
              </w:rPr>
              <w:t>|</w:t>
            </w:r>
            <w:r w:rsidR="005F457F">
              <w:rPr>
                <w:rFonts w:ascii="Arial Narrow" w:eastAsiaTheme="majorEastAsia" w:hAnsi="Arial Narrow" w:cstheme="majorBidi"/>
                <w:bCs/>
                <w:sz w:val="20"/>
                <w:vertAlign w:val="superscript"/>
              </w:rPr>
              <w:t>1</w:t>
            </w:r>
          </w:p>
        </w:tc>
      </w:tr>
      <w:tr w:rsidR="009745EA" w:rsidRPr="009745EA" w14:paraId="71F217D1" w14:textId="77777777" w:rsidTr="6A7C443A">
        <w:tc>
          <w:tcPr>
            <w:tcW w:w="5000" w:type="pct"/>
            <w:gridSpan w:val="4"/>
            <w:vAlign w:val="center"/>
          </w:tcPr>
          <w:p w14:paraId="1104E45B" w14:textId="77777777" w:rsidR="009745EA" w:rsidRPr="00C42502" w:rsidRDefault="009745EA" w:rsidP="00A12328">
            <w:pPr>
              <w:keepNext/>
              <w:jc w:val="left"/>
              <w:rPr>
                <w:rFonts w:ascii="Arial Narrow" w:eastAsiaTheme="majorEastAsia" w:hAnsi="Arial Narrow" w:cs="Times New Roman"/>
                <w:b/>
                <w:sz w:val="20"/>
              </w:rPr>
            </w:pPr>
            <w:r w:rsidRPr="00C42502">
              <w:rPr>
                <w:rFonts w:ascii="Arial Narrow" w:eastAsiaTheme="majorEastAsia" w:hAnsi="Arial Narrow" w:cs="Times New Roman"/>
                <w:b/>
                <w:sz w:val="20"/>
              </w:rPr>
              <w:t xml:space="preserve">Step 2: time horizon extended to 10 years and discounting included. </w:t>
            </w:r>
          </w:p>
          <w:p w14:paraId="03B92CA3" w14:textId="77777777" w:rsidR="009745EA" w:rsidRPr="00C42502" w:rsidRDefault="009745EA" w:rsidP="00A12328">
            <w:pPr>
              <w:keepNext/>
              <w:jc w:val="left"/>
              <w:rPr>
                <w:rFonts w:ascii="Arial Narrow" w:eastAsiaTheme="majorEastAsia" w:hAnsi="Arial Narrow" w:cs="Times New Roman"/>
                <w:b/>
                <w:sz w:val="20"/>
              </w:rPr>
            </w:pPr>
            <w:r w:rsidRPr="00C42502">
              <w:rPr>
                <w:rFonts w:ascii="Arial Narrow" w:eastAsiaTheme="majorEastAsia" w:hAnsi="Arial Narrow" w:cs="Times New Roman"/>
                <w:b/>
                <w:sz w:val="20"/>
              </w:rPr>
              <w:t>Included costs of monitoring for patients on osimertinib treatment, costs of disease monitoring, subsequent treatment, CNS metastases and palliative care.</w:t>
            </w:r>
          </w:p>
        </w:tc>
      </w:tr>
      <w:tr w:rsidR="009745EA" w:rsidRPr="009745EA" w14:paraId="287C3E0B" w14:textId="77777777" w:rsidTr="00B50819">
        <w:tc>
          <w:tcPr>
            <w:tcW w:w="1648" w:type="pct"/>
            <w:vAlign w:val="center"/>
          </w:tcPr>
          <w:p w14:paraId="6F88AC60"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Costs (discounted)</w:t>
            </w:r>
          </w:p>
        </w:tc>
        <w:tc>
          <w:tcPr>
            <w:tcW w:w="1240" w:type="pct"/>
            <w:tcBorders>
              <w:top w:val="single" w:sz="4" w:space="0" w:color="auto"/>
              <w:left w:val="single" w:sz="4" w:space="0" w:color="auto"/>
              <w:bottom w:val="single" w:sz="4" w:space="0" w:color="auto"/>
              <w:right w:val="single" w:sz="4" w:space="0" w:color="auto"/>
            </w:tcBorders>
            <w:vAlign w:val="center"/>
          </w:tcPr>
          <w:p w14:paraId="6949DE07" w14:textId="5AA656F3" w:rsidR="009745EA" w:rsidRPr="009745EA" w:rsidRDefault="009745EA" w:rsidP="00A12328">
            <w:pPr>
              <w:keepNext/>
              <w:jc w:val="center"/>
              <w:rPr>
                <w:rFonts w:ascii="Times" w:eastAsiaTheme="majorEastAsia" w:hAnsi="Times" w:cstheme="majorBidi"/>
                <w:sz w:val="20"/>
              </w:rPr>
            </w:pPr>
            <w:r w:rsidRPr="009745EA">
              <w:rPr>
                <w:rFonts w:ascii="Arial Narrow" w:eastAsiaTheme="majorEastAsia" w:hAnsi="Arial Narrow" w:cstheme="majorBidi"/>
                <w:sz w:val="20"/>
              </w:rPr>
              <w:t>$</w:t>
            </w:r>
            <w:r w:rsidR="00B50819" w:rsidRPr="00B50819">
              <w:rPr>
                <w:rFonts w:ascii="Arial Narrow" w:eastAsiaTheme="majorEastAsia" w:hAnsi="Arial Narrow" w:cstheme="majorBidi"/>
                <w:color w:val="000000"/>
                <w:spacing w:val="53"/>
                <w:sz w:val="20"/>
                <w:shd w:val="solid" w:color="000000" w:fill="000000"/>
                <w:fitText w:val="330" w:id="-628958974"/>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hd w:val="solid" w:color="000000" w:fill="000000"/>
                <w:fitText w:val="330" w:id="-628958974"/>
                <w14:textFill>
                  <w14:solidFill>
                    <w14:srgbClr w14:val="000000">
                      <w14:alpha w14:val="100000"/>
                    </w14:srgbClr>
                  </w14:solidFill>
                </w14:textFill>
              </w:rPr>
              <w:t>|</w:t>
            </w:r>
          </w:p>
        </w:tc>
        <w:tc>
          <w:tcPr>
            <w:tcW w:w="1274" w:type="pct"/>
            <w:tcBorders>
              <w:top w:val="single" w:sz="4" w:space="0" w:color="auto"/>
              <w:left w:val="single" w:sz="4" w:space="0" w:color="auto"/>
              <w:bottom w:val="single" w:sz="4" w:space="0" w:color="auto"/>
              <w:right w:val="single" w:sz="4" w:space="0" w:color="auto"/>
            </w:tcBorders>
            <w:vAlign w:val="center"/>
          </w:tcPr>
          <w:p w14:paraId="51D795D2" w14:textId="7468A26B" w:rsidR="009745EA" w:rsidRPr="00251FC1" w:rsidRDefault="009745EA" w:rsidP="00A12328">
            <w:pPr>
              <w:keepNext/>
              <w:jc w:val="center"/>
              <w:rPr>
                <w:rFonts w:ascii="Times" w:eastAsiaTheme="majorEastAsia" w:hAnsi="Times" w:cstheme="majorBidi"/>
                <w:sz w:val="20"/>
              </w:rPr>
            </w:pPr>
            <w:r w:rsidRPr="00251FC1">
              <w:rPr>
                <w:rFonts w:ascii="Arial Narrow" w:eastAsiaTheme="majorEastAsia" w:hAnsi="Arial Narrow" w:cstheme="majorBidi"/>
                <w:sz w:val="20"/>
                <w:szCs w:val="20"/>
              </w:rPr>
              <w:t>$163,806</w:t>
            </w:r>
          </w:p>
        </w:tc>
        <w:tc>
          <w:tcPr>
            <w:tcW w:w="838" w:type="pct"/>
            <w:tcBorders>
              <w:top w:val="single" w:sz="4" w:space="0" w:color="auto"/>
              <w:left w:val="single" w:sz="4" w:space="0" w:color="auto"/>
              <w:bottom w:val="single" w:sz="4" w:space="0" w:color="auto"/>
              <w:right w:val="single" w:sz="4" w:space="0" w:color="auto"/>
            </w:tcBorders>
            <w:vAlign w:val="center"/>
          </w:tcPr>
          <w:p w14:paraId="569B8CFA" w14:textId="4C4B1C43" w:rsidR="009745EA" w:rsidRPr="009745EA" w:rsidRDefault="009745EA" w:rsidP="00A12328">
            <w:pPr>
              <w:keepNext/>
              <w:jc w:val="center"/>
              <w:rPr>
                <w:rFonts w:ascii="Times" w:eastAsiaTheme="majorEastAsia" w:hAnsi="Times" w:cstheme="majorBidi"/>
                <w:sz w:val="20"/>
              </w:rPr>
            </w:pPr>
            <w:r w:rsidRPr="009745EA">
              <w:rPr>
                <w:rFonts w:ascii="Arial Narrow" w:eastAsiaTheme="majorEastAsia" w:hAnsi="Arial Narrow" w:cstheme="majorBidi"/>
                <w:sz w:val="20"/>
                <w:szCs w:val="20"/>
              </w:rPr>
              <w:t>$</w:t>
            </w:r>
            <w:r w:rsidR="00B50819" w:rsidRPr="00B50819">
              <w:rPr>
                <w:rFonts w:ascii="Arial Narrow" w:eastAsiaTheme="majorEastAsia" w:hAnsi="Arial Narrow" w:cstheme="majorBidi"/>
                <w:color w:val="000000"/>
                <w:spacing w:val="53"/>
                <w:sz w:val="20"/>
                <w:szCs w:val="20"/>
                <w:shd w:val="solid" w:color="000000" w:fill="000000"/>
                <w:fitText w:val="330" w:id="-628958973"/>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zCs w:val="20"/>
                <w:shd w:val="solid" w:color="000000" w:fill="000000"/>
                <w:fitText w:val="330" w:id="-628958973"/>
                <w14:textFill>
                  <w14:solidFill>
                    <w14:srgbClr w14:val="000000">
                      <w14:alpha w14:val="100000"/>
                    </w14:srgbClr>
                  </w14:solidFill>
                </w14:textFill>
              </w:rPr>
              <w:t>|</w:t>
            </w:r>
          </w:p>
        </w:tc>
      </w:tr>
      <w:tr w:rsidR="009745EA" w:rsidRPr="009745EA" w14:paraId="69A80BC1" w14:textId="77777777" w:rsidTr="00B50819">
        <w:tc>
          <w:tcPr>
            <w:tcW w:w="1648" w:type="pct"/>
            <w:vAlign w:val="center"/>
          </w:tcPr>
          <w:p w14:paraId="41650310"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LYG (discounted)</w:t>
            </w:r>
          </w:p>
        </w:tc>
        <w:tc>
          <w:tcPr>
            <w:tcW w:w="1240" w:type="pct"/>
            <w:shd w:val="solid" w:color="000000" w:fill="000000"/>
            <w:vAlign w:val="center"/>
          </w:tcPr>
          <w:p w14:paraId="5B335933" w14:textId="7D0C9C8B" w:rsidR="009745EA" w:rsidRPr="009745EA" w:rsidRDefault="00B50819" w:rsidP="00A12328">
            <w:pPr>
              <w:keepNext/>
              <w:jc w:val="center"/>
              <w:rPr>
                <w:rFonts w:ascii="Times" w:eastAsiaTheme="majorEastAsia" w:hAnsi="Times" w:cstheme="majorBidi"/>
                <w:bCs/>
                <w:sz w:val="20"/>
              </w:rPr>
            </w:pPr>
            <w:r w:rsidRPr="00B50819">
              <w:rPr>
                <w:rFonts w:ascii="Arial Narrow" w:eastAsiaTheme="majorEastAsia" w:hAnsi="Arial Narrow" w:cstheme="majorBidi"/>
                <w:bCs/>
                <w:color w:val="000000"/>
                <w:spacing w:val="53"/>
                <w:sz w:val="20"/>
                <w:fitText w:val="330" w:id="-628958972"/>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fitText w:val="330" w:id="-628958972"/>
                <w14:textFill>
                  <w14:solidFill>
                    <w14:srgbClr w14:val="000000">
                      <w14:alpha w14:val="100000"/>
                    </w14:srgbClr>
                  </w14:solidFill>
                </w14:textFill>
              </w:rPr>
              <w:t>|</w:t>
            </w:r>
          </w:p>
        </w:tc>
        <w:tc>
          <w:tcPr>
            <w:tcW w:w="1274" w:type="pct"/>
            <w:vAlign w:val="center"/>
          </w:tcPr>
          <w:p w14:paraId="5BF1D1F1" w14:textId="77777777" w:rsidR="009745EA" w:rsidRPr="00251FC1" w:rsidRDefault="009745EA" w:rsidP="00A12328">
            <w:pPr>
              <w:keepNext/>
              <w:jc w:val="center"/>
              <w:rPr>
                <w:rFonts w:ascii="Times" w:eastAsiaTheme="majorEastAsia" w:hAnsi="Times" w:cstheme="majorBidi"/>
                <w:bCs/>
                <w:sz w:val="20"/>
              </w:rPr>
            </w:pPr>
            <w:r w:rsidRPr="00251FC1">
              <w:rPr>
                <w:rFonts w:ascii="Arial Narrow" w:eastAsiaTheme="majorEastAsia" w:hAnsi="Arial Narrow" w:cstheme="majorBidi"/>
                <w:bCs/>
                <w:sz w:val="20"/>
              </w:rPr>
              <w:t>4.131</w:t>
            </w:r>
          </w:p>
        </w:tc>
        <w:tc>
          <w:tcPr>
            <w:tcW w:w="838" w:type="pct"/>
            <w:shd w:val="solid" w:color="000000" w:fill="000000"/>
            <w:vAlign w:val="center"/>
          </w:tcPr>
          <w:p w14:paraId="670FF147" w14:textId="6E93E634" w:rsidR="009745EA" w:rsidRPr="009745EA" w:rsidRDefault="00B50819" w:rsidP="00A12328">
            <w:pPr>
              <w:keepNext/>
              <w:jc w:val="center"/>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fitText w:val="330" w:id="-628958971"/>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fitText w:val="330" w:id="-628958971"/>
                <w14:textFill>
                  <w14:solidFill>
                    <w14:srgbClr w14:val="000000">
                      <w14:alpha w14:val="100000"/>
                    </w14:srgbClr>
                  </w14:solidFill>
                </w14:textFill>
              </w:rPr>
              <w:t>|</w:t>
            </w:r>
          </w:p>
        </w:tc>
      </w:tr>
      <w:tr w:rsidR="009745EA" w:rsidRPr="009745EA" w14:paraId="3BC2B3CE" w14:textId="77777777" w:rsidTr="6A7C443A">
        <w:tc>
          <w:tcPr>
            <w:tcW w:w="4162" w:type="pct"/>
            <w:gridSpan w:val="3"/>
            <w:vAlign w:val="center"/>
          </w:tcPr>
          <w:p w14:paraId="6ED7D895"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Incremental cost/extra LYG gained</w:t>
            </w:r>
          </w:p>
        </w:tc>
        <w:tc>
          <w:tcPr>
            <w:tcW w:w="838" w:type="pct"/>
            <w:vAlign w:val="center"/>
          </w:tcPr>
          <w:p w14:paraId="699CB46D" w14:textId="2AFB9402" w:rsidR="009745EA" w:rsidRPr="00CC0804" w:rsidRDefault="009745EA" w:rsidP="00A12328">
            <w:pPr>
              <w:keepNext/>
              <w:jc w:val="center"/>
              <w:rPr>
                <w:rFonts w:ascii="Times" w:eastAsiaTheme="majorEastAsia" w:hAnsi="Times" w:cstheme="majorBidi"/>
                <w:bCs/>
                <w:sz w:val="20"/>
                <w:vertAlign w:val="superscript"/>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0"/>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0"/>
                <w14:textFill>
                  <w14:solidFill>
                    <w14:srgbClr w14:val="000000">
                      <w14:alpha w14:val="100000"/>
                    </w14:srgbClr>
                  </w14:solidFill>
                </w14:textFill>
              </w:rPr>
              <w:t>|</w:t>
            </w:r>
            <w:r w:rsidR="00CC0804">
              <w:rPr>
                <w:rFonts w:ascii="Arial Narrow" w:eastAsiaTheme="majorEastAsia" w:hAnsi="Arial Narrow" w:cstheme="majorBidi"/>
                <w:bCs/>
                <w:sz w:val="20"/>
                <w:vertAlign w:val="superscript"/>
              </w:rPr>
              <w:t>2</w:t>
            </w:r>
          </w:p>
        </w:tc>
      </w:tr>
      <w:tr w:rsidR="009745EA" w:rsidRPr="009745EA" w14:paraId="2FD6B094" w14:textId="77777777" w:rsidTr="6A7C443A">
        <w:tc>
          <w:tcPr>
            <w:tcW w:w="5000" w:type="pct"/>
            <w:gridSpan w:val="4"/>
            <w:vAlign w:val="center"/>
          </w:tcPr>
          <w:p w14:paraId="3778C97E" w14:textId="77777777" w:rsidR="009745EA" w:rsidRPr="00C42502" w:rsidRDefault="009745EA" w:rsidP="00A12328">
            <w:pPr>
              <w:keepNext/>
              <w:jc w:val="left"/>
              <w:rPr>
                <w:rFonts w:ascii="Arial Narrow" w:eastAsiaTheme="majorEastAsia" w:hAnsi="Arial Narrow" w:cs="Times New Roman"/>
                <w:b/>
                <w:sz w:val="20"/>
              </w:rPr>
            </w:pPr>
            <w:r w:rsidRPr="00C42502">
              <w:rPr>
                <w:rFonts w:ascii="Arial Narrow" w:eastAsiaTheme="majorEastAsia" w:hAnsi="Arial Narrow" w:cs="Times New Roman"/>
                <w:b/>
                <w:sz w:val="20"/>
              </w:rPr>
              <w:t>Step 3: utility weights applied.</w:t>
            </w:r>
          </w:p>
        </w:tc>
      </w:tr>
      <w:tr w:rsidR="009745EA" w:rsidRPr="009745EA" w14:paraId="1ED9A460" w14:textId="77777777" w:rsidTr="00B50819">
        <w:tc>
          <w:tcPr>
            <w:tcW w:w="1648" w:type="pct"/>
            <w:vAlign w:val="center"/>
          </w:tcPr>
          <w:p w14:paraId="5A40F462"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Costs (discounted)</w:t>
            </w:r>
          </w:p>
        </w:tc>
        <w:tc>
          <w:tcPr>
            <w:tcW w:w="1240" w:type="pct"/>
            <w:tcBorders>
              <w:top w:val="single" w:sz="4" w:space="0" w:color="auto"/>
              <w:left w:val="single" w:sz="4" w:space="0" w:color="auto"/>
              <w:bottom w:val="single" w:sz="4" w:space="0" w:color="auto"/>
              <w:right w:val="single" w:sz="4" w:space="0" w:color="auto"/>
            </w:tcBorders>
            <w:vAlign w:val="center"/>
          </w:tcPr>
          <w:p w14:paraId="08EC2C8C" w14:textId="3DC00E33" w:rsidR="009745EA" w:rsidRPr="009745EA" w:rsidRDefault="009745EA" w:rsidP="00A12328">
            <w:pPr>
              <w:keepNext/>
              <w:jc w:val="center"/>
              <w:rPr>
                <w:rFonts w:ascii="Times" w:eastAsiaTheme="majorEastAsia" w:hAnsi="Times" w:cstheme="majorBidi"/>
                <w:bCs/>
                <w:sz w:val="20"/>
              </w:rPr>
            </w:pPr>
            <w:r w:rsidRPr="009745EA">
              <w:rPr>
                <w:rFonts w:ascii="Arial Narrow" w:eastAsiaTheme="majorEastAsia" w:hAnsi="Arial Narrow" w:cstheme="majorBidi"/>
                <w:sz w:val="20"/>
              </w:rPr>
              <w:t>$</w:t>
            </w:r>
            <w:r w:rsidR="00B50819" w:rsidRPr="00B50819">
              <w:rPr>
                <w:rFonts w:ascii="Arial Narrow" w:eastAsiaTheme="majorEastAsia" w:hAnsi="Arial Narrow" w:cstheme="majorBidi"/>
                <w:color w:val="000000"/>
                <w:spacing w:val="53"/>
                <w:sz w:val="20"/>
                <w:shd w:val="solid" w:color="000000" w:fill="000000"/>
                <w:fitText w:val="330" w:id="-628958969"/>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hd w:val="solid" w:color="000000" w:fill="000000"/>
                <w:fitText w:val="330" w:id="-628958969"/>
                <w14:textFill>
                  <w14:solidFill>
                    <w14:srgbClr w14:val="000000">
                      <w14:alpha w14:val="100000"/>
                    </w14:srgbClr>
                  </w14:solidFill>
                </w14:textFill>
              </w:rPr>
              <w:t>|</w:t>
            </w:r>
          </w:p>
        </w:tc>
        <w:tc>
          <w:tcPr>
            <w:tcW w:w="1274" w:type="pct"/>
            <w:tcBorders>
              <w:top w:val="single" w:sz="4" w:space="0" w:color="auto"/>
              <w:left w:val="single" w:sz="4" w:space="0" w:color="auto"/>
              <w:bottom w:val="single" w:sz="4" w:space="0" w:color="auto"/>
              <w:right w:val="single" w:sz="4" w:space="0" w:color="auto"/>
            </w:tcBorders>
            <w:vAlign w:val="center"/>
          </w:tcPr>
          <w:p w14:paraId="67759B46" w14:textId="4028263A" w:rsidR="009745EA" w:rsidRPr="00251FC1" w:rsidRDefault="009745EA" w:rsidP="00A12328">
            <w:pPr>
              <w:keepNext/>
              <w:jc w:val="center"/>
              <w:rPr>
                <w:rFonts w:ascii="Times" w:eastAsiaTheme="majorEastAsia" w:hAnsi="Times" w:cstheme="majorBidi"/>
                <w:bCs/>
                <w:sz w:val="20"/>
              </w:rPr>
            </w:pPr>
            <w:r w:rsidRPr="00251FC1">
              <w:rPr>
                <w:rFonts w:ascii="Arial Narrow" w:eastAsiaTheme="majorEastAsia" w:hAnsi="Arial Narrow" w:cstheme="majorBidi"/>
                <w:sz w:val="20"/>
                <w:szCs w:val="20"/>
              </w:rPr>
              <w:t>$163,806</w:t>
            </w:r>
          </w:p>
        </w:tc>
        <w:tc>
          <w:tcPr>
            <w:tcW w:w="838" w:type="pct"/>
            <w:tcBorders>
              <w:top w:val="single" w:sz="4" w:space="0" w:color="auto"/>
              <w:left w:val="single" w:sz="4" w:space="0" w:color="auto"/>
              <w:bottom w:val="single" w:sz="4" w:space="0" w:color="auto"/>
              <w:right w:val="single" w:sz="4" w:space="0" w:color="auto"/>
            </w:tcBorders>
            <w:vAlign w:val="center"/>
          </w:tcPr>
          <w:p w14:paraId="25D2B0E9" w14:textId="397C4651" w:rsidR="009745EA" w:rsidRPr="009745EA" w:rsidRDefault="009745EA" w:rsidP="00A12328">
            <w:pPr>
              <w:keepNext/>
              <w:jc w:val="center"/>
              <w:rPr>
                <w:rFonts w:ascii="Times" w:eastAsiaTheme="majorEastAsia" w:hAnsi="Times" w:cstheme="majorBidi"/>
                <w:bCs/>
                <w:sz w:val="20"/>
              </w:rPr>
            </w:pPr>
            <w:r w:rsidRPr="009745EA">
              <w:rPr>
                <w:rFonts w:ascii="Arial Narrow" w:eastAsiaTheme="majorEastAsia" w:hAnsi="Arial Narrow" w:cstheme="majorBidi"/>
                <w:sz w:val="20"/>
                <w:szCs w:val="20"/>
              </w:rPr>
              <w:t>$</w:t>
            </w:r>
            <w:r w:rsidR="00B50819" w:rsidRPr="00B50819">
              <w:rPr>
                <w:rFonts w:ascii="Arial Narrow" w:eastAsiaTheme="majorEastAsia" w:hAnsi="Arial Narrow" w:cstheme="majorBidi"/>
                <w:color w:val="000000"/>
                <w:spacing w:val="53"/>
                <w:sz w:val="20"/>
                <w:szCs w:val="20"/>
                <w:shd w:val="solid" w:color="000000" w:fill="000000"/>
                <w:fitText w:val="330" w:id="-628958968"/>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zCs w:val="20"/>
                <w:shd w:val="solid" w:color="000000" w:fill="000000"/>
                <w:fitText w:val="330" w:id="-628958968"/>
                <w14:textFill>
                  <w14:solidFill>
                    <w14:srgbClr w14:val="000000">
                      <w14:alpha w14:val="100000"/>
                    </w14:srgbClr>
                  </w14:solidFill>
                </w14:textFill>
              </w:rPr>
              <w:t>|</w:t>
            </w:r>
          </w:p>
        </w:tc>
      </w:tr>
      <w:tr w:rsidR="009745EA" w:rsidRPr="009745EA" w14:paraId="27D8EAEB" w14:textId="77777777" w:rsidTr="00B50819">
        <w:tc>
          <w:tcPr>
            <w:tcW w:w="1648" w:type="pct"/>
            <w:vAlign w:val="center"/>
          </w:tcPr>
          <w:p w14:paraId="1E83C687" w14:textId="77777777" w:rsidR="009745EA" w:rsidRPr="009745EA" w:rsidRDefault="009745EA" w:rsidP="00A12328">
            <w:pPr>
              <w:keepNext/>
              <w:jc w:val="left"/>
              <w:rPr>
                <w:rFonts w:ascii="Times" w:eastAsiaTheme="majorEastAsia" w:hAnsi="Times" w:cstheme="majorBidi"/>
                <w:bCs/>
                <w:sz w:val="20"/>
              </w:rPr>
            </w:pPr>
            <w:r w:rsidRPr="009745EA">
              <w:rPr>
                <w:rFonts w:ascii="Arial Narrow" w:eastAsiaTheme="majorEastAsia" w:hAnsi="Arial Narrow" w:cstheme="majorBidi"/>
                <w:bCs/>
                <w:sz w:val="20"/>
              </w:rPr>
              <w:t>QALYs (discounted)</w:t>
            </w:r>
          </w:p>
        </w:tc>
        <w:tc>
          <w:tcPr>
            <w:tcW w:w="1240" w:type="pct"/>
            <w:shd w:val="solid" w:color="000000" w:fill="000000"/>
            <w:vAlign w:val="center"/>
          </w:tcPr>
          <w:p w14:paraId="4063DFBE" w14:textId="5258F545" w:rsidR="009745EA" w:rsidRPr="009745EA" w:rsidRDefault="00B50819" w:rsidP="00A12328">
            <w:pPr>
              <w:keepNext/>
              <w:jc w:val="center"/>
              <w:rPr>
                <w:rFonts w:ascii="Times" w:eastAsiaTheme="majorEastAsia" w:hAnsi="Times" w:cstheme="majorBidi"/>
                <w:bCs/>
                <w:sz w:val="20"/>
              </w:rPr>
            </w:pPr>
            <w:r w:rsidRPr="00B50819">
              <w:rPr>
                <w:rFonts w:ascii="Arial Narrow" w:eastAsiaTheme="majorEastAsia" w:hAnsi="Arial Narrow" w:cstheme="majorBidi"/>
                <w:bCs/>
                <w:color w:val="000000"/>
                <w:spacing w:val="53"/>
                <w:sz w:val="20"/>
                <w:fitText w:val="330" w:id="-628958967"/>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fitText w:val="330" w:id="-628958967"/>
                <w14:textFill>
                  <w14:solidFill>
                    <w14:srgbClr w14:val="000000">
                      <w14:alpha w14:val="100000"/>
                    </w14:srgbClr>
                  </w14:solidFill>
                </w14:textFill>
              </w:rPr>
              <w:t>|</w:t>
            </w:r>
          </w:p>
        </w:tc>
        <w:tc>
          <w:tcPr>
            <w:tcW w:w="1274" w:type="pct"/>
            <w:vAlign w:val="center"/>
          </w:tcPr>
          <w:p w14:paraId="528B466D" w14:textId="77777777" w:rsidR="009745EA" w:rsidRPr="00251FC1" w:rsidRDefault="009745EA" w:rsidP="00A12328">
            <w:pPr>
              <w:keepNext/>
              <w:jc w:val="center"/>
              <w:rPr>
                <w:rFonts w:ascii="Times" w:eastAsiaTheme="majorEastAsia" w:hAnsi="Times" w:cstheme="majorBidi"/>
                <w:bCs/>
                <w:sz w:val="20"/>
              </w:rPr>
            </w:pPr>
            <w:r w:rsidRPr="00251FC1">
              <w:rPr>
                <w:rFonts w:ascii="Arial Narrow" w:eastAsiaTheme="majorEastAsia" w:hAnsi="Arial Narrow" w:cstheme="majorBidi"/>
                <w:bCs/>
                <w:sz w:val="20"/>
              </w:rPr>
              <w:t>3.159</w:t>
            </w:r>
          </w:p>
        </w:tc>
        <w:tc>
          <w:tcPr>
            <w:tcW w:w="838" w:type="pct"/>
            <w:shd w:val="solid" w:color="000000" w:fill="000000"/>
            <w:vAlign w:val="center"/>
          </w:tcPr>
          <w:p w14:paraId="4419AB99" w14:textId="4092B74A" w:rsidR="009745EA" w:rsidRPr="009745EA" w:rsidRDefault="00B50819" w:rsidP="00A12328">
            <w:pPr>
              <w:keepNext/>
              <w:jc w:val="center"/>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fitText w:val="330" w:id="-628958966"/>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fitText w:val="330" w:id="-628958966"/>
                <w14:textFill>
                  <w14:solidFill>
                    <w14:srgbClr w14:val="000000">
                      <w14:alpha w14:val="100000"/>
                    </w14:srgbClr>
                  </w14:solidFill>
                </w14:textFill>
              </w:rPr>
              <w:t>|</w:t>
            </w:r>
          </w:p>
        </w:tc>
      </w:tr>
      <w:tr w:rsidR="009745EA" w:rsidRPr="009745EA" w14:paraId="5254E7E0" w14:textId="77777777" w:rsidTr="6A7C443A">
        <w:tc>
          <w:tcPr>
            <w:tcW w:w="4162" w:type="pct"/>
            <w:gridSpan w:val="3"/>
            <w:vAlign w:val="center"/>
          </w:tcPr>
          <w:p w14:paraId="47B90726" w14:textId="77777777" w:rsidR="009745EA" w:rsidRPr="009745EA" w:rsidRDefault="009745EA" w:rsidP="00A12328">
            <w:pPr>
              <w:keepNext/>
              <w:jc w:val="left"/>
              <w:rPr>
                <w:rFonts w:ascii="Times" w:eastAsiaTheme="majorEastAsia" w:hAnsi="Times" w:cstheme="majorBidi"/>
                <w:b/>
                <w:bCs/>
                <w:sz w:val="20"/>
              </w:rPr>
            </w:pPr>
            <w:r w:rsidRPr="009745EA">
              <w:rPr>
                <w:rFonts w:ascii="Arial Narrow" w:eastAsiaTheme="majorEastAsia" w:hAnsi="Arial Narrow" w:cstheme="majorBidi"/>
                <w:b/>
                <w:bCs/>
                <w:sz w:val="20"/>
              </w:rPr>
              <w:t>Incremental cost/extra QALY gained (base case)</w:t>
            </w:r>
          </w:p>
        </w:tc>
        <w:tc>
          <w:tcPr>
            <w:tcW w:w="838" w:type="pct"/>
            <w:vAlign w:val="center"/>
          </w:tcPr>
          <w:p w14:paraId="2054051D" w14:textId="1CE496B4" w:rsidR="009745EA" w:rsidRPr="00FA0B58" w:rsidRDefault="009745EA" w:rsidP="00A12328">
            <w:pPr>
              <w:keepNext/>
              <w:jc w:val="center"/>
              <w:rPr>
                <w:rFonts w:ascii="Times" w:eastAsiaTheme="majorEastAsia" w:hAnsi="Times" w:cstheme="majorBidi"/>
                <w:b/>
                <w:bCs/>
                <w:sz w:val="20"/>
                <w:vertAlign w:val="superscript"/>
              </w:rPr>
            </w:pPr>
            <w:r w:rsidRPr="009745EA">
              <w:rPr>
                <w:rFonts w:ascii="Arial Narrow" w:eastAsiaTheme="majorEastAsia" w:hAnsi="Arial Narrow" w:cstheme="majorBidi"/>
                <w:b/>
                <w:bCs/>
                <w:sz w:val="20"/>
              </w:rPr>
              <w:t>$</w:t>
            </w:r>
            <w:r w:rsidR="00B50819" w:rsidRPr="00B50819">
              <w:rPr>
                <w:rFonts w:ascii="Arial Narrow" w:eastAsiaTheme="majorEastAsia" w:hAnsi="Arial Narrow" w:cstheme="majorBidi"/>
                <w:b/>
                <w:bCs/>
                <w:color w:val="000000"/>
                <w:spacing w:val="53"/>
                <w:sz w:val="20"/>
                <w:shd w:val="solid" w:color="000000" w:fill="000000"/>
                <w:fitText w:val="345" w:id="-628958965"/>
                <w14:textFill>
                  <w14:solidFill>
                    <w14:srgbClr w14:val="000000">
                      <w14:alpha w14:val="100000"/>
                    </w14:srgbClr>
                  </w14:solidFill>
                </w14:textFill>
              </w:rPr>
              <w:t>|||</w:t>
            </w:r>
            <w:r w:rsidR="00B50819" w:rsidRPr="00B50819">
              <w:rPr>
                <w:rFonts w:ascii="Arial Narrow" w:eastAsiaTheme="majorEastAsia" w:hAnsi="Arial Narrow" w:cstheme="majorBidi"/>
                <w:b/>
                <w:bCs/>
                <w:color w:val="000000"/>
                <w:spacing w:val="3"/>
                <w:sz w:val="20"/>
                <w:shd w:val="solid" w:color="000000" w:fill="000000"/>
                <w:fitText w:val="345" w:id="-628958965"/>
                <w14:textFill>
                  <w14:solidFill>
                    <w14:srgbClr w14:val="000000">
                      <w14:alpha w14:val="100000"/>
                    </w14:srgbClr>
                  </w14:solidFill>
                </w14:textFill>
              </w:rPr>
              <w:t>|</w:t>
            </w:r>
            <w:r w:rsidR="00CC0804">
              <w:rPr>
                <w:rFonts w:ascii="Arial Narrow" w:eastAsiaTheme="majorEastAsia" w:hAnsi="Arial Narrow" w:cstheme="majorBidi"/>
                <w:b/>
                <w:bCs/>
                <w:sz w:val="20"/>
                <w:vertAlign w:val="superscript"/>
              </w:rPr>
              <w:t>1</w:t>
            </w:r>
          </w:p>
        </w:tc>
      </w:tr>
    </w:tbl>
    <w:p w14:paraId="1E505B03" w14:textId="77777777"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Source: Table 3-29 to 3-35, pp.157-159 of the submission.</w:t>
      </w:r>
    </w:p>
    <w:p w14:paraId="0BC04561" w14:textId="749B907E"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CNS = central nervous system; LYG = life</w:t>
      </w:r>
      <w:r w:rsidR="003778F8">
        <w:rPr>
          <w:rFonts w:ascii="Arial Narrow" w:hAnsi="Arial Narrow"/>
          <w:snapToGrid w:val="0"/>
          <w:sz w:val="18"/>
          <w:szCs w:val="22"/>
        </w:rPr>
        <w:t xml:space="preserve"> </w:t>
      </w:r>
      <w:r w:rsidRPr="009745EA">
        <w:rPr>
          <w:rFonts w:ascii="Arial Narrow" w:hAnsi="Arial Narrow"/>
          <w:snapToGrid w:val="0"/>
          <w:sz w:val="18"/>
          <w:szCs w:val="22"/>
        </w:rPr>
        <w:t xml:space="preserve">years gained; </w:t>
      </w:r>
      <w:r w:rsidRPr="009745EA">
        <w:rPr>
          <w:rFonts w:ascii="Arial Narrow" w:eastAsia="Calibri" w:hAnsi="Arial Narrow"/>
          <w:snapToGrid w:val="0"/>
          <w:sz w:val="18"/>
          <w:szCs w:val="20"/>
        </w:rPr>
        <w:t>QALY = quality adjusted life year.</w:t>
      </w:r>
    </w:p>
    <w:p w14:paraId="6A32520F" w14:textId="77777777" w:rsidR="009745EA" w:rsidRPr="009745EA" w:rsidRDefault="009745EA" w:rsidP="00A12328">
      <w:pPr>
        <w:spacing w:after="120"/>
        <w:contextualSpacing/>
        <w:rPr>
          <w:rFonts w:ascii="Arial Narrow" w:hAnsi="Arial Narrow"/>
          <w:i/>
          <w:iCs/>
          <w:snapToGrid w:val="0"/>
          <w:sz w:val="20"/>
          <w:szCs w:val="22"/>
        </w:rPr>
      </w:pPr>
      <w:r w:rsidRPr="009745EA">
        <w:rPr>
          <w:rFonts w:ascii="Arial Narrow" w:hAnsi="Arial Narrow"/>
          <w:i/>
          <w:iCs/>
          <w:snapToGrid w:val="0"/>
          <w:sz w:val="18"/>
          <w:szCs w:val="22"/>
          <w:vertAlign w:val="superscript"/>
        </w:rPr>
        <w:t>a</w:t>
      </w:r>
      <w:r w:rsidRPr="009745EA">
        <w:rPr>
          <w:rFonts w:ascii="Arial Narrow" w:hAnsi="Arial Narrow"/>
          <w:i/>
          <w:iCs/>
          <w:snapToGrid w:val="0"/>
          <w:sz w:val="18"/>
          <w:szCs w:val="22"/>
          <w:vertAlign w:val="superscript"/>
        </w:rPr>
        <w:tab/>
      </w:r>
      <w:r w:rsidRPr="009745EA">
        <w:rPr>
          <w:rFonts w:ascii="Arial Narrow" w:hAnsi="Arial Narrow"/>
          <w:i/>
          <w:iCs/>
          <w:snapToGrid w:val="0"/>
          <w:sz w:val="18"/>
          <w:szCs w:val="22"/>
        </w:rPr>
        <w:t>Estimated based on patients on-treatment calculated using an Area Under the Curve approach from LAURA TTD curve.</w:t>
      </w:r>
    </w:p>
    <w:p w14:paraId="2782EFA7" w14:textId="77777777" w:rsidR="009745EA" w:rsidRDefault="009745EA" w:rsidP="00A12328">
      <w:pPr>
        <w:spacing w:after="120"/>
        <w:contextualSpacing/>
        <w:rPr>
          <w:rFonts w:ascii="Arial Narrow" w:hAnsi="Arial Narrow"/>
          <w:i/>
          <w:iCs/>
          <w:snapToGrid w:val="0"/>
          <w:sz w:val="18"/>
          <w:szCs w:val="22"/>
        </w:rPr>
      </w:pPr>
      <w:r w:rsidRPr="009745EA">
        <w:rPr>
          <w:rFonts w:ascii="Arial Narrow" w:hAnsi="Arial Narrow"/>
          <w:i/>
          <w:iCs/>
          <w:snapToGrid w:val="0"/>
          <w:sz w:val="18"/>
          <w:szCs w:val="22"/>
          <w:vertAlign w:val="superscript"/>
        </w:rPr>
        <w:t>b</w:t>
      </w:r>
      <w:r w:rsidRPr="009745EA">
        <w:rPr>
          <w:rFonts w:ascii="Arial Narrow" w:hAnsi="Arial Narrow"/>
          <w:i/>
          <w:iCs/>
          <w:snapToGrid w:val="0"/>
          <w:sz w:val="18"/>
          <w:szCs w:val="22"/>
          <w:vertAlign w:val="superscript"/>
        </w:rPr>
        <w:tab/>
      </w:r>
      <w:r w:rsidRPr="009745EA">
        <w:rPr>
          <w:rFonts w:ascii="Arial Narrow" w:hAnsi="Arial Narrow"/>
          <w:i/>
          <w:iCs/>
          <w:snapToGrid w:val="0"/>
          <w:sz w:val="18"/>
          <w:szCs w:val="22"/>
        </w:rPr>
        <w:t>Progression-free years were calculated using an Area Under the Curve approach from LAURA PFS curves.</w:t>
      </w:r>
    </w:p>
    <w:p w14:paraId="4E329BD6" w14:textId="77777777" w:rsidR="005F457F" w:rsidRPr="005F457F" w:rsidRDefault="005F457F" w:rsidP="00A12328">
      <w:pPr>
        <w:spacing w:after="120"/>
        <w:contextualSpacing/>
        <w:rPr>
          <w:rFonts w:ascii="Arial Narrow" w:hAnsi="Arial Narrow"/>
          <w:i/>
          <w:iCs/>
          <w:snapToGrid w:val="0"/>
          <w:sz w:val="18"/>
          <w:szCs w:val="18"/>
        </w:rPr>
      </w:pPr>
      <w:r w:rsidRPr="005F457F">
        <w:rPr>
          <w:rFonts w:ascii="Arial Narrow" w:hAnsi="Arial Narrow"/>
          <w:i/>
          <w:iCs/>
          <w:snapToGrid w:val="0"/>
          <w:sz w:val="18"/>
          <w:szCs w:val="18"/>
        </w:rPr>
        <w:t xml:space="preserve">The redacted values correspond to the following ranges: </w:t>
      </w:r>
    </w:p>
    <w:p w14:paraId="0691356A" w14:textId="15EA1EEC" w:rsidR="005F457F" w:rsidRPr="005F457F" w:rsidRDefault="005F457F" w:rsidP="00A12328">
      <w:pPr>
        <w:spacing w:after="120"/>
        <w:contextualSpacing/>
        <w:rPr>
          <w:rFonts w:ascii="Arial Narrow" w:hAnsi="Arial Narrow"/>
          <w:i/>
          <w:iCs/>
          <w:snapToGrid w:val="0"/>
          <w:sz w:val="18"/>
          <w:szCs w:val="18"/>
        </w:rPr>
      </w:pPr>
      <w:r w:rsidRPr="005F457F">
        <w:rPr>
          <w:rFonts w:ascii="Arial Narrow" w:hAnsi="Arial Narrow"/>
          <w:i/>
          <w:iCs/>
          <w:snapToGrid w:val="0"/>
          <w:sz w:val="18"/>
          <w:szCs w:val="18"/>
          <w:vertAlign w:val="superscript"/>
        </w:rPr>
        <w:t>1</w:t>
      </w:r>
      <w:r w:rsidRPr="005F457F">
        <w:rPr>
          <w:rFonts w:ascii="Arial Narrow" w:hAnsi="Arial Narrow"/>
          <w:i/>
          <w:iCs/>
          <w:snapToGrid w:val="0"/>
          <w:sz w:val="18"/>
          <w:szCs w:val="18"/>
        </w:rPr>
        <w:t xml:space="preserve"> </w:t>
      </w:r>
      <w:r w:rsidR="00CC0804" w:rsidRPr="00CC0804">
        <w:rPr>
          <w:rFonts w:ascii="Arial Narrow" w:hAnsi="Arial Narrow"/>
          <w:i/>
          <w:iCs/>
          <w:snapToGrid w:val="0"/>
          <w:sz w:val="18"/>
          <w:szCs w:val="18"/>
        </w:rPr>
        <w:t xml:space="preserve">$55,000 to &lt; $75,000 </w:t>
      </w:r>
    </w:p>
    <w:p w14:paraId="0BBAE0BA" w14:textId="1D890E2F" w:rsidR="005F457F" w:rsidRPr="005F457F" w:rsidRDefault="005F457F" w:rsidP="00A12328">
      <w:pPr>
        <w:spacing w:after="120"/>
        <w:contextualSpacing/>
        <w:rPr>
          <w:rFonts w:ascii="Arial Narrow" w:hAnsi="Arial Narrow"/>
          <w:i/>
          <w:iCs/>
          <w:snapToGrid w:val="0"/>
          <w:sz w:val="18"/>
          <w:szCs w:val="18"/>
        </w:rPr>
      </w:pPr>
      <w:r w:rsidRPr="005F457F">
        <w:rPr>
          <w:rFonts w:ascii="Arial Narrow" w:hAnsi="Arial Narrow"/>
          <w:i/>
          <w:iCs/>
          <w:snapToGrid w:val="0"/>
          <w:sz w:val="18"/>
          <w:szCs w:val="18"/>
          <w:vertAlign w:val="superscript"/>
        </w:rPr>
        <w:t>2</w:t>
      </w:r>
      <w:r w:rsidRPr="005F457F">
        <w:rPr>
          <w:rFonts w:ascii="Arial Narrow" w:hAnsi="Arial Narrow"/>
          <w:i/>
          <w:iCs/>
          <w:snapToGrid w:val="0"/>
          <w:sz w:val="18"/>
          <w:szCs w:val="18"/>
        </w:rPr>
        <w:t xml:space="preserve"> </w:t>
      </w:r>
      <w:r w:rsidR="00D625D8" w:rsidRPr="00D625D8">
        <w:rPr>
          <w:rFonts w:ascii="Arial Narrow" w:hAnsi="Arial Narrow"/>
          <w:i/>
          <w:iCs/>
          <w:snapToGrid w:val="0"/>
          <w:sz w:val="18"/>
          <w:szCs w:val="18"/>
        </w:rPr>
        <w:t>$75,000 to &lt; $95,000</w:t>
      </w:r>
    </w:p>
    <w:p w14:paraId="64C941E0" w14:textId="77777777" w:rsidR="005F457F" w:rsidRPr="009745EA" w:rsidRDefault="005F457F" w:rsidP="00A12328">
      <w:pPr>
        <w:spacing w:after="120"/>
        <w:contextualSpacing/>
        <w:rPr>
          <w:rFonts w:ascii="Arial Narrow" w:hAnsi="Arial Narrow"/>
          <w:i/>
          <w:iCs/>
          <w:snapToGrid w:val="0"/>
          <w:sz w:val="20"/>
          <w:szCs w:val="22"/>
        </w:rPr>
      </w:pPr>
    </w:p>
    <w:p w14:paraId="5F299EDA" w14:textId="77777777" w:rsidR="009F3D59" w:rsidRPr="009F3D59" w:rsidRDefault="009745EA" w:rsidP="00A12328">
      <w:pPr>
        <w:pStyle w:val="3-BodyText"/>
        <w:keepNext/>
        <w:keepLines/>
        <w:rPr>
          <w:rFonts w:cstheme="minorHAnsi"/>
        </w:rPr>
      </w:pPr>
      <w:r w:rsidRPr="009745EA">
        <w:t xml:space="preserve">The results of key sensitivity analyses are summarised </w:t>
      </w:r>
      <w:r w:rsidRPr="0035199C">
        <w:rPr>
          <w:rFonts w:cstheme="minorHAnsi"/>
        </w:rPr>
        <w:t xml:space="preserve">in </w:t>
      </w:r>
      <w:r w:rsidR="008C1F7D" w:rsidRPr="0035199C">
        <w:rPr>
          <w:rFonts w:cstheme="minorHAnsi"/>
        </w:rPr>
        <w:fldChar w:fldCharType="begin"/>
      </w:r>
      <w:r w:rsidR="008C1F7D" w:rsidRPr="0035199C">
        <w:rPr>
          <w:rFonts w:cstheme="minorHAnsi"/>
        </w:rPr>
        <w:instrText xml:space="preserve"> REF _Ref198210676 \h  \* MERGEFORMAT </w:instrText>
      </w:r>
      <w:r w:rsidR="008C1F7D" w:rsidRPr="0035199C">
        <w:rPr>
          <w:rFonts w:cstheme="minorHAnsi"/>
        </w:rPr>
      </w:r>
      <w:r w:rsidR="008C1F7D" w:rsidRPr="0035199C">
        <w:rPr>
          <w:rFonts w:cstheme="minorHAnsi"/>
        </w:rPr>
        <w:fldChar w:fldCharType="separate"/>
      </w:r>
    </w:p>
    <w:p w14:paraId="58D2FD98" w14:textId="0F694CCA" w:rsidR="0035199C" w:rsidRPr="0035199C" w:rsidRDefault="009F3D59" w:rsidP="00A12328">
      <w:pPr>
        <w:pStyle w:val="3-BodyText"/>
        <w:keepNext/>
        <w:keepLines/>
        <w:rPr>
          <w:rFonts w:ascii="Arial Narrow" w:hAnsi="Arial Narrow"/>
          <w:b/>
          <w:bCs/>
          <w:sz w:val="20"/>
        </w:rPr>
      </w:pPr>
      <w:r w:rsidRPr="009F3D59">
        <w:rPr>
          <w:rFonts w:cstheme="minorHAnsi"/>
        </w:rPr>
        <w:t>Table</w:t>
      </w:r>
      <w:r w:rsidRPr="009F3D59">
        <w:rPr>
          <w:rFonts w:cstheme="minorHAnsi"/>
          <w:noProof/>
        </w:rPr>
        <w:t xml:space="preserve"> </w:t>
      </w:r>
      <w:r>
        <w:rPr>
          <w:rFonts w:ascii="Arial Narrow" w:hAnsi="Arial Narrow"/>
          <w:b/>
          <w:bCs/>
          <w:noProof/>
          <w:sz w:val="20"/>
          <w:szCs w:val="18"/>
        </w:rPr>
        <w:t>16</w:t>
      </w:r>
      <w:r w:rsidR="008C1F7D" w:rsidRPr="0035199C">
        <w:rPr>
          <w:rFonts w:cstheme="minorHAnsi"/>
        </w:rPr>
        <w:fldChar w:fldCharType="end"/>
      </w:r>
      <w:r w:rsidR="009745EA" w:rsidRPr="0035199C">
        <w:rPr>
          <w:rFonts w:cstheme="minorHAnsi"/>
          <w:color w:val="0066FF"/>
        </w:rPr>
        <w:t>.</w:t>
      </w:r>
      <w:bookmarkStart w:id="79" w:name="_Ref198210676"/>
    </w:p>
    <w:p w14:paraId="4B7B2D80" w14:textId="312E2577" w:rsidR="009745EA" w:rsidRPr="0035199C" w:rsidRDefault="009745EA" w:rsidP="00A12328">
      <w:pPr>
        <w:pStyle w:val="3-BodyText"/>
        <w:keepNext/>
        <w:keepLines/>
        <w:numPr>
          <w:ilvl w:val="0"/>
          <w:numId w:val="0"/>
        </w:numPr>
        <w:rPr>
          <w:rFonts w:ascii="Arial Narrow" w:hAnsi="Arial Narrow"/>
          <w:b/>
          <w:bCs/>
          <w:sz w:val="20"/>
        </w:rPr>
      </w:pPr>
      <w:r w:rsidRPr="0035199C">
        <w:rPr>
          <w:rFonts w:ascii="Arial Narrow" w:hAnsi="Arial Narrow"/>
          <w:b/>
          <w:bCs/>
          <w:sz w:val="20"/>
          <w:szCs w:val="18"/>
        </w:rPr>
        <w:t xml:space="preserve">Table </w:t>
      </w:r>
      <w:r w:rsidRPr="0035199C">
        <w:rPr>
          <w:rFonts w:ascii="Arial Narrow" w:hAnsi="Arial Narrow"/>
          <w:b/>
          <w:bCs/>
          <w:sz w:val="20"/>
          <w:szCs w:val="18"/>
        </w:rPr>
        <w:fldChar w:fldCharType="begin"/>
      </w:r>
      <w:r w:rsidRPr="0035199C">
        <w:rPr>
          <w:rFonts w:ascii="Arial Narrow" w:hAnsi="Arial Narrow"/>
          <w:b/>
          <w:bCs/>
          <w:sz w:val="20"/>
          <w:szCs w:val="18"/>
        </w:rPr>
        <w:instrText xml:space="preserve"> SEQ Table \* ARABIC </w:instrText>
      </w:r>
      <w:r w:rsidRPr="0035199C">
        <w:rPr>
          <w:rFonts w:ascii="Arial Narrow" w:hAnsi="Arial Narrow"/>
          <w:b/>
          <w:bCs/>
          <w:sz w:val="20"/>
          <w:szCs w:val="18"/>
        </w:rPr>
        <w:fldChar w:fldCharType="separate"/>
      </w:r>
      <w:r w:rsidR="009F3D59">
        <w:rPr>
          <w:rFonts w:ascii="Arial Narrow" w:hAnsi="Arial Narrow"/>
          <w:b/>
          <w:bCs/>
          <w:noProof/>
          <w:sz w:val="20"/>
          <w:szCs w:val="18"/>
        </w:rPr>
        <w:t>16</w:t>
      </w:r>
      <w:r w:rsidRPr="0035199C">
        <w:rPr>
          <w:rFonts w:ascii="Arial Narrow" w:hAnsi="Arial Narrow"/>
          <w:b/>
          <w:bCs/>
          <w:noProof/>
          <w:sz w:val="20"/>
          <w:szCs w:val="18"/>
        </w:rPr>
        <w:fldChar w:fldCharType="end"/>
      </w:r>
      <w:bookmarkEnd w:id="79"/>
      <w:r w:rsidRPr="0035199C">
        <w:rPr>
          <w:rFonts w:ascii="Arial Narrow" w:hAnsi="Arial Narrow"/>
          <w:b/>
          <w:bCs/>
          <w:sz w:val="20"/>
          <w:szCs w:val="18"/>
        </w:rPr>
        <w:t>:</w:t>
      </w:r>
      <w:r w:rsidRPr="0035199C">
        <w:rPr>
          <w:rFonts w:ascii="Arial Narrow" w:hAnsi="Arial Narrow"/>
          <w:b/>
          <w:bCs/>
          <w:sz w:val="20"/>
        </w:rPr>
        <w:t xml:space="preserve"> Sensitivity analyses</w:t>
      </w:r>
    </w:p>
    <w:tbl>
      <w:tblPr>
        <w:tblStyle w:val="PBAClayout"/>
        <w:tblW w:w="5000" w:type="pct"/>
        <w:tblLayout w:type="fixed"/>
        <w:tblLook w:val="04A0" w:firstRow="1" w:lastRow="0" w:firstColumn="1" w:lastColumn="0" w:noHBand="0" w:noVBand="1"/>
        <w:tblCaption w:val="Table 16: Sensitivity analyses"/>
      </w:tblPr>
      <w:tblGrid>
        <w:gridCol w:w="3416"/>
        <w:gridCol w:w="1401"/>
        <w:gridCol w:w="1401"/>
        <w:gridCol w:w="1717"/>
        <w:gridCol w:w="1082"/>
      </w:tblGrid>
      <w:tr w:rsidR="009745EA" w:rsidRPr="009745EA" w14:paraId="040BD678" w14:textId="77777777" w:rsidTr="6A7C443A">
        <w:tc>
          <w:tcPr>
            <w:tcW w:w="1894" w:type="pct"/>
          </w:tcPr>
          <w:p w14:paraId="4F8D73FF" w14:textId="77777777" w:rsidR="009745EA" w:rsidRPr="00C42502" w:rsidRDefault="009745EA" w:rsidP="00A12328">
            <w:pPr>
              <w:keepNext/>
              <w:jc w:val="left"/>
              <w:rPr>
                <w:rFonts w:ascii="Arial Narrow" w:eastAsiaTheme="majorEastAsia" w:hAnsi="Arial Narrow" w:cs="Times New Roman"/>
                <w:b/>
                <w:sz w:val="20"/>
              </w:rPr>
            </w:pPr>
            <w:r w:rsidRPr="00C42502">
              <w:rPr>
                <w:rFonts w:ascii="Arial Narrow" w:eastAsiaTheme="majorEastAsia" w:hAnsi="Arial Narrow" w:cs="Times New Roman"/>
                <w:b/>
                <w:sz w:val="20"/>
              </w:rPr>
              <w:t>Analyses</w:t>
            </w:r>
          </w:p>
        </w:tc>
        <w:tc>
          <w:tcPr>
            <w:tcW w:w="777" w:type="pct"/>
          </w:tcPr>
          <w:p w14:paraId="00A7D814"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Incremental cost</w:t>
            </w:r>
          </w:p>
        </w:tc>
        <w:tc>
          <w:tcPr>
            <w:tcW w:w="777" w:type="pct"/>
          </w:tcPr>
          <w:p w14:paraId="421933F5"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Incremental QALY</w:t>
            </w:r>
          </w:p>
        </w:tc>
        <w:tc>
          <w:tcPr>
            <w:tcW w:w="952" w:type="pct"/>
          </w:tcPr>
          <w:p w14:paraId="5BEB1CCA"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ICER</w:t>
            </w:r>
          </w:p>
        </w:tc>
        <w:tc>
          <w:tcPr>
            <w:tcW w:w="600" w:type="pct"/>
          </w:tcPr>
          <w:p w14:paraId="65BC4E11" w14:textId="77777777" w:rsidR="009745EA" w:rsidRPr="00C42502" w:rsidRDefault="009745EA" w:rsidP="00A12328">
            <w:pPr>
              <w:keepNext/>
              <w:jc w:val="center"/>
              <w:rPr>
                <w:rFonts w:ascii="Arial Narrow" w:eastAsiaTheme="majorEastAsia" w:hAnsi="Arial Narrow" w:cs="Times New Roman"/>
                <w:b/>
                <w:sz w:val="20"/>
              </w:rPr>
            </w:pPr>
            <w:r w:rsidRPr="00C42502">
              <w:rPr>
                <w:rFonts w:ascii="Arial Narrow" w:eastAsiaTheme="majorEastAsia" w:hAnsi="Arial Narrow" w:cs="Times New Roman"/>
                <w:b/>
                <w:sz w:val="20"/>
              </w:rPr>
              <w:t>% change to ICER</w:t>
            </w:r>
          </w:p>
        </w:tc>
      </w:tr>
      <w:tr w:rsidR="009745EA" w:rsidRPr="009745EA" w14:paraId="2F6C9B29" w14:textId="77777777" w:rsidTr="6A7C443A">
        <w:tc>
          <w:tcPr>
            <w:tcW w:w="1894" w:type="pct"/>
          </w:tcPr>
          <w:p w14:paraId="552F6979" w14:textId="77777777" w:rsidR="009745EA" w:rsidRPr="009745EA" w:rsidRDefault="009745EA" w:rsidP="00A12328">
            <w:pPr>
              <w:keepNext/>
              <w:jc w:val="left"/>
              <w:rPr>
                <w:rFonts w:ascii="Arial Narrow" w:eastAsiaTheme="majorEastAsia" w:hAnsi="Arial Narrow" w:cstheme="majorBidi"/>
                <w:b/>
                <w:bCs/>
                <w:sz w:val="20"/>
              </w:rPr>
            </w:pPr>
            <w:r w:rsidRPr="009745EA">
              <w:rPr>
                <w:rFonts w:ascii="Arial Narrow" w:eastAsiaTheme="majorEastAsia" w:hAnsi="Arial Narrow" w:cstheme="majorBidi"/>
                <w:b/>
                <w:bCs/>
                <w:sz w:val="20"/>
              </w:rPr>
              <w:t>Base case</w:t>
            </w:r>
          </w:p>
        </w:tc>
        <w:tc>
          <w:tcPr>
            <w:tcW w:w="777" w:type="pct"/>
            <w:tcBorders>
              <w:bottom w:val="single" w:sz="4" w:space="0" w:color="auto"/>
            </w:tcBorders>
          </w:tcPr>
          <w:p w14:paraId="16EE236C" w14:textId="7D80B239" w:rsidR="009745EA" w:rsidRPr="009745EA" w:rsidRDefault="009745EA" w:rsidP="00A12328">
            <w:pPr>
              <w:keepNext/>
              <w:jc w:val="center"/>
              <w:rPr>
                <w:rFonts w:ascii="Arial Narrow" w:eastAsiaTheme="majorEastAsia" w:hAnsi="Arial Narrow" w:cstheme="majorBidi"/>
                <w:b/>
                <w:bCs/>
                <w:sz w:val="20"/>
                <w:highlight w:val="black"/>
              </w:rPr>
            </w:pPr>
            <w:r w:rsidRPr="009745EA">
              <w:rPr>
                <w:rFonts w:ascii="Arial Narrow" w:eastAsiaTheme="majorEastAsia" w:hAnsi="Arial Narrow" w:cstheme="majorBidi"/>
                <w:b/>
                <w:bCs/>
                <w:sz w:val="20"/>
              </w:rPr>
              <w:t>$</w:t>
            </w:r>
            <w:r w:rsidR="00B50819" w:rsidRPr="00B50819">
              <w:rPr>
                <w:rFonts w:ascii="Arial Narrow" w:eastAsiaTheme="majorEastAsia" w:hAnsi="Arial Narrow" w:cstheme="majorBidi"/>
                <w:b/>
                <w:bCs/>
                <w:color w:val="000000"/>
                <w:spacing w:val="58"/>
                <w:sz w:val="20"/>
                <w:shd w:val="solid" w:color="000000" w:fill="000000"/>
                <w:fitText w:val="360" w:id="-628958964"/>
                <w14:textFill>
                  <w14:solidFill>
                    <w14:srgbClr w14:val="000000">
                      <w14:alpha w14:val="100000"/>
                    </w14:srgbClr>
                  </w14:solidFill>
                </w14:textFill>
              </w:rPr>
              <w:t>|||</w:t>
            </w:r>
            <w:r w:rsidR="00B50819" w:rsidRPr="00B50819">
              <w:rPr>
                <w:rFonts w:ascii="Arial Narrow" w:eastAsiaTheme="majorEastAsia" w:hAnsi="Arial Narrow" w:cstheme="majorBidi"/>
                <w:b/>
                <w:bCs/>
                <w:color w:val="000000"/>
                <w:spacing w:val="3"/>
                <w:sz w:val="20"/>
                <w:shd w:val="solid" w:color="000000" w:fill="000000"/>
                <w:fitText w:val="360" w:id="-628958964"/>
                <w14:textFill>
                  <w14:solidFill>
                    <w14:srgbClr w14:val="000000">
                      <w14:alpha w14:val="100000"/>
                    </w14:srgbClr>
                  </w14:solidFill>
                </w14:textFill>
              </w:rPr>
              <w:t>|</w:t>
            </w:r>
          </w:p>
        </w:tc>
        <w:tc>
          <w:tcPr>
            <w:tcW w:w="777" w:type="pct"/>
            <w:tcBorders>
              <w:bottom w:val="single" w:sz="4" w:space="0" w:color="auto"/>
            </w:tcBorders>
          </w:tcPr>
          <w:p w14:paraId="48D19F41" w14:textId="77777777" w:rsidR="009745EA" w:rsidRPr="00C85F3F" w:rsidRDefault="009745EA" w:rsidP="00A12328">
            <w:pPr>
              <w:keepNext/>
              <w:jc w:val="center"/>
              <w:rPr>
                <w:rFonts w:ascii="Arial Narrow" w:eastAsiaTheme="majorEastAsia" w:hAnsi="Arial Narrow" w:cstheme="majorBidi"/>
                <w:b/>
                <w:bCs/>
                <w:sz w:val="20"/>
              </w:rPr>
            </w:pPr>
            <w:r w:rsidRPr="00C85F3F">
              <w:rPr>
                <w:rFonts w:ascii="Arial Narrow" w:eastAsiaTheme="majorEastAsia" w:hAnsi="Arial Narrow" w:cstheme="majorBidi"/>
                <w:b/>
                <w:bCs/>
                <w:sz w:val="20"/>
              </w:rPr>
              <w:t>0.847</w:t>
            </w:r>
          </w:p>
        </w:tc>
        <w:tc>
          <w:tcPr>
            <w:tcW w:w="952" w:type="pct"/>
            <w:tcBorders>
              <w:bottom w:val="single" w:sz="4" w:space="0" w:color="auto"/>
            </w:tcBorders>
          </w:tcPr>
          <w:p w14:paraId="2CD76338" w14:textId="7069672E" w:rsidR="009745EA" w:rsidRPr="003D466E" w:rsidRDefault="009745EA" w:rsidP="00A12328">
            <w:pPr>
              <w:keepNext/>
              <w:jc w:val="center"/>
              <w:rPr>
                <w:rFonts w:ascii="Arial Narrow" w:eastAsiaTheme="majorEastAsia" w:hAnsi="Arial Narrow" w:cstheme="majorBidi"/>
                <w:b/>
                <w:bCs/>
                <w:sz w:val="20"/>
                <w:highlight w:val="black"/>
                <w:vertAlign w:val="superscript"/>
              </w:rPr>
            </w:pPr>
            <w:r w:rsidRPr="009745EA">
              <w:rPr>
                <w:rFonts w:ascii="Arial Narrow" w:eastAsiaTheme="majorEastAsia" w:hAnsi="Arial Narrow" w:cstheme="majorBidi"/>
                <w:b/>
                <w:bCs/>
                <w:sz w:val="20"/>
              </w:rPr>
              <w:t>$</w:t>
            </w:r>
            <w:r w:rsidR="00B50819" w:rsidRPr="00B50819">
              <w:rPr>
                <w:rFonts w:ascii="Arial Narrow" w:eastAsiaTheme="majorEastAsia" w:hAnsi="Arial Narrow" w:cstheme="majorBidi"/>
                <w:b/>
                <w:bCs/>
                <w:color w:val="000000"/>
                <w:spacing w:val="53"/>
                <w:sz w:val="20"/>
                <w:shd w:val="solid" w:color="000000" w:fill="000000"/>
                <w:fitText w:val="345" w:id="-628958963"/>
                <w14:textFill>
                  <w14:solidFill>
                    <w14:srgbClr w14:val="000000">
                      <w14:alpha w14:val="100000"/>
                    </w14:srgbClr>
                  </w14:solidFill>
                </w14:textFill>
              </w:rPr>
              <w:t>|||</w:t>
            </w:r>
            <w:r w:rsidR="00B50819" w:rsidRPr="00B50819">
              <w:rPr>
                <w:rFonts w:ascii="Arial Narrow" w:eastAsiaTheme="majorEastAsia" w:hAnsi="Arial Narrow" w:cstheme="majorBidi"/>
                <w:b/>
                <w:bCs/>
                <w:color w:val="000000"/>
                <w:spacing w:val="3"/>
                <w:sz w:val="20"/>
                <w:shd w:val="solid" w:color="000000" w:fill="000000"/>
                <w:fitText w:val="345" w:id="-628958963"/>
                <w14:textFill>
                  <w14:solidFill>
                    <w14:srgbClr w14:val="000000">
                      <w14:alpha w14:val="100000"/>
                    </w14:srgbClr>
                  </w14:solidFill>
                </w14:textFill>
              </w:rPr>
              <w:t>|</w:t>
            </w:r>
            <w:r w:rsidR="003D466E" w:rsidRPr="003D466E">
              <w:rPr>
                <w:rFonts w:ascii="Arial Narrow" w:eastAsiaTheme="majorEastAsia" w:hAnsi="Arial Narrow" w:cstheme="majorBidi"/>
                <w:b/>
                <w:bCs/>
                <w:sz w:val="20"/>
                <w:vertAlign w:val="superscript"/>
              </w:rPr>
              <w:t>1</w:t>
            </w:r>
          </w:p>
        </w:tc>
        <w:tc>
          <w:tcPr>
            <w:tcW w:w="600" w:type="pct"/>
          </w:tcPr>
          <w:p w14:paraId="5E0636AE" w14:textId="77777777" w:rsidR="009745EA" w:rsidRPr="009745EA" w:rsidRDefault="009745EA" w:rsidP="00A12328">
            <w:pPr>
              <w:keepNext/>
              <w:jc w:val="center"/>
              <w:rPr>
                <w:rFonts w:ascii="Arial Narrow" w:eastAsia="Calibri" w:hAnsi="Arial Narrow" w:cstheme="majorBidi"/>
                <w:b/>
                <w:bCs/>
                <w:sz w:val="20"/>
                <w:szCs w:val="20"/>
              </w:rPr>
            </w:pPr>
            <w:r w:rsidRPr="009745EA">
              <w:rPr>
                <w:rFonts w:ascii="Arial Narrow" w:eastAsia="Calibri" w:hAnsi="Arial Narrow" w:cstheme="majorBidi"/>
                <w:b/>
                <w:bCs/>
                <w:sz w:val="20"/>
                <w:szCs w:val="20"/>
              </w:rPr>
              <w:t>-</w:t>
            </w:r>
          </w:p>
        </w:tc>
      </w:tr>
      <w:tr w:rsidR="009745EA" w:rsidRPr="009745EA" w14:paraId="0CBC7674" w14:textId="77777777" w:rsidTr="6A7C443A">
        <w:tc>
          <w:tcPr>
            <w:tcW w:w="4400" w:type="pct"/>
            <w:gridSpan w:val="4"/>
          </w:tcPr>
          <w:p w14:paraId="74894796" w14:textId="77777777" w:rsidR="009745EA" w:rsidRPr="00DF50C3" w:rsidRDefault="009745EA" w:rsidP="00A12328">
            <w:pPr>
              <w:keepNext/>
              <w:jc w:val="left"/>
              <w:rPr>
                <w:rFonts w:ascii="Arial Narrow" w:eastAsiaTheme="majorEastAsia" w:hAnsi="Arial Narrow" w:cstheme="majorBidi"/>
                <w:b/>
                <w:sz w:val="20"/>
              </w:rPr>
            </w:pPr>
            <w:r w:rsidRPr="00DF50C3">
              <w:rPr>
                <w:rFonts w:ascii="Arial Narrow" w:eastAsiaTheme="majorEastAsia" w:hAnsi="Arial Narrow" w:cstheme="majorBidi"/>
                <w:b/>
                <w:sz w:val="20"/>
              </w:rPr>
              <w:t>Time horizon (base case 10 years)</w:t>
            </w:r>
          </w:p>
        </w:tc>
        <w:tc>
          <w:tcPr>
            <w:tcW w:w="600" w:type="pct"/>
          </w:tcPr>
          <w:p w14:paraId="518C4193" w14:textId="77777777" w:rsidR="009745EA" w:rsidRPr="009745EA" w:rsidRDefault="009745EA" w:rsidP="00A12328">
            <w:pPr>
              <w:keepNext/>
              <w:jc w:val="left"/>
              <w:rPr>
                <w:rFonts w:ascii="Arial Narrow" w:eastAsiaTheme="majorEastAsia" w:hAnsi="Arial Narrow" w:cstheme="majorBidi"/>
                <w:bCs/>
                <w:sz w:val="20"/>
              </w:rPr>
            </w:pPr>
          </w:p>
        </w:tc>
      </w:tr>
      <w:tr w:rsidR="009745EA" w:rsidRPr="009745EA" w14:paraId="0E988C1C" w14:textId="77777777" w:rsidTr="6A7C443A">
        <w:tc>
          <w:tcPr>
            <w:tcW w:w="1894" w:type="pct"/>
          </w:tcPr>
          <w:p w14:paraId="3518EFA5" w14:textId="77777777" w:rsidR="009745EA" w:rsidRPr="006B0F1B" w:rsidRDefault="009745EA" w:rsidP="00A12328">
            <w:pPr>
              <w:keepNext/>
              <w:jc w:val="left"/>
              <w:rPr>
                <w:rFonts w:ascii="Arial Narrow" w:eastAsiaTheme="majorEastAsia" w:hAnsi="Arial Narrow" w:cstheme="majorBidi"/>
                <w:bCs/>
                <w:sz w:val="20"/>
              </w:rPr>
            </w:pPr>
            <w:r w:rsidRPr="006B0F1B">
              <w:rPr>
                <w:rFonts w:ascii="Arial Narrow" w:eastAsiaTheme="majorEastAsia" w:hAnsi="Arial Narrow" w:cstheme="majorBidi"/>
                <w:bCs/>
                <w:sz w:val="20"/>
              </w:rPr>
              <w:t>5 years</w:t>
            </w:r>
          </w:p>
        </w:tc>
        <w:tc>
          <w:tcPr>
            <w:tcW w:w="777" w:type="pct"/>
            <w:tcBorders>
              <w:top w:val="single" w:sz="4" w:space="0" w:color="auto"/>
              <w:bottom w:val="single" w:sz="4" w:space="0" w:color="auto"/>
            </w:tcBorders>
          </w:tcPr>
          <w:p w14:paraId="18AE6CED" w14:textId="7BE097FC" w:rsidR="009745EA" w:rsidRPr="006B0F1B" w:rsidRDefault="009745EA" w:rsidP="00A12328">
            <w:pPr>
              <w:keepNext/>
              <w:jc w:val="center"/>
              <w:rPr>
                <w:rFonts w:ascii="Arial Narrow" w:eastAsiaTheme="majorEastAsia" w:hAnsi="Arial Narrow" w:cstheme="majorBidi"/>
                <w:bCs/>
                <w:sz w:val="20"/>
                <w:highlight w:val="black"/>
              </w:rPr>
            </w:pPr>
            <w:r w:rsidRPr="006B0F1B">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962"/>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962"/>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76958DB8"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0.485</w:t>
            </w:r>
          </w:p>
        </w:tc>
        <w:tc>
          <w:tcPr>
            <w:tcW w:w="952" w:type="pct"/>
            <w:tcBorders>
              <w:top w:val="single" w:sz="4" w:space="0" w:color="auto"/>
              <w:bottom w:val="single" w:sz="4" w:space="0" w:color="auto"/>
            </w:tcBorders>
          </w:tcPr>
          <w:p w14:paraId="626AD2F0" w14:textId="31C6DDB9" w:rsidR="009745EA" w:rsidRPr="00990C7F" w:rsidRDefault="009745EA" w:rsidP="00A12328">
            <w:pPr>
              <w:keepNext/>
              <w:jc w:val="center"/>
              <w:rPr>
                <w:rFonts w:ascii="Arial Narrow" w:eastAsiaTheme="majorEastAsia" w:hAnsi="Arial Narrow" w:cstheme="majorBidi"/>
                <w:bCs/>
                <w:sz w:val="20"/>
                <w:highlight w:val="black"/>
                <w:vertAlign w:val="superscript"/>
              </w:rPr>
            </w:pPr>
            <w:r w:rsidRPr="006B0F1B">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6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61"/>
                <w14:textFill>
                  <w14:solidFill>
                    <w14:srgbClr w14:val="000000">
                      <w14:alpha w14:val="100000"/>
                    </w14:srgbClr>
                  </w14:solidFill>
                </w14:textFill>
              </w:rPr>
              <w:t>|</w:t>
            </w:r>
            <w:r w:rsidR="00990C7F" w:rsidRPr="00990C7F">
              <w:rPr>
                <w:rFonts w:ascii="Arial Narrow" w:eastAsiaTheme="majorEastAsia" w:hAnsi="Arial Narrow" w:cstheme="majorBidi"/>
                <w:bCs/>
                <w:sz w:val="20"/>
                <w:vertAlign w:val="superscript"/>
              </w:rPr>
              <w:t>2</w:t>
            </w:r>
          </w:p>
        </w:tc>
        <w:tc>
          <w:tcPr>
            <w:tcW w:w="600" w:type="pct"/>
          </w:tcPr>
          <w:p w14:paraId="372B2E36" w14:textId="7AC83134"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960"/>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960"/>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4E43E42F" w14:textId="77777777" w:rsidTr="6A7C443A">
        <w:trPr>
          <w:trHeight w:val="283"/>
        </w:trPr>
        <w:tc>
          <w:tcPr>
            <w:tcW w:w="1894" w:type="pct"/>
          </w:tcPr>
          <w:p w14:paraId="0D43D462"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12 years</w:t>
            </w:r>
          </w:p>
        </w:tc>
        <w:tc>
          <w:tcPr>
            <w:tcW w:w="777" w:type="pct"/>
            <w:tcBorders>
              <w:top w:val="single" w:sz="4" w:space="0" w:color="auto"/>
              <w:bottom w:val="single" w:sz="4" w:space="0" w:color="auto"/>
            </w:tcBorders>
          </w:tcPr>
          <w:p w14:paraId="7E376EA4" w14:textId="58823165" w:rsidR="009745EA" w:rsidRPr="009745EA" w:rsidRDefault="009745EA" w:rsidP="00A12328">
            <w:pPr>
              <w:keepNext/>
              <w:jc w:val="center"/>
              <w:rPr>
                <w:rFonts w:ascii="Arial Narrow" w:eastAsia="Calibri" w:hAnsi="Arial Narrow" w:cstheme="majorBidi"/>
                <w:bCs/>
                <w:sz w:val="20"/>
                <w:szCs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976"/>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976"/>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2F9C8EE0" w14:textId="77777777" w:rsidR="009745EA" w:rsidRPr="00C85F3F" w:rsidRDefault="009745EA" w:rsidP="00A12328">
            <w:pPr>
              <w:keepNext/>
              <w:jc w:val="center"/>
              <w:rPr>
                <w:rFonts w:ascii="Arial Narrow" w:eastAsia="Calibri" w:hAnsi="Arial Narrow" w:cstheme="majorBidi"/>
                <w:bCs/>
                <w:sz w:val="20"/>
                <w:szCs w:val="20"/>
              </w:rPr>
            </w:pPr>
            <w:r w:rsidRPr="00C85F3F">
              <w:rPr>
                <w:rFonts w:ascii="Arial Narrow" w:eastAsiaTheme="majorEastAsia" w:hAnsi="Arial Narrow" w:cstheme="majorBidi"/>
                <w:bCs/>
                <w:sz w:val="20"/>
              </w:rPr>
              <w:t>0.869</w:t>
            </w:r>
          </w:p>
        </w:tc>
        <w:tc>
          <w:tcPr>
            <w:tcW w:w="952" w:type="pct"/>
            <w:tcBorders>
              <w:top w:val="single" w:sz="4" w:space="0" w:color="auto"/>
              <w:bottom w:val="single" w:sz="4" w:space="0" w:color="auto"/>
            </w:tcBorders>
          </w:tcPr>
          <w:p w14:paraId="2422069C" w14:textId="634DFF47" w:rsidR="009745EA" w:rsidRPr="009745EA" w:rsidRDefault="009745EA" w:rsidP="00A12328">
            <w:pPr>
              <w:keepNext/>
              <w:jc w:val="center"/>
              <w:rPr>
                <w:rFonts w:ascii="Arial Narrow" w:eastAsia="Calibri" w:hAnsi="Arial Narrow" w:cstheme="majorBidi"/>
                <w:bCs/>
                <w:sz w:val="20"/>
                <w:szCs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5"/>
                <w14:textFill>
                  <w14:solidFill>
                    <w14:srgbClr w14:val="000000">
                      <w14:alpha w14:val="100000"/>
                    </w14:srgbClr>
                  </w14:solidFill>
                </w14:textFill>
              </w:rPr>
              <w:t>|</w:t>
            </w:r>
            <w:r w:rsidR="0051617A" w:rsidRPr="003D466E">
              <w:rPr>
                <w:rFonts w:ascii="Arial Narrow" w:eastAsiaTheme="majorEastAsia" w:hAnsi="Arial Narrow" w:cstheme="majorBidi"/>
                <w:b/>
                <w:bCs/>
                <w:sz w:val="20"/>
                <w:vertAlign w:val="superscript"/>
              </w:rPr>
              <w:t>1</w:t>
            </w:r>
          </w:p>
        </w:tc>
        <w:tc>
          <w:tcPr>
            <w:tcW w:w="600" w:type="pct"/>
          </w:tcPr>
          <w:p w14:paraId="48646357" w14:textId="6C5D1CA8"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974"/>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974"/>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1631002C" w14:textId="77777777" w:rsidTr="6A7C443A">
        <w:trPr>
          <w:trHeight w:val="283"/>
        </w:trPr>
        <w:tc>
          <w:tcPr>
            <w:tcW w:w="5000" w:type="pct"/>
            <w:gridSpan w:val="5"/>
            <w:tcBorders>
              <w:bottom w:val="single" w:sz="4" w:space="0" w:color="auto"/>
            </w:tcBorders>
          </w:tcPr>
          <w:p w14:paraId="1D95C847" w14:textId="358AF016" w:rsidR="009745EA" w:rsidRPr="00DF50C3" w:rsidRDefault="009745EA" w:rsidP="00A12328">
            <w:pPr>
              <w:keepNext/>
              <w:jc w:val="left"/>
              <w:rPr>
                <w:rFonts w:ascii="Arial Narrow" w:eastAsia="Calibri" w:hAnsi="Arial Narrow" w:cstheme="majorBidi"/>
                <w:b/>
                <w:sz w:val="20"/>
                <w:szCs w:val="20"/>
              </w:rPr>
            </w:pPr>
            <w:r w:rsidRPr="00DF50C3">
              <w:rPr>
                <w:rFonts w:ascii="Arial Narrow" w:eastAsiaTheme="majorEastAsia" w:hAnsi="Arial Narrow" w:cstheme="majorBidi"/>
                <w:b/>
                <w:sz w:val="20"/>
              </w:rPr>
              <w:t xml:space="preserve">Discount rate (base case: </w:t>
            </w:r>
            <w:r w:rsidR="00B50819" w:rsidRPr="00B50819">
              <w:rPr>
                <w:rFonts w:ascii="Arial Narrow" w:eastAsiaTheme="majorEastAsia" w:hAnsi="Arial Narrow" w:cstheme="majorBidi"/>
                <w:b/>
                <w:color w:val="000000"/>
                <w:spacing w:val="58"/>
                <w:sz w:val="20"/>
                <w:shd w:val="solid" w:color="000000" w:fill="000000"/>
                <w:fitText w:val="360" w:id="-628958973"/>
                <w14:textFill>
                  <w14:solidFill>
                    <w14:srgbClr w14:val="000000">
                      <w14:alpha w14:val="100000"/>
                    </w14:srgbClr>
                  </w14:solidFill>
                </w14:textFill>
              </w:rPr>
              <w:t>|||</w:t>
            </w:r>
            <w:r w:rsidR="00B50819" w:rsidRPr="00B50819">
              <w:rPr>
                <w:rFonts w:ascii="Arial Narrow" w:eastAsiaTheme="majorEastAsia" w:hAnsi="Arial Narrow" w:cstheme="majorBidi"/>
                <w:b/>
                <w:color w:val="000000"/>
                <w:spacing w:val="3"/>
                <w:sz w:val="20"/>
                <w:shd w:val="solid" w:color="000000" w:fill="000000"/>
                <w:fitText w:val="360" w:id="-628958973"/>
                <w14:textFill>
                  <w14:solidFill>
                    <w14:srgbClr w14:val="000000">
                      <w14:alpha w14:val="100000"/>
                    </w14:srgbClr>
                  </w14:solidFill>
                </w14:textFill>
              </w:rPr>
              <w:t>|</w:t>
            </w:r>
            <w:r w:rsidRPr="00DF50C3">
              <w:rPr>
                <w:rFonts w:ascii="Arial Narrow" w:eastAsiaTheme="majorEastAsia" w:hAnsi="Arial Narrow" w:cstheme="majorBidi"/>
                <w:b/>
                <w:sz w:val="20"/>
              </w:rPr>
              <w:t>%)</w:t>
            </w:r>
          </w:p>
        </w:tc>
      </w:tr>
      <w:tr w:rsidR="009745EA" w:rsidRPr="009745EA" w14:paraId="0922580B" w14:textId="77777777" w:rsidTr="6A7C443A">
        <w:trPr>
          <w:trHeight w:val="283"/>
        </w:trPr>
        <w:tc>
          <w:tcPr>
            <w:tcW w:w="1894" w:type="pct"/>
            <w:tcBorders>
              <w:top w:val="single" w:sz="4" w:space="0" w:color="auto"/>
              <w:bottom w:val="single" w:sz="4" w:space="0" w:color="auto"/>
            </w:tcBorders>
          </w:tcPr>
          <w:p w14:paraId="70E04A2F" w14:textId="036443C3" w:rsidR="009745EA" w:rsidRPr="009745EA" w:rsidRDefault="00B50819" w:rsidP="00A12328">
            <w:pPr>
              <w:keepNext/>
              <w:jc w:val="left"/>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shd w:val="solid" w:color="000000" w:fill="000000"/>
                <w:fitText w:val="330" w:id="-628958972"/>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shd w:val="solid" w:color="000000" w:fill="000000"/>
                <w:fitText w:val="330" w:id="-628958972"/>
                <w14:textFill>
                  <w14:solidFill>
                    <w14:srgbClr w14:val="000000">
                      <w14:alpha w14:val="100000"/>
                    </w14:srgbClr>
                  </w14:solidFill>
                </w14:textFill>
              </w:rPr>
              <w:t>|</w:t>
            </w:r>
            <w:r w:rsidR="009745EA" w:rsidRPr="009745EA">
              <w:rPr>
                <w:rFonts w:ascii="Arial Narrow" w:eastAsiaTheme="majorEastAsia" w:hAnsi="Arial Narrow" w:cstheme="majorBidi"/>
                <w:bCs/>
                <w:sz w:val="20"/>
              </w:rPr>
              <w:t>%</w:t>
            </w:r>
          </w:p>
        </w:tc>
        <w:tc>
          <w:tcPr>
            <w:tcW w:w="777" w:type="pct"/>
            <w:tcBorders>
              <w:top w:val="single" w:sz="4" w:space="0" w:color="auto"/>
              <w:bottom w:val="single" w:sz="4" w:space="0" w:color="auto"/>
            </w:tcBorders>
          </w:tcPr>
          <w:p w14:paraId="678AE1BC" w14:textId="28882B65" w:rsidR="009745EA" w:rsidRPr="009745EA" w:rsidRDefault="009745EA" w:rsidP="00A12328">
            <w:pPr>
              <w:keepNext/>
              <w:jc w:val="center"/>
              <w:rPr>
                <w:rFonts w:ascii="Arial Narrow" w:eastAsia="Calibri" w:hAnsi="Arial Narrow" w:cstheme="majorBidi"/>
                <w:bCs/>
                <w:sz w:val="20"/>
                <w:szCs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97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971"/>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5602E274" w14:textId="77777777" w:rsidR="009745EA" w:rsidRPr="00C85F3F" w:rsidRDefault="009745EA" w:rsidP="00A12328">
            <w:pPr>
              <w:keepNext/>
              <w:jc w:val="center"/>
              <w:rPr>
                <w:rFonts w:ascii="Arial Narrow" w:eastAsia="Calibri" w:hAnsi="Arial Narrow" w:cstheme="majorBidi"/>
                <w:bCs/>
                <w:sz w:val="20"/>
                <w:szCs w:val="20"/>
              </w:rPr>
            </w:pPr>
            <w:r w:rsidRPr="00C85F3F">
              <w:rPr>
                <w:rFonts w:ascii="Arial Narrow" w:eastAsiaTheme="majorEastAsia" w:hAnsi="Arial Narrow" w:cstheme="majorBidi"/>
                <w:bCs/>
                <w:sz w:val="20"/>
              </w:rPr>
              <w:t>1.044</w:t>
            </w:r>
          </w:p>
        </w:tc>
        <w:tc>
          <w:tcPr>
            <w:tcW w:w="952" w:type="pct"/>
            <w:tcBorders>
              <w:top w:val="single" w:sz="4" w:space="0" w:color="auto"/>
              <w:bottom w:val="single" w:sz="4" w:space="0" w:color="auto"/>
            </w:tcBorders>
          </w:tcPr>
          <w:p w14:paraId="47B67154" w14:textId="64676A49" w:rsidR="009745EA" w:rsidRPr="009745EA" w:rsidRDefault="009745EA" w:rsidP="00A12328">
            <w:pPr>
              <w:keepNext/>
              <w:jc w:val="center"/>
              <w:rPr>
                <w:rFonts w:ascii="Arial Narrow" w:eastAsia="Calibri" w:hAnsi="Arial Narrow" w:cstheme="majorBidi"/>
                <w:bCs/>
                <w:sz w:val="20"/>
                <w:szCs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970"/>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970"/>
                <w14:textFill>
                  <w14:solidFill>
                    <w14:srgbClr w14:val="000000">
                      <w14:alpha w14:val="100000"/>
                    </w14:srgbClr>
                  </w14:solidFill>
                </w14:textFill>
              </w:rPr>
              <w:t>|</w:t>
            </w:r>
            <w:r w:rsidR="0051617A" w:rsidRPr="003D466E">
              <w:rPr>
                <w:rFonts w:ascii="Arial Narrow" w:eastAsiaTheme="majorEastAsia" w:hAnsi="Arial Narrow" w:cstheme="majorBidi"/>
                <w:b/>
                <w:bCs/>
                <w:sz w:val="20"/>
                <w:vertAlign w:val="superscript"/>
              </w:rPr>
              <w:t>1</w:t>
            </w:r>
          </w:p>
        </w:tc>
        <w:tc>
          <w:tcPr>
            <w:tcW w:w="600" w:type="pct"/>
            <w:tcBorders>
              <w:top w:val="single" w:sz="4" w:space="0" w:color="auto"/>
              <w:bottom w:val="single" w:sz="4" w:space="0" w:color="auto"/>
            </w:tcBorders>
          </w:tcPr>
          <w:p w14:paraId="3D2680A7" w14:textId="08EDB745"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20"/>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20"/>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65F9438F" w14:textId="77777777" w:rsidTr="6A7C443A">
        <w:trPr>
          <w:trHeight w:val="283"/>
        </w:trPr>
        <w:tc>
          <w:tcPr>
            <w:tcW w:w="1894" w:type="pct"/>
            <w:tcBorders>
              <w:top w:val="single" w:sz="4" w:space="0" w:color="auto"/>
              <w:bottom w:val="single" w:sz="4" w:space="0" w:color="auto"/>
            </w:tcBorders>
          </w:tcPr>
          <w:p w14:paraId="05985B84" w14:textId="05F28815" w:rsidR="009745EA" w:rsidRPr="009745EA" w:rsidRDefault="00B50819" w:rsidP="00A12328">
            <w:pPr>
              <w:keepNext/>
              <w:jc w:val="left"/>
              <w:rPr>
                <w:rFonts w:ascii="Arial Narrow" w:eastAsiaTheme="majorEastAsia" w:hAnsi="Arial Narrow" w:cstheme="majorBidi"/>
                <w:bCs/>
                <w:sz w:val="20"/>
              </w:rPr>
            </w:pPr>
            <w:r w:rsidRPr="00B50819">
              <w:rPr>
                <w:rFonts w:ascii="Arial Narrow" w:eastAsiaTheme="majorEastAsia" w:hAnsi="Arial Narrow" w:cstheme="majorBidi"/>
                <w:bCs/>
                <w:color w:val="000000"/>
                <w:spacing w:val="53"/>
                <w:sz w:val="20"/>
                <w:shd w:val="solid" w:color="000000" w:fill="000000"/>
                <w:fitText w:val="330" w:id="-628958719"/>
                <w14:textFill>
                  <w14:solidFill>
                    <w14:srgbClr w14:val="000000">
                      <w14:alpha w14:val="100000"/>
                    </w14:srgbClr>
                  </w14:solidFill>
                </w14:textFill>
              </w:rPr>
              <w:t>|||</w:t>
            </w:r>
            <w:r w:rsidRPr="00B50819">
              <w:rPr>
                <w:rFonts w:ascii="Arial Narrow" w:eastAsiaTheme="majorEastAsia" w:hAnsi="Arial Narrow" w:cstheme="majorBidi"/>
                <w:bCs/>
                <w:color w:val="000000"/>
                <w:spacing w:val="1"/>
                <w:sz w:val="20"/>
                <w:shd w:val="solid" w:color="000000" w:fill="000000"/>
                <w:fitText w:val="330" w:id="-628958719"/>
                <w14:textFill>
                  <w14:solidFill>
                    <w14:srgbClr w14:val="000000">
                      <w14:alpha w14:val="100000"/>
                    </w14:srgbClr>
                  </w14:solidFill>
                </w14:textFill>
              </w:rPr>
              <w:t>|</w:t>
            </w:r>
            <w:r w:rsidR="009745EA" w:rsidRPr="009745EA">
              <w:rPr>
                <w:rFonts w:ascii="Arial Narrow" w:eastAsiaTheme="majorEastAsia" w:hAnsi="Arial Narrow" w:cstheme="majorBidi"/>
                <w:bCs/>
                <w:sz w:val="20"/>
              </w:rPr>
              <w:t>%</w:t>
            </w:r>
          </w:p>
        </w:tc>
        <w:tc>
          <w:tcPr>
            <w:tcW w:w="777" w:type="pct"/>
            <w:tcBorders>
              <w:top w:val="single" w:sz="4" w:space="0" w:color="auto"/>
              <w:bottom w:val="single" w:sz="4" w:space="0" w:color="auto"/>
            </w:tcBorders>
          </w:tcPr>
          <w:p w14:paraId="40FB8F4D" w14:textId="79C4B63B" w:rsidR="009745EA" w:rsidRPr="009745EA" w:rsidRDefault="009745EA" w:rsidP="00A12328">
            <w:pPr>
              <w:keepNext/>
              <w:jc w:val="center"/>
              <w:rPr>
                <w:rFonts w:ascii="Arial Narrow" w:eastAsia="Calibri" w:hAnsi="Arial Narrow" w:cstheme="majorBidi"/>
                <w:bCs/>
                <w:sz w:val="20"/>
                <w:szCs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8"/>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8"/>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0DB5473B" w14:textId="77777777" w:rsidR="009745EA" w:rsidRPr="00C85F3F" w:rsidRDefault="009745EA" w:rsidP="00A12328">
            <w:pPr>
              <w:keepNext/>
              <w:jc w:val="center"/>
              <w:rPr>
                <w:rFonts w:ascii="Arial Narrow" w:eastAsia="Calibri" w:hAnsi="Arial Narrow" w:cstheme="majorBidi"/>
                <w:bCs/>
                <w:sz w:val="20"/>
                <w:szCs w:val="20"/>
              </w:rPr>
            </w:pPr>
            <w:r w:rsidRPr="00C85F3F">
              <w:rPr>
                <w:rFonts w:ascii="Arial Narrow" w:eastAsiaTheme="majorEastAsia" w:hAnsi="Arial Narrow" w:cstheme="majorBidi"/>
                <w:bCs/>
                <w:sz w:val="20"/>
              </w:rPr>
              <w:t>0.899</w:t>
            </w:r>
          </w:p>
        </w:tc>
        <w:tc>
          <w:tcPr>
            <w:tcW w:w="952" w:type="pct"/>
            <w:tcBorders>
              <w:top w:val="single" w:sz="4" w:space="0" w:color="auto"/>
              <w:bottom w:val="single" w:sz="4" w:space="0" w:color="auto"/>
            </w:tcBorders>
          </w:tcPr>
          <w:p w14:paraId="7E7A5621" w14:textId="26A31987" w:rsidR="009745EA" w:rsidRPr="009745EA" w:rsidRDefault="009745EA" w:rsidP="00A12328">
            <w:pPr>
              <w:keepNext/>
              <w:jc w:val="center"/>
              <w:rPr>
                <w:rFonts w:ascii="Arial Narrow" w:eastAsia="Calibri" w:hAnsi="Arial Narrow" w:cstheme="majorBidi"/>
                <w:bCs/>
                <w:sz w:val="20"/>
                <w:szCs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7"/>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7"/>
                <w14:textFill>
                  <w14:solidFill>
                    <w14:srgbClr w14:val="000000">
                      <w14:alpha w14:val="100000"/>
                    </w14:srgbClr>
                  </w14:solidFill>
                </w14:textFill>
              </w:rPr>
              <w:t>|</w:t>
            </w:r>
            <w:r w:rsidR="0051617A" w:rsidRPr="003D466E">
              <w:rPr>
                <w:rFonts w:ascii="Arial Narrow" w:eastAsiaTheme="majorEastAsia" w:hAnsi="Arial Narrow" w:cstheme="majorBidi"/>
                <w:b/>
                <w:bCs/>
                <w:sz w:val="20"/>
                <w:vertAlign w:val="superscript"/>
              </w:rPr>
              <w:t>1</w:t>
            </w:r>
          </w:p>
        </w:tc>
        <w:tc>
          <w:tcPr>
            <w:tcW w:w="600" w:type="pct"/>
            <w:tcBorders>
              <w:top w:val="single" w:sz="4" w:space="0" w:color="auto"/>
              <w:bottom w:val="single" w:sz="4" w:space="0" w:color="auto"/>
            </w:tcBorders>
          </w:tcPr>
          <w:p w14:paraId="36473CEE" w14:textId="0DFF27BA"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6"/>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6"/>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317ED3D5" w14:textId="77777777" w:rsidTr="6A7C443A">
        <w:trPr>
          <w:trHeight w:val="283"/>
        </w:trPr>
        <w:tc>
          <w:tcPr>
            <w:tcW w:w="3448" w:type="pct"/>
            <w:gridSpan w:val="3"/>
            <w:tcBorders>
              <w:top w:val="single" w:sz="4" w:space="0" w:color="auto"/>
              <w:bottom w:val="single" w:sz="4" w:space="0" w:color="auto"/>
            </w:tcBorders>
          </w:tcPr>
          <w:p w14:paraId="26A1C1A2" w14:textId="77777777" w:rsidR="009745EA" w:rsidRPr="002F6ABB" w:rsidRDefault="009745EA" w:rsidP="00A12328">
            <w:pPr>
              <w:keepNext/>
              <w:jc w:val="left"/>
              <w:rPr>
                <w:rFonts w:ascii="Arial Narrow" w:eastAsiaTheme="majorEastAsia" w:hAnsi="Arial Narrow" w:cstheme="majorBidi"/>
                <w:b/>
                <w:sz w:val="20"/>
              </w:rPr>
            </w:pPr>
            <w:r w:rsidRPr="002F6ABB">
              <w:rPr>
                <w:rFonts w:ascii="Arial Narrow" w:eastAsiaTheme="majorEastAsia" w:hAnsi="Arial Narrow" w:cstheme="majorBidi"/>
                <w:b/>
                <w:sz w:val="20"/>
              </w:rPr>
              <w:t>Osimertinib OS curve</w:t>
            </w:r>
          </w:p>
        </w:tc>
        <w:tc>
          <w:tcPr>
            <w:tcW w:w="952" w:type="pct"/>
            <w:tcBorders>
              <w:top w:val="single" w:sz="4" w:space="0" w:color="auto"/>
              <w:bottom w:val="single" w:sz="4" w:space="0" w:color="auto"/>
            </w:tcBorders>
          </w:tcPr>
          <w:p w14:paraId="268E20EC" w14:textId="77777777" w:rsidR="009745EA" w:rsidRPr="009745EA" w:rsidRDefault="009745EA" w:rsidP="00A12328">
            <w:pPr>
              <w:keepNext/>
              <w:jc w:val="center"/>
              <w:rPr>
                <w:rFonts w:ascii="Arial Narrow" w:eastAsiaTheme="majorEastAsia" w:hAnsi="Arial Narrow" w:cstheme="majorBidi"/>
                <w:bCs/>
                <w:sz w:val="20"/>
              </w:rPr>
            </w:pPr>
          </w:p>
        </w:tc>
        <w:tc>
          <w:tcPr>
            <w:tcW w:w="600" w:type="pct"/>
            <w:tcBorders>
              <w:top w:val="single" w:sz="4" w:space="0" w:color="auto"/>
              <w:bottom w:val="single" w:sz="4" w:space="0" w:color="auto"/>
            </w:tcBorders>
          </w:tcPr>
          <w:p w14:paraId="3591B2A2" w14:textId="77777777" w:rsidR="009745EA" w:rsidRPr="009745EA" w:rsidRDefault="009745EA" w:rsidP="00A12328">
            <w:pPr>
              <w:keepNext/>
              <w:jc w:val="center"/>
              <w:rPr>
                <w:rFonts w:ascii="Arial Narrow" w:eastAsia="Calibri" w:hAnsi="Arial Narrow" w:cstheme="majorBidi"/>
                <w:bCs/>
                <w:i/>
                <w:iCs/>
                <w:sz w:val="20"/>
                <w:szCs w:val="20"/>
              </w:rPr>
            </w:pPr>
          </w:p>
        </w:tc>
      </w:tr>
      <w:tr w:rsidR="009745EA" w:rsidRPr="009745EA" w14:paraId="07BD3661" w14:textId="77777777" w:rsidTr="6A7C443A">
        <w:trPr>
          <w:trHeight w:val="283"/>
        </w:trPr>
        <w:tc>
          <w:tcPr>
            <w:tcW w:w="1894" w:type="pct"/>
            <w:tcBorders>
              <w:top w:val="nil"/>
              <w:bottom w:val="single" w:sz="4" w:space="0" w:color="auto"/>
            </w:tcBorders>
          </w:tcPr>
          <w:p w14:paraId="69916A31" w14:textId="72F8A848"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 xml:space="preserve">Independent extrapolation of trial-based KM data for OS (base case HR approach used) </w:t>
            </w:r>
          </w:p>
        </w:tc>
        <w:tc>
          <w:tcPr>
            <w:tcW w:w="777" w:type="pct"/>
            <w:tcBorders>
              <w:top w:val="nil"/>
              <w:bottom w:val="single" w:sz="4" w:space="0" w:color="auto"/>
            </w:tcBorders>
          </w:tcPr>
          <w:p w14:paraId="0AA3D583" w14:textId="7A33918B"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5"/>
                <w14:textFill>
                  <w14:solidFill>
                    <w14:srgbClr w14:val="000000">
                      <w14:alpha w14:val="100000"/>
                    </w14:srgbClr>
                  </w14:solidFill>
                </w14:textFill>
              </w:rPr>
              <w:t>|</w:t>
            </w:r>
          </w:p>
        </w:tc>
        <w:tc>
          <w:tcPr>
            <w:tcW w:w="777" w:type="pct"/>
            <w:tcBorders>
              <w:top w:val="nil"/>
              <w:bottom w:val="single" w:sz="4" w:space="0" w:color="auto"/>
            </w:tcBorders>
          </w:tcPr>
          <w:p w14:paraId="4A42B1CB"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1.190</w:t>
            </w:r>
          </w:p>
        </w:tc>
        <w:tc>
          <w:tcPr>
            <w:tcW w:w="952" w:type="pct"/>
            <w:tcBorders>
              <w:top w:val="nil"/>
              <w:bottom w:val="single" w:sz="4" w:space="0" w:color="auto"/>
            </w:tcBorders>
          </w:tcPr>
          <w:p w14:paraId="7BABA337" w14:textId="69CC4D28" w:rsidR="009745EA" w:rsidRPr="00990C7F" w:rsidRDefault="009745EA" w:rsidP="00A12328">
            <w:pPr>
              <w:keepNext/>
              <w:jc w:val="center"/>
              <w:rPr>
                <w:rFonts w:ascii="Arial Narrow" w:eastAsiaTheme="majorEastAsia" w:hAnsi="Arial Narrow" w:cstheme="majorBidi"/>
                <w:bCs/>
                <w:sz w:val="20"/>
                <w:vertAlign w:val="superscript"/>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4"/>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4"/>
                <w14:textFill>
                  <w14:solidFill>
                    <w14:srgbClr w14:val="000000">
                      <w14:alpha w14:val="100000"/>
                    </w14:srgbClr>
                  </w14:solidFill>
                </w14:textFill>
              </w:rPr>
              <w:t>|</w:t>
            </w:r>
            <w:r w:rsidR="00990C7F">
              <w:rPr>
                <w:rFonts w:ascii="Arial Narrow" w:eastAsiaTheme="majorEastAsia" w:hAnsi="Arial Narrow" w:cstheme="majorBidi"/>
                <w:bCs/>
                <w:sz w:val="20"/>
                <w:vertAlign w:val="superscript"/>
              </w:rPr>
              <w:t>3</w:t>
            </w:r>
          </w:p>
        </w:tc>
        <w:tc>
          <w:tcPr>
            <w:tcW w:w="600" w:type="pct"/>
            <w:tcBorders>
              <w:top w:val="single" w:sz="4" w:space="0" w:color="auto"/>
              <w:bottom w:val="single" w:sz="4" w:space="0" w:color="auto"/>
            </w:tcBorders>
          </w:tcPr>
          <w:p w14:paraId="02A17975" w14:textId="3F64DB8E"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3"/>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3"/>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6A9CD170" w14:textId="77777777" w:rsidTr="6A7C443A">
        <w:trPr>
          <w:trHeight w:val="283"/>
        </w:trPr>
        <w:tc>
          <w:tcPr>
            <w:tcW w:w="1894" w:type="pct"/>
            <w:tcBorders>
              <w:top w:val="nil"/>
              <w:bottom w:val="single" w:sz="4" w:space="0" w:color="auto"/>
            </w:tcBorders>
          </w:tcPr>
          <w:p w14:paraId="00DBD58D" w14:textId="77777777" w:rsidR="009745EA" w:rsidRPr="006B0F1B" w:rsidRDefault="009745EA" w:rsidP="00A12328">
            <w:pPr>
              <w:keepNext/>
              <w:jc w:val="left"/>
              <w:rPr>
                <w:rFonts w:ascii="Arial Narrow" w:eastAsiaTheme="majorEastAsia" w:hAnsi="Arial Narrow" w:cstheme="majorBidi"/>
                <w:sz w:val="20"/>
                <w:szCs w:val="20"/>
              </w:rPr>
            </w:pPr>
            <w:r w:rsidRPr="6A7C443A">
              <w:rPr>
                <w:rFonts w:ascii="Arial Narrow" w:eastAsiaTheme="majorEastAsia" w:hAnsi="Arial Narrow" w:cstheme="majorBidi"/>
                <w:sz w:val="20"/>
                <w:szCs w:val="20"/>
              </w:rPr>
              <w:t>Assuming HR for OS of 1</w:t>
            </w:r>
            <w:r w:rsidRPr="6A7C443A">
              <w:rPr>
                <w:rFonts w:ascii="Arial Narrow" w:eastAsiaTheme="majorEastAsia" w:hAnsi="Arial Narrow" w:cstheme="majorBidi"/>
                <w:sz w:val="20"/>
                <w:szCs w:val="20"/>
                <w:vertAlign w:val="superscript"/>
              </w:rPr>
              <w:t>a</w:t>
            </w:r>
            <w:r w:rsidRPr="6A7C443A">
              <w:rPr>
                <w:rFonts w:ascii="Arial Narrow" w:eastAsiaTheme="majorEastAsia" w:hAnsi="Arial Narrow" w:cstheme="majorBidi"/>
                <w:sz w:val="20"/>
                <w:szCs w:val="20"/>
              </w:rPr>
              <w:t xml:space="preserve"> (base case HR for OS of 0.67) </w:t>
            </w:r>
            <w:r w:rsidRPr="6A7C443A">
              <w:rPr>
                <w:rFonts w:ascii="Arial Narrow" w:eastAsiaTheme="majorEastAsia" w:hAnsi="Arial Narrow" w:cstheme="majorBidi"/>
                <w:b/>
                <w:bCs/>
                <w:sz w:val="20"/>
                <w:szCs w:val="20"/>
              </w:rPr>
              <w:t>(#4)</w:t>
            </w:r>
          </w:p>
        </w:tc>
        <w:tc>
          <w:tcPr>
            <w:tcW w:w="777" w:type="pct"/>
            <w:tcBorders>
              <w:top w:val="nil"/>
              <w:bottom w:val="single" w:sz="4" w:space="0" w:color="auto"/>
            </w:tcBorders>
          </w:tcPr>
          <w:p w14:paraId="0C9C3013" w14:textId="17911FA1" w:rsidR="009745EA" w:rsidRPr="006B0F1B" w:rsidRDefault="009745EA" w:rsidP="00A12328">
            <w:pPr>
              <w:keepNext/>
              <w:jc w:val="center"/>
              <w:rPr>
                <w:rFonts w:ascii="Arial Narrow" w:eastAsiaTheme="majorEastAsia" w:hAnsi="Arial Narrow" w:cstheme="majorBidi"/>
                <w:bCs/>
                <w:sz w:val="20"/>
              </w:rPr>
            </w:pPr>
            <w:r w:rsidRPr="006B0F1B">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2"/>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2"/>
                <w14:textFill>
                  <w14:solidFill>
                    <w14:srgbClr w14:val="000000">
                      <w14:alpha w14:val="100000"/>
                    </w14:srgbClr>
                  </w14:solidFill>
                </w14:textFill>
              </w:rPr>
              <w:t>|</w:t>
            </w:r>
          </w:p>
        </w:tc>
        <w:tc>
          <w:tcPr>
            <w:tcW w:w="777" w:type="pct"/>
            <w:tcBorders>
              <w:top w:val="nil"/>
              <w:bottom w:val="single" w:sz="4" w:space="0" w:color="auto"/>
            </w:tcBorders>
          </w:tcPr>
          <w:p w14:paraId="5EECF36A"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0.704</w:t>
            </w:r>
          </w:p>
        </w:tc>
        <w:tc>
          <w:tcPr>
            <w:tcW w:w="952" w:type="pct"/>
            <w:tcBorders>
              <w:top w:val="nil"/>
              <w:bottom w:val="single" w:sz="4" w:space="0" w:color="auto"/>
            </w:tcBorders>
          </w:tcPr>
          <w:p w14:paraId="434315E2" w14:textId="6DC5837C" w:rsidR="009745EA" w:rsidRPr="006B0F1B" w:rsidRDefault="009745EA" w:rsidP="00A12328">
            <w:pPr>
              <w:keepNext/>
              <w:jc w:val="center"/>
              <w:rPr>
                <w:rFonts w:ascii="Arial Narrow" w:eastAsiaTheme="majorEastAsia" w:hAnsi="Arial Narrow" w:cstheme="majorBidi"/>
                <w:bCs/>
                <w:sz w:val="20"/>
              </w:rPr>
            </w:pPr>
            <w:r w:rsidRPr="006B0F1B">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1"/>
                <w14:textFill>
                  <w14:solidFill>
                    <w14:srgbClr w14:val="000000">
                      <w14:alpha w14:val="100000"/>
                    </w14:srgbClr>
                  </w14:solidFill>
                </w14:textFill>
              </w:rPr>
              <w:t>|</w:t>
            </w:r>
            <w:r w:rsidR="0051617A" w:rsidRPr="003D466E">
              <w:rPr>
                <w:rFonts w:ascii="Arial Narrow" w:eastAsiaTheme="majorEastAsia" w:hAnsi="Arial Narrow" w:cstheme="majorBidi"/>
                <w:b/>
                <w:bCs/>
                <w:sz w:val="20"/>
                <w:vertAlign w:val="superscript"/>
              </w:rPr>
              <w:t>1</w:t>
            </w:r>
          </w:p>
        </w:tc>
        <w:tc>
          <w:tcPr>
            <w:tcW w:w="600" w:type="pct"/>
            <w:tcBorders>
              <w:top w:val="single" w:sz="4" w:space="0" w:color="auto"/>
              <w:bottom w:val="single" w:sz="4" w:space="0" w:color="auto"/>
            </w:tcBorders>
          </w:tcPr>
          <w:p w14:paraId="7FAB5305" w14:textId="5110268F"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0"/>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0"/>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4E577598" w14:textId="77777777" w:rsidTr="6A7C443A">
        <w:trPr>
          <w:trHeight w:val="283"/>
        </w:trPr>
        <w:tc>
          <w:tcPr>
            <w:tcW w:w="5000" w:type="pct"/>
            <w:gridSpan w:val="5"/>
            <w:tcBorders>
              <w:top w:val="single" w:sz="4" w:space="0" w:color="auto"/>
              <w:bottom w:val="single" w:sz="4" w:space="0" w:color="auto"/>
            </w:tcBorders>
          </w:tcPr>
          <w:p w14:paraId="74F3F6FE" w14:textId="77777777" w:rsidR="009745EA" w:rsidRPr="002F6ABB" w:rsidRDefault="009745EA" w:rsidP="00A12328">
            <w:pPr>
              <w:keepNext/>
              <w:jc w:val="left"/>
              <w:rPr>
                <w:rFonts w:ascii="Arial Narrow" w:eastAsia="Calibri" w:hAnsi="Arial Narrow" w:cstheme="majorBidi"/>
                <w:b/>
                <w:sz w:val="20"/>
                <w:szCs w:val="20"/>
              </w:rPr>
            </w:pPr>
            <w:r w:rsidRPr="002F6ABB">
              <w:rPr>
                <w:rFonts w:ascii="Arial Narrow" w:eastAsiaTheme="majorEastAsia" w:hAnsi="Arial Narrow" w:cstheme="majorBidi"/>
                <w:b/>
                <w:sz w:val="20"/>
              </w:rPr>
              <w:t>Utility value for PD health state (base case 0.731)</w:t>
            </w:r>
          </w:p>
        </w:tc>
      </w:tr>
      <w:tr w:rsidR="009745EA" w:rsidRPr="009745EA" w14:paraId="3701C6A6" w14:textId="77777777" w:rsidTr="6A7C443A">
        <w:trPr>
          <w:trHeight w:val="283"/>
        </w:trPr>
        <w:tc>
          <w:tcPr>
            <w:tcW w:w="1894" w:type="pct"/>
            <w:tcBorders>
              <w:top w:val="single" w:sz="4" w:space="0" w:color="auto"/>
              <w:bottom w:val="single" w:sz="4" w:space="0" w:color="auto"/>
            </w:tcBorders>
          </w:tcPr>
          <w:p w14:paraId="0C4723DC" w14:textId="77777777" w:rsidR="009745EA" w:rsidRPr="009745EA" w:rsidRDefault="009745EA" w:rsidP="00A12328">
            <w:pPr>
              <w:keepNext/>
              <w:jc w:val="left"/>
              <w:rPr>
                <w:rFonts w:ascii="Arial Narrow" w:eastAsiaTheme="majorEastAsia" w:hAnsi="Arial Narrow" w:cstheme="majorBidi"/>
                <w:bCs/>
                <w:sz w:val="20"/>
              </w:rPr>
            </w:pPr>
            <w:r w:rsidRPr="009745EA">
              <w:rPr>
                <w:rFonts w:ascii="Arial Narrow" w:eastAsiaTheme="majorEastAsia" w:hAnsi="Arial Narrow" w:cstheme="majorBidi"/>
                <w:bCs/>
                <w:sz w:val="20"/>
              </w:rPr>
              <w:t xml:space="preserve">Trial-based from LAURA &amp; Viney 2011 weights: 0.798 </w:t>
            </w:r>
            <w:r w:rsidRPr="009745EA">
              <w:rPr>
                <w:rFonts w:ascii="Arial Narrow" w:eastAsiaTheme="majorEastAsia" w:hAnsi="Arial Narrow" w:cstheme="majorBidi"/>
                <w:b/>
                <w:bCs/>
                <w:sz w:val="20"/>
              </w:rPr>
              <w:t>(#3)</w:t>
            </w:r>
          </w:p>
        </w:tc>
        <w:tc>
          <w:tcPr>
            <w:tcW w:w="777" w:type="pct"/>
            <w:tcBorders>
              <w:top w:val="nil"/>
              <w:bottom w:val="single" w:sz="4" w:space="0" w:color="auto"/>
            </w:tcBorders>
          </w:tcPr>
          <w:p w14:paraId="20376805" w14:textId="5F7E5E87"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09"/>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09"/>
                <w14:textFill>
                  <w14:solidFill>
                    <w14:srgbClr w14:val="000000">
                      <w14:alpha w14:val="100000"/>
                    </w14:srgbClr>
                  </w14:solidFill>
                </w14:textFill>
              </w:rPr>
              <w:t>|</w:t>
            </w:r>
          </w:p>
        </w:tc>
        <w:tc>
          <w:tcPr>
            <w:tcW w:w="777" w:type="pct"/>
            <w:tcBorders>
              <w:top w:val="nil"/>
              <w:bottom w:val="single" w:sz="4" w:space="0" w:color="auto"/>
            </w:tcBorders>
          </w:tcPr>
          <w:p w14:paraId="089E4B08"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0.714</w:t>
            </w:r>
          </w:p>
        </w:tc>
        <w:tc>
          <w:tcPr>
            <w:tcW w:w="952" w:type="pct"/>
            <w:tcBorders>
              <w:top w:val="nil"/>
              <w:bottom w:val="single" w:sz="4" w:space="0" w:color="auto"/>
            </w:tcBorders>
          </w:tcPr>
          <w:p w14:paraId="3BB122C3" w14:textId="633B0484" w:rsidR="009745EA" w:rsidRPr="009745EA" w:rsidRDefault="009745EA" w:rsidP="00A12328">
            <w:pPr>
              <w:keepNext/>
              <w:jc w:val="center"/>
              <w:rPr>
                <w:rFonts w:ascii="Arial Narrow" w:eastAsiaTheme="majorEastAsia" w:hAnsi="Arial Narrow" w:cstheme="majorBidi"/>
                <w:bCs/>
                <w:sz w:val="20"/>
              </w:rPr>
            </w:pPr>
            <w:r w:rsidRPr="009745EA">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08"/>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08"/>
                <w14:textFill>
                  <w14:solidFill>
                    <w14:srgbClr w14:val="000000">
                      <w14:alpha w14:val="100000"/>
                    </w14:srgbClr>
                  </w14:solidFill>
                </w14:textFill>
              </w:rPr>
              <w:t>|</w:t>
            </w:r>
            <w:r w:rsidR="0051617A" w:rsidRPr="003D466E">
              <w:rPr>
                <w:rFonts w:ascii="Arial Narrow" w:eastAsiaTheme="majorEastAsia" w:hAnsi="Arial Narrow" w:cstheme="majorBidi"/>
                <w:b/>
                <w:bCs/>
                <w:sz w:val="20"/>
                <w:vertAlign w:val="superscript"/>
              </w:rPr>
              <w:t>1</w:t>
            </w:r>
          </w:p>
        </w:tc>
        <w:tc>
          <w:tcPr>
            <w:tcW w:w="600" w:type="pct"/>
            <w:tcBorders>
              <w:top w:val="single" w:sz="4" w:space="0" w:color="auto"/>
              <w:bottom w:val="single" w:sz="4" w:space="0" w:color="auto"/>
            </w:tcBorders>
          </w:tcPr>
          <w:p w14:paraId="158F56CD" w14:textId="7F055228" w:rsidR="009745EA" w:rsidRPr="006B0F1B" w:rsidRDefault="009745EA" w:rsidP="00A12328">
            <w:pPr>
              <w:keepNext/>
              <w:jc w:val="center"/>
              <w:rPr>
                <w:rFonts w:ascii="Arial Narrow" w:eastAsia="Calibri" w:hAnsi="Arial Narrow" w:cstheme="majorBidi"/>
                <w:bCs/>
                <w:sz w:val="20"/>
                <w:szCs w:val="20"/>
              </w:rPr>
            </w:pPr>
            <w:r w:rsidRPr="006B0F1B">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07"/>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07"/>
                <w14:textFill>
                  <w14:solidFill>
                    <w14:srgbClr w14:val="000000">
                      <w14:alpha w14:val="100000"/>
                    </w14:srgbClr>
                  </w14:solidFill>
                </w14:textFill>
              </w:rPr>
              <w:t>|</w:t>
            </w:r>
            <w:r w:rsidRPr="006B0F1B">
              <w:rPr>
                <w:rFonts w:ascii="Arial Narrow" w:eastAsia="Calibri" w:hAnsi="Arial Narrow" w:cstheme="majorBidi"/>
                <w:bCs/>
                <w:sz w:val="20"/>
                <w:szCs w:val="20"/>
              </w:rPr>
              <w:t>%</w:t>
            </w:r>
          </w:p>
        </w:tc>
      </w:tr>
      <w:tr w:rsidR="009745EA" w:rsidRPr="009745EA" w14:paraId="785C8C21" w14:textId="77777777" w:rsidTr="6A7C443A">
        <w:trPr>
          <w:trHeight w:val="283"/>
        </w:trPr>
        <w:tc>
          <w:tcPr>
            <w:tcW w:w="1894" w:type="pct"/>
            <w:tcBorders>
              <w:top w:val="single" w:sz="4" w:space="0" w:color="auto"/>
              <w:bottom w:val="single" w:sz="4" w:space="0" w:color="auto"/>
            </w:tcBorders>
          </w:tcPr>
          <w:p w14:paraId="5A2E8F6B" w14:textId="02C4924A"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0.841</w:t>
            </w:r>
            <w:r w:rsidRPr="00236317">
              <w:rPr>
                <w:rFonts w:ascii="Arial Narrow" w:eastAsiaTheme="majorEastAsia" w:hAnsi="Arial Narrow" w:cstheme="majorBidi"/>
                <w:bCs/>
                <w:sz w:val="20"/>
                <w:vertAlign w:val="superscript"/>
              </w:rPr>
              <w:t>b</w:t>
            </w:r>
            <w:r w:rsidRPr="00236317">
              <w:rPr>
                <w:rFonts w:ascii="Arial Narrow" w:eastAsiaTheme="majorEastAsia" w:hAnsi="Arial Narrow" w:cstheme="majorBidi"/>
                <w:bCs/>
                <w:sz w:val="20"/>
              </w:rPr>
              <w:t xml:space="preserve">: based on a smaller </w:t>
            </w:r>
            <w:r w:rsidR="00915297" w:rsidRPr="00236317">
              <w:rPr>
                <w:rFonts w:ascii="Arial Narrow" w:eastAsiaTheme="majorEastAsia" w:hAnsi="Arial Narrow" w:cstheme="majorBidi"/>
                <w:bCs/>
                <w:sz w:val="20"/>
              </w:rPr>
              <w:t xml:space="preserve">difference between </w:t>
            </w:r>
            <w:r w:rsidRPr="00236317">
              <w:rPr>
                <w:rFonts w:ascii="Arial Narrow" w:eastAsiaTheme="majorEastAsia" w:hAnsi="Arial Narrow" w:cstheme="majorBidi"/>
                <w:bCs/>
                <w:sz w:val="20"/>
              </w:rPr>
              <w:t xml:space="preserve">PD </w:t>
            </w:r>
            <w:r w:rsidR="00915297" w:rsidRPr="00236317">
              <w:rPr>
                <w:rFonts w:ascii="Arial Narrow" w:eastAsiaTheme="majorEastAsia" w:hAnsi="Arial Narrow" w:cstheme="majorBidi"/>
                <w:bCs/>
                <w:sz w:val="20"/>
              </w:rPr>
              <w:t xml:space="preserve">and </w:t>
            </w:r>
            <w:r w:rsidRPr="00236317">
              <w:rPr>
                <w:rFonts w:ascii="Arial Narrow" w:eastAsiaTheme="majorEastAsia" w:hAnsi="Arial Narrow" w:cstheme="majorBidi"/>
                <w:bCs/>
                <w:sz w:val="20"/>
              </w:rPr>
              <w:t xml:space="preserve">PFS of 0.03 (Criss 2018 and NICE durvalumab model) </w:t>
            </w:r>
          </w:p>
        </w:tc>
        <w:tc>
          <w:tcPr>
            <w:tcW w:w="777" w:type="pct"/>
            <w:tcBorders>
              <w:top w:val="nil"/>
              <w:bottom w:val="single" w:sz="4" w:space="0" w:color="auto"/>
            </w:tcBorders>
          </w:tcPr>
          <w:p w14:paraId="4740CFCA" w14:textId="4EB32672"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06"/>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06"/>
                <w14:textFill>
                  <w14:solidFill>
                    <w14:srgbClr w14:val="000000">
                      <w14:alpha w14:val="100000"/>
                    </w14:srgbClr>
                  </w14:solidFill>
                </w14:textFill>
              </w:rPr>
              <w:t>|</w:t>
            </w:r>
          </w:p>
        </w:tc>
        <w:tc>
          <w:tcPr>
            <w:tcW w:w="777" w:type="pct"/>
            <w:tcBorders>
              <w:top w:val="nil"/>
              <w:bottom w:val="single" w:sz="4" w:space="0" w:color="auto"/>
            </w:tcBorders>
          </w:tcPr>
          <w:p w14:paraId="1C706302"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0.628</w:t>
            </w:r>
          </w:p>
        </w:tc>
        <w:tc>
          <w:tcPr>
            <w:tcW w:w="952" w:type="pct"/>
            <w:tcBorders>
              <w:top w:val="nil"/>
              <w:bottom w:val="single" w:sz="4" w:space="0" w:color="auto"/>
            </w:tcBorders>
          </w:tcPr>
          <w:p w14:paraId="1E93096A" w14:textId="1229EC03" w:rsidR="009745EA" w:rsidRPr="00990C7F"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0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05"/>
                <w14:textFill>
                  <w14:solidFill>
                    <w14:srgbClr w14:val="000000">
                      <w14:alpha w14:val="100000"/>
                    </w14:srgbClr>
                  </w14:solidFill>
                </w14:textFill>
              </w:rPr>
              <w:t>|</w:t>
            </w:r>
            <w:r w:rsidR="00990C7F">
              <w:rPr>
                <w:rFonts w:ascii="Arial Narrow" w:eastAsiaTheme="majorEastAsia" w:hAnsi="Arial Narrow" w:cstheme="majorBidi"/>
                <w:bCs/>
                <w:sz w:val="20"/>
                <w:vertAlign w:val="superscript"/>
              </w:rPr>
              <w:t>2</w:t>
            </w:r>
          </w:p>
        </w:tc>
        <w:tc>
          <w:tcPr>
            <w:tcW w:w="600" w:type="pct"/>
            <w:tcBorders>
              <w:top w:val="single" w:sz="4" w:space="0" w:color="auto"/>
              <w:bottom w:val="single" w:sz="4" w:space="0" w:color="auto"/>
            </w:tcBorders>
          </w:tcPr>
          <w:p w14:paraId="09DCD824" w14:textId="3E1E87DB"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04"/>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04"/>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9745EA" w:rsidRPr="009745EA" w14:paraId="62F27AE4" w14:textId="77777777" w:rsidTr="6A7C443A">
        <w:trPr>
          <w:trHeight w:val="283"/>
        </w:trPr>
        <w:tc>
          <w:tcPr>
            <w:tcW w:w="5000" w:type="pct"/>
            <w:gridSpan w:val="5"/>
            <w:tcBorders>
              <w:top w:val="single" w:sz="4" w:space="0" w:color="auto"/>
              <w:bottom w:val="single" w:sz="4" w:space="0" w:color="auto"/>
            </w:tcBorders>
          </w:tcPr>
          <w:p w14:paraId="1178D0E4" w14:textId="77777777" w:rsidR="009745EA" w:rsidRPr="009745EA" w:rsidRDefault="009745EA" w:rsidP="00A12328">
            <w:pPr>
              <w:keepNext/>
              <w:jc w:val="left"/>
              <w:rPr>
                <w:rFonts w:ascii="Arial Narrow" w:eastAsia="Calibri" w:hAnsi="Arial Narrow" w:cstheme="majorBidi"/>
                <w:b/>
                <w:sz w:val="20"/>
                <w:szCs w:val="20"/>
              </w:rPr>
            </w:pPr>
            <w:r w:rsidRPr="009745EA">
              <w:rPr>
                <w:rFonts w:ascii="Arial Narrow" w:eastAsiaTheme="majorEastAsia" w:hAnsi="Arial Narrow" w:cstheme="majorBidi"/>
                <w:b/>
                <w:sz w:val="20"/>
              </w:rPr>
              <w:t>Costs</w:t>
            </w:r>
          </w:p>
        </w:tc>
      </w:tr>
      <w:tr w:rsidR="00DF50C3" w:rsidRPr="009745EA" w14:paraId="6774F530" w14:textId="77777777" w:rsidTr="6A7C443A">
        <w:trPr>
          <w:trHeight w:val="283"/>
        </w:trPr>
        <w:tc>
          <w:tcPr>
            <w:tcW w:w="5000" w:type="pct"/>
            <w:gridSpan w:val="5"/>
            <w:tcBorders>
              <w:top w:val="single" w:sz="4" w:space="0" w:color="auto"/>
              <w:bottom w:val="single" w:sz="4" w:space="0" w:color="auto"/>
            </w:tcBorders>
          </w:tcPr>
          <w:p w14:paraId="32043BC0" w14:textId="69AC2BC5" w:rsidR="00DF50C3" w:rsidRPr="009745EA" w:rsidRDefault="00DF50C3" w:rsidP="00A12328">
            <w:pPr>
              <w:keepNext/>
              <w:jc w:val="left"/>
              <w:rPr>
                <w:rFonts w:ascii="Arial Narrow" w:eastAsia="Calibri" w:hAnsi="Arial Narrow" w:cstheme="majorBidi"/>
                <w:bCs/>
                <w:sz w:val="20"/>
                <w:szCs w:val="20"/>
              </w:rPr>
            </w:pPr>
            <w:r w:rsidRPr="00DF50C3">
              <w:rPr>
                <w:rFonts w:ascii="Arial Narrow" w:eastAsiaTheme="majorEastAsia" w:hAnsi="Arial Narrow" w:cstheme="majorBidi"/>
                <w:b/>
                <w:sz w:val="20"/>
              </w:rPr>
              <w:t>Treatment duration of osimertinib (base case: mean of 38.5 months; maximum 67 months)</w:t>
            </w:r>
          </w:p>
        </w:tc>
      </w:tr>
      <w:tr w:rsidR="009745EA" w:rsidRPr="009745EA" w14:paraId="4E14B0A1" w14:textId="77777777" w:rsidTr="6A7C443A">
        <w:trPr>
          <w:trHeight w:val="283"/>
        </w:trPr>
        <w:tc>
          <w:tcPr>
            <w:tcW w:w="1894" w:type="pct"/>
            <w:tcBorders>
              <w:top w:val="single" w:sz="4" w:space="0" w:color="auto"/>
              <w:bottom w:val="single" w:sz="4" w:space="0" w:color="auto"/>
            </w:tcBorders>
          </w:tcPr>
          <w:p w14:paraId="0CEF145F" w14:textId="3AE02EB3" w:rsidR="009745EA" w:rsidRPr="006B0F1B" w:rsidRDefault="58A20A33" w:rsidP="00A12328">
            <w:pPr>
              <w:keepNext/>
              <w:jc w:val="left"/>
              <w:rPr>
                <w:rFonts w:ascii="Arial Narrow" w:eastAsiaTheme="majorEastAsia" w:hAnsi="Arial Narrow" w:cstheme="majorBidi"/>
                <w:sz w:val="20"/>
                <w:szCs w:val="20"/>
              </w:rPr>
            </w:pPr>
            <w:r w:rsidRPr="6A7C443A">
              <w:rPr>
                <w:rFonts w:ascii="Arial Narrow" w:eastAsiaTheme="majorEastAsia" w:hAnsi="Arial Narrow" w:cstheme="majorBidi"/>
                <w:sz w:val="20"/>
                <w:szCs w:val="20"/>
              </w:rPr>
              <w:t xml:space="preserve">Stopping rule removed: </w:t>
            </w:r>
            <w:r w:rsidR="009745EA" w:rsidRPr="6A7C443A">
              <w:rPr>
                <w:rFonts w:ascii="Arial Narrow" w:eastAsiaTheme="majorEastAsia" w:hAnsi="Arial Narrow" w:cstheme="majorBidi"/>
                <w:sz w:val="20"/>
                <w:szCs w:val="20"/>
              </w:rPr>
              <w:t>Mean</w:t>
            </w:r>
            <w:r w:rsidR="5F3DF209" w:rsidRPr="6A7C443A">
              <w:rPr>
                <w:rFonts w:ascii="Arial Narrow" w:eastAsiaTheme="majorEastAsia" w:hAnsi="Arial Narrow" w:cstheme="majorBidi"/>
                <w:sz w:val="20"/>
                <w:szCs w:val="20"/>
              </w:rPr>
              <w:t xml:space="preserve"> </w:t>
            </w:r>
            <w:r w:rsidR="009745EA" w:rsidRPr="6A7C443A">
              <w:rPr>
                <w:rFonts w:ascii="Arial Narrow" w:eastAsiaTheme="majorEastAsia" w:hAnsi="Arial Narrow" w:cstheme="majorBidi"/>
                <w:sz w:val="20"/>
                <w:szCs w:val="20"/>
              </w:rPr>
              <w:t xml:space="preserve">osimertinib treatment duration of </w:t>
            </w:r>
            <w:r w:rsidR="00B50819" w:rsidRPr="00B50819">
              <w:rPr>
                <w:rFonts w:ascii="Arial Narrow" w:eastAsiaTheme="majorEastAsia" w:hAnsi="Arial Narrow" w:cstheme="majorBidi"/>
                <w:color w:val="000000"/>
                <w:spacing w:val="53"/>
                <w:sz w:val="20"/>
                <w:szCs w:val="20"/>
                <w:shd w:val="solid" w:color="000000" w:fill="000000"/>
                <w:fitText w:val="330" w:id="-628958720"/>
                <w14:textFill>
                  <w14:solidFill>
                    <w14:srgbClr w14:val="000000">
                      <w14:alpha w14:val="100000"/>
                    </w14:srgbClr>
                  </w14:solidFill>
                </w14:textFill>
              </w:rPr>
              <w:t>|||</w:t>
            </w:r>
            <w:r w:rsidR="00B50819" w:rsidRPr="00B50819">
              <w:rPr>
                <w:rFonts w:ascii="Arial Narrow" w:eastAsiaTheme="majorEastAsia" w:hAnsi="Arial Narrow" w:cstheme="majorBidi"/>
                <w:color w:val="000000"/>
                <w:spacing w:val="1"/>
                <w:sz w:val="20"/>
                <w:szCs w:val="20"/>
                <w:shd w:val="solid" w:color="000000" w:fill="000000"/>
                <w:fitText w:val="330" w:id="-628958720"/>
                <w14:textFill>
                  <w14:solidFill>
                    <w14:srgbClr w14:val="000000">
                      <w14:alpha w14:val="100000"/>
                    </w14:srgbClr>
                  </w14:solidFill>
                </w14:textFill>
              </w:rPr>
              <w:t>|</w:t>
            </w:r>
            <w:r w:rsidR="009745EA" w:rsidRPr="6A7C443A">
              <w:rPr>
                <w:rFonts w:ascii="Arial Narrow" w:eastAsiaTheme="majorEastAsia" w:hAnsi="Arial Narrow" w:cstheme="majorBidi"/>
                <w:sz w:val="20"/>
                <w:szCs w:val="20"/>
              </w:rPr>
              <w:t xml:space="preserve"> months</w:t>
            </w:r>
            <w:r w:rsidR="5F3DF209" w:rsidRPr="6A7C443A">
              <w:rPr>
                <w:rFonts w:ascii="Arial Narrow" w:eastAsiaTheme="majorEastAsia" w:hAnsi="Arial Narrow" w:cstheme="majorBidi"/>
                <w:sz w:val="20"/>
                <w:szCs w:val="20"/>
              </w:rPr>
              <w:t xml:space="preserve"> in the economic model</w:t>
            </w:r>
            <w:r w:rsidR="009745EA" w:rsidRPr="6A7C443A">
              <w:rPr>
                <w:rFonts w:ascii="Arial Narrow" w:eastAsiaTheme="majorEastAsia" w:hAnsi="Arial Narrow" w:cstheme="majorBidi"/>
                <w:sz w:val="20"/>
                <w:szCs w:val="20"/>
              </w:rPr>
              <w:t xml:space="preserve">* </w:t>
            </w:r>
            <w:r w:rsidR="009745EA" w:rsidRPr="6A7C443A">
              <w:rPr>
                <w:rFonts w:ascii="Arial Narrow" w:eastAsiaTheme="majorEastAsia" w:hAnsi="Arial Narrow" w:cstheme="majorBidi"/>
                <w:b/>
                <w:bCs/>
                <w:sz w:val="20"/>
                <w:szCs w:val="20"/>
              </w:rPr>
              <w:t>(#1)</w:t>
            </w:r>
          </w:p>
        </w:tc>
        <w:tc>
          <w:tcPr>
            <w:tcW w:w="777" w:type="pct"/>
            <w:tcBorders>
              <w:top w:val="nil"/>
              <w:bottom w:val="single" w:sz="4" w:space="0" w:color="auto"/>
            </w:tcBorders>
          </w:tcPr>
          <w:p w14:paraId="4AED437F" w14:textId="75A2B40E" w:rsidR="009745EA" w:rsidRPr="00ED6581" w:rsidRDefault="009745EA" w:rsidP="00A12328">
            <w:pPr>
              <w:keepNext/>
              <w:jc w:val="center"/>
              <w:rPr>
                <w:rFonts w:ascii="Arial Narrow" w:eastAsiaTheme="majorEastAsia" w:hAnsi="Arial Narrow" w:cstheme="majorBidi"/>
                <w:bCs/>
                <w:sz w:val="20"/>
              </w:rPr>
            </w:pPr>
            <w:r w:rsidRPr="00ED6581">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9"/>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9"/>
                <w14:textFill>
                  <w14:solidFill>
                    <w14:srgbClr w14:val="000000">
                      <w14:alpha w14:val="100000"/>
                    </w14:srgbClr>
                  </w14:solidFill>
                </w14:textFill>
              </w:rPr>
              <w:t>|</w:t>
            </w:r>
          </w:p>
        </w:tc>
        <w:tc>
          <w:tcPr>
            <w:tcW w:w="777" w:type="pct"/>
            <w:tcBorders>
              <w:top w:val="nil"/>
              <w:bottom w:val="single" w:sz="4" w:space="0" w:color="auto"/>
            </w:tcBorders>
          </w:tcPr>
          <w:p w14:paraId="0B4347D1"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nil"/>
              <w:bottom w:val="single" w:sz="4" w:space="0" w:color="auto"/>
            </w:tcBorders>
          </w:tcPr>
          <w:p w14:paraId="2F26C6E3" w14:textId="41B59FA4" w:rsidR="009745EA" w:rsidRPr="00990C7F" w:rsidRDefault="009745EA" w:rsidP="00A12328">
            <w:pPr>
              <w:keepNext/>
              <w:jc w:val="center"/>
              <w:rPr>
                <w:rFonts w:ascii="Arial Narrow" w:eastAsiaTheme="majorEastAsia" w:hAnsi="Arial Narrow" w:cstheme="majorBidi"/>
                <w:bCs/>
                <w:sz w:val="20"/>
                <w:vertAlign w:val="superscript"/>
              </w:rPr>
            </w:pPr>
            <w:r w:rsidRPr="00ED6581">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8"/>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8"/>
                <w14:textFill>
                  <w14:solidFill>
                    <w14:srgbClr w14:val="000000">
                      <w14:alpha w14:val="100000"/>
                    </w14:srgbClr>
                  </w14:solidFill>
                </w14:textFill>
              </w:rPr>
              <w:t>|</w:t>
            </w:r>
            <w:r w:rsidR="00990C7F">
              <w:rPr>
                <w:rFonts w:ascii="Arial Narrow" w:eastAsiaTheme="majorEastAsia" w:hAnsi="Arial Narrow" w:cstheme="majorBidi"/>
                <w:bCs/>
                <w:sz w:val="20"/>
                <w:vertAlign w:val="superscript"/>
              </w:rPr>
              <w:t>2</w:t>
            </w:r>
          </w:p>
        </w:tc>
        <w:tc>
          <w:tcPr>
            <w:tcW w:w="600" w:type="pct"/>
            <w:tcBorders>
              <w:top w:val="single" w:sz="4" w:space="0" w:color="auto"/>
              <w:bottom w:val="single" w:sz="4" w:space="0" w:color="auto"/>
            </w:tcBorders>
          </w:tcPr>
          <w:p w14:paraId="7DA8C183" w14:textId="2C8C2989" w:rsidR="009745EA" w:rsidRPr="00ED6581" w:rsidRDefault="009745EA" w:rsidP="00A12328">
            <w:pPr>
              <w:keepNext/>
              <w:jc w:val="center"/>
              <w:rPr>
                <w:rFonts w:ascii="Arial Narrow" w:eastAsia="Calibri" w:hAnsi="Arial Narrow" w:cstheme="majorBidi"/>
                <w:bCs/>
                <w:sz w:val="20"/>
                <w:szCs w:val="20"/>
              </w:rPr>
            </w:pPr>
            <w:r w:rsidRPr="00ED6581">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7"/>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7"/>
                <w14:textFill>
                  <w14:solidFill>
                    <w14:srgbClr w14:val="000000">
                      <w14:alpha w14:val="100000"/>
                    </w14:srgbClr>
                  </w14:solidFill>
                </w14:textFill>
              </w:rPr>
              <w:t>|</w:t>
            </w:r>
            <w:r w:rsidRPr="00ED6581">
              <w:rPr>
                <w:rFonts w:ascii="Arial Narrow" w:eastAsia="Calibri" w:hAnsi="Arial Narrow" w:cstheme="majorBidi"/>
                <w:bCs/>
                <w:sz w:val="20"/>
                <w:szCs w:val="20"/>
              </w:rPr>
              <w:t>%</w:t>
            </w:r>
          </w:p>
        </w:tc>
      </w:tr>
      <w:tr w:rsidR="00DF50C3" w:rsidRPr="009745EA" w14:paraId="6BEDA45D" w14:textId="77777777" w:rsidTr="6A7C443A">
        <w:trPr>
          <w:trHeight w:val="283"/>
        </w:trPr>
        <w:tc>
          <w:tcPr>
            <w:tcW w:w="5000" w:type="pct"/>
            <w:gridSpan w:val="5"/>
            <w:tcBorders>
              <w:top w:val="single" w:sz="4" w:space="0" w:color="auto"/>
              <w:bottom w:val="single" w:sz="4" w:space="0" w:color="auto"/>
            </w:tcBorders>
          </w:tcPr>
          <w:p w14:paraId="50AF30BD" w14:textId="0C9EB2E2" w:rsidR="00DF50C3" w:rsidRPr="00236317" w:rsidRDefault="00DF50C3" w:rsidP="00A12328">
            <w:pPr>
              <w:keepNext/>
              <w:jc w:val="left"/>
              <w:rPr>
                <w:rFonts w:ascii="Arial Narrow" w:eastAsia="Calibri" w:hAnsi="Arial Narrow" w:cstheme="majorBidi"/>
                <w:bCs/>
                <w:sz w:val="20"/>
                <w:szCs w:val="20"/>
              </w:rPr>
            </w:pPr>
            <w:r w:rsidRPr="00236317">
              <w:rPr>
                <w:rFonts w:ascii="Arial Narrow" w:eastAsiaTheme="majorEastAsia" w:hAnsi="Arial Narrow" w:cstheme="majorBidi"/>
                <w:b/>
                <w:sz w:val="20"/>
              </w:rPr>
              <w:t>Proportion of patients in the placebo arm receiving osimertinib post-progression (base case 78.1%)</w:t>
            </w:r>
          </w:p>
        </w:tc>
      </w:tr>
      <w:tr w:rsidR="009745EA" w:rsidRPr="009745EA" w14:paraId="7262ABFB" w14:textId="77777777" w:rsidTr="6A7C443A">
        <w:trPr>
          <w:trHeight w:val="283"/>
        </w:trPr>
        <w:tc>
          <w:tcPr>
            <w:tcW w:w="1894" w:type="pct"/>
            <w:tcBorders>
              <w:top w:val="single" w:sz="4" w:space="0" w:color="auto"/>
              <w:bottom w:val="single" w:sz="4" w:space="0" w:color="auto"/>
            </w:tcBorders>
          </w:tcPr>
          <w:p w14:paraId="16C77E98" w14:textId="7777777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0%</w:t>
            </w:r>
            <w:r w:rsidRPr="00236317">
              <w:rPr>
                <w:rFonts w:ascii="Arial Narrow" w:eastAsiaTheme="majorEastAsia" w:hAnsi="Arial Narrow" w:cstheme="majorBidi"/>
                <w:bCs/>
                <w:sz w:val="20"/>
                <w:vertAlign w:val="superscript"/>
              </w:rPr>
              <w:t>d</w:t>
            </w:r>
          </w:p>
        </w:tc>
        <w:tc>
          <w:tcPr>
            <w:tcW w:w="777" w:type="pct"/>
            <w:tcBorders>
              <w:top w:val="nil"/>
              <w:bottom w:val="single" w:sz="4" w:space="0" w:color="auto"/>
            </w:tcBorders>
          </w:tcPr>
          <w:p w14:paraId="7E505BF7" w14:textId="648041EC"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6"/>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6"/>
                <w14:textFill>
                  <w14:solidFill>
                    <w14:srgbClr w14:val="000000">
                      <w14:alpha w14:val="100000"/>
                    </w14:srgbClr>
                  </w14:solidFill>
                </w14:textFill>
              </w:rPr>
              <w:t>|</w:t>
            </w:r>
          </w:p>
        </w:tc>
        <w:tc>
          <w:tcPr>
            <w:tcW w:w="777" w:type="pct"/>
            <w:tcBorders>
              <w:top w:val="nil"/>
              <w:bottom w:val="single" w:sz="4" w:space="0" w:color="auto"/>
            </w:tcBorders>
          </w:tcPr>
          <w:p w14:paraId="6BE50F42"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nil"/>
              <w:bottom w:val="single" w:sz="4" w:space="0" w:color="auto"/>
            </w:tcBorders>
          </w:tcPr>
          <w:p w14:paraId="4D8752FB" w14:textId="24DDCB6A" w:rsidR="009745EA" w:rsidRPr="001C7A11"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5"/>
                <w14:textFill>
                  <w14:solidFill>
                    <w14:srgbClr w14:val="000000">
                      <w14:alpha w14:val="100000"/>
                    </w14:srgbClr>
                  </w14:solidFill>
                </w14:textFill>
              </w:rPr>
              <w:t>|</w:t>
            </w:r>
            <w:r w:rsidR="001C7A11">
              <w:rPr>
                <w:rFonts w:ascii="Arial Narrow" w:eastAsiaTheme="majorEastAsia" w:hAnsi="Arial Narrow" w:cstheme="majorBidi"/>
                <w:bCs/>
                <w:sz w:val="20"/>
                <w:vertAlign w:val="superscript"/>
              </w:rPr>
              <w:t>4</w:t>
            </w:r>
          </w:p>
        </w:tc>
        <w:tc>
          <w:tcPr>
            <w:tcW w:w="600" w:type="pct"/>
            <w:tcBorders>
              <w:top w:val="single" w:sz="4" w:space="0" w:color="auto"/>
              <w:bottom w:val="single" w:sz="4" w:space="0" w:color="auto"/>
            </w:tcBorders>
          </w:tcPr>
          <w:p w14:paraId="5B8758B3" w14:textId="0B07C609"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4"/>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4"/>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9745EA" w:rsidRPr="009745EA" w14:paraId="4013A81E" w14:textId="77777777" w:rsidTr="6A7C443A">
        <w:trPr>
          <w:trHeight w:val="283"/>
        </w:trPr>
        <w:tc>
          <w:tcPr>
            <w:tcW w:w="1894" w:type="pct"/>
            <w:tcBorders>
              <w:top w:val="single" w:sz="4" w:space="0" w:color="auto"/>
              <w:bottom w:val="single" w:sz="4" w:space="0" w:color="auto"/>
            </w:tcBorders>
          </w:tcPr>
          <w:p w14:paraId="4E6CBE09" w14:textId="7777777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100%</w:t>
            </w:r>
            <w:r w:rsidRPr="00236317">
              <w:rPr>
                <w:rFonts w:ascii="Arial Narrow" w:eastAsiaTheme="majorEastAsia" w:hAnsi="Arial Narrow" w:cstheme="majorBidi"/>
                <w:bCs/>
                <w:sz w:val="20"/>
                <w:vertAlign w:val="superscript"/>
              </w:rPr>
              <w:t>d</w:t>
            </w:r>
          </w:p>
        </w:tc>
        <w:tc>
          <w:tcPr>
            <w:tcW w:w="777" w:type="pct"/>
            <w:tcBorders>
              <w:top w:val="nil"/>
              <w:bottom w:val="single" w:sz="4" w:space="0" w:color="auto"/>
            </w:tcBorders>
          </w:tcPr>
          <w:p w14:paraId="3CC330DE" w14:textId="02F12D19"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3"/>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3"/>
                <w14:textFill>
                  <w14:solidFill>
                    <w14:srgbClr w14:val="000000">
                      <w14:alpha w14:val="100000"/>
                    </w14:srgbClr>
                  </w14:solidFill>
                </w14:textFill>
              </w:rPr>
              <w:t>|</w:t>
            </w:r>
          </w:p>
        </w:tc>
        <w:tc>
          <w:tcPr>
            <w:tcW w:w="777" w:type="pct"/>
            <w:tcBorders>
              <w:top w:val="nil"/>
              <w:bottom w:val="single" w:sz="4" w:space="0" w:color="auto"/>
            </w:tcBorders>
          </w:tcPr>
          <w:p w14:paraId="27368712"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nil"/>
              <w:bottom w:val="single" w:sz="4" w:space="0" w:color="auto"/>
            </w:tcBorders>
          </w:tcPr>
          <w:p w14:paraId="71E88FE2" w14:textId="3552AB54" w:rsidR="009745EA" w:rsidRPr="004229DB"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2"/>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2"/>
                <w14:textFill>
                  <w14:solidFill>
                    <w14:srgbClr w14:val="000000">
                      <w14:alpha w14:val="100000"/>
                    </w14:srgbClr>
                  </w14:solidFill>
                </w14:textFill>
              </w:rPr>
              <w:t>|</w:t>
            </w:r>
            <w:r w:rsidR="004229DB">
              <w:rPr>
                <w:rFonts w:ascii="Arial Narrow" w:eastAsiaTheme="majorEastAsia" w:hAnsi="Arial Narrow" w:cstheme="majorBidi"/>
                <w:bCs/>
                <w:sz w:val="20"/>
                <w:vertAlign w:val="superscript"/>
              </w:rPr>
              <w:t>3</w:t>
            </w:r>
          </w:p>
        </w:tc>
        <w:tc>
          <w:tcPr>
            <w:tcW w:w="600" w:type="pct"/>
            <w:tcBorders>
              <w:top w:val="single" w:sz="4" w:space="0" w:color="auto"/>
              <w:bottom w:val="single" w:sz="4" w:space="0" w:color="auto"/>
            </w:tcBorders>
          </w:tcPr>
          <w:p w14:paraId="01E4C2D9" w14:textId="2B3386B9"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1"/>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1"/>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DF50C3" w:rsidRPr="009745EA" w14:paraId="67E24BDD" w14:textId="77777777" w:rsidTr="6A7C443A">
        <w:trPr>
          <w:trHeight w:val="283"/>
        </w:trPr>
        <w:tc>
          <w:tcPr>
            <w:tcW w:w="5000" w:type="pct"/>
            <w:gridSpan w:val="5"/>
            <w:tcBorders>
              <w:top w:val="single" w:sz="4" w:space="0" w:color="auto"/>
              <w:bottom w:val="single" w:sz="4" w:space="0" w:color="auto"/>
            </w:tcBorders>
          </w:tcPr>
          <w:p w14:paraId="2E78B5C6" w14:textId="333362DA" w:rsidR="00DF50C3" w:rsidRPr="00236317" w:rsidRDefault="00DF50C3" w:rsidP="00A12328">
            <w:pPr>
              <w:keepNext/>
              <w:jc w:val="left"/>
              <w:rPr>
                <w:rFonts w:ascii="Arial Narrow" w:eastAsia="Calibri" w:hAnsi="Arial Narrow" w:cstheme="majorBidi"/>
                <w:b/>
                <w:sz w:val="20"/>
                <w:szCs w:val="20"/>
              </w:rPr>
            </w:pPr>
            <w:r w:rsidRPr="00236317">
              <w:rPr>
                <w:rFonts w:ascii="Arial Narrow" w:eastAsiaTheme="majorEastAsia" w:hAnsi="Arial Narrow" w:cstheme="majorBidi"/>
                <w:b/>
                <w:sz w:val="20"/>
              </w:rPr>
              <w:t>Proportion of patients in the osimertinib arm receiving ABCP post-progression (base case 5.6%)</w:t>
            </w:r>
          </w:p>
        </w:tc>
      </w:tr>
      <w:tr w:rsidR="009745EA" w:rsidRPr="009745EA" w14:paraId="1F945C44" w14:textId="77777777" w:rsidTr="6A7C443A">
        <w:trPr>
          <w:trHeight w:val="283"/>
        </w:trPr>
        <w:tc>
          <w:tcPr>
            <w:tcW w:w="1894" w:type="pct"/>
            <w:tcBorders>
              <w:top w:val="single" w:sz="4" w:space="0" w:color="auto"/>
              <w:bottom w:val="single" w:sz="4" w:space="0" w:color="auto"/>
            </w:tcBorders>
          </w:tcPr>
          <w:p w14:paraId="6F853C71" w14:textId="7777777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25.2%</w:t>
            </w:r>
            <w:r w:rsidRPr="00236317">
              <w:rPr>
                <w:rFonts w:ascii="Arial Narrow" w:eastAsiaTheme="majorEastAsia" w:hAnsi="Arial Narrow" w:cstheme="majorBidi"/>
                <w:bCs/>
                <w:sz w:val="20"/>
                <w:vertAlign w:val="superscript"/>
              </w:rPr>
              <w:t>e</w:t>
            </w:r>
          </w:p>
        </w:tc>
        <w:tc>
          <w:tcPr>
            <w:tcW w:w="777" w:type="pct"/>
            <w:tcBorders>
              <w:top w:val="nil"/>
              <w:bottom w:val="single" w:sz="4" w:space="0" w:color="auto"/>
            </w:tcBorders>
          </w:tcPr>
          <w:p w14:paraId="656CAF1D" w14:textId="7F6C630C"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0"/>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0"/>
                <w14:textFill>
                  <w14:solidFill>
                    <w14:srgbClr w14:val="000000">
                      <w14:alpha w14:val="100000"/>
                    </w14:srgbClr>
                  </w14:solidFill>
                </w14:textFill>
              </w:rPr>
              <w:t>|</w:t>
            </w:r>
          </w:p>
        </w:tc>
        <w:tc>
          <w:tcPr>
            <w:tcW w:w="777" w:type="pct"/>
            <w:tcBorders>
              <w:top w:val="nil"/>
              <w:bottom w:val="single" w:sz="4" w:space="0" w:color="auto"/>
            </w:tcBorders>
          </w:tcPr>
          <w:p w14:paraId="1586D350"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nil"/>
              <w:bottom w:val="single" w:sz="4" w:space="0" w:color="auto"/>
            </w:tcBorders>
          </w:tcPr>
          <w:p w14:paraId="70656D7D" w14:textId="5ABBE331"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09"/>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09"/>
                <w14:textFill>
                  <w14:solidFill>
                    <w14:srgbClr w14:val="000000">
                      <w14:alpha w14:val="100000"/>
                    </w14:srgbClr>
                  </w14:solidFill>
                </w14:textFill>
              </w:rPr>
              <w:t>|</w:t>
            </w:r>
            <w:r w:rsidR="0051617A" w:rsidRPr="003D466E">
              <w:rPr>
                <w:rFonts w:ascii="Arial Narrow" w:eastAsiaTheme="majorEastAsia" w:hAnsi="Arial Narrow" w:cstheme="majorBidi"/>
                <w:b/>
                <w:bCs/>
                <w:sz w:val="20"/>
                <w:vertAlign w:val="superscript"/>
              </w:rPr>
              <w:t>1</w:t>
            </w:r>
          </w:p>
        </w:tc>
        <w:tc>
          <w:tcPr>
            <w:tcW w:w="600" w:type="pct"/>
            <w:tcBorders>
              <w:top w:val="single" w:sz="4" w:space="0" w:color="auto"/>
              <w:bottom w:val="single" w:sz="4" w:space="0" w:color="auto"/>
            </w:tcBorders>
          </w:tcPr>
          <w:p w14:paraId="7E2654E9" w14:textId="47E68FCB"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08"/>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08"/>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9745EA" w:rsidRPr="009745EA" w14:paraId="6A6B4809" w14:textId="77777777" w:rsidTr="6A7C443A">
        <w:trPr>
          <w:trHeight w:val="283"/>
        </w:trPr>
        <w:tc>
          <w:tcPr>
            <w:tcW w:w="1894" w:type="pct"/>
            <w:tcBorders>
              <w:top w:val="single" w:sz="4" w:space="0" w:color="auto"/>
              <w:bottom w:val="single" w:sz="4" w:space="0" w:color="auto"/>
            </w:tcBorders>
          </w:tcPr>
          <w:p w14:paraId="19A46CA7" w14:textId="3913A60D"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57.1%</w:t>
            </w:r>
            <w:r w:rsidRPr="00236317">
              <w:rPr>
                <w:rFonts w:ascii="Arial Narrow" w:eastAsiaTheme="majorEastAsia" w:hAnsi="Arial Narrow" w:cstheme="majorBidi"/>
                <w:bCs/>
                <w:sz w:val="20"/>
                <w:vertAlign w:val="superscript"/>
              </w:rPr>
              <w:t xml:space="preserve"> </w:t>
            </w:r>
            <w:r w:rsidRPr="00236317">
              <w:rPr>
                <w:rFonts w:ascii="Arial Narrow" w:eastAsiaTheme="majorEastAsia" w:hAnsi="Arial Narrow" w:cstheme="majorBidi"/>
                <w:b/>
                <w:bCs/>
                <w:sz w:val="20"/>
              </w:rPr>
              <w:t>(#2)</w:t>
            </w:r>
            <w:r w:rsidR="004C04D4" w:rsidRPr="00236317">
              <w:rPr>
                <w:rFonts w:ascii="Arial Narrow" w:eastAsiaTheme="majorEastAsia" w:hAnsi="Arial Narrow" w:cstheme="majorBidi"/>
                <w:b/>
                <w:bCs/>
                <w:sz w:val="20"/>
                <w:vertAlign w:val="superscript"/>
              </w:rPr>
              <w:t>g</w:t>
            </w:r>
          </w:p>
        </w:tc>
        <w:tc>
          <w:tcPr>
            <w:tcW w:w="777" w:type="pct"/>
            <w:tcBorders>
              <w:top w:val="nil"/>
              <w:bottom w:val="single" w:sz="4" w:space="0" w:color="auto"/>
            </w:tcBorders>
          </w:tcPr>
          <w:p w14:paraId="53E9153D" w14:textId="01772908"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07"/>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07"/>
                <w14:textFill>
                  <w14:solidFill>
                    <w14:srgbClr w14:val="000000">
                      <w14:alpha w14:val="100000"/>
                    </w14:srgbClr>
                  </w14:solidFill>
                </w14:textFill>
              </w:rPr>
              <w:t>|</w:t>
            </w:r>
          </w:p>
        </w:tc>
        <w:tc>
          <w:tcPr>
            <w:tcW w:w="777" w:type="pct"/>
            <w:tcBorders>
              <w:top w:val="nil"/>
              <w:bottom w:val="single" w:sz="4" w:space="0" w:color="auto"/>
            </w:tcBorders>
          </w:tcPr>
          <w:p w14:paraId="2FE0A572"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nil"/>
              <w:bottom w:val="single" w:sz="4" w:space="0" w:color="auto"/>
            </w:tcBorders>
          </w:tcPr>
          <w:p w14:paraId="5837C98C" w14:textId="6A81BCA7" w:rsidR="009745EA" w:rsidRPr="00990C7F"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06"/>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06"/>
                <w14:textFill>
                  <w14:solidFill>
                    <w14:srgbClr w14:val="000000">
                      <w14:alpha w14:val="100000"/>
                    </w14:srgbClr>
                  </w14:solidFill>
                </w14:textFill>
              </w:rPr>
              <w:t>|</w:t>
            </w:r>
            <w:r w:rsidR="00990C7F">
              <w:rPr>
                <w:rFonts w:ascii="Arial Narrow" w:eastAsiaTheme="majorEastAsia" w:hAnsi="Arial Narrow" w:cstheme="majorBidi"/>
                <w:bCs/>
                <w:sz w:val="20"/>
                <w:vertAlign w:val="superscript"/>
              </w:rPr>
              <w:t>2</w:t>
            </w:r>
          </w:p>
        </w:tc>
        <w:tc>
          <w:tcPr>
            <w:tcW w:w="600" w:type="pct"/>
            <w:tcBorders>
              <w:top w:val="single" w:sz="4" w:space="0" w:color="auto"/>
              <w:bottom w:val="single" w:sz="4" w:space="0" w:color="auto"/>
            </w:tcBorders>
          </w:tcPr>
          <w:p w14:paraId="6F3BF678" w14:textId="056AEB8B"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05"/>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05"/>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DF50C3" w:rsidRPr="009745EA" w14:paraId="2A77F050" w14:textId="77777777" w:rsidTr="6A7C443A">
        <w:trPr>
          <w:trHeight w:val="283"/>
        </w:trPr>
        <w:tc>
          <w:tcPr>
            <w:tcW w:w="5000" w:type="pct"/>
            <w:gridSpan w:val="5"/>
            <w:tcBorders>
              <w:top w:val="single" w:sz="4" w:space="0" w:color="auto"/>
              <w:bottom w:val="single" w:sz="4" w:space="0" w:color="auto"/>
            </w:tcBorders>
          </w:tcPr>
          <w:p w14:paraId="097361B4" w14:textId="72FCD91E" w:rsidR="00DF50C3" w:rsidRPr="00236317" w:rsidRDefault="00DF50C3" w:rsidP="00A12328">
            <w:pPr>
              <w:keepNext/>
              <w:jc w:val="left"/>
              <w:rPr>
                <w:rFonts w:ascii="Arial Narrow" w:eastAsia="Calibri" w:hAnsi="Arial Narrow" w:cstheme="majorBidi"/>
                <w:b/>
                <w:sz w:val="20"/>
                <w:szCs w:val="20"/>
              </w:rPr>
            </w:pPr>
            <w:r w:rsidRPr="00236317">
              <w:rPr>
                <w:rFonts w:ascii="Arial Narrow" w:eastAsiaTheme="majorEastAsia" w:hAnsi="Arial Narrow" w:cstheme="majorBidi"/>
                <w:b/>
                <w:sz w:val="20"/>
              </w:rPr>
              <w:t>Number of hospitalisations for PFS health state (base case one per year)</w:t>
            </w:r>
          </w:p>
        </w:tc>
      </w:tr>
      <w:tr w:rsidR="009745EA" w:rsidRPr="009745EA" w14:paraId="00DBCC36" w14:textId="77777777" w:rsidTr="6A7C443A">
        <w:trPr>
          <w:trHeight w:val="283"/>
        </w:trPr>
        <w:tc>
          <w:tcPr>
            <w:tcW w:w="1894" w:type="pct"/>
            <w:tcBorders>
              <w:top w:val="single" w:sz="4" w:space="0" w:color="auto"/>
              <w:bottom w:val="single" w:sz="4" w:space="0" w:color="auto"/>
            </w:tcBorders>
          </w:tcPr>
          <w:p w14:paraId="564AF032" w14:textId="74809D6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No hospitalisations for PFS</w:t>
            </w:r>
            <w:r w:rsidR="004C04D4" w:rsidRPr="00236317">
              <w:rPr>
                <w:rFonts w:ascii="Arial Narrow" w:eastAsiaTheme="majorEastAsia" w:hAnsi="Arial Narrow" w:cstheme="majorBidi"/>
                <w:bCs/>
                <w:sz w:val="20"/>
                <w:vertAlign w:val="superscript"/>
              </w:rPr>
              <w:t>f</w:t>
            </w:r>
          </w:p>
        </w:tc>
        <w:tc>
          <w:tcPr>
            <w:tcW w:w="777" w:type="pct"/>
            <w:tcBorders>
              <w:top w:val="single" w:sz="4" w:space="0" w:color="auto"/>
              <w:bottom w:val="single" w:sz="4" w:space="0" w:color="auto"/>
            </w:tcBorders>
          </w:tcPr>
          <w:p w14:paraId="13EDA4C7" w14:textId="156E2046"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04"/>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04"/>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1ED72E60"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single" w:sz="4" w:space="0" w:color="auto"/>
              <w:bottom w:val="single" w:sz="4" w:space="0" w:color="auto"/>
            </w:tcBorders>
          </w:tcPr>
          <w:p w14:paraId="401AE8AD" w14:textId="67EF2FC8" w:rsidR="009745EA" w:rsidRPr="00856C9F"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20"/>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20"/>
                <w14:textFill>
                  <w14:solidFill>
                    <w14:srgbClr w14:val="000000">
                      <w14:alpha w14:val="100000"/>
                    </w14:srgbClr>
                  </w14:solidFill>
                </w14:textFill>
              </w:rPr>
              <w:t>|</w:t>
            </w:r>
            <w:r w:rsidR="00856C9F">
              <w:rPr>
                <w:rFonts w:ascii="Arial Narrow" w:eastAsiaTheme="majorEastAsia" w:hAnsi="Arial Narrow" w:cstheme="majorBidi"/>
                <w:bCs/>
                <w:sz w:val="20"/>
                <w:vertAlign w:val="superscript"/>
              </w:rPr>
              <w:t>5</w:t>
            </w:r>
          </w:p>
        </w:tc>
        <w:tc>
          <w:tcPr>
            <w:tcW w:w="600" w:type="pct"/>
            <w:tcBorders>
              <w:top w:val="single" w:sz="4" w:space="0" w:color="auto"/>
              <w:bottom w:val="single" w:sz="4" w:space="0" w:color="auto"/>
            </w:tcBorders>
          </w:tcPr>
          <w:p w14:paraId="635CF97B" w14:textId="3DFB9415"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9"/>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9"/>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9745EA" w:rsidRPr="009745EA" w14:paraId="302B5BA8" w14:textId="77777777" w:rsidTr="6A7C443A">
        <w:trPr>
          <w:trHeight w:val="283"/>
        </w:trPr>
        <w:tc>
          <w:tcPr>
            <w:tcW w:w="5000" w:type="pct"/>
            <w:gridSpan w:val="5"/>
            <w:tcBorders>
              <w:top w:val="single" w:sz="4" w:space="0" w:color="auto"/>
              <w:bottom w:val="single" w:sz="4" w:space="0" w:color="auto"/>
            </w:tcBorders>
          </w:tcPr>
          <w:p w14:paraId="0B35F602" w14:textId="77777777" w:rsidR="009745EA" w:rsidRPr="00236317" w:rsidRDefault="009745EA" w:rsidP="00A12328">
            <w:pPr>
              <w:keepNext/>
              <w:jc w:val="left"/>
              <w:rPr>
                <w:rFonts w:ascii="Arial Narrow" w:eastAsia="Calibri" w:hAnsi="Arial Narrow" w:cstheme="majorBidi"/>
                <w:b/>
                <w:sz w:val="20"/>
                <w:szCs w:val="20"/>
              </w:rPr>
            </w:pPr>
            <w:r w:rsidRPr="00236317">
              <w:rPr>
                <w:rFonts w:ascii="Arial Narrow" w:eastAsiaTheme="majorEastAsia" w:hAnsi="Arial Narrow" w:cstheme="majorBidi"/>
                <w:b/>
                <w:sz w:val="20"/>
              </w:rPr>
              <w:t>Multivariate sensitivity analysis</w:t>
            </w:r>
          </w:p>
        </w:tc>
      </w:tr>
      <w:tr w:rsidR="009745EA" w:rsidRPr="009745EA" w14:paraId="5709DF44" w14:textId="77777777" w:rsidTr="6A7C443A">
        <w:trPr>
          <w:trHeight w:val="283"/>
        </w:trPr>
        <w:tc>
          <w:tcPr>
            <w:tcW w:w="1894" w:type="pct"/>
            <w:tcBorders>
              <w:top w:val="single" w:sz="4" w:space="0" w:color="auto"/>
              <w:bottom w:val="single" w:sz="4" w:space="0" w:color="auto"/>
            </w:tcBorders>
          </w:tcPr>
          <w:p w14:paraId="0A681277" w14:textId="7777777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#1 and #2</w:t>
            </w:r>
          </w:p>
        </w:tc>
        <w:tc>
          <w:tcPr>
            <w:tcW w:w="777" w:type="pct"/>
            <w:tcBorders>
              <w:top w:val="nil"/>
              <w:bottom w:val="single" w:sz="4" w:space="0" w:color="auto"/>
            </w:tcBorders>
          </w:tcPr>
          <w:p w14:paraId="55991391" w14:textId="2B35EA98"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8"/>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8"/>
                <w14:textFill>
                  <w14:solidFill>
                    <w14:srgbClr w14:val="000000">
                      <w14:alpha w14:val="100000"/>
                    </w14:srgbClr>
                  </w14:solidFill>
                </w14:textFill>
              </w:rPr>
              <w:t>|</w:t>
            </w:r>
          </w:p>
        </w:tc>
        <w:tc>
          <w:tcPr>
            <w:tcW w:w="777" w:type="pct"/>
            <w:tcBorders>
              <w:top w:val="nil"/>
              <w:bottom w:val="single" w:sz="4" w:space="0" w:color="auto"/>
            </w:tcBorders>
          </w:tcPr>
          <w:p w14:paraId="6C9089F0"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0.847</w:t>
            </w:r>
          </w:p>
        </w:tc>
        <w:tc>
          <w:tcPr>
            <w:tcW w:w="952" w:type="pct"/>
            <w:tcBorders>
              <w:top w:val="nil"/>
              <w:bottom w:val="single" w:sz="4" w:space="0" w:color="auto"/>
            </w:tcBorders>
          </w:tcPr>
          <w:p w14:paraId="00089FB2" w14:textId="07614BD6" w:rsidR="009745EA" w:rsidRPr="00856C9F"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7"/>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7"/>
                <w14:textFill>
                  <w14:solidFill>
                    <w14:srgbClr w14:val="000000">
                      <w14:alpha w14:val="100000"/>
                    </w14:srgbClr>
                  </w14:solidFill>
                </w14:textFill>
              </w:rPr>
              <w:t>|</w:t>
            </w:r>
            <w:r w:rsidR="00856C9F">
              <w:rPr>
                <w:rFonts w:ascii="Arial Narrow" w:eastAsiaTheme="majorEastAsia" w:hAnsi="Arial Narrow" w:cstheme="majorBidi"/>
                <w:bCs/>
                <w:sz w:val="20"/>
                <w:vertAlign w:val="superscript"/>
              </w:rPr>
              <w:t>6</w:t>
            </w:r>
          </w:p>
        </w:tc>
        <w:tc>
          <w:tcPr>
            <w:tcW w:w="600" w:type="pct"/>
            <w:tcBorders>
              <w:top w:val="single" w:sz="4" w:space="0" w:color="auto"/>
              <w:bottom w:val="single" w:sz="4" w:space="0" w:color="auto"/>
            </w:tcBorders>
          </w:tcPr>
          <w:p w14:paraId="65E32B88" w14:textId="7CDCEBFD"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6"/>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6"/>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9745EA" w:rsidRPr="009745EA" w14:paraId="72F963B7" w14:textId="77777777" w:rsidTr="6A7C443A">
        <w:trPr>
          <w:trHeight w:val="283"/>
        </w:trPr>
        <w:tc>
          <w:tcPr>
            <w:tcW w:w="1894" w:type="pct"/>
            <w:tcBorders>
              <w:top w:val="single" w:sz="4" w:space="0" w:color="auto"/>
              <w:bottom w:val="single" w:sz="4" w:space="0" w:color="auto"/>
            </w:tcBorders>
          </w:tcPr>
          <w:p w14:paraId="30C71988" w14:textId="7777777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#1 and #2 and #3</w:t>
            </w:r>
          </w:p>
        </w:tc>
        <w:tc>
          <w:tcPr>
            <w:tcW w:w="777" w:type="pct"/>
            <w:tcBorders>
              <w:top w:val="nil"/>
              <w:bottom w:val="single" w:sz="4" w:space="0" w:color="auto"/>
            </w:tcBorders>
          </w:tcPr>
          <w:p w14:paraId="612B4A79" w14:textId="38A484FB"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5"/>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5"/>
                <w14:textFill>
                  <w14:solidFill>
                    <w14:srgbClr w14:val="000000">
                      <w14:alpha w14:val="100000"/>
                    </w14:srgbClr>
                  </w14:solidFill>
                </w14:textFill>
              </w:rPr>
              <w:t>|</w:t>
            </w:r>
          </w:p>
        </w:tc>
        <w:tc>
          <w:tcPr>
            <w:tcW w:w="777" w:type="pct"/>
            <w:tcBorders>
              <w:top w:val="nil"/>
              <w:bottom w:val="single" w:sz="4" w:space="0" w:color="auto"/>
            </w:tcBorders>
          </w:tcPr>
          <w:p w14:paraId="54D4FC84"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0.714</w:t>
            </w:r>
          </w:p>
        </w:tc>
        <w:tc>
          <w:tcPr>
            <w:tcW w:w="952" w:type="pct"/>
            <w:tcBorders>
              <w:top w:val="nil"/>
              <w:bottom w:val="single" w:sz="4" w:space="0" w:color="auto"/>
            </w:tcBorders>
          </w:tcPr>
          <w:p w14:paraId="09E837C3" w14:textId="0102E597" w:rsidR="009745EA" w:rsidRPr="001C7A11"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4"/>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4"/>
                <w14:textFill>
                  <w14:solidFill>
                    <w14:srgbClr w14:val="000000">
                      <w14:alpha w14:val="100000"/>
                    </w14:srgbClr>
                  </w14:solidFill>
                </w14:textFill>
              </w:rPr>
              <w:t>|</w:t>
            </w:r>
            <w:r w:rsidR="001C7A11">
              <w:rPr>
                <w:rFonts w:ascii="Arial Narrow" w:eastAsiaTheme="majorEastAsia" w:hAnsi="Arial Narrow" w:cstheme="majorBidi"/>
                <w:bCs/>
                <w:sz w:val="20"/>
                <w:vertAlign w:val="superscript"/>
              </w:rPr>
              <w:t>4</w:t>
            </w:r>
          </w:p>
        </w:tc>
        <w:tc>
          <w:tcPr>
            <w:tcW w:w="600" w:type="pct"/>
            <w:tcBorders>
              <w:top w:val="single" w:sz="4" w:space="0" w:color="auto"/>
              <w:bottom w:val="single" w:sz="4" w:space="0" w:color="auto"/>
            </w:tcBorders>
          </w:tcPr>
          <w:p w14:paraId="2CAFE538" w14:textId="36E1F4DA"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B50819">
              <w:rPr>
                <w:rFonts w:ascii="Arial Narrow" w:eastAsia="Calibri" w:hAnsi="Arial Narrow" w:cstheme="majorBidi"/>
                <w:bCs/>
                <w:color w:val="000000"/>
                <w:spacing w:val="53"/>
                <w:sz w:val="20"/>
                <w:szCs w:val="20"/>
                <w:shd w:val="solid" w:color="000000" w:fill="000000"/>
                <w:fitText w:val="330" w:id="-628958713"/>
                <w14:textFill>
                  <w14:solidFill>
                    <w14:srgbClr w14:val="000000">
                      <w14:alpha w14:val="100000"/>
                    </w14:srgbClr>
                  </w14:solidFill>
                </w14:textFill>
              </w:rPr>
              <w:t>|||</w:t>
            </w:r>
            <w:r w:rsidR="00B50819" w:rsidRPr="00B50819">
              <w:rPr>
                <w:rFonts w:ascii="Arial Narrow" w:eastAsia="Calibri" w:hAnsi="Arial Narrow" w:cstheme="majorBidi"/>
                <w:bCs/>
                <w:color w:val="000000"/>
                <w:spacing w:val="1"/>
                <w:sz w:val="20"/>
                <w:szCs w:val="20"/>
                <w:shd w:val="solid" w:color="000000" w:fill="000000"/>
                <w:fitText w:val="330" w:id="-628958713"/>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r w:rsidR="009745EA" w:rsidRPr="009745EA" w14:paraId="3F2A1393" w14:textId="77777777" w:rsidTr="6A7C443A">
        <w:trPr>
          <w:trHeight w:val="283"/>
        </w:trPr>
        <w:tc>
          <w:tcPr>
            <w:tcW w:w="1894" w:type="pct"/>
            <w:tcBorders>
              <w:top w:val="single" w:sz="4" w:space="0" w:color="auto"/>
              <w:bottom w:val="single" w:sz="4" w:space="0" w:color="auto"/>
            </w:tcBorders>
          </w:tcPr>
          <w:p w14:paraId="64736388" w14:textId="77777777" w:rsidR="009745EA" w:rsidRPr="00236317" w:rsidRDefault="009745EA" w:rsidP="00A12328">
            <w:pPr>
              <w:keepNext/>
              <w:jc w:val="left"/>
              <w:rPr>
                <w:rFonts w:ascii="Arial Narrow" w:eastAsiaTheme="majorEastAsia" w:hAnsi="Arial Narrow" w:cstheme="majorBidi"/>
                <w:bCs/>
                <w:sz w:val="20"/>
              </w:rPr>
            </w:pPr>
            <w:r w:rsidRPr="00236317">
              <w:rPr>
                <w:rFonts w:ascii="Arial Narrow" w:eastAsiaTheme="majorEastAsia" w:hAnsi="Arial Narrow" w:cstheme="majorBidi"/>
                <w:bCs/>
                <w:sz w:val="20"/>
              </w:rPr>
              <w:t>#1 and #2 and #3 and #4</w:t>
            </w:r>
          </w:p>
        </w:tc>
        <w:tc>
          <w:tcPr>
            <w:tcW w:w="777" w:type="pct"/>
            <w:tcBorders>
              <w:top w:val="nil"/>
              <w:bottom w:val="single" w:sz="4" w:space="0" w:color="auto"/>
            </w:tcBorders>
          </w:tcPr>
          <w:p w14:paraId="39BE4295" w14:textId="433CAE5E" w:rsidR="009745EA" w:rsidRPr="00236317" w:rsidRDefault="009745EA" w:rsidP="00A12328">
            <w:pPr>
              <w:keepNext/>
              <w:jc w:val="center"/>
              <w:rPr>
                <w:rFonts w:ascii="Arial Narrow" w:eastAsiaTheme="majorEastAsia" w:hAnsi="Arial Narrow" w:cstheme="majorBidi"/>
                <w:bCs/>
                <w:sz w:val="20"/>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48"/>
                <w:sz w:val="20"/>
                <w:shd w:val="solid" w:color="000000" w:fill="000000"/>
                <w:fitText w:val="315" w:id="-628958712"/>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15" w:id="-628958712"/>
                <w14:textFill>
                  <w14:solidFill>
                    <w14:srgbClr w14:val="000000">
                      <w14:alpha w14:val="100000"/>
                    </w14:srgbClr>
                  </w14:solidFill>
                </w14:textFill>
              </w:rPr>
              <w:t>|</w:t>
            </w:r>
          </w:p>
        </w:tc>
        <w:tc>
          <w:tcPr>
            <w:tcW w:w="777" w:type="pct"/>
            <w:tcBorders>
              <w:top w:val="nil"/>
              <w:bottom w:val="single" w:sz="4" w:space="0" w:color="auto"/>
            </w:tcBorders>
          </w:tcPr>
          <w:p w14:paraId="530D105D" w14:textId="77777777" w:rsidR="009745EA" w:rsidRPr="00C85F3F" w:rsidRDefault="009745EA" w:rsidP="00A12328">
            <w:pPr>
              <w:keepNext/>
              <w:jc w:val="center"/>
              <w:rPr>
                <w:rFonts w:ascii="Arial Narrow" w:eastAsiaTheme="majorEastAsia" w:hAnsi="Arial Narrow" w:cstheme="majorBidi"/>
                <w:bCs/>
                <w:sz w:val="20"/>
              </w:rPr>
            </w:pPr>
            <w:r w:rsidRPr="00C85F3F">
              <w:rPr>
                <w:rFonts w:ascii="Arial Narrow" w:eastAsiaTheme="majorEastAsia" w:hAnsi="Arial Narrow" w:cstheme="majorBidi"/>
                <w:bCs/>
                <w:sz w:val="20"/>
              </w:rPr>
              <w:t>0.564</w:t>
            </w:r>
          </w:p>
        </w:tc>
        <w:tc>
          <w:tcPr>
            <w:tcW w:w="952" w:type="pct"/>
            <w:tcBorders>
              <w:top w:val="nil"/>
              <w:bottom w:val="single" w:sz="4" w:space="0" w:color="auto"/>
            </w:tcBorders>
          </w:tcPr>
          <w:p w14:paraId="3739AF81" w14:textId="74E5E111" w:rsidR="009745EA" w:rsidRPr="005F50B7" w:rsidRDefault="009745EA" w:rsidP="00A12328">
            <w:pPr>
              <w:keepNext/>
              <w:jc w:val="center"/>
              <w:rPr>
                <w:rFonts w:ascii="Arial Narrow" w:eastAsiaTheme="majorEastAsia" w:hAnsi="Arial Narrow" w:cstheme="majorBidi"/>
                <w:bCs/>
                <w:sz w:val="20"/>
                <w:vertAlign w:val="superscript"/>
              </w:rPr>
            </w:pPr>
            <w:r w:rsidRPr="00236317">
              <w:rPr>
                <w:rFonts w:ascii="Arial Narrow" w:eastAsiaTheme="majorEastAsia" w:hAnsi="Arial Narrow" w:cstheme="majorBidi"/>
                <w:bCs/>
                <w:sz w:val="20"/>
              </w:rPr>
              <w:t>$</w:t>
            </w:r>
            <w:r w:rsidR="00B50819" w:rsidRPr="00B50819">
              <w:rPr>
                <w:rFonts w:ascii="Arial Narrow" w:eastAsiaTheme="majorEastAsia" w:hAnsi="Arial Narrow" w:cstheme="majorBidi"/>
                <w:bCs/>
                <w:color w:val="000000"/>
                <w:spacing w:val="53"/>
                <w:sz w:val="20"/>
                <w:shd w:val="solid" w:color="000000" w:fill="000000"/>
                <w:fitText w:val="330" w:id="-628958711"/>
                <w14:textFill>
                  <w14:solidFill>
                    <w14:srgbClr w14:val="000000">
                      <w14:alpha w14:val="100000"/>
                    </w14:srgbClr>
                  </w14:solidFill>
                </w14:textFill>
              </w:rPr>
              <w:t>|||</w:t>
            </w:r>
            <w:r w:rsidR="00B50819" w:rsidRPr="00B50819">
              <w:rPr>
                <w:rFonts w:ascii="Arial Narrow" w:eastAsiaTheme="majorEastAsia" w:hAnsi="Arial Narrow" w:cstheme="majorBidi"/>
                <w:bCs/>
                <w:color w:val="000000"/>
                <w:spacing w:val="1"/>
                <w:sz w:val="20"/>
                <w:shd w:val="solid" w:color="000000" w:fill="000000"/>
                <w:fitText w:val="330" w:id="-628958711"/>
                <w14:textFill>
                  <w14:solidFill>
                    <w14:srgbClr w14:val="000000">
                      <w14:alpha w14:val="100000"/>
                    </w14:srgbClr>
                  </w14:solidFill>
                </w14:textFill>
              </w:rPr>
              <w:t>|</w:t>
            </w:r>
            <w:r w:rsidR="005F50B7">
              <w:rPr>
                <w:rFonts w:ascii="Arial Narrow" w:eastAsiaTheme="majorEastAsia" w:hAnsi="Arial Narrow" w:cstheme="majorBidi"/>
                <w:bCs/>
                <w:sz w:val="20"/>
                <w:vertAlign w:val="superscript"/>
              </w:rPr>
              <w:t>7</w:t>
            </w:r>
          </w:p>
        </w:tc>
        <w:tc>
          <w:tcPr>
            <w:tcW w:w="600" w:type="pct"/>
            <w:tcBorders>
              <w:top w:val="single" w:sz="4" w:space="0" w:color="auto"/>
              <w:bottom w:val="single" w:sz="4" w:space="0" w:color="auto"/>
            </w:tcBorders>
          </w:tcPr>
          <w:p w14:paraId="3B0EBB09" w14:textId="51D7D20C" w:rsidR="009745EA" w:rsidRPr="00236317" w:rsidRDefault="009745EA" w:rsidP="00A12328">
            <w:pPr>
              <w:keepNext/>
              <w:jc w:val="center"/>
              <w:rPr>
                <w:rFonts w:ascii="Arial Narrow" w:eastAsia="Calibri" w:hAnsi="Arial Narrow" w:cstheme="majorBidi"/>
                <w:bCs/>
                <w:sz w:val="20"/>
                <w:szCs w:val="20"/>
              </w:rPr>
            </w:pPr>
            <w:r w:rsidRPr="00236317">
              <w:rPr>
                <w:rFonts w:ascii="Arial Narrow" w:eastAsia="Calibri" w:hAnsi="Arial Narrow" w:cstheme="majorBidi"/>
                <w:bCs/>
                <w:sz w:val="20"/>
                <w:szCs w:val="20"/>
              </w:rPr>
              <w:t>+</w:t>
            </w:r>
            <w:r w:rsidR="00B50819" w:rsidRPr="00D52909">
              <w:rPr>
                <w:rFonts w:ascii="Arial Narrow" w:eastAsia="Calibri" w:hAnsi="Arial Narrow" w:cstheme="majorBidi"/>
                <w:bCs/>
                <w:color w:val="000000"/>
                <w:spacing w:val="53"/>
                <w:sz w:val="20"/>
                <w:szCs w:val="20"/>
                <w:shd w:val="solid" w:color="000000" w:fill="000000"/>
                <w:fitText w:val="330" w:id="-628958710"/>
                <w14:textFill>
                  <w14:solidFill>
                    <w14:srgbClr w14:val="000000">
                      <w14:alpha w14:val="100000"/>
                    </w14:srgbClr>
                  </w14:solidFill>
                </w14:textFill>
              </w:rPr>
              <w:t>|||</w:t>
            </w:r>
            <w:r w:rsidR="00B50819" w:rsidRPr="00D52909">
              <w:rPr>
                <w:rFonts w:ascii="Arial Narrow" w:eastAsia="Calibri" w:hAnsi="Arial Narrow" w:cstheme="majorBidi"/>
                <w:bCs/>
                <w:color w:val="000000"/>
                <w:spacing w:val="1"/>
                <w:sz w:val="20"/>
                <w:szCs w:val="20"/>
                <w:shd w:val="solid" w:color="000000" w:fill="000000"/>
                <w:fitText w:val="330" w:id="-628958710"/>
                <w14:textFill>
                  <w14:solidFill>
                    <w14:srgbClr w14:val="000000">
                      <w14:alpha w14:val="100000"/>
                    </w14:srgbClr>
                  </w14:solidFill>
                </w14:textFill>
              </w:rPr>
              <w:t>|</w:t>
            </w:r>
            <w:r w:rsidRPr="00236317">
              <w:rPr>
                <w:rFonts w:ascii="Arial Narrow" w:eastAsia="Calibri" w:hAnsi="Arial Narrow" w:cstheme="majorBidi"/>
                <w:bCs/>
                <w:sz w:val="20"/>
                <w:szCs w:val="20"/>
              </w:rPr>
              <w:t>%</w:t>
            </w:r>
          </w:p>
        </w:tc>
      </w:tr>
    </w:tbl>
    <w:p w14:paraId="769FC211" w14:textId="4DA9D969" w:rsidR="009745EA" w:rsidRPr="009745EA" w:rsidRDefault="009745EA" w:rsidP="00A12328">
      <w:pPr>
        <w:spacing w:after="120"/>
        <w:contextualSpacing/>
        <w:rPr>
          <w:rFonts w:ascii="Arial Narrow" w:hAnsi="Arial Narrow"/>
          <w:snapToGrid w:val="0"/>
          <w:sz w:val="18"/>
          <w:szCs w:val="22"/>
        </w:rPr>
      </w:pPr>
      <w:r w:rsidRPr="009745EA">
        <w:rPr>
          <w:rFonts w:ascii="Arial Narrow" w:hAnsi="Arial Narrow"/>
          <w:snapToGrid w:val="0"/>
          <w:sz w:val="18"/>
          <w:szCs w:val="22"/>
        </w:rPr>
        <w:t xml:space="preserve">Source: </w:t>
      </w:r>
      <w:r w:rsidR="00236317" w:rsidRPr="00236317">
        <w:rPr>
          <w:rFonts w:ascii="Arial Narrow" w:hAnsi="Arial Narrow"/>
          <w:snapToGrid w:val="0"/>
          <w:sz w:val="18"/>
          <w:szCs w:val="22"/>
        </w:rPr>
        <w:t>C</w:t>
      </w:r>
      <w:r w:rsidRPr="00236317">
        <w:rPr>
          <w:rFonts w:ascii="Arial Narrow" w:hAnsi="Arial Narrow"/>
          <w:snapToGrid w:val="0"/>
          <w:sz w:val="18"/>
          <w:szCs w:val="22"/>
        </w:rPr>
        <w:t>onstructed during the evaluation;</w:t>
      </w:r>
      <w:r w:rsidRPr="009745EA">
        <w:rPr>
          <w:rFonts w:ascii="Arial Narrow" w:hAnsi="Arial Narrow"/>
          <w:snapToGrid w:val="0"/>
          <w:sz w:val="18"/>
          <w:szCs w:val="22"/>
        </w:rPr>
        <w:t xml:space="preserve"> Table 3-37, p162 of the submission.</w:t>
      </w:r>
    </w:p>
    <w:p w14:paraId="69E4FECF" w14:textId="40A56098" w:rsidR="009745EA" w:rsidRPr="009745EA" w:rsidRDefault="009745EA" w:rsidP="00A12328">
      <w:pPr>
        <w:spacing w:after="120"/>
        <w:contextualSpacing/>
        <w:rPr>
          <w:rFonts w:ascii="Arial Narrow" w:eastAsia="Calibri" w:hAnsi="Arial Narrow"/>
          <w:snapToGrid w:val="0"/>
          <w:sz w:val="18"/>
          <w:szCs w:val="20"/>
        </w:rPr>
      </w:pPr>
      <w:r w:rsidRPr="009745EA">
        <w:rPr>
          <w:rFonts w:ascii="Arial Narrow" w:hAnsi="Arial Narrow" w:cstheme="minorHAnsi"/>
          <w:snapToGrid w:val="0"/>
          <w:sz w:val="18"/>
          <w:szCs w:val="22"/>
        </w:rPr>
        <w:t xml:space="preserve">ABCP = atezolizumab, bevacizumab in combination with platinum doublet chemotherapy; </w:t>
      </w:r>
      <w:r w:rsidR="00C45A6D" w:rsidRPr="00C45A6D">
        <w:rPr>
          <w:rFonts w:ascii="Arial Narrow" w:hAnsi="Arial Narrow"/>
          <w:i/>
          <w:snapToGrid w:val="0"/>
          <w:sz w:val="18"/>
          <w:szCs w:val="22"/>
        </w:rPr>
        <w:t>EGFR</w:t>
      </w:r>
      <w:r w:rsidRPr="009745EA">
        <w:rPr>
          <w:rFonts w:ascii="Arial Narrow" w:hAnsi="Arial Narrow"/>
          <w:snapToGrid w:val="0"/>
          <w:sz w:val="18"/>
          <w:szCs w:val="22"/>
        </w:rPr>
        <w:t xml:space="preserve"> = epidermal growth factor receptor</w:t>
      </w:r>
      <w:r w:rsidRPr="009745EA">
        <w:rPr>
          <w:rFonts w:ascii="Arial Narrow" w:hAnsi="Arial Narrow" w:cstheme="minorHAnsi"/>
          <w:snapToGrid w:val="0"/>
          <w:sz w:val="18"/>
          <w:szCs w:val="22"/>
        </w:rPr>
        <w:t xml:space="preserve">; FAS = full analysis set; </w:t>
      </w:r>
      <w:r w:rsidRPr="009745EA">
        <w:rPr>
          <w:rFonts w:ascii="Arial Narrow" w:eastAsia="Calibri" w:hAnsi="Arial Narrow"/>
          <w:snapToGrid w:val="0"/>
          <w:sz w:val="18"/>
          <w:szCs w:val="20"/>
        </w:rPr>
        <w:t>HR = hazard ratio; KM = Kaplan-Meier; OS = overall survival; PD = progress</w:t>
      </w:r>
      <w:r w:rsidR="00F446BB">
        <w:rPr>
          <w:rFonts w:ascii="Arial Narrow" w:eastAsia="Calibri" w:hAnsi="Arial Narrow"/>
          <w:snapToGrid w:val="0"/>
          <w:sz w:val="18"/>
          <w:szCs w:val="20"/>
        </w:rPr>
        <w:t>ive</w:t>
      </w:r>
      <w:r w:rsidRPr="009745EA">
        <w:rPr>
          <w:rFonts w:ascii="Arial Narrow" w:eastAsia="Calibri" w:hAnsi="Arial Narrow"/>
          <w:snapToGrid w:val="0"/>
          <w:sz w:val="18"/>
          <w:szCs w:val="20"/>
        </w:rPr>
        <w:t xml:space="preserve"> disease; PFS = progression-free survival; QALY = quality adjusted life year; </w:t>
      </w:r>
      <w:r w:rsidRPr="009745EA">
        <w:rPr>
          <w:rFonts w:ascii="Arial Narrow" w:hAnsi="Arial Narrow" w:cstheme="minorHAnsi"/>
          <w:snapToGrid w:val="0"/>
          <w:sz w:val="18"/>
          <w:szCs w:val="18"/>
        </w:rPr>
        <w:t>TKI = tyrosine kinase inhibitor</w:t>
      </w:r>
      <w:r w:rsidRPr="009745EA">
        <w:rPr>
          <w:rFonts w:ascii="Arial Narrow" w:eastAsia="Calibri" w:hAnsi="Arial Narrow"/>
          <w:snapToGrid w:val="0"/>
          <w:sz w:val="18"/>
          <w:szCs w:val="20"/>
        </w:rPr>
        <w:t>.</w:t>
      </w:r>
    </w:p>
    <w:p w14:paraId="11103620" w14:textId="5876D401" w:rsidR="009745EA" w:rsidRPr="00236317" w:rsidRDefault="009745EA" w:rsidP="00A12328">
      <w:pPr>
        <w:spacing w:after="120"/>
        <w:ind w:left="142" w:hanging="142"/>
        <w:contextualSpacing/>
        <w:rPr>
          <w:rFonts w:ascii="Arial Narrow" w:hAnsi="Arial Narrow"/>
          <w:snapToGrid w:val="0"/>
          <w:sz w:val="18"/>
          <w:szCs w:val="22"/>
        </w:rPr>
      </w:pPr>
      <w:r w:rsidRPr="00236317">
        <w:rPr>
          <w:rFonts w:ascii="Arial Narrow" w:eastAsia="Calibri" w:hAnsi="Arial Narrow"/>
          <w:snapToGrid w:val="0"/>
          <w:sz w:val="18"/>
          <w:szCs w:val="20"/>
        </w:rPr>
        <w:t>*</w:t>
      </w:r>
      <w:r w:rsidR="00EA633B">
        <w:rPr>
          <w:rFonts w:ascii="Arial Narrow" w:eastAsia="Calibri" w:hAnsi="Arial Narrow"/>
          <w:snapToGrid w:val="0"/>
          <w:sz w:val="18"/>
          <w:szCs w:val="20"/>
        </w:rPr>
        <w:t xml:space="preserve"> </w:t>
      </w:r>
      <w:r w:rsidRPr="00236317">
        <w:rPr>
          <w:rFonts w:ascii="Arial Narrow" w:hAnsi="Arial Narrow"/>
          <w:snapToGrid w:val="0"/>
          <w:sz w:val="18"/>
          <w:szCs w:val="22"/>
        </w:rPr>
        <w:t>unlimited osimertinib treatment for model duration of 10 years.</w:t>
      </w:r>
    </w:p>
    <w:p w14:paraId="0EC21F7D" w14:textId="77777777" w:rsidR="00810B37" w:rsidRPr="00236317" w:rsidRDefault="009745EA" w:rsidP="00A12328">
      <w:pPr>
        <w:spacing w:after="120"/>
        <w:ind w:left="142" w:hanging="142"/>
        <w:contextualSpacing/>
        <w:rPr>
          <w:rFonts w:ascii="Arial Narrow" w:eastAsia="Calibri" w:hAnsi="Arial Narrow"/>
          <w:snapToGrid w:val="0"/>
          <w:sz w:val="18"/>
          <w:szCs w:val="20"/>
        </w:rPr>
      </w:pPr>
      <w:r w:rsidRPr="00236317">
        <w:rPr>
          <w:rFonts w:ascii="Arial Narrow" w:eastAsia="Calibri" w:hAnsi="Arial Narrow"/>
          <w:snapToGrid w:val="0"/>
          <w:sz w:val="18"/>
          <w:szCs w:val="20"/>
          <w:vertAlign w:val="superscript"/>
        </w:rPr>
        <w:t xml:space="preserve">a </w:t>
      </w:r>
      <w:r w:rsidRPr="00236317">
        <w:rPr>
          <w:rFonts w:ascii="Arial Narrow" w:eastAsia="Calibri" w:hAnsi="Arial Narrow"/>
          <w:snapToGrid w:val="0"/>
          <w:sz w:val="18"/>
          <w:szCs w:val="20"/>
        </w:rPr>
        <w:t xml:space="preserve">Cell B3 in ‘OS using HR’ worksheet. </w:t>
      </w:r>
    </w:p>
    <w:p w14:paraId="3439CD88" w14:textId="77777777" w:rsidR="00810B37" w:rsidRPr="00236317" w:rsidRDefault="009745EA" w:rsidP="00A12328">
      <w:pPr>
        <w:spacing w:after="120"/>
        <w:ind w:left="142" w:hanging="142"/>
        <w:contextualSpacing/>
        <w:rPr>
          <w:rFonts w:ascii="Arial Narrow" w:eastAsia="Calibri" w:hAnsi="Arial Narrow"/>
          <w:snapToGrid w:val="0"/>
          <w:sz w:val="18"/>
          <w:szCs w:val="20"/>
        </w:rPr>
      </w:pPr>
      <w:r w:rsidRPr="00236317">
        <w:rPr>
          <w:rFonts w:ascii="Arial Narrow" w:eastAsia="Calibri" w:hAnsi="Arial Narrow"/>
          <w:snapToGrid w:val="0"/>
          <w:sz w:val="18"/>
          <w:szCs w:val="20"/>
          <w:vertAlign w:val="superscript"/>
        </w:rPr>
        <w:t xml:space="preserve">b </w:t>
      </w:r>
      <w:r w:rsidRPr="00236317">
        <w:rPr>
          <w:rFonts w:ascii="Arial Narrow" w:eastAsia="Calibri" w:hAnsi="Arial Narrow"/>
          <w:snapToGrid w:val="0"/>
          <w:sz w:val="18"/>
          <w:szCs w:val="20"/>
        </w:rPr>
        <w:t>Cell B5 in ‘Utilities’ worksheet.</w:t>
      </w:r>
    </w:p>
    <w:p w14:paraId="58549F47" w14:textId="7BFF0997" w:rsidR="00810B37" w:rsidRPr="00236317" w:rsidRDefault="009745EA" w:rsidP="00A12328">
      <w:pPr>
        <w:spacing w:after="120"/>
        <w:ind w:left="142" w:hanging="142"/>
        <w:contextualSpacing/>
        <w:rPr>
          <w:rFonts w:ascii="Arial Narrow" w:eastAsia="Calibri" w:hAnsi="Arial Narrow"/>
          <w:snapToGrid w:val="0"/>
          <w:sz w:val="18"/>
          <w:szCs w:val="20"/>
        </w:rPr>
      </w:pPr>
      <w:r w:rsidRPr="00236317">
        <w:rPr>
          <w:rFonts w:ascii="Arial Narrow" w:eastAsia="Calibri" w:hAnsi="Arial Narrow"/>
          <w:snapToGrid w:val="0"/>
          <w:sz w:val="18"/>
          <w:szCs w:val="20"/>
          <w:vertAlign w:val="superscript"/>
        </w:rPr>
        <w:t xml:space="preserve">c </w:t>
      </w:r>
      <w:r w:rsidRPr="00236317">
        <w:rPr>
          <w:rFonts w:ascii="Arial Narrow" w:eastAsia="Calibri" w:hAnsi="Arial Narrow"/>
          <w:snapToGrid w:val="0"/>
          <w:sz w:val="18"/>
          <w:szCs w:val="20"/>
        </w:rPr>
        <w:t xml:space="preserve">Cell B18 in ‘Subs. Tx’ worksheet. </w:t>
      </w:r>
    </w:p>
    <w:p w14:paraId="69D429C6" w14:textId="77777777" w:rsidR="00810B37" w:rsidRPr="00236317" w:rsidRDefault="009745EA" w:rsidP="00A12328">
      <w:pPr>
        <w:spacing w:after="120"/>
        <w:ind w:left="142" w:hanging="142"/>
        <w:contextualSpacing/>
        <w:rPr>
          <w:rFonts w:ascii="Arial Narrow" w:eastAsia="Calibri" w:hAnsi="Arial Narrow"/>
          <w:snapToGrid w:val="0"/>
          <w:sz w:val="18"/>
          <w:szCs w:val="20"/>
        </w:rPr>
      </w:pPr>
      <w:r w:rsidRPr="00236317">
        <w:rPr>
          <w:rFonts w:ascii="Arial Narrow" w:eastAsia="Calibri" w:hAnsi="Arial Narrow"/>
          <w:snapToGrid w:val="0"/>
          <w:sz w:val="18"/>
          <w:szCs w:val="20"/>
          <w:vertAlign w:val="superscript"/>
        </w:rPr>
        <w:t xml:space="preserve">d </w:t>
      </w:r>
      <w:r w:rsidRPr="00236317">
        <w:rPr>
          <w:rFonts w:ascii="Arial Narrow" w:eastAsia="Calibri" w:hAnsi="Arial Narrow"/>
          <w:snapToGrid w:val="0"/>
          <w:sz w:val="18"/>
          <w:szCs w:val="20"/>
        </w:rPr>
        <w:t>Cell D18 in ‘Subs. Tx’ worksheet.</w:t>
      </w:r>
    </w:p>
    <w:p w14:paraId="4593E8FD" w14:textId="021FE862" w:rsidR="00810B37" w:rsidRPr="00236317" w:rsidRDefault="009745EA" w:rsidP="00A12328">
      <w:pPr>
        <w:spacing w:after="120"/>
        <w:ind w:left="142" w:hanging="142"/>
        <w:contextualSpacing/>
        <w:rPr>
          <w:rFonts w:ascii="Arial Narrow" w:eastAsia="Calibri" w:hAnsi="Arial Narrow"/>
          <w:snapToGrid w:val="0"/>
          <w:sz w:val="18"/>
          <w:szCs w:val="20"/>
        </w:rPr>
      </w:pPr>
      <w:r w:rsidRPr="00236317">
        <w:rPr>
          <w:rFonts w:ascii="Arial Narrow" w:eastAsia="Calibri" w:hAnsi="Arial Narrow"/>
          <w:snapToGrid w:val="0"/>
          <w:sz w:val="18"/>
          <w:szCs w:val="20"/>
          <w:vertAlign w:val="superscript"/>
        </w:rPr>
        <w:t xml:space="preserve">e </w:t>
      </w:r>
      <w:r w:rsidRPr="00236317">
        <w:rPr>
          <w:rFonts w:ascii="Arial Narrow" w:eastAsia="Calibri" w:hAnsi="Arial Narrow"/>
          <w:snapToGrid w:val="0"/>
          <w:sz w:val="18"/>
          <w:szCs w:val="20"/>
        </w:rPr>
        <w:t xml:space="preserve">Cell C17 in ‘Subs. Tx’ worksheet. </w:t>
      </w:r>
    </w:p>
    <w:p w14:paraId="35F924D2" w14:textId="2FE6D55C" w:rsidR="009745EA" w:rsidRPr="00236317" w:rsidRDefault="009745EA" w:rsidP="00A12328">
      <w:pPr>
        <w:spacing w:after="120"/>
        <w:ind w:left="142" w:hanging="142"/>
        <w:contextualSpacing/>
        <w:rPr>
          <w:rFonts w:ascii="Arial Narrow" w:eastAsia="Calibri" w:hAnsi="Arial Narrow"/>
          <w:snapToGrid w:val="0"/>
          <w:sz w:val="18"/>
          <w:szCs w:val="20"/>
        </w:rPr>
      </w:pPr>
      <w:r w:rsidRPr="00236317">
        <w:rPr>
          <w:rFonts w:ascii="Arial Narrow" w:eastAsia="Calibri" w:hAnsi="Arial Narrow"/>
          <w:snapToGrid w:val="0"/>
          <w:sz w:val="18"/>
          <w:szCs w:val="20"/>
        </w:rPr>
        <w:t>f Cell B12 in ‘DM costs’ worksheet.</w:t>
      </w:r>
    </w:p>
    <w:p w14:paraId="37A33307" w14:textId="35FCB48C" w:rsidR="009745EA" w:rsidRDefault="004C04D4" w:rsidP="00A12328">
      <w:pPr>
        <w:spacing w:after="120"/>
        <w:ind w:left="142" w:hanging="142"/>
        <w:contextualSpacing/>
        <w:rPr>
          <w:rFonts w:ascii="Arial Narrow" w:eastAsia="Calibri" w:hAnsi="Arial Narrow" w:cs="Times New Roman"/>
          <w:snapToGrid w:val="0"/>
          <w:sz w:val="18"/>
          <w:szCs w:val="22"/>
        </w:rPr>
      </w:pPr>
      <w:r w:rsidRPr="003F273D">
        <w:rPr>
          <w:rFonts w:ascii="Arial Narrow" w:eastAsia="Calibri" w:hAnsi="Arial Narrow"/>
          <w:iCs/>
          <w:snapToGrid w:val="0"/>
          <w:sz w:val="18"/>
          <w:szCs w:val="20"/>
          <w:vertAlign w:val="superscript"/>
        </w:rPr>
        <w:t>g</w:t>
      </w:r>
      <w:r w:rsidR="003F273D">
        <w:rPr>
          <w:rFonts w:ascii="Arial Narrow" w:eastAsia="Calibri" w:hAnsi="Arial Narrow"/>
          <w:iCs/>
          <w:snapToGrid w:val="0"/>
          <w:sz w:val="18"/>
          <w:szCs w:val="20"/>
        </w:rPr>
        <w:t xml:space="preserve"> </w:t>
      </w:r>
      <w:r w:rsidR="009745EA" w:rsidRPr="003F273D">
        <w:rPr>
          <w:rFonts w:ascii="Arial Narrow" w:eastAsia="Calibri" w:hAnsi="Arial Narrow" w:cs="Times New Roman"/>
          <w:iCs/>
          <w:snapToGrid w:val="0"/>
          <w:sz w:val="18"/>
          <w:szCs w:val="22"/>
        </w:rPr>
        <w:t>This sensitivity</w:t>
      </w:r>
      <w:r w:rsidR="009745EA" w:rsidRPr="00EA633B">
        <w:rPr>
          <w:rFonts w:ascii="Arial Narrow" w:eastAsia="Calibri" w:hAnsi="Arial Narrow" w:cs="Times New Roman"/>
          <w:snapToGrid w:val="0"/>
          <w:sz w:val="18"/>
          <w:szCs w:val="22"/>
        </w:rPr>
        <w:t xml:space="preserve"> analysis assumed (i) all patients in the osimertinib arm receiving </w:t>
      </w:r>
      <w:r w:rsidR="00C45A6D" w:rsidRPr="00C45A6D">
        <w:rPr>
          <w:rFonts w:ascii="Arial Narrow" w:eastAsia="Calibri" w:hAnsi="Arial Narrow" w:cs="Times New Roman"/>
          <w:i/>
          <w:snapToGrid w:val="0"/>
          <w:sz w:val="18"/>
          <w:szCs w:val="22"/>
        </w:rPr>
        <w:t>EGFR</w:t>
      </w:r>
      <w:r w:rsidR="009745EA" w:rsidRPr="00EA633B">
        <w:rPr>
          <w:rFonts w:ascii="Arial Narrow" w:eastAsia="Calibri" w:hAnsi="Arial Narrow" w:cs="Times New Roman"/>
          <w:snapToGrid w:val="0"/>
          <w:sz w:val="18"/>
          <w:szCs w:val="22"/>
        </w:rPr>
        <w:t xml:space="preserve">-TKI in the trial used ABCP in the model; (ii) applied patients discontinuing treatment who used subsequent treatment i.e. by changing cells C14:D18 of ‘Subs. Tx’ worksheet. FAS patients who used subsequent treatment were used in the base case analysis. 57.1% was calculated as 12.7% using VEGF inhibitor – monoclonal antibody + 44.4% using </w:t>
      </w:r>
      <w:r w:rsidR="00C45A6D" w:rsidRPr="00C45A6D">
        <w:rPr>
          <w:rFonts w:ascii="Arial Narrow" w:eastAsia="Calibri" w:hAnsi="Arial Narrow" w:cs="Times New Roman"/>
          <w:i/>
          <w:snapToGrid w:val="0"/>
          <w:sz w:val="18"/>
          <w:szCs w:val="22"/>
        </w:rPr>
        <w:t>EGFR</w:t>
      </w:r>
      <w:r w:rsidR="009745EA" w:rsidRPr="00EA633B">
        <w:rPr>
          <w:rFonts w:ascii="Arial Narrow" w:eastAsia="Calibri" w:hAnsi="Arial Narrow" w:cs="Times New Roman"/>
          <w:snapToGrid w:val="0"/>
          <w:sz w:val="18"/>
          <w:szCs w:val="22"/>
        </w:rPr>
        <w:t>-TKI from LAURA.</w:t>
      </w:r>
    </w:p>
    <w:p w14:paraId="406CC812" w14:textId="77777777" w:rsidR="003D466E" w:rsidRPr="003D466E" w:rsidRDefault="003D466E" w:rsidP="00A12328">
      <w:pPr>
        <w:jc w:val="left"/>
        <w:rPr>
          <w:rFonts w:ascii="Arial Narrow" w:hAnsi="Arial Narrow"/>
          <w:i/>
          <w:sz w:val="18"/>
          <w:szCs w:val="18"/>
        </w:rPr>
      </w:pPr>
      <w:r w:rsidRPr="003D466E">
        <w:rPr>
          <w:rFonts w:ascii="Arial Narrow" w:hAnsi="Arial Narrow"/>
          <w:i/>
          <w:sz w:val="18"/>
          <w:szCs w:val="18"/>
        </w:rPr>
        <w:t xml:space="preserve">The redacted values correspond to the following ranges: </w:t>
      </w:r>
    </w:p>
    <w:p w14:paraId="284422EC" w14:textId="18DAF6BB" w:rsidR="003D466E" w:rsidRPr="003D466E" w:rsidRDefault="003D466E" w:rsidP="00A12328">
      <w:pPr>
        <w:jc w:val="left"/>
        <w:rPr>
          <w:rFonts w:ascii="Arial Narrow" w:hAnsi="Arial Narrow"/>
          <w:i/>
          <w:sz w:val="18"/>
          <w:szCs w:val="18"/>
        </w:rPr>
      </w:pPr>
      <w:r w:rsidRPr="003D466E">
        <w:rPr>
          <w:rFonts w:ascii="Arial Narrow" w:hAnsi="Arial Narrow"/>
          <w:i/>
          <w:sz w:val="18"/>
          <w:szCs w:val="18"/>
          <w:vertAlign w:val="superscript"/>
        </w:rPr>
        <w:t>1</w:t>
      </w:r>
      <w:r w:rsidRPr="003D466E">
        <w:rPr>
          <w:rFonts w:ascii="Arial Narrow" w:hAnsi="Arial Narrow"/>
          <w:i/>
          <w:sz w:val="18"/>
          <w:szCs w:val="18"/>
        </w:rPr>
        <w:t xml:space="preserve"> </w:t>
      </w:r>
      <w:r w:rsidR="00035B62" w:rsidRPr="00035B62">
        <w:rPr>
          <w:rFonts w:ascii="Arial Narrow" w:hAnsi="Arial Narrow"/>
          <w:i/>
          <w:sz w:val="18"/>
          <w:szCs w:val="18"/>
        </w:rPr>
        <w:t xml:space="preserve">$55,000 to &lt; $75,000 </w:t>
      </w:r>
    </w:p>
    <w:p w14:paraId="58FC7D0B" w14:textId="1241BB8E" w:rsidR="003D466E" w:rsidRPr="003D466E" w:rsidRDefault="003D466E" w:rsidP="00A12328">
      <w:pPr>
        <w:jc w:val="left"/>
        <w:rPr>
          <w:rFonts w:ascii="Arial Narrow" w:hAnsi="Arial Narrow"/>
          <w:i/>
          <w:sz w:val="18"/>
          <w:szCs w:val="18"/>
        </w:rPr>
      </w:pPr>
      <w:r w:rsidRPr="003D466E">
        <w:rPr>
          <w:rFonts w:ascii="Arial Narrow" w:hAnsi="Arial Narrow"/>
          <w:i/>
          <w:sz w:val="18"/>
          <w:szCs w:val="18"/>
          <w:vertAlign w:val="superscript"/>
        </w:rPr>
        <w:t>2</w:t>
      </w:r>
      <w:r w:rsidRPr="003D466E">
        <w:rPr>
          <w:rFonts w:ascii="Arial Narrow" w:hAnsi="Arial Narrow"/>
          <w:i/>
          <w:sz w:val="18"/>
          <w:szCs w:val="18"/>
        </w:rPr>
        <w:t xml:space="preserve"> </w:t>
      </w:r>
      <w:r w:rsidR="00990C7F" w:rsidRPr="00990C7F">
        <w:rPr>
          <w:rFonts w:ascii="Arial Narrow" w:hAnsi="Arial Narrow"/>
          <w:i/>
          <w:sz w:val="18"/>
          <w:szCs w:val="18"/>
        </w:rPr>
        <w:t>$75,000 to &lt; $95,000</w:t>
      </w:r>
    </w:p>
    <w:p w14:paraId="6955E982" w14:textId="1CBC3188" w:rsidR="003D466E" w:rsidRPr="003D466E" w:rsidRDefault="003D466E" w:rsidP="00A12328">
      <w:pPr>
        <w:jc w:val="left"/>
        <w:rPr>
          <w:rFonts w:ascii="Arial Narrow" w:hAnsi="Arial Narrow"/>
          <w:i/>
          <w:sz w:val="18"/>
          <w:szCs w:val="18"/>
        </w:rPr>
      </w:pPr>
      <w:r w:rsidRPr="003D466E">
        <w:rPr>
          <w:rFonts w:ascii="Arial Narrow" w:hAnsi="Arial Narrow"/>
          <w:i/>
          <w:sz w:val="18"/>
          <w:szCs w:val="18"/>
          <w:vertAlign w:val="superscript"/>
        </w:rPr>
        <w:t>3</w:t>
      </w:r>
      <w:r w:rsidRPr="003D466E">
        <w:rPr>
          <w:rFonts w:ascii="Arial Narrow" w:hAnsi="Arial Narrow"/>
          <w:i/>
          <w:sz w:val="18"/>
          <w:szCs w:val="18"/>
        </w:rPr>
        <w:t xml:space="preserve"> </w:t>
      </w:r>
      <w:r w:rsidR="004229DB" w:rsidRPr="004229DB">
        <w:rPr>
          <w:rFonts w:ascii="Arial Narrow" w:hAnsi="Arial Narrow"/>
          <w:i/>
          <w:sz w:val="18"/>
          <w:szCs w:val="18"/>
        </w:rPr>
        <w:t>$45,000 to &lt; $55,000</w:t>
      </w:r>
    </w:p>
    <w:p w14:paraId="1FEC0A41" w14:textId="414633A4" w:rsidR="003D466E" w:rsidRPr="003D466E" w:rsidRDefault="003D466E" w:rsidP="00A12328">
      <w:pPr>
        <w:jc w:val="left"/>
        <w:rPr>
          <w:rFonts w:ascii="Arial Narrow" w:hAnsi="Arial Narrow"/>
          <w:i/>
          <w:sz w:val="18"/>
          <w:szCs w:val="18"/>
        </w:rPr>
      </w:pPr>
      <w:r w:rsidRPr="003D466E">
        <w:rPr>
          <w:rFonts w:ascii="Arial Narrow" w:hAnsi="Arial Narrow"/>
          <w:i/>
          <w:sz w:val="18"/>
          <w:szCs w:val="18"/>
          <w:vertAlign w:val="superscript"/>
        </w:rPr>
        <w:t>4</w:t>
      </w:r>
      <w:r w:rsidRPr="003D466E">
        <w:rPr>
          <w:rFonts w:ascii="Arial Narrow" w:hAnsi="Arial Narrow"/>
          <w:i/>
          <w:sz w:val="18"/>
          <w:szCs w:val="18"/>
        </w:rPr>
        <w:t xml:space="preserve"> </w:t>
      </w:r>
      <w:r w:rsidR="001C7A11" w:rsidRPr="001C7A11">
        <w:rPr>
          <w:rFonts w:ascii="Arial Narrow" w:hAnsi="Arial Narrow"/>
          <w:i/>
          <w:sz w:val="18"/>
          <w:szCs w:val="18"/>
        </w:rPr>
        <w:t>$115,000 to &lt; $135,000</w:t>
      </w:r>
    </w:p>
    <w:p w14:paraId="3D5213EA" w14:textId="2A96EA12" w:rsidR="003D466E" w:rsidRPr="003D466E" w:rsidRDefault="003D466E" w:rsidP="00A12328">
      <w:pPr>
        <w:jc w:val="left"/>
        <w:rPr>
          <w:rFonts w:ascii="Arial Narrow" w:hAnsi="Arial Narrow"/>
          <w:i/>
          <w:sz w:val="18"/>
          <w:szCs w:val="18"/>
        </w:rPr>
      </w:pPr>
      <w:r w:rsidRPr="003D466E">
        <w:rPr>
          <w:rFonts w:ascii="Arial Narrow" w:hAnsi="Arial Narrow"/>
          <w:i/>
          <w:sz w:val="18"/>
          <w:szCs w:val="18"/>
          <w:vertAlign w:val="superscript"/>
        </w:rPr>
        <w:t>5</w:t>
      </w:r>
      <w:r w:rsidRPr="003D466E">
        <w:rPr>
          <w:rFonts w:ascii="Arial Narrow" w:hAnsi="Arial Narrow"/>
          <w:i/>
          <w:sz w:val="18"/>
          <w:szCs w:val="18"/>
        </w:rPr>
        <w:t xml:space="preserve"> </w:t>
      </w:r>
      <w:r w:rsidR="00856C9F" w:rsidRPr="00856C9F">
        <w:rPr>
          <w:rFonts w:ascii="Arial Narrow" w:hAnsi="Arial Narrow"/>
          <w:i/>
          <w:sz w:val="18"/>
          <w:szCs w:val="18"/>
        </w:rPr>
        <w:t>$25,000 to &lt; $35,000</w:t>
      </w:r>
    </w:p>
    <w:p w14:paraId="10D2C99C" w14:textId="13DB4B3F" w:rsidR="003D466E" w:rsidRDefault="003D466E" w:rsidP="00A12328">
      <w:pPr>
        <w:jc w:val="left"/>
        <w:rPr>
          <w:rFonts w:ascii="Arial Narrow" w:hAnsi="Arial Narrow"/>
          <w:i/>
          <w:sz w:val="18"/>
          <w:szCs w:val="18"/>
        </w:rPr>
      </w:pPr>
      <w:r w:rsidRPr="003D466E">
        <w:rPr>
          <w:rFonts w:ascii="Arial Narrow" w:hAnsi="Arial Narrow"/>
          <w:i/>
          <w:sz w:val="18"/>
          <w:szCs w:val="18"/>
          <w:vertAlign w:val="superscript"/>
        </w:rPr>
        <w:t>6</w:t>
      </w:r>
      <w:r w:rsidRPr="003D466E">
        <w:rPr>
          <w:rFonts w:ascii="Arial Narrow" w:hAnsi="Arial Narrow"/>
          <w:i/>
          <w:sz w:val="18"/>
          <w:szCs w:val="18"/>
        </w:rPr>
        <w:t xml:space="preserve"> </w:t>
      </w:r>
      <w:r w:rsidR="002B33F9" w:rsidRPr="002B33F9">
        <w:rPr>
          <w:rFonts w:ascii="Arial Narrow" w:hAnsi="Arial Narrow"/>
          <w:i/>
          <w:sz w:val="18"/>
          <w:szCs w:val="18"/>
        </w:rPr>
        <w:t>$95,000 to &lt; $115,000</w:t>
      </w:r>
    </w:p>
    <w:p w14:paraId="5FC144A3" w14:textId="79C8492B" w:rsidR="002B33F9" w:rsidRPr="003D466E" w:rsidRDefault="002B33F9" w:rsidP="00A12328">
      <w:pPr>
        <w:jc w:val="lef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5F50B7" w:rsidRPr="005F50B7">
        <w:rPr>
          <w:rFonts w:ascii="Arial Narrow" w:hAnsi="Arial Narrow"/>
          <w:i/>
          <w:sz w:val="18"/>
          <w:szCs w:val="18"/>
        </w:rPr>
        <w:t>$155,000 to &lt; $255,000</w:t>
      </w:r>
    </w:p>
    <w:p w14:paraId="78EDAEF4" w14:textId="77777777" w:rsidR="00E13AB6" w:rsidRPr="00EA633B" w:rsidRDefault="00E13AB6" w:rsidP="00A12328">
      <w:pPr>
        <w:spacing w:after="120"/>
        <w:ind w:left="142" w:hanging="142"/>
        <w:contextualSpacing/>
        <w:rPr>
          <w:rFonts w:ascii="Arial Narrow" w:hAnsi="Arial Narrow"/>
          <w:snapToGrid w:val="0"/>
          <w:sz w:val="20"/>
          <w:szCs w:val="22"/>
        </w:rPr>
      </w:pPr>
    </w:p>
    <w:p w14:paraId="369D169D" w14:textId="2838C89D" w:rsidR="00B26257" w:rsidRPr="00FD2858" w:rsidRDefault="009745EA" w:rsidP="00A12328">
      <w:pPr>
        <w:pStyle w:val="3-BodyText"/>
      </w:pPr>
      <w:r w:rsidRPr="009745EA">
        <w:t xml:space="preserve">The ICER was most sensitive to the treatment duration of osimertinib in the proposed listing, costs of subsequent osimertinib treatment for placebo patients who progressed, proportion of patients using subsequent ABCP, hospitalisations, disutility of PD versus PFS and time horizon. </w:t>
      </w:r>
      <w:r w:rsidRPr="009745EA">
        <w:rPr>
          <w:rFonts w:cstheme="minorHAnsi"/>
        </w:rPr>
        <w:t>Multivariate sensitivity analyses show an even higher effect to ICER when key model drivers were varied jointly, with ICERs ranging from $</w:t>
      </w:r>
      <w:r w:rsidR="00F55D30">
        <w:rPr>
          <w:rFonts w:cstheme="minorHAnsi"/>
        </w:rPr>
        <w:t>95,000 to &lt; $115,000</w:t>
      </w:r>
      <w:r w:rsidRPr="009745EA">
        <w:rPr>
          <w:rFonts w:cstheme="minorHAnsi"/>
        </w:rPr>
        <w:t xml:space="preserve"> to $</w:t>
      </w:r>
      <w:r w:rsidR="00716727">
        <w:rPr>
          <w:rFonts w:cstheme="minorHAnsi"/>
        </w:rPr>
        <w:t>155,000 to &lt; $255,000</w:t>
      </w:r>
      <w:r w:rsidRPr="009745EA">
        <w:rPr>
          <w:rFonts w:cstheme="minorHAnsi"/>
        </w:rPr>
        <w:t>/QALY gained.</w:t>
      </w:r>
      <w:r w:rsidR="00B26257" w:rsidRPr="009745EA">
        <w:rPr>
          <w:i/>
        </w:rPr>
        <w:t xml:space="preserve"> </w:t>
      </w:r>
    </w:p>
    <w:p w14:paraId="472842D7" w14:textId="5F466A2F" w:rsidR="00C25D9C" w:rsidRDefault="00C25D9C" w:rsidP="00A12328">
      <w:pPr>
        <w:pStyle w:val="4-SubsectionHeading"/>
      </w:pPr>
      <w:bookmarkStart w:id="80" w:name="_Toc198720641"/>
      <w:r w:rsidRPr="002C2775">
        <w:t>Drug cost/patient/course</w:t>
      </w:r>
      <w:bookmarkEnd w:id="64"/>
      <w:bookmarkEnd w:id="80"/>
    </w:p>
    <w:p w14:paraId="238E2F46" w14:textId="17A645A6" w:rsidR="009745EA" w:rsidRPr="00177BB7" w:rsidRDefault="009745EA" w:rsidP="00A12328">
      <w:pPr>
        <w:pStyle w:val="3-BodyText"/>
      </w:pPr>
      <w:bookmarkStart w:id="81" w:name="_Toc22897647"/>
      <w:r>
        <w:t xml:space="preserve">A comparison of the drug cost estimated in the economic evaluation and in the financial analysis is presented in </w:t>
      </w:r>
      <w:r>
        <w:fldChar w:fldCharType="begin"/>
      </w:r>
      <w:r>
        <w:instrText xml:space="preserve"> REF _Ref198210660 \h </w:instrText>
      </w:r>
      <w:r>
        <w:fldChar w:fldCharType="separate"/>
      </w:r>
      <w:r w:rsidR="009F3D59">
        <w:t xml:space="preserve">Table </w:t>
      </w:r>
      <w:r w:rsidR="009F3D59">
        <w:rPr>
          <w:noProof/>
        </w:rPr>
        <w:t>17</w:t>
      </w:r>
      <w:r>
        <w:fldChar w:fldCharType="end"/>
      </w:r>
      <w:r>
        <w:t>. The average cost per patient per course on osimertinib was $</w:t>
      </w:r>
      <w:r w:rsidR="00B50819" w:rsidRPr="002B736C">
        <w:rPr>
          <w:color w:val="000000"/>
          <w:spacing w:val="6"/>
          <w:w w:val="61"/>
          <w:shd w:val="solid" w:color="000000" w:fill="000000"/>
          <w:fitText w:val="475" w:id="-628958709"/>
          <w14:textFill>
            <w14:solidFill>
              <w14:srgbClr w14:val="000000">
                <w14:alpha w14:val="100000"/>
              </w14:srgbClr>
            </w14:solidFill>
          </w14:textFill>
        </w:rPr>
        <w:t>|||</w:t>
      </w:r>
      <w:r w:rsidR="002B736C" w:rsidRPr="002B736C">
        <w:rPr>
          <w:color w:val="000000"/>
          <w:spacing w:val="6"/>
          <w:w w:val="61"/>
          <w:shd w:val="solid" w:color="000000" w:fill="000000"/>
          <w:fitText w:val="475" w:id="-628958709"/>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709"/>
          <w14:textFill>
            <w14:solidFill>
              <w14:srgbClr w14:val="000000">
                <w14:alpha w14:val="100000"/>
              </w14:srgbClr>
            </w14:solidFill>
          </w14:textFill>
        </w:rPr>
        <w:t>||</w:t>
      </w:r>
      <w:r w:rsidR="00B50819" w:rsidRPr="002B736C">
        <w:rPr>
          <w:color w:val="000000"/>
          <w:spacing w:val="3"/>
          <w:w w:val="61"/>
          <w:shd w:val="solid" w:color="000000" w:fill="000000"/>
          <w:fitText w:val="475" w:id="-628958709"/>
          <w14:textFill>
            <w14:solidFill>
              <w14:srgbClr w14:val="000000">
                <w14:alpha w14:val="100000"/>
              </w14:srgbClr>
            </w14:solidFill>
          </w14:textFill>
        </w:rPr>
        <w:t>|</w:t>
      </w:r>
      <w:r>
        <w:t>, based on an assumed mean treatment duration of 38.5 months (course of treatment).</w:t>
      </w:r>
    </w:p>
    <w:p w14:paraId="20B8549E" w14:textId="63086DA2" w:rsidR="009745EA" w:rsidRPr="00BB732D" w:rsidRDefault="009745EA" w:rsidP="00A12328">
      <w:pPr>
        <w:pStyle w:val="Caption"/>
        <w:rPr>
          <w:rStyle w:val="CommentReference"/>
          <w:b/>
          <w:szCs w:val="24"/>
        </w:rPr>
      </w:pPr>
      <w:bookmarkStart w:id="82" w:name="_Ref198210660"/>
      <w:r>
        <w:t xml:space="preserve">Table </w:t>
      </w:r>
      <w:r w:rsidR="002E1944">
        <w:fldChar w:fldCharType="begin"/>
      </w:r>
      <w:r w:rsidR="002E1944">
        <w:instrText xml:space="preserve"> SEQ Table \* ARABIC </w:instrText>
      </w:r>
      <w:r w:rsidR="002E1944">
        <w:fldChar w:fldCharType="separate"/>
      </w:r>
      <w:r w:rsidR="009F3D59">
        <w:rPr>
          <w:noProof/>
        </w:rPr>
        <w:t>17</w:t>
      </w:r>
      <w:r w:rsidR="002E1944">
        <w:rPr>
          <w:noProof/>
        </w:rPr>
        <w:fldChar w:fldCharType="end"/>
      </w:r>
      <w:bookmarkEnd w:id="82"/>
      <w:r>
        <w:t>:</w:t>
      </w:r>
      <w:r w:rsidRPr="00BB732D">
        <w:rPr>
          <w:rStyle w:val="CommentReference"/>
          <w:b/>
          <w:szCs w:val="24"/>
        </w:rPr>
        <w:t xml:space="preserve"> Drug cost per patient for </w:t>
      </w:r>
      <w:r>
        <w:rPr>
          <w:rStyle w:val="CommentReference"/>
          <w:b/>
          <w:szCs w:val="24"/>
        </w:rPr>
        <w:t>osimertinib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rug cost per patient for osimertinib"/>
      </w:tblPr>
      <w:tblGrid>
        <w:gridCol w:w="2857"/>
        <w:gridCol w:w="1861"/>
        <w:gridCol w:w="2146"/>
        <w:gridCol w:w="2153"/>
      </w:tblGrid>
      <w:tr w:rsidR="009745EA" w:rsidRPr="00E2771E" w14:paraId="1A957AED" w14:textId="77777777" w:rsidTr="6A7C443A">
        <w:trPr>
          <w:cantSplit/>
          <w:tblHeader/>
          <w:jc w:val="center"/>
        </w:trPr>
        <w:tc>
          <w:tcPr>
            <w:tcW w:w="1584" w:type="pct"/>
            <w:vAlign w:val="center"/>
          </w:tcPr>
          <w:p w14:paraId="5A92F01D" w14:textId="77777777" w:rsidR="009745EA" w:rsidRPr="00C42502" w:rsidRDefault="009745EA" w:rsidP="00A12328">
            <w:pPr>
              <w:pStyle w:val="In-tableHeading"/>
              <w:jc w:val="center"/>
              <w:rPr>
                <w:lang w:val="en-AU"/>
              </w:rPr>
            </w:pPr>
          </w:p>
        </w:tc>
        <w:tc>
          <w:tcPr>
            <w:tcW w:w="1032" w:type="pct"/>
            <w:vAlign w:val="center"/>
          </w:tcPr>
          <w:p w14:paraId="521263A6" w14:textId="77777777" w:rsidR="009745EA" w:rsidRPr="00C42502" w:rsidRDefault="009745EA" w:rsidP="00A12328">
            <w:pPr>
              <w:pStyle w:val="In-tableHeading"/>
              <w:jc w:val="center"/>
              <w:rPr>
                <w:lang w:val="en-AU"/>
              </w:rPr>
            </w:pPr>
            <w:r w:rsidRPr="00C42502">
              <w:rPr>
                <w:lang w:val="en-AU"/>
              </w:rPr>
              <w:t>LAURA trial dose and duration</w:t>
            </w:r>
          </w:p>
        </w:tc>
        <w:tc>
          <w:tcPr>
            <w:tcW w:w="1190" w:type="pct"/>
            <w:vAlign w:val="center"/>
          </w:tcPr>
          <w:p w14:paraId="2685AC5A" w14:textId="77777777" w:rsidR="009745EA" w:rsidRPr="00C42502" w:rsidRDefault="009745EA" w:rsidP="00A12328">
            <w:pPr>
              <w:pStyle w:val="In-tableHeading"/>
              <w:jc w:val="center"/>
              <w:rPr>
                <w:lang w:val="en-AU"/>
              </w:rPr>
            </w:pPr>
            <w:r w:rsidRPr="00C42502">
              <w:rPr>
                <w:lang w:val="en-AU"/>
              </w:rPr>
              <w:t>Model</w:t>
            </w:r>
          </w:p>
        </w:tc>
        <w:tc>
          <w:tcPr>
            <w:tcW w:w="1194" w:type="pct"/>
            <w:vAlign w:val="center"/>
          </w:tcPr>
          <w:p w14:paraId="7131B263" w14:textId="77777777" w:rsidR="009745EA" w:rsidRPr="00C42502" w:rsidRDefault="009745EA" w:rsidP="00A12328">
            <w:pPr>
              <w:pStyle w:val="In-tableHeading"/>
              <w:jc w:val="center"/>
              <w:rPr>
                <w:lang w:val="en-AU"/>
              </w:rPr>
            </w:pPr>
            <w:r w:rsidRPr="00C42502">
              <w:rPr>
                <w:lang w:val="en-AU"/>
              </w:rPr>
              <w:t>Financial estimates</w:t>
            </w:r>
          </w:p>
        </w:tc>
      </w:tr>
      <w:tr w:rsidR="009745EA" w:rsidRPr="00E2771E" w14:paraId="06C7BCBC" w14:textId="77777777" w:rsidTr="6A7C443A">
        <w:trPr>
          <w:cantSplit/>
          <w:jc w:val="center"/>
        </w:trPr>
        <w:tc>
          <w:tcPr>
            <w:tcW w:w="1584" w:type="pct"/>
            <w:vAlign w:val="center"/>
          </w:tcPr>
          <w:p w14:paraId="73998C6B" w14:textId="77777777" w:rsidR="009745EA" w:rsidRPr="00C42502" w:rsidRDefault="009745EA" w:rsidP="00A12328">
            <w:pPr>
              <w:pStyle w:val="TableText0"/>
            </w:pPr>
            <w:r w:rsidRPr="00C42502">
              <w:t>Mean dose</w:t>
            </w:r>
          </w:p>
        </w:tc>
        <w:tc>
          <w:tcPr>
            <w:tcW w:w="1032" w:type="pct"/>
            <w:vAlign w:val="center"/>
          </w:tcPr>
          <w:p w14:paraId="64ACD928" w14:textId="77777777" w:rsidR="009745EA" w:rsidRPr="00C42502" w:rsidRDefault="009745EA" w:rsidP="00A12328">
            <w:pPr>
              <w:pStyle w:val="TableText0"/>
              <w:jc w:val="center"/>
            </w:pPr>
            <w:r w:rsidRPr="00C42502">
              <w:t>80 mg/day</w:t>
            </w:r>
          </w:p>
        </w:tc>
        <w:tc>
          <w:tcPr>
            <w:tcW w:w="1190" w:type="pct"/>
            <w:vAlign w:val="center"/>
          </w:tcPr>
          <w:p w14:paraId="5613D023" w14:textId="77777777" w:rsidR="009745EA" w:rsidRPr="00C42502" w:rsidRDefault="009745EA" w:rsidP="00A12328">
            <w:pPr>
              <w:pStyle w:val="TableText0"/>
              <w:jc w:val="center"/>
              <w:rPr>
                <w:b/>
              </w:rPr>
            </w:pPr>
            <w:r w:rsidRPr="00C42502">
              <w:t>80 mg/day</w:t>
            </w:r>
          </w:p>
        </w:tc>
        <w:tc>
          <w:tcPr>
            <w:tcW w:w="1194" w:type="pct"/>
            <w:vAlign w:val="center"/>
          </w:tcPr>
          <w:p w14:paraId="5124AB2D" w14:textId="77777777" w:rsidR="009745EA" w:rsidRPr="00C42502" w:rsidRDefault="009745EA" w:rsidP="00A12328">
            <w:pPr>
              <w:pStyle w:val="TableText0"/>
              <w:jc w:val="center"/>
              <w:rPr>
                <w:b/>
              </w:rPr>
            </w:pPr>
            <w:r w:rsidRPr="00C42502">
              <w:t>80 mg/day</w:t>
            </w:r>
          </w:p>
        </w:tc>
      </w:tr>
      <w:tr w:rsidR="009745EA" w:rsidRPr="00E2771E" w14:paraId="6EF72384" w14:textId="77777777" w:rsidTr="6A7C443A">
        <w:trPr>
          <w:cantSplit/>
          <w:jc w:val="center"/>
        </w:trPr>
        <w:tc>
          <w:tcPr>
            <w:tcW w:w="1584" w:type="pct"/>
            <w:vAlign w:val="center"/>
          </w:tcPr>
          <w:p w14:paraId="37A0348A" w14:textId="77777777" w:rsidR="009745EA" w:rsidRPr="00C42502" w:rsidRDefault="009745EA" w:rsidP="00A12328">
            <w:pPr>
              <w:pStyle w:val="TableText0"/>
            </w:pPr>
            <w:r w:rsidRPr="00C42502">
              <w:t>Mean duration</w:t>
            </w:r>
          </w:p>
        </w:tc>
        <w:tc>
          <w:tcPr>
            <w:tcW w:w="1032" w:type="pct"/>
            <w:vAlign w:val="center"/>
          </w:tcPr>
          <w:p w14:paraId="180C6D79" w14:textId="5D936CEC" w:rsidR="009745EA" w:rsidRPr="00C42502" w:rsidRDefault="00B50819" w:rsidP="00A12328">
            <w:pPr>
              <w:pStyle w:val="TableText0"/>
              <w:jc w:val="center"/>
              <w:rPr>
                <w:vertAlign w:val="superscript"/>
              </w:rPr>
            </w:pPr>
            <w:r w:rsidRPr="00B50819">
              <w:rPr>
                <w:color w:val="000000"/>
                <w:spacing w:val="53"/>
                <w:shd w:val="solid" w:color="000000" w:fill="000000"/>
                <w:fitText w:val="330" w:id="-628958708"/>
                <w14:textFill>
                  <w14:solidFill>
                    <w14:srgbClr w14:val="000000">
                      <w14:alpha w14:val="100000"/>
                    </w14:srgbClr>
                  </w14:solidFill>
                </w14:textFill>
              </w:rPr>
              <w:t>|||</w:t>
            </w:r>
            <w:r w:rsidRPr="00B50819">
              <w:rPr>
                <w:color w:val="000000"/>
                <w:spacing w:val="1"/>
                <w:shd w:val="solid" w:color="000000" w:fill="000000"/>
                <w:fitText w:val="330" w:id="-628958708"/>
                <w14:textFill>
                  <w14:solidFill>
                    <w14:srgbClr w14:val="000000">
                      <w14:alpha w14:val="100000"/>
                    </w14:srgbClr>
                  </w14:solidFill>
                </w14:textFill>
              </w:rPr>
              <w:t>|</w:t>
            </w:r>
            <w:r w:rsidR="009745EA">
              <w:t xml:space="preserve"> months</w:t>
            </w:r>
            <w:r w:rsidR="001B3EF3" w:rsidRPr="6A7C443A">
              <w:rPr>
                <w:vertAlign w:val="superscript"/>
              </w:rPr>
              <w:t>a</w:t>
            </w:r>
          </w:p>
        </w:tc>
        <w:tc>
          <w:tcPr>
            <w:tcW w:w="1190" w:type="pct"/>
            <w:vAlign w:val="center"/>
          </w:tcPr>
          <w:p w14:paraId="2FD07E8B" w14:textId="29D392F6" w:rsidR="009745EA" w:rsidRPr="00C42502" w:rsidRDefault="00B50819" w:rsidP="00A12328">
            <w:pPr>
              <w:pStyle w:val="TableText0"/>
              <w:jc w:val="center"/>
            </w:pPr>
            <w:r w:rsidRPr="00B50819">
              <w:rPr>
                <w:color w:val="000000"/>
                <w:spacing w:val="53"/>
                <w:shd w:val="solid" w:color="000000" w:fill="000000"/>
                <w:fitText w:val="330" w:id="-628958707"/>
                <w14:textFill>
                  <w14:solidFill>
                    <w14:srgbClr w14:val="000000">
                      <w14:alpha w14:val="100000"/>
                    </w14:srgbClr>
                  </w14:solidFill>
                </w14:textFill>
              </w:rPr>
              <w:t>|||</w:t>
            </w:r>
            <w:r w:rsidRPr="00B50819">
              <w:rPr>
                <w:color w:val="000000"/>
                <w:spacing w:val="1"/>
                <w:shd w:val="solid" w:color="000000" w:fill="000000"/>
                <w:fitText w:val="330" w:id="-628958707"/>
                <w14:textFill>
                  <w14:solidFill>
                    <w14:srgbClr w14:val="000000">
                      <w14:alpha w14:val="100000"/>
                    </w14:srgbClr>
                  </w14:solidFill>
                </w14:textFill>
              </w:rPr>
              <w:t>|</w:t>
            </w:r>
            <w:r w:rsidR="009745EA" w:rsidRPr="00C42502">
              <w:t xml:space="preserve"> months</w:t>
            </w:r>
          </w:p>
        </w:tc>
        <w:tc>
          <w:tcPr>
            <w:tcW w:w="1194" w:type="pct"/>
            <w:vAlign w:val="center"/>
          </w:tcPr>
          <w:p w14:paraId="6C936E30" w14:textId="7CB9E269" w:rsidR="009745EA" w:rsidRPr="00C42502" w:rsidRDefault="00B50819" w:rsidP="00A12328">
            <w:pPr>
              <w:pStyle w:val="TableText0"/>
              <w:jc w:val="center"/>
            </w:pPr>
            <w:r w:rsidRPr="00B50819">
              <w:rPr>
                <w:color w:val="000000"/>
                <w:spacing w:val="53"/>
                <w:shd w:val="solid" w:color="000000" w:fill="000000"/>
                <w:fitText w:val="330" w:id="-628958706"/>
                <w14:textFill>
                  <w14:solidFill>
                    <w14:srgbClr w14:val="000000">
                      <w14:alpha w14:val="100000"/>
                    </w14:srgbClr>
                  </w14:solidFill>
                </w14:textFill>
              </w:rPr>
              <w:t>|||</w:t>
            </w:r>
            <w:r w:rsidRPr="00B50819">
              <w:rPr>
                <w:color w:val="000000"/>
                <w:spacing w:val="1"/>
                <w:shd w:val="solid" w:color="000000" w:fill="000000"/>
                <w:fitText w:val="330" w:id="-628958706"/>
                <w14:textFill>
                  <w14:solidFill>
                    <w14:srgbClr w14:val="000000">
                      <w14:alpha w14:val="100000"/>
                    </w14:srgbClr>
                  </w14:solidFill>
                </w14:textFill>
              </w:rPr>
              <w:t>|</w:t>
            </w:r>
            <w:r w:rsidR="009745EA">
              <w:t xml:space="preserve"> months</w:t>
            </w:r>
          </w:p>
        </w:tc>
      </w:tr>
      <w:tr w:rsidR="009745EA" w:rsidRPr="00E2771E" w14:paraId="2414082F" w14:textId="77777777" w:rsidTr="6A7C443A">
        <w:trPr>
          <w:cantSplit/>
          <w:jc w:val="center"/>
        </w:trPr>
        <w:tc>
          <w:tcPr>
            <w:tcW w:w="1584" w:type="pct"/>
            <w:vAlign w:val="center"/>
          </w:tcPr>
          <w:p w14:paraId="1A1A775E" w14:textId="77777777" w:rsidR="009745EA" w:rsidRPr="00C42502" w:rsidRDefault="009745EA" w:rsidP="00A12328">
            <w:pPr>
              <w:pStyle w:val="TableText0"/>
            </w:pPr>
            <w:r w:rsidRPr="00C42502">
              <w:t>Cost/patient/month</w:t>
            </w:r>
          </w:p>
        </w:tc>
        <w:tc>
          <w:tcPr>
            <w:tcW w:w="1032" w:type="pct"/>
            <w:vAlign w:val="center"/>
          </w:tcPr>
          <w:p w14:paraId="046200BB" w14:textId="7EF55DF9" w:rsidR="009745EA" w:rsidRPr="00C42502" w:rsidRDefault="008A6AAE" w:rsidP="00A12328">
            <w:pPr>
              <w:pStyle w:val="TableText0"/>
              <w:jc w:val="center"/>
            </w:pPr>
            <w:r>
              <w:t>$</w:t>
            </w:r>
            <w:r w:rsidR="00B50819" w:rsidRPr="00B50819">
              <w:rPr>
                <w:color w:val="000000"/>
                <w:spacing w:val="53"/>
                <w:shd w:val="solid" w:color="000000" w:fill="000000"/>
                <w:fitText w:val="330" w:id="-628958705"/>
                <w14:textFill>
                  <w14:solidFill>
                    <w14:srgbClr w14:val="000000">
                      <w14:alpha w14:val="100000"/>
                    </w14:srgbClr>
                  </w14:solidFill>
                </w14:textFill>
              </w:rPr>
              <w:t>|||</w:t>
            </w:r>
            <w:r w:rsidR="00B50819" w:rsidRPr="00B50819">
              <w:rPr>
                <w:color w:val="000000"/>
                <w:spacing w:val="1"/>
                <w:shd w:val="solid" w:color="000000" w:fill="000000"/>
                <w:fitText w:val="330" w:id="-628958705"/>
                <w14:textFill>
                  <w14:solidFill>
                    <w14:srgbClr w14:val="000000">
                      <w14:alpha w14:val="100000"/>
                    </w14:srgbClr>
                  </w14:solidFill>
                </w14:textFill>
              </w:rPr>
              <w:t>|</w:t>
            </w:r>
          </w:p>
        </w:tc>
        <w:tc>
          <w:tcPr>
            <w:tcW w:w="1190" w:type="pct"/>
            <w:vAlign w:val="center"/>
          </w:tcPr>
          <w:p w14:paraId="3EC2C686" w14:textId="0052C4B1" w:rsidR="009745EA" w:rsidRPr="00C42502" w:rsidRDefault="009745EA" w:rsidP="00A12328">
            <w:pPr>
              <w:pStyle w:val="TableText0"/>
              <w:jc w:val="center"/>
            </w:pPr>
            <w:r w:rsidRPr="00C42502">
              <w:t>$</w:t>
            </w:r>
            <w:r w:rsidR="00B50819" w:rsidRPr="00B50819">
              <w:rPr>
                <w:color w:val="000000"/>
                <w:spacing w:val="53"/>
                <w:shd w:val="solid" w:color="000000" w:fill="000000"/>
                <w:fitText w:val="330" w:id="-628958704"/>
                <w14:textFill>
                  <w14:solidFill>
                    <w14:srgbClr w14:val="000000">
                      <w14:alpha w14:val="100000"/>
                    </w14:srgbClr>
                  </w14:solidFill>
                </w14:textFill>
              </w:rPr>
              <w:t>|||</w:t>
            </w:r>
            <w:r w:rsidR="00B50819" w:rsidRPr="00B50819">
              <w:rPr>
                <w:color w:val="000000"/>
                <w:spacing w:val="1"/>
                <w:shd w:val="solid" w:color="000000" w:fill="000000"/>
                <w:fitText w:val="330" w:id="-628958704"/>
                <w14:textFill>
                  <w14:solidFill>
                    <w14:srgbClr w14:val="000000">
                      <w14:alpha w14:val="100000"/>
                    </w14:srgbClr>
                  </w14:solidFill>
                </w14:textFill>
              </w:rPr>
              <w:t>|</w:t>
            </w:r>
          </w:p>
        </w:tc>
        <w:tc>
          <w:tcPr>
            <w:tcW w:w="1194" w:type="pct"/>
            <w:vAlign w:val="center"/>
          </w:tcPr>
          <w:p w14:paraId="5146CC2F" w14:textId="4A878D37" w:rsidR="009745EA" w:rsidRPr="00C42502" w:rsidRDefault="009745EA" w:rsidP="00A12328">
            <w:pPr>
              <w:pStyle w:val="TableText0"/>
              <w:jc w:val="center"/>
            </w:pPr>
            <w:r w:rsidRPr="00C42502">
              <w:t>$</w:t>
            </w:r>
            <w:r w:rsidR="00B50819" w:rsidRPr="00B50819">
              <w:rPr>
                <w:color w:val="000000"/>
                <w:spacing w:val="53"/>
                <w:shd w:val="solid" w:color="000000" w:fill="000000"/>
                <w:fitText w:val="330" w:id="-628958720"/>
                <w14:textFill>
                  <w14:solidFill>
                    <w14:srgbClr w14:val="000000">
                      <w14:alpha w14:val="100000"/>
                    </w14:srgbClr>
                  </w14:solidFill>
                </w14:textFill>
              </w:rPr>
              <w:t>|||</w:t>
            </w:r>
            <w:r w:rsidR="00B50819" w:rsidRPr="00B50819">
              <w:rPr>
                <w:color w:val="000000"/>
                <w:spacing w:val="1"/>
                <w:shd w:val="solid" w:color="000000" w:fill="000000"/>
                <w:fitText w:val="330" w:id="-628958720"/>
                <w14:textFill>
                  <w14:solidFill>
                    <w14:srgbClr w14:val="000000">
                      <w14:alpha w14:val="100000"/>
                    </w14:srgbClr>
                  </w14:solidFill>
                </w14:textFill>
              </w:rPr>
              <w:t>|</w:t>
            </w:r>
          </w:p>
        </w:tc>
      </w:tr>
      <w:tr w:rsidR="009745EA" w:rsidRPr="00E2771E" w14:paraId="6C5ADF6E" w14:textId="77777777" w:rsidTr="6A7C443A">
        <w:trPr>
          <w:cantSplit/>
          <w:jc w:val="center"/>
        </w:trPr>
        <w:tc>
          <w:tcPr>
            <w:tcW w:w="1584" w:type="pct"/>
            <w:vAlign w:val="center"/>
          </w:tcPr>
          <w:p w14:paraId="2F8AB623" w14:textId="77777777" w:rsidR="009745EA" w:rsidRPr="00C42502" w:rsidRDefault="009745EA" w:rsidP="00A12328">
            <w:pPr>
              <w:pStyle w:val="TableText0"/>
            </w:pPr>
            <w:r w:rsidRPr="00C42502">
              <w:t>Cost/patient/course</w:t>
            </w:r>
          </w:p>
        </w:tc>
        <w:tc>
          <w:tcPr>
            <w:tcW w:w="1032" w:type="pct"/>
            <w:vAlign w:val="center"/>
          </w:tcPr>
          <w:p w14:paraId="777A25FE" w14:textId="0E21A27E" w:rsidR="009745EA" w:rsidRPr="003F273D" w:rsidRDefault="008A6AAE" w:rsidP="00A12328">
            <w:pPr>
              <w:pStyle w:val="TableText0"/>
              <w:jc w:val="center"/>
            </w:pPr>
            <w:r w:rsidRPr="003F273D">
              <w:t>$</w:t>
            </w:r>
            <w:r w:rsidR="00B50819" w:rsidRPr="00B50819">
              <w:rPr>
                <w:color w:val="000000"/>
                <w:spacing w:val="53"/>
                <w:shd w:val="solid" w:color="000000" w:fill="000000"/>
                <w:fitText w:val="330" w:id="-628958719"/>
                <w14:textFill>
                  <w14:solidFill>
                    <w14:srgbClr w14:val="000000">
                      <w14:alpha w14:val="100000"/>
                    </w14:srgbClr>
                  </w14:solidFill>
                </w14:textFill>
              </w:rPr>
              <w:t>|||</w:t>
            </w:r>
            <w:r w:rsidR="00B50819" w:rsidRPr="00B50819">
              <w:rPr>
                <w:color w:val="000000"/>
                <w:spacing w:val="1"/>
                <w:shd w:val="solid" w:color="000000" w:fill="000000"/>
                <w:fitText w:val="330" w:id="-628958719"/>
                <w14:textFill>
                  <w14:solidFill>
                    <w14:srgbClr w14:val="000000">
                      <w14:alpha w14:val="100000"/>
                    </w14:srgbClr>
                  </w14:solidFill>
                </w14:textFill>
              </w:rPr>
              <w:t>|</w:t>
            </w:r>
          </w:p>
        </w:tc>
        <w:tc>
          <w:tcPr>
            <w:tcW w:w="1190" w:type="pct"/>
            <w:vAlign w:val="center"/>
          </w:tcPr>
          <w:p w14:paraId="241073D7" w14:textId="2B448DB5" w:rsidR="009745EA" w:rsidRPr="003F273D" w:rsidRDefault="009745EA" w:rsidP="00A12328">
            <w:pPr>
              <w:pStyle w:val="TableText0"/>
              <w:jc w:val="center"/>
            </w:pPr>
            <w:r w:rsidRPr="003F273D">
              <w:t>$</w:t>
            </w:r>
            <w:r w:rsidR="00B50819" w:rsidRPr="00B50819">
              <w:rPr>
                <w:color w:val="000000"/>
                <w:spacing w:val="53"/>
                <w:shd w:val="solid" w:color="000000" w:fill="000000"/>
                <w:fitText w:val="330" w:id="-628958718"/>
                <w14:textFill>
                  <w14:solidFill>
                    <w14:srgbClr w14:val="000000">
                      <w14:alpha w14:val="100000"/>
                    </w14:srgbClr>
                  </w14:solidFill>
                </w14:textFill>
              </w:rPr>
              <w:t>|||</w:t>
            </w:r>
            <w:r w:rsidR="00B50819" w:rsidRPr="00B50819">
              <w:rPr>
                <w:color w:val="000000"/>
                <w:spacing w:val="1"/>
                <w:shd w:val="solid" w:color="000000" w:fill="000000"/>
                <w:fitText w:val="330" w:id="-628958718"/>
                <w14:textFill>
                  <w14:solidFill>
                    <w14:srgbClr w14:val="000000">
                      <w14:alpha w14:val="100000"/>
                    </w14:srgbClr>
                  </w14:solidFill>
                </w14:textFill>
              </w:rPr>
              <w:t>|</w:t>
            </w:r>
          </w:p>
        </w:tc>
        <w:tc>
          <w:tcPr>
            <w:tcW w:w="1194" w:type="pct"/>
            <w:vAlign w:val="center"/>
          </w:tcPr>
          <w:p w14:paraId="2638CE9B" w14:textId="798F627F" w:rsidR="009745EA" w:rsidRPr="003F273D" w:rsidRDefault="009745EA" w:rsidP="00A12328">
            <w:pPr>
              <w:pStyle w:val="TableText0"/>
              <w:jc w:val="center"/>
            </w:pPr>
            <w:r w:rsidRPr="003F273D">
              <w:t>$</w:t>
            </w:r>
            <w:r w:rsidR="00B50819" w:rsidRPr="00B50819">
              <w:rPr>
                <w:color w:val="000000"/>
                <w:spacing w:val="53"/>
                <w:shd w:val="solid" w:color="000000" w:fill="000000"/>
                <w:fitText w:val="330" w:id="-628958717"/>
                <w14:textFill>
                  <w14:solidFill>
                    <w14:srgbClr w14:val="000000">
                      <w14:alpha w14:val="100000"/>
                    </w14:srgbClr>
                  </w14:solidFill>
                </w14:textFill>
              </w:rPr>
              <w:t>|||</w:t>
            </w:r>
            <w:r w:rsidR="00B50819" w:rsidRPr="00B50819">
              <w:rPr>
                <w:color w:val="000000"/>
                <w:spacing w:val="1"/>
                <w:shd w:val="solid" w:color="000000" w:fill="000000"/>
                <w:fitText w:val="330" w:id="-628958717"/>
                <w14:textFill>
                  <w14:solidFill>
                    <w14:srgbClr w14:val="000000">
                      <w14:alpha w14:val="100000"/>
                    </w14:srgbClr>
                  </w14:solidFill>
                </w14:textFill>
              </w:rPr>
              <w:t>|</w:t>
            </w:r>
          </w:p>
        </w:tc>
      </w:tr>
    </w:tbl>
    <w:p w14:paraId="5F194C6B" w14:textId="7FC30013" w:rsidR="009745EA" w:rsidRDefault="009745EA" w:rsidP="00A12328">
      <w:pPr>
        <w:pStyle w:val="FooterTableFigure"/>
      </w:pPr>
      <w:r w:rsidRPr="007F1017">
        <w:t>Source:</w:t>
      </w:r>
      <w:r>
        <w:t xml:space="preserve"> </w:t>
      </w:r>
      <w:r w:rsidR="003F273D" w:rsidRPr="003F273D">
        <w:t>C</w:t>
      </w:r>
      <w:r w:rsidRPr="003F273D">
        <w:t>ompiled during the evaluation</w:t>
      </w:r>
      <w:r w:rsidRPr="007463EE">
        <w:t xml:space="preserve"> from economic and financial model assumptions.</w:t>
      </w:r>
    </w:p>
    <w:p w14:paraId="2DCFE61F" w14:textId="441C19AD" w:rsidR="001B3EF3" w:rsidRDefault="001B3EF3" w:rsidP="00A12328">
      <w:pPr>
        <w:pStyle w:val="FooterTableFigure"/>
      </w:pPr>
      <w:r w:rsidRPr="001B3EF3">
        <w:rPr>
          <w:vertAlign w:val="superscript"/>
        </w:rPr>
        <w:t>a</w:t>
      </w:r>
      <w:r w:rsidRPr="001B3EF3">
        <w:rPr>
          <w:vertAlign w:val="superscript"/>
        </w:rPr>
        <w:tab/>
      </w:r>
      <w:r w:rsidRPr="001B3EF3">
        <w:t>median ti</w:t>
      </w:r>
      <w:r>
        <w:t>me to treatment discontinuation (TTD) in the LAURA trial</w:t>
      </w:r>
    </w:p>
    <w:p w14:paraId="0F951E1D" w14:textId="77777777" w:rsidR="005B4977" w:rsidRPr="005B4977" w:rsidRDefault="005B4977" w:rsidP="005B4977">
      <w:pPr>
        <w:pStyle w:val="FooterTableFigure"/>
      </w:pPr>
      <w:r w:rsidRPr="005B4977">
        <w:rPr>
          <w:vertAlign w:val="superscript"/>
        </w:rPr>
        <w:t>b</w:t>
      </w:r>
      <w:r w:rsidRPr="005B4977">
        <w:tab/>
        <w:t>based on the median PFS of 39.1 months in the LAURA trial. When the maximum duration of treatment in the model was set to 67 months, the mean duration of osimertinib treatment in the model was |||| |||| months. Estimated PBS usage &amp; financial implications</w:t>
      </w:r>
    </w:p>
    <w:p w14:paraId="2D78D103" w14:textId="38964917" w:rsidR="00821788" w:rsidRDefault="009745EA" w:rsidP="00A12328">
      <w:pPr>
        <w:pStyle w:val="3-BodyText"/>
        <w:spacing w:before="0"/>
      </w:pPr>
      <w:r w:rsidRPr="00BE1B2D">
        <w:t xml:space="preserve">This </w:t>
      </w:r>
      <w:r w:rsidRPr="00657120">
        <w:t>submission w</w:t>
      </w:r>
      <w:r w:rsidR="00C24780">
        <w:t>as not</w:t>
      </w:r>
      <w:r w:rsidRPr="00657120">
        <w:t xml:space="preserve"> considered</w:t>
      </w:r>
      <w:r w:rsidRPr="00BE1B2D">
        <w:t xml:space="preserve"> by DUSC. </w:t>
      </w:r>
    </w:p>
    <w:p w14:paraId="4CF3BDB7" w14:textId="0CB8D417" w:rsidR="009745EA" w:rsidRPr="00BE1B2D" w:rsidRDefault="009745EA" w:rsidP="00A12328">
      <w:pPr>
        <w:pStyle w:val="3-BodyText"/>
        <w:spacing w:before="0"/>
      </w:pPr>
      <w:r w:rsidRPr="00BE1B2D">
        <w:t xml:space="preserve">The financial analysis used an epidemiological approach to estimate the financial impacts of the proposed listing of osimertinib. The key inputs in the financial analysis are summarised in </w:t>
      </w:r>
      <w:r w:rsidR="006C530F">
        <w:fldChar w:fldCharType="begin"/>
      </w:r>
      <w:r w:rsidR="006C530F">
        <w:instrText xml:space="preserve"> REF _Ref198210643 \h </w:instrText>
      </w:r>
      <w:r w:rsidR="006C530F">
        <w:fldChar w:fldCharType="separate"/>
      </w:r>
      <w:r w:rsidR="009F3D59">
        <w:t xml:space="preserve">Table </w:t>
      </w:r>
      <w:r w:rsidR="009F3D59">
        <w:rPr>
          <w:noProof/>
        </w:rPr>
        <w:t>18</w:t>
      </w:r>
      <w:r w:rsidR="006C530F">
        <w:fldChar w:fldCharType="end"/>
      </w:r>
      <w:r w:rsidRPr="00C42502">
        <w:t>.</w:t>
      </w:r>
      <w:r w:rsidRPr="00BE1B2D">
        <w:t xml:space="preserve"> </w:t>
      </w:r>
    </w:p>
    <w:p w14:paraId="56069771" w14:textId="2088C151" w:rsidR="009745EA" w:rsidRPr="007463EE" w:rsidRDefault="009745EA" w:rsidP="00A12328">
      <w:pPr>
        <w:pStyle w:val="Caption"/>
        <w:rPr>
          <w:szCs w:val="24"/>
        </w:rPr>
      </w:pPr>
      <w:bookmarkStart w:id="83" w:name="_Ref198210643"/>
      <w:r>
        <w:t xml:space="preserve">Table </w:t>
      </w:r>
      <w:r w:rsidR="002E1944">
        <w:fldChar w:fldCharType="begin"/>
      </w:r>
      <w:r w:rsidR="002E1944">
        <w:instrText xml:space="preserve"> SEQ Table \* ARABIC </w:instrText>
      </w:r>
      <w:r w:rsidR="002E1944">
        <w:fldChar w:fldCharType="separate"/>
      </w:r>
      <w:r w:rsidR="009F3D59">
        <w:rPr>
          <w:noProof/>
        </w:rPr>
        <w:t>18</w:t>
      </w:r>
      <w:r w:rsidR="002E1944">
        <w:rPr>
          <w:noProof/>
        </w:rPr>
        <w:fldChar w:fldCharType="end"/>
      </w:r>
      <w:bookmarkEnd w:id="83"/>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inputs for financial estimates"/>
      </w:tblPr>
      <w:tblGrid>
        <w:gridCol w:w="1554"/>
        <w:gridCol w:w="3261"/>
        <w:gridCol w:w="4202"/>
      </w:tblGrid>
      <w:tr w:rsidR="009745EA" w:rsidRPr="003D1DE4" w14:paraId="487D4157" w14:textId="77777777">
        <w:trPr>
          <w:tblHeader/>
        </w:trPr>
        <w:tc>
          <w:tcPr>
            <w:tcW w:w="862" w:type="pct"/>
            <w:vAlign w:val="center"/>
          </w:tcPr>
          <w:p w14:paraId="55EC9ECB" w14:textId="77777777" w:rsidR="009745EA" w:rsidRPr="00C42502" w:rsidRDefault="009745EA" w:rsidP="00A12328">
            <w:pPr>
              <w:pStyle w:val="In-tableHeading"/>
              <w:keepLines/>
              <w:rPr>
                <w:lang w:val="en-AU"/>
              </w:rPr>
            </w:pPr>
            <w:r w:rsidRPr="00C42502">
              <w:rPr>
                <w:lang w:val="en-AU"/>
              </w:rPr>
              <w:t>Parameter</w:t>
            </w:r>
          </w:p>
        </w:tc>
        <w:tc>
          <w:tcPr>
            <w:tcW w:w="1808" w:type="pct"/>
            <w:vAlign w:val="center"/>
          </w:tcPr>
          <w:p w14:paraId="7194BC4B" w14:textId="77777777" w:rsidR="009745EA" w:rsidRPr="00C42502" w:rsidRDefault="009745EA" w:rsidP="00A12328">
            <w:pPr>
              <w:pStyle w:val="In-tableHeading"/>
              <w:keepLines/>
              <w:rPr>
                <w:lang w:val="en-AU"/>
              </w:rPr>
            </w:pPr>
            <w:r w:rsidRPr="00C42502">
              <w:rPr>
                <w:lang w:val="en-AU"/>
              </w:rPr>
              <w:t>Value applied and source</w:t>
            </w:r>
          </w:p>
        </w:tc>
        <w:tc>
          <w:tcPr>
            <w:tcW w:w="2330" w:type="pct"/>
            <w:vAlign w:val="center"/>
          </w:tcPr>
          <w:p w14:paraId="72086E52" w14:textId="5661876C" w:rsidR="009745EA" w:rsidRPr="00C42502" w:rsidRDefault="004F7EA4" w:rsidP="00A12328">
            <w:pPr>
              <w:pStyle w:val="In-tableHeading"/>
              <w:keepLines/>
              <w:rPr>
                <w:lang w:val="en-AU"/>
              </w:rPr>
            </w:pPr>
            <w:r>
              <w:rPr>
                <w:lang w:val="en-AU"/>
              </w:rPr>
              <w:t>Evaluation c</w:t>
            </w:r>
            <w:r w:rsidR="009745EA" w:rsidRPr="00C42502">
              <w:rPr>
                <w:lang w:val="en-AU"/>
              </w:rPr>
              <w:t>omment</w:t>
            </w:r>
          </w:p>
        </w:tc>
      </w:tr>
      <w:tr w:rsidR="009745EA" w:rsidRPr="00E2771E" w14:paraId="0EC446D7" w14:textId="77777777">
        <w:tc>
          <w:tcPr>
            <w:tcW w:w="862" w:type="pct"/>
            <w:vAlign w:val="center"/>
          </w:tcPr>
          <w:p w14:paraId="084082B2" w14:textId="77777777" w:rsidR="009745EA" w:rsidRPr="00C42502" w:rsidRDefault="009745EA" w:rsidP="00A12328">
            <w:pPr>
              <w:pStyle w:val="TableText0"/>
              <w:keepLines/>
            </w:pPr>
            <w:r w:rsidRPr="00C42502">
              <w:t>Incident cases of lung cancer</w:t>
            </w:r>
          </w:p>
        </w:tc>
        <w:tc>
          <w:tcPr>
            <w:tcW w:w="1808" w:type="pct"/>
            <w:vAlign w:val="center"/>
          </w:tcPr>
          <w:p w14:paraId="2DE2A335" w14:textId="3A16E6AC" w:rsidR="009745EA" w:rsidRPr="00346312" w:rsidRDefault="009745EA" w:rsidP="00A12328">
            <w:pPr>
              <w:pStyle w:val="TableText0"/>
              <w:keepLines/>
              <w:rPr>
                <w:szCs w:val="20"/>
              </w:rPr>
            </w:pPr>
            <w:r w:rsidRPr="00346312">
              <w:rPr>
                <w:szCs w:val="20"/>
              </w:rPr>
              <w:t>16,138 in Yr 1 (2026) to 19,039 in Yr 6 (2031)</w:t>
            </w:r>
            <w:r w:rsidR="00865516">
              <w:rPr>
                <w:szCs w:val="20"/>
              </w:rPr>
              <w:t>.</w:t>
            </w:r>
          </w:p>
          <w:p w14:paraId="6A9BF919" w14:textId="670B157A" w:rsidR="009745EA" w:rsidRPr="00C42502" w:rsidRDefault="009745EA" w:rsidP="00A12328">
            <w:pPr>
              <w:pStyle w:val="TableText0"/>
              <w:keepLines/>
            </w:pPr>
            <w:r w:rsidRPr="00346312">
              <w:rPr>
                <w:szCs w:val="20"/>
              </w:rPr>
              <w:t>AIHW Cancer Data in Australia 2024 web report and supplementary data tables</w:t>
            </w:r>
            <w:r w:rsidR="00346312">
              <w:rPr>
                <w:szCs w:val="20"/>
              </w:rPr>
              <w:t>.</w:t>
            </w:r>
          </w:p>
        </w:tc>
        <w:tc>
          <w:tcPr>
            <w:tcW w:w="2330" w:type="pct"/>
            <w:vAlign w:val="center"/>
          </w:tcPr>
          <w:p w14:paraId="7CB033E8" w14:textId="77777777" w:rsidR="009745EA" w:rsidRPr="003F273D" w:rsidRDefault="009745EA" w:rsidP="00A12328">
            <w:pPr>
              <w:pStyle w:val="TableText0"/>
              <w:keepLines/>
              <w:rPr>
                <w:iCs/>
                <w:szCs w:val="20"/>
              </w:rPr>
            </w:pPr>
            <w:r w:rsidRPr="003F273D">
              <w:rPr>
                <w:iCs/>
                <w:szCs w:val="20"/>
              </w:rPr>
              <w:t>Appropriate.</w:t>
            </w:r>
          </w:p>
        </w:tc>
      </w:tr>
      <w:tr w:rsidR="009745EA" w:rsidRPr="00E2771E" w14:paraId="5ECCFA41" w14:textId="77777777">
        <w:tc>
          <w:tcPr>
            <w:tcW w:w="862" w:type="pct"/>
            <w:shd w:val="clear" w:color="auto" w:fill="FFFFFF" w:themeFill="background1"/>
          </w:tcPr>
          <w:p w14:paraId="1ADE6DD0" w14:textId="77777777" w:rsidR="009745EA" w:rsidRPr="009520E0" w:rsidRDefault="009745EA" w:rsidP="00A12328">
            <w:pPr>
              <w:pStyle w:val="TableText0"/>
              <w:keepLines/>
              <w:rPr>
                <w:szCs w:val="20"/>
              </w:rPr>
            </w:pPr>
            <w:r w:rsidRPr="009520E0">
              <w:rPr>
                <w:szCs w:val="20"/>
              </w:rPr>
              <w:t>Proportion NSCLC</w:t>
            </w:r>
          </w:p>
        </w:tc>
        <w:tc>
          <w:tcPr>
            <w:tcW w:w="1808" w:type="pct"/>
            <w:shd w:val="clear" w:color="auto" w:fill="FFFFFF" w:themeFill="background1"/>
          </w:tcPr>
          <w:p w14:paraId="622797E2" w14:textId="77777777" w:rsidR="009745EA" w:rsidRPr="009520E0" w:rsidRDefault="009745EA" w:rsidP="00A12328">
            <w:pPr>
              <w:pStyle w:val="TableText0"/>
              <w:keepLines/>
              <w:rPr>
                <w:szCs w:val="20"/>
              </w:rPr>
            </w:pPr>
            <w:r w:rsidRPr="009520E0">
              <w:rPr>
                <w:szCs w:val="20"/>
              </w:rPr>
              <w:t>87.81% - Victorian Cancer Registry 2024.</w:t>
            </w:r>
          </w:p>
        </w:tc>
        <w:tc>
          <w:tcPr>
            <w:tcW w:w="2330" w:type="pct"/>
            <w:vAlign w:val="center"/>
          </w:tcPr>
          <w:p w14:paraId="23FA9258" w14:textId="77777777" w:rsidR="009745EA" w:rsidRPr="003F273D" w:rsidRDefault="009745EA" w:rsidP="00A12328">
            <w:pPr>
              <w:pStyle w:val="TableText0"/>
              <w:keepLines/>
              <w:rPr>
                <w:iCs/>
                <w:szCs w:val="20"/>
              </w:rPr>
            </w:pPr>
            <w:r w:rsidRPr="003F273D">
              <w:rPr>
                <w:iCs/>
                <w:szCs w:val="20"/>
              </w:rPr>
              <w:t>Appropriate.</w:t>
            </w:r>
          </w:p>
        </w:tc>
      </w:tr>
      <w:tr w:rsidR="009745EA" w:rsidRPr="00E2771E" w14:paraId="7DDAE2DD" w14:textId="77777777">
        <w:tc>
          <w:tcPr>
            <w:tcW w:w="862" w:type="pct"/>
            <w:shd w:val="clear" w:color="auto" w:fill="FFFFFF" w:themeFill="background1"/>
          </w:tcPr>
          <w:p w14:paraId="78A989F8" w14:textId="77777777" w:rsidR="009745EA" w:rsidRPr="009520E0" w:rsidRDefault="009745EA" w:rsidP="00A12328">
            <w:pPr>
              <w:pStyle w:val="TableText0"/>
              <w:keepLines/>
              <w:rPr>
                <w:szCs w:val="20"/>
              </w:rPr>
            </w:pPr>
            <w:r w:rsidRPr="009520E0">
              <w:rPr>
                <w:szCs w:val="20"/>
              </w:rPr>
              <w:t>Proportion of NSCLC with Stage III disease</w:t>
            </w:r>
          </w:p>
        </w:tc>
        <w:tc>
          <w:tcPr>
            <w:tcW w:w="1808" w:type="pct"/>
            <w:shd w:val="clear" w:color="auto" w:fill="FFFFFF" w:themeFill="background1"/>
          </w:tcPr>
          <w:p w14:paraId="1B1EE0B0" w14:textId="4F40223E" w:rsidR="009745EA" w:rsidRPr="009520E0" w:rsidRDefault="009745EA" w:rsidP="00A12328">
            <w:pPr>
              <w:pStyle w:val="TableText0"/>
              <w:keepLines/>
              <w:rPr>
                <w:szCs w:val="20"/>
              </w:rPr>
            </w:pPr>
            <w:r w:rsidRPr="009520E0">
              <w:rPr>
                <w:szCs w:val="20"/>
              </w:rPr>
              <w:t>27.2% - Wainer 2018</w:t>
            </w:r>
          </w:p>
        </w:tc>
        <w:tc>
          <w:tcPr>
            <w:tcW w:w="2330" w:type="pct"/>
            <w:vAlign w:val="center"/>
          </w:tcPr>
          <w:p w14:paraId="0A9E8181" w14:textId="777A5521" w:rsidR="009745EA" w:rsidRPr="003F273D" w:rsidRDefault="008A6AAE" w:rsidP="00A12328">
            <w:pPr>
              <w:pStyle w:val="TableText0"/>
              <w:keepLines/>
              <w:rPr>
                <w:iCs/>
                <w:szCs w:val="20"/>
              </w:rPr>
            </w:pPr>
            <w:r w:rsidRPr="003F273D">
              <w:rPr>
                <w:iCs/>
                <w:szCs w:val="20"/>
              </w:rPr>
              <w:t>Likely</w:t>
            </w:r>
            <w:r w:rsidR="009745EA" w:rsidRPr="003F273D">
              <w:rPr>
                <w:iCs/>
                <w:szCs w:val="20"/>
              </w:rPr>
              <w:t xml:space="preserve"> over-estimated</w:t>
            </w:r>
            <w:r w:rsidR="00077D53" w:rsidRPr="003F273D">
              <w:rPr>
                <w:iCs/>
                <w:szCs w:val="20"/>
              </w:rPr>
              <w:t xml:space="preserve"> based on a fairly small sample size of 555 patients</w:t>
            </w:r>
            <w:r w:rsidR="009745EA" w:rsidRPr="003F273D">
              <w:rPr>
                <w:iCs/>
                <w:szCs w:val="20"/>
              </w:rPr>
              <w:t>. The VLCR 2023 annual report</w:t>
            </w:r>
            <w:r w:rsidR="009745EA" w:rsidRPr="003F273D">
              <w:rPr>
                <w:rStyle w:val="FootnoteReference"/>
                <w:iCs/>
                <w:szCs w:val="20"/>
              </w:rPr>
              <w:footnoteReference w:id="21"/>
            </w:r>
            <w:r w:rsidR="00551751" w:rsidRPr="003F273D">
              <w:rPr>
                <w:iCs/>
                <w:szCs w:val="20"/>
              </w:rPr>
              <w:t>, w</w:t>
            </w:r>
            <w:r w:rsidR="004F0B7F" w:rsidRPr="003F273D">
              <w:rPr>
                <w:iCs/>
                <w:szCs w:val="20"/>
              </w:rPr>
              <w:t>ith</w:t>
            </w:r>
            <w:r w:rsidR="00551751" w:rsidRPr="003F273D">
              <w:rPr>
                <w:iCs/>
                <w:szCs w:val="20"/>
              </w:rPr>
              <w:t xml:space="preserve"> 19,757 patients recruited to the VLCR registry</w:t>
            </w:r>
            <w:r w:rsidR="009745EA" w:rsidRPr="003F273D">
              <w:rPr>
                <w:iCs/>
                <w:szCs w:val="20"/>
              </w:rPr>
              <w:t xml:space="preserve"> (Figure 5)</w:t>
            </w:r>
            <w:r w:rsidR="00551751" w:rsidRPr="003F273D">
              <w:rPr>
                <w:iCs/>
                <w:szCs w:val="20"/>
              </w:rPr>
              <w:t>,</w:t>
            </w:r>
            <w:r w:rsidR="009745EA" w:rsidRPr="003F273D">
              <w:rPr>
                <w:iCs/>
                <w:szCs w:val="20"/>
              </w:rPr>
              <w:t xml:space="preserve"> found that 15% of NSCLC was Stage III</w:t>
            </w:r>
            <w:r w:rsidR="0073103B" w:rsidRPr="003F273D">
              <w:rPr>
                <w:iCs/>
                <w:szCs w:val="20"/>
              </w:rPr>
              <w:t xml:space="preserve"> at diagnosis</w:t>
            </w:r>
            <w:r w:rsidR="009745EA" w:rsidRPr="003F273D">
              <w:rPr>
                <w:iCs/>
                <w:szCs w:val="20"/>
              </w:rPr>
              <w:t>.</w:t>
            </w:r>
            <w:r w:rsidR="006258D4">
              <w:rPr>
                <w:iCs/>
                <w:szCs w:val="20"/>
              </w:rPr>
              <w:t xml:space="preserve"> </w:t>
            </w:r>
            <w:r w:rsidR="006258D4" w:rsidRPr="008569E4">
              <w:rPr>
                <w:iCs/>
                <w:szCs w:val="20"/>
              </w:rPr>
              <w:t>The PSCR</w:t>
            </w:r>
            <w:r w:rsidR="008B1CE5">
              <w:rPr>
                <w:iCs/>
                <w:szCs w:val="20"/>
              </w:rPr>
              <w:t xml:space="preserve"> and the pre-PBAC response</w:t>
            </w:r>
            <w:r w:rsidR="006258D4" w:rsidRPr="008569E4">
              <w:rPr>
                <w:iCs/>
                <w:szCs w:val="20"/>
              </w:rPr>
              <w:t xml:space="preserve"> maintained </w:t>
            </w:r>
            <w:r w:rsidR="0040052D" w:rsidRPr="008569E4">
              <w:rPr>
                <w:iCs/>
                <w:szCs w:val="20"/>
              </w:rPr>
              <w:t>that the estimate of 27.2% was substantiated by the broader literature.</w:t>
            </w:r>
          </w:p>
        </w:tc>
      </w:tr>
      <w:tr w:rsidR="009745EA" w:rsidRPr="00E2771E" w14:paraId="043A3271" w14:textId="77777777">
        <w:tc>
          <w:tcPr>
            <w:tcW w:w="862" w:type="pct"/>
            <w:shd w:val="clear" w:color="auto" w:fill="FFFFFF" w:themeFill="background1"/>
          </w:tcPr>
          <w:p w14:paraId="513E308B" w14:textId="77777777" w:rsidR="009745EA" w:rsidRPr="00C42502" w:rsidRDefault="009745EA" w:rsidP="00A12328">
            <w:pPr>
              <w:pStyle w:val="TableText0"/>
              <w:keepLines/>
              <w:rPr>
                <w:szCs w:val="20"/>
              </w:rPr>
            </w:pPr>
            <w:r w:rsidRPr="009520E0">
              <w:rPr>
                <w:szCs w:val="20"/>
              </w:rPr>
              <w:t>Proportion of Stage III NSCLC classified as unresectable</w:t>
            </w:r>
          </w:p>
        </w:tc>
        <w:tc>
          <w:tcPr>
            <w:tcW w:w="1808" w:type="pct"/>
            <w:shd w:val="clear" w:color="auto" w:fill="FFFFFF" w:themeFill="background1"/>
          </w:tcPr>
          <w:p w14:paraId="59D932DD" w14:textId="77777777" w:rsidR="009745EA" w:rsidRPr="009520E0" w:rsidRDefault="009745EA" w:rsidP="00A12328">
            <w:pPr>
              <w:pStyle w:val="TableText0"/>
              <w:keepLines/>
              <w:rPr>
                <w:szCs w:val="20"/>
              </w:rPr>
            </w:pPr>
            <w:r w:rsidRPr="009520E0">
              <w:rPr>
                <w:szCs w:val="20"/>
              </w:rPr>
              <w:t>79.10% -Data from VLCR for 2018-2021 on 1,044 Stage III patients; Sponsor-commissioned.</w:t>
            </w:r>
          </w:p>
        </w:tc>
        <w:tc>
          <w:tcPr>
            <w:tcW w:w="2330" w:type="pct"/>
            <w:vAlign w:val="center"/>
          </w:tcPr>
          <w:p w14:paraId="7C81377A" w14:textId="43742855" w:rsidR="004045DB" w:rsidRPr="003F273D" w:rsidRDefault="005C5D9C" w:rsidP="00A12328">
            <w:pPr>
              <w:pStyle w:val="TableText0"/>
              <w:keepLines/>
              <w:rPr>
                <w:iCs/>
                <w:szCs w:val="20"/>
              </w:rPr>
            </w:pPr>
            <w:r w:rsidRPr="003F273D">
              <w:rPr>
                <w:iCs/>
                <w:szCs w:val="20"/>
              </w:rPr>
              <w:t>Uncle</w:t>
            </w:r>
            <w:r w:rsidR="00206218" w:rsidRPr="003F273D">
              <w:rPr>
                <w:iCs/>
                <w:szCs w:val="20"/>
              </w:rPr>
              <w:t>ar</w:t>
            </w:r>
            <w:r w:rsidRPr="003F273D">
              <w:rPr>
                <w:iCs/>
                <w:szCs w:val="20"/>
              </w:rPr>
              <w:t xml:space="preserve"> whether the data was restricted to NSCLC patients</w:t>
            </w:r>
            <w:r w:rsidR="00BA6207" w:rsidRPr="003F273D">
              <w:rPr>
                <w:iCs/>
                <w:szCs w:val="20"/>
              </w:rPr>
              <w:t>,</w:t>
            </w:r>
            <w:r w:rsidRPr="003F273D">
              <w:rPr>
                <w:iCs/>
                <w:szCs w:val="20"/>
              </w:rPr>
              <w:t xml:space="preserve"> as the cited data did not have sufficient details.</w:t>
            </w:r>
            <w:r w:rsidR="002B736C">
              <w:rPr>
                <w:iCs/>
                <w:szCs w:val="20"/>
              </w:rPr>
              <w:t xml:space="preserve"> </w:t>
            </w:r>
            <w:r w:rsidR="004045DB" w:rsidRPr="003F273D">
              <w:rPr>
                <w:iCs/>
                <w:szCs w:val="20"/>
              </w:rPr>
              <w:t>Data from the VLCR annual report (Figure 9) showed 50% of NSCLC Stage III patients had systemic anticancer therapy and 29% radiotherapy, which is close to the estimate of 79%.</w:t>
            </w:r>
          </w:p>
        </w:tc>
      </w:tr>
      <w:tr w:rsidR="009745EA" w:rsidRPr="00E2771E" w14:paraId="078700A2" w14:textId="77777777">
        <w:tc>
          <w:tcPr>
            <w:tcW w:w="862" w:type="pct"/>
            <w:shd w:val="clear" w:color="auto" w:fill="FFFFFF" w:themeFill="background1"/>
          </w:tcPr>
          <w:p w14:paraId="47ADDAEA" w14:textId="77777777" w:rsidR="009745EA" w:rsidRPr="009520E0" w:rsidRDefault="009745EA" w:rsidP="00A12328">
            <w:pPr>
              <w:pStyle w:val="TableText0"/>
              <w:keepNext w:val="0"/>
              <w:rPr>
                <w:szCs w:val="20"/>
              </w:rPr>
            </w:pPr>
            <w:r w:rsidRPr="009520E0">
              <w:rPr>
                <w:szCs w:val="20"/>
              </w:rPr>
              <w:t xml:space="preserve">Proportion of patients </w:t>
            </w:r>
            <w:r w:rsidR="00C45A6D" w:rsidRPr="00C45A6D">
              <w:rPr>
                <w:i/>
                <w:szCs w:val="20"/>
              </w:rPr>
              <w:t>EGFR</w:t>
            </w:r>
            <w:r w:rsidRPr="009520E0">
              <w:rPr>
                <w:szCs w:val="20"/>
              </w:rPr>
              <w:t>m positive</w:t>
            </w:r>
          </w:p>
        </w:tc>
        <w:tc>
          <w:tcPr>
            <w:tcW w:w="1808" w:type="pct"/>
            <w:shd w:val="clear" w:color="auto" w:fill="FFFFFF" w:themeFill="background1"/>
          </w:tcPr>
          <w:p w14:paraId="73B40FE2" w14:textId="77777777" w:rsidR="009745EA" w:rsidRPr="009520E0" w:rsidRDefault="009745EA" w:rsidP="00A12328">
            <w:pPr>
              <w:pStyle w:val="TableText0"/>
              <w:keepNext w:val="0"/>
              <w:rPr>
                <w:szCs w:val="20"/>
              </w:rPr>
            </w:pPr>
            <w:r w:rsidRPr="009520E0">
              <w:rPr>
                <w:szCs w:val="20"/>
              </w:rPr>
              <w:t>17.9%</w:t>
            </w:r>
          </w:p>
          <w:p w14:paraId="5DD238E0" w14:textId="77777777" w:rsidR="009745EA" w:rsidRPr="009520E0" w:rsidRDefault="009745EA" w:rsidP="00A12328">
            <w:pPr>
              <w:pStyle w:val="TableText0"/>
              <w:keepNext w:val="0"/>
              <w:rPr>
                <w:szCs w:val="20"/>
              </w:rPr>
            </w:pPr>
            <w:r w:rsidRPr="009520E0">
              <w:rPr>
                <w:szCs w:val="20"/>
              </w:rPr>
              <w:t>DUSC review of TKIs for NSCLC (2017).</w:t>
            </w:r>
          </w:p>
        </w:tc>
        <w:tc>
          <w:tcPr>
            <w:tcW w:w="2330" w:type="pct"/>
            <w:vAlign w:val="center"/>
          </w:tcPr>
          <w:p w14:paraId="64DCD93E" w14:textId="70428D1E" w:rsidR="009745EA" w:rsidRPr="003F273D" w:rsidRDefault="00206218" w:rsidP="00A12328">
            <w:pPr>
              <w:pStyle w:val="TableText0"/>
              <w:keepNext w:val="0"/>
              <w:rPr>
                <w:iCs/>
                <w:szCs w:val="20"/>
              </w:rPr>
            </w:pPr>
            <w:r w:rsidRPr="003F273D">
              <w:rPr>
                <w:iCs/>
                <w:szCs w:val="20"/>
              </w:rPr>
              <w:t xml:space="preserve">Uncertain. </w:t>
            </w:r>
            <w:r w:rsidR="00675CA8" w:rsidRPr="003F273D">
              <w:rPr>
                <w:iCs/>
                <w:szCs w:val="20"/>
              </w:rPr>
              <w:t xml:space="preserve">The </w:t>
            </w:r>
            <w:r w:rsidRPr="003F273D">
              <w:rPr>
                <w:iCs/>
                <w:szCs w:val="20"/>
              </w:rPr>
              <w:t xml:space="preserve">DUSC review </w:t>
            </w:r>
            <w:r w:rsidR="00675CA8" w:rsidRPr="003F273D">
              <w:rPr>
                <w:iCs/>
                <w:szCs w:val="20"/>
              </w:rPr>
              <w:t xml:space="preserve">did not have an estimate restricted to unresectable Stage III </w:t>
            </w:r>
            <w:r w:rsidR="00F23BD6" w:rsidRPr="003F273D">
              <w:rPr>
                <w:iCs/>
                <w:szCs w:val="20"/>
              </w:rPr>
              <w:t xml:space="preserve">patients </w:t>
            </w:r>
            <w:r w:rsidR="00675CA8" w:rsidRPr="003F273D">
              <w:rPr>
                <w:iCs/>
                <w:szCs w:val="20"/>
              </w:rPr>
              <w:t xml:space="preserve">who are </w:t>
            </w:r>
            <w:r w:rsidR="00C45A6D" w:rsidRPr="00C45A6D">
              <w:rPr>
                <w:i/>
                <w:iCs/>
                <w:szCs w:val="20"/>
              </w:rPr>
              <w:t>EGFR</w:t>
            </w:r>
            <w:r w:rsidR="00675CA8" w:rsidRPr="003F273D">
              <w:rPr>
                <w:iCs/>
                <w:szCs w:val="20"/>
              </w:rPr>
              <w:t xml:space="preserve">m positive and receive platinum-based </w:t>
            </w:r>
            <w:r w:rsidR="006D147A" w:rsidRPr="003F273D">
              <w:rPr>
                <w:iCs/>
                <w:szCs w:val="20"/>
              </w:rPr>
              <w:t>CRT and</w:t>
            </w:r>
            <w:r w:rsidR="00F23BD6" w:rsidRPr="003F273D">
              <w:rPr>
                <w:iCs/>
                <w:szCs w:val="20"/>
              </w:rPr>
              <w:t xml:space="preserve"> also</w:t>
            </w:r>
            <w:r w:rsidR="00675CA8" w:rsidRPr="003F273D">
              <w:rPr>
                <w:iCs/>
                <w:szCs w:val="20"/>
              </w:rPr>
              <w:t xml:space="preserve"> </w:t>
            </w:r>
            <w:r w:rsidRPr="003F273D">
              <w:rPr>
                <w:iCs/>
                <w:szCs w:val="20"/>
              </w:rPr>
              <w:t xml:space="preserve">stated that the prevalence of patients with activating </w:t>
            </w:r>
            <w:r w:rsidR="00C45A6D" w:rsidRPr="00C45A6D">
              <w:rPr>
                <w:i/>
                <w:iCs/>
                <w:szCs w:val="20"/>
              </w:rPr>
              <w:t>EGFR</w:t>
            </w:r>
            <w:r w:rsidRPr="003F273D">
              <w:rPr>
                <w:iCs/>
                <w:szCs w:val="20"/>
              </w:rPr>
              <w:t xml:space="preserve"> mutation was uncertain.</w:t>
            </w:r>
          </w:p>
        </w:tc>
      </w:tr>
      <w:tr w:rsidR="009745EA" w:rsidRPr="00E2771E" w14:paraId="7D667606" w14:textId="77777777">
        <w:tc>
          <w:tcPr>
            <w:tcW w:w="862" w:type="pct"/>
            <w:shd w:val="clear" w:color="auto" w:fill="FFFFFF" w:themeFill="background1"/>
          </w:tcPr>
          <w:p w14:paraId="613009E9" w14:textId="0E4372E7" w:rsidR="009745EA" w:rsidRPr="009520E0" w:rsidRDefault="009745EA" w:rsidP="00A12328">
            <w:pPr>
              <w:pStyle w:val="TableText0"/>
              <w:keepNext w:val="0"/>
              <w:rPr>
                <w:szCs w:val="20"/>
              </w:rPr>
            </w:pPr>
            <w:r w:rsidRPr="009520E0">
              <w:rPr>
                <w:szCs w:val="20"/>
              </w:rPr>
              <w:t xml:space="preserve">Proportion of patients receiving </w:t>
            </w:r>
            <w:r w:rsidR="009A7730">
              <w:rPr>
                <w:szCs w:val="20"/>
              </w:rPr>
              <w:t xml:space="preserve">platinum-based </w:t>
            </w:r>
            <w:r w:rsidRPr="009520E0">
              <w:rPr>
                <w:szCs w:val="20"/>
              </w:rPr>
              <w:t>CRT</w:t>
            </w:r>
          </w:p>
        </w:tc>
        <w:tc>
          <w:tcPr>
            <w:tcW w:w="1808" w:type="pct"/>
            <w:shd w:val="clear" w:color="auto" w:fill="FFFFFF" w:themeFill="background1"/>
          </w:tcPr>
          <w:p w14:paraId="0AF91F4B" w14:textId="77777777" w:rsidR="009745EA" w:rsidRPr="009520E0" w:rsidRDefault="009745EA" w:rsidP="00A12328">
            <w:pPr>
              <w:pStyle w:val="TableText0"/>
              <w:keepNext w:val="0"/>
              <w:rPr>
                <w:szCs w:val="20"/>
              </w:rPr>
            </w:pPr>
            <w:r w:rsidRPr="009520E0">
              <w:rPr>
                <w:szCs w:val="20"/>
              </w:rPr>
              <w:t>70%</w:t>
            </w:r>
          </w:p>
          <w:p w14:paraId="12322617" w14:textId="73345C52" w:rsidR="009745EA" w:rsidRPr="009520E0" w:rsidRDefault="009745EA" w:rsidP="00A12328">
            <w:pPr>
              <w:pStyle w:val="TableText0"/>
              <w:keepNext w:val="0"/>
              <w:rPr>
                <w:szCs w:val="20"/>
              </w:rPr>
            </w:pPr>
            <w:r w:rsidRPr="009520E0">
              <w:rPr>
                <w:szCs w:val="20"/>
              </w:rPr>
              <w:t>paragraph 7.13; durvalumab NSCLC PSD July 2019.</w:t>
            </w:r>
          </w:p>
        </w:tc>
        <w:tc>
          <w:tcPr>
            <w:tcW w:w="2330" w:type="pct"/>
            <w:vAlign w:val="center"/>
          </w:tcPr>
          <w:p w14:paraId="28EBE96B" w14:textId="0941E40F" w:rsidR="009745EA" w:rsidRPr="003F273D" w:rsidRDefault="009745EA" w:rsidP="00A12328">
            <w:pPr>
              <w:pStyle w:val="TableText0"/>
              <w:keepNext w:val="0"/>
              <w:rPr>
                <w:iCs/>
                <w:szCs w:val="20"/>
              </w:rPr>
            </w:pPr>
            <w:r w:rsidRPr="003F273D">
              <w:rPr>
                <w:iCs/>
                <w:szCs w:val="20"/>
              </w:rPr>
              <w:t xml:space="preserve">Likely over-estimated. </w:t>
            </w:r>
            <w:r w:rsidR="00B64A3F" w:rsidRPr="003F273D">
              <w:rPr>
                <w:iCs/>
                <w:szCs w:val="20"/>
              </w:rPr>
              <w:t xml:space="preserve">Although the 70% was derived from the durvalumab PSD, this was applicable to a population </w:t>
            </w:r>
            <w:r w:rsidR="00E02724" w:rsidRPr="003F273D">
              <w:rPr>
                <w:iCs/>
                <w:szCs w:val="20"/>
              </w:rPr>
              <w:t>without</w:t>
            </w:r>
            <w:r w:rsidR="00B64A3F" w:rsidRPr="003F273D">
              <w:rPr>
                <w:iCs/>
                <w:szCs w:val="20"/>
              </w:rPr>
              <w:t xml:space="preserve"> </w:t>
            </w:r>
            <w:r w:rsidR="00C45A6D" w:rsidRPr="00C45A6D">
              <w:rPr>
                <w:i/>
                <w:iCs/>
                <w:szCs w:val="20"/>
              </w:rPr>
              <w:t>EGFR</w:t>
            </w:r>
            <w:r w:rsidR="00E02724" w:rsidRPr="003F273D">
              <w:rPr>
                <w:iCs/>
                <w:szCs w:val="20"/>
              </w:rPr>
              <w:t xml:space="preserve"> pathogenic variant disease</w:t>
            </w:r>
            <w:r w:rsidR="00B64A3F" w:rsidRPr="003F273D">
              <w:rPr>
                <w:iCs/>
                <w:szCs w:val="20"/>
              </w:rPr>
              <w:t xml:space="preserve">. </w:t>
            </w:r>
            <w:r w:rsidRPr="003F273D">
              <w:rPr>
                <w:iCs/>
                <w:szCs w:val="20"/>
              </w:rPr>
              <w:t>An estimate for proportion on CRT was 33% from</w:t>
            </w:r>
            <w:r w:rsidR="002272EE" w:rsidRPr="003F273D">
              <w:rPr>
                <w:iCs/>
                <w:szCs w:val="20"/>
              </w:rPr>
              <w:t xml:space="preserve"> Figure 9 of</w:t>
            </w:r>
            <w:r w:rsidRPr="003F273D">
              <w:rPr>
                <w:iCs/>
                <w:szCs w:val="20"/>
              </w:rPr>
              <w:t xml:space="preserve"> the VLCR 2023 annual report (29% with radiotherapy</w:t>
            </w:r>
            <w:r w:rsidR="00E02724" w:rsidRPr="003F273D">
              <w:rPr>
                <w:iCs/>
                <w:szCs w:val="20"/>
              </w:rPr>
              <w:t xml:space="preserve"> out of</w:t>
            </w:r>
            <w:r w:rsidRPr="003F273D">
              <w:rPr>
                <w:iCs/>
                <w:szCs w:val="20"/>
              </w:rPr>
              <w:t xml:space="preserve"> 88% with no resection</w:t>
            </w:r>
            <w:r w:rsidR="00E02724" w:rsidRPr="003F273D">
              <w:rPr>
                <w:iCs/>
                <w:szCs w:val="20"/>
              </w:rPr>
              <w:t xml:space="preserve">, </w:t>
            </w:r>
            <w:r w:rsidR="000F0AE1" w:rsidRPr="003F273D">
              <w:rPr>
                <w:iCs/>
                <w:szCs w:val="20"/>
              </w:rPr>
              <w:t>i.e.</w:t>
            </w:r>
            <w:r w:rsidR="00E02724" w:rsidRPr="003F273D">
              <w:rPr>
                <w:iCs/>
                <w:szCs w:val="20"/>
              </w:rPr>
              <w:t>, 29/88</w:t>
            </w:r>
            <w:r w:rsidRPr="003F273D">
              <w:rPr>
                <w:iCs/>
                <w:szCs w:val="20"/>
              </w:rPr>
              <w:t>). A Canadian retrospective cohort study of patients with unresectable stage III NSCLC (Agulnik 2020</w:t>
            </w:r>
            <w:r w:rsidRPr="003F273D">
              <w:rPr>
                <w:rStyle w:val="FootnoteReference"/>
                <w:iCs/>
                <w:szCs w:val="20"/>
              </w:rPr>
              <w:footnoteReference w:id="22"/>
            </w:r>
            <w:r w:rsidRPr="003F273D">
              <w:rPr>
                <w:iCs/>
                <w:szCs w:val="20"/>
              </w:rPr>
              <w:t>) found that 59% received</w:t>
            </w:r>
            <w:r w:rsidR="00E5554B" w:rsidRPr="003F273D">
              <w:rPr>
                <w:iCs/>
                <w:szCs w:val="20"/>
              </w:rPr>
              <w:t xml:space="preserve"> combined</w:t>
            </w:r>
            <w:r w:rsidR="00A97152" w:rsidRPr="003F273D">
              <w:rPr>
                <w:iCs/>
                <w:szCs w:val="20"/>
              </w:rPr>
              <w:t xml:space="preserve"> (sequential or concurrent)</w:t>
            </w:r>
            <w:r w:rsidRPr="003F273D">
              <w:rPr>
                <w:iCs/>
                <w:szCs w:val="20"/>
              </w:rPr>
              <w:t xml:space="preserve"> CRT</w:t>
            </w:r>
            <w:r w:rsidRPr="003D4F7B">
              <w:rPr>
                <w:i/>
                <w:szCs w:val="20"/>
              </w:rPr>
              <w:t>.</w:t>
            </w:r>
            <w:r w:rsidR="00B64A3F" w:rsidRPr="003D4F7B">
              <w:rPr>
                <w:i/>
                <w:szCs w:val="20"/>
              </w:rPr>
              <w:t xml:space="preserve"> </w:t>
            </w:r>
            <w:r w:rsidR="00316452" w:rsidRPr="008569E4">
              <w:rPr>
                <w:iCs/>
                <w:szCs w:val="20"/>
              </w:rPr>
              <w:t>The PSCR</w:t>
            </w:r>
            <w:r w:rsidR="004F5A2D">
              <w:rPr>
                <w:iCs/>
                <w:szCs w:val="20"/>
              </w:rPr>
              <w:t xml:space="preserve"> and the pre-PBAC response</w:t>
            </w:r>
            <w:r w:rsidR="00316452" w:rsidRPr="008569E4">
              <w:rPr>
                <w:iCs/>
                <w:szCs w:val="20"/>
              </w:rPr>
              <w:t xml:space="preserve"> maintained that 70% was a </w:t>
            </w:r>
            <w:r w:rsidR="00446385" w:rsidRPr="008569E4">
              <w:rPr>
                <w:iCs/>
                <w:szCs w:val="20"/>
              </w:rPr>
              <w:t xml:space="preserve">reasonable estimate because </w:t>
            </w:r>
            <w:r w:rsidR="003D4F7B" w:rsidRPr="008569E4">
              <w:rPr>
                <w:iCs/>
                <w:szCs w:val="20"/>
              </w:rPr>
              <w:t>the proportion of patients eligible for Pt-based CRT is unlikely to vary based on mutation status.</w:t>
            </w:r>
          </w:p>
        </w:tc>
      </w:tr>
      <w:tr w:rsidR="009745EA" w:rsidRPr="00E2771E" w14:paraId="7CF832FB" w14:textId="77777777">
        <w:tc>
          <w:tcPr>
            <w:tcW w:w="862" w:type="pct"/>
          </w:tcPr>
          <w:p w14:paraId="5ECAC14F" w14:textId="01463E4B" w:rsidR="009745EA" w:rsidRPr="009520E0" w:rsidRDefault="009745EA" w:rsidP="00A12328">
            <w:pPr>
              <w:pStyle w:val="TableText0"/>
              <w:keepNext w:val="0"/>
              <w:rPr>
                <w:szCs w:val="20"/>
              </w:rPr>
            </w:pPr>
            <w:r w:rsidRPr="009520E0">
              <w:rPr>
                <w:szCs w:val="20"/>
              </w:rPr>
              <w:t>Proportion of patients without progressive disease following CRT</w:t>
            </w:r>
          </w:p>
        </w:tc>
        <w:tc>
          <w:tcPr>
            <w:tcW w:w="1808" w:type="pct"/>
          </w:tcPr>
          <w:p w14:paraId="2366DABA" w14:textId="77777777" w:rsidR="009745EA" w:rsidRPr="009520E0" w:rsidRDefault="009745EA" w:rsidP="00A12328">
            <w:pPr>
              <w:pStyle w:val="TableText0"/>
              <w:keepNext w:val="0"/>
              <w:rPr>
                <w:szCs w:val="20"/>
              </w:rPr>
            </w:pPr>
            <w:r w:rsidRPr="009520E0">
              <w:rPr>
                <w:szCs w:val="20"/>
              </w:rPr>
              <w:t>95%</w:t>
            </w:r>
          </w:p>
          <w:p w14:paraId="3BE1E20B" w14:textId="21B25A3F" w:rsidR="009745EA" w:rsidRPr="009520E0" w:rsidRDefault="009745EA" w:rsidP="00A12328">
            <w:pPr>
              <w:pStyle w:val="TableText0"/>
              <w:keepNext w:val="0"/>
              <w:rPr>
                <w:szCs w:val="20"/>
              </w:rPr>
            </w:pPr>
            <w:r w:rsidRPr="009520E0">
              <w:rPr>
                <w:szCs w:val="20"/>
              </w:rPr>
              <w:t xml:space="preserve">IQVIA chart audit; </w:t>
            </w:r>
            <w:r w:rsidR="00C01207">
              <w:rPr>
                <w:szCs w:val="20"/>
              </w:rPr>
              <w:t>s</w:t>
            </w:r>
            <w:r w:rsidRPr="009520E0">
              <w:rPr>
                <w:szCs w:val="20"/>
              </w:rPr>
              <w:t xml:space="preserve">ponsor-commissioned data </w:t>
            </w:r>
            <w:r w:rsidRPr="0037381A">
              <w:rPr>
                <w:szCs w:val="20"/>
              </w:rPr>
              <w:t>based on 65 medical records</w:t>
            </w:r>
          </w:p>
        </w:tc>
        <w:tc>
          <w:tcPr>
            <w:tcW w:w="2330" w:type="pct"/>
          </w:tcPr>
          <w:p w14:paraId="1F3D9F8F" w14:textId="3A4DC76C" w:rsidR="000945A9" w:rsidRPr="008569E4" w:rsidRDefault="009745EA" w:rsidP="00A12328">
            <w:pPr>
              <w:pStyle w:val="TableText0"/>
              <w:keepNext w:val="0"/>
              <w:rPr>
                <w:iCs/>
                <w:szCs w:val="20"/>
              </w:rPr>
            </w:pPr>
            <w:r w:rsidRPr="008569E4">
              <w:rPr>
                <w:iCs/>
                <w:szCs w:val="20"/>
              </w:rPr>
              <w:t>Likely over-estimated</w:t>
            </w:r>
            <w:r w:rsidR="008A6AAE" w:rsidRPr="008569E4">
              <w:rPr>
                <w:iCs/>
                <w:szCs w:val="20"/>
              </w:rPr>
              <w:t xml:space="preserve"> from data on 65 medical records</w:t>
            </w:r>
            <w:r w:rsidRPr="008569E4">
              <w:rPr>
                <w:iCs/>
                <w:szCs w:val="20"/>
              </w:rPr>
              <w:t>. A systematic review of 1</w:t>
            </w:r>
            <w:r w:rsidR="00557000" w:rsidRPr="008569E4">
              <w:rPr>
                <w:iCs/>
                <w:szCs w:val="20"/>
              </w:rPr>
              <w:t>352 patients from 10 studies</w:t>
            </w:r>
            <w:r w:rsidRPr="008569E4">
              <w:rPr>
                <w:iCs/>
                <w:szCs w:val="20"/>
              </w:rPr>
              <w:t xml:space="preserve"> that compared concurrent radiotherapy and chemotherapy with sequential arm in advanced NSCLC patients (Liang 2010</w:t>
            </w:r>
            <w:r w:rsidRPr="008569E4">
              <w:rPr>
                <w:rStyle w:val="FootnoteReference"/>
                <w:iCs/>
                <w:szCs w:val="20"/>
              </w:rPr>
              <w:footnoteReference w:id="23"/>
            </w:r>
            <w:r w:rsidRPr="008569E4">
              <w:rPr>
                <w:iCs/>
                <w:szCs w:val="20"/>
              </w:rPr>
              <w:t xml:space="preserve">) found 64.0% objective response rate to concurrent radiotherapy and chemotherapy. </w:t>
            </w:r>
            <w:r w:rsidR="000945A9" w:rsidRPr="008569E4">
              <w:rPr>
                <w:iCs/>
                <w:szCs w:val="20"/>
              </w:rPr>
              <w:t xml:space="preserve">The PSCR </w:t>
            </w:r>
            <w:r w:rsidR="00224115" w:rsidRPr="008569E4">
              <w:rPr>
                <w:iCs/>
                <w:szCs w:val="20"/>
              </w:rPr>
              <w:t xml:space="preserve">presented </w:t>
            </w:r>
            <w:r w:rsidR="000E31CD" w:rsidRPr="008569E4">
              <w:rPr>
                <w:iCs/>
                <w:szCs w:val="20"/>
              </w:rPr>
              <w:t>three</w:t>
            </w:r>
            <w:r w:rsidR="00224115" w:rsidRPr="008569E4">
              <w:rPr>
                <w:iCs/>
                <w:szCs w:val="20"/>
              </w:rPr>
              <w:t xml:space="preserve"> new sources to justify</w:t>
            </w:r>
            <w:r w:rsidR="000E31CD" w:rsidRPr="008569E4">
              <w:rPr>
                <w:iCs/>
                <w:szCs w:val="20"/>
              </w:rPr>
              <w:t xml:space="preserve"> that</w:t>
            </w:r>
            <w:r w:rsidR="00224115" w:rsidRPr="008569E4">
              <w:rPr>
                <w:iCs/>
                <w:szCs w:val="20"/>
              </w:rPr>
              <w:t xml:space="preserve"> </w:t>
            </w:r>
            <w:r w:rsidR="006A068B" w:rsidRPr="008569E4">
              <w:rPr>
                <w:iCs/>
                <w:szCs w:val="20"/>
              </w:rPr>
              <w:t>95% of patients would not have progressive disease follo</w:t>
            </w:r>
            <w:r w:rsidR="00BE259D" w:rsidRPr="008569E4">
              <w:rPr>
                <w:iCs/>
                <w:szCs w:val="20"/>
              </w:rPr>
              <w:t xml:space="preserve">wing CRT; while the sources are </w:t>
            </w:r>
            <w:r w:rsidR="000E31CD" w:rsidRPr="008569E4">
              <w:rPr>
                <w:iCs/>
                <w:szCs w:val="20"/>
              </w:rPr>
              <w:t>supportive</w:t>
            </w:r>
            <w:r w:rsidR="00BE259D" w:rsidRPr="008569E4">
              <w:rPr>
                <w:iCs/>
                <w:szCs w:val="20"/>
              </w:rPr>
              <w:t>, none of the publications explicitly reported the disease control rate.</w:t>
            </w:r>
            <w:r w:rsidR="00CB485C">
              <w:rPr>
                <w:iCs/>
                <w:szCs w:val="20"/>
              </w:rPr>
              <w:t xml:space="preserve"> The pre-PBAC response </w:t>
            </w:r>
            <w:r w:rsidR="00BA69CA">
              <w:rPr>
                <w:iCs/>
                <w:szCs w:val="20"/>
              </w:rPr>
              <w:t>maintained</w:t>
            </w:r>
            <w:r w:rsidR="005D09F9">
              <w:rPr>
                <w:iCs/>
                <w:szCs w:val="20"/>
              </w:rPr>
              <w:t xml:space="preserve"> </w:t>
            </w:r>
            <w:r w:rsidR="00BA69CA">
              <w:rPr>
                <w:iCs/>
                <w:szCs w:val="20"/>
              </w:rPr>
              <w:t xml:space="preserve">the proportion of 95% reflects </w:t>
            </w:r>
            <w:r w:rsidR="00BC61F2">
              <w:rPr>
                <w:iCs/>
                <w:szCs w:val="20"/>
              </w:rPr>
              <w:t>the substantially improved disease control rate observed in modern trials.</w:t>
            </w:r>
          </w:p>
          <w:p w14:paraId="15930895" w14:textId="77777777" w:rsidR="000945A9" w:rsidRPr="008569E4" w:rsidRDefault="000945A9" w:rsidP="00A12328">
            <w:pPr>
              <w:pStyle w:val="TableText0"/>
              <w:keepNext w:val="0"/>
              <w:rPr>
                <w:iCs/>
                <w:szCs w:val="20"/>
              </w:rPr>
            </w:pPr>
          </w:p>
          <w:p w14:paraId="63A99CFB" w14:textId="7649BE18" w:rsidR="009745EA" w:rsidRPr="008569E4" w:rsidRDefault="00577D25" w:rsidP="00A12328">
            <w:pPr>
              <w:pStyle w:val="TableText0"/>
              <w:keepNext w:val="0"/>
              <w:rPr>
                <w:i/>
                <w:szCs w:val="20"/>
              </w:rPr>
            </w:pPr>
            <w:r w:rsidRPr="008569E4">
              <w:rPr>
                <w:iCs/>
                <w:szCs w:val="20"/>
              </w:rPr>
              <w:t xml:space="preserve">The PSCR </w:t>
            </w:r>
            <w:r w:rsidR="000945A9" w:rsidRPr="008569E4">
              <w:rPr>
                <w:iCs/>
                <w:szCs w:val="20"/>
              </w:rPr>
              <w:t>noted</w:t>
            </w:r>
            <w:r w:rsidRPr="008569E4">
              <w:rPr>
                <w:iCs/>
                <w:szCs w:val="20"/>
              </w:rPr>
              <w:t xml:space="preserve"> that the estimate of patients </w:t>
            </w:r>
            <w:r w:rsidR="009C2166" w:rsidRPr="008569E4">
              <w:rPr>
                <w:iCs/>
                <w:szCs w:val="20"/>
              </w:rPr>
              <w:t>who would take osimertinib</w:t>
            </w:r>
            <w:r w:rsidR="00D47979" w:rsidRPr="008569E4">
              <w:rPr>
                <w:iCs/>
                <w:szCs w:val="20"/>
              </w:rPr>
              <w:t xml:space="preserve"> following CRT</w:t>
            </w:r>
            <w:r w:rsidR="009C2166" w:rsidRPr="008569E4">
              <w:rPr>
                <w:iCs/>
                <w:szCs w:val="20"/>
              </w:rPr>
              <w:t xml:space="preserve"> </w:t>
            </w:r>
            <w:r w:rsidR="00C87E7F" w:rsidRPr="008569E4">
              <w:rPr>
                <w:iCs/>
                <w:szCs w:val="20"/>
              </w:rPr>
              <w:t xml:space="preserve">was based on </w:t>
            </w:r>
            <w:r w:rsidR="00D47979" w:rsidRPr="008569E4">
              <w:rPr>
                <w:iCs/>
                <w:szCs w:val="20"/>
              </w:rPr>
              <w:t xml:space="preserve">a prevalent pool of patients </w:t>
            </w:r>
            <w:r w:rsidR="008551E2" w:rsidRPr="008569E4">
              <w:rPr>
                <w:iCs/>
                <w:szCs w:val="20"/>
              </w:rPr>
              <w:t xml:space="preserve">who would </w:t>
            </w:r>
            <w:r w:rsidR="00F66320" w:rsidRPr="008569E4">
              <w:rPr>
                <w:iCs/>
                <w:szCs w:val="20"/>
              </w:rPr>
              <w:t>initiate therapy within 6 weeks of</w:t>
            </w:r>
            <w:r w:rsidR="008B0ACD" w:rsidRPr="008569E4">
              <w:rPr>
                <w:iCs/>
                <w:szCs w:val="20"/>
              </w:rPr>
              <w:t xml:space="preserve"> completing CRT.</w:t>
            </w:r>
            <w:r w:rsidR="00B23556" w:rsidRPr="008569E4">
              <w:rPr>
                <w:iCs/>
                <w:szCs w:val="20"/>
              </w:rPr>
              <w:t xml:space="preserve"> The PSCR stated that if the PBAC</w:t>
            </w:r>
            <w:r w:rsidR="006C5729" w:rsidRPr="008569E4">
              <w:rPr>
                <w:iCs/>
                <w:szCs w:val="20"/>
              </w:rPr>
              <w:t xml:space="preserve"> did not specify</w:t>
            </w:r>
            <w:r w:rsidR="00B23556" w:rsidRPr="008569E4">
              <w:rPr>
                <w:iCs/>
                <w:szCs w:val="20"/>
              </w:rPr>
              <w:t xml:space="preserve"> </w:t>
            </w:r>
            <w:r w:rsidR="006C5729" w:rsidRPr="008569E4">
              <w:rPr>
                <w:iCs/>
                <w:szCs w:val="20"/>
              </w:rPr>
              <w:t>a</w:t>
            </w:r>
            <w:r w:rsidR="00EE4012" w:rsidRPr="008569E4">
              <w:rPr>
                <w:iCs/>
                <w:szCs w:val="20"/>
              </w:rPr>
              <w:t xml:space="preserve"> 6-week</w:t>
            </w:r>
            <w:r w:rsidR="006C5729" w:rsidRPr="008569E4">
              <w:rPr>
                <w:iCs/>
                <w:szCs w:val="20"/>
              </w:rPr>
              <w:t xml:space="preserve"> time limit </w:t>
            </w:r>
            <w:r w:rsidR="00EE4012" w:rsidRPr="008569E4">
              <w:rPr>
                <w:iCs/>
                <w:szCs w:val="20"/>
              </w:rPr>
              <w:t xml:space="preserve">for the </w:t>
            </w:r>
            <w:r w:rsidR="00EE4012" w:rsidRPr="008B7630">
              <w:rPr>
                <w:iCs/>
                <w:szCs w:val="20"/>
              </w:rPr>
              <w:t>restriction (para</w:t>
            </w:r>
            <w:r w:rsidR="00EE4012" w:rsidRPr="00F60BE7">
              <w:rPr>
                <w:iCs/>
                <w:szCs w:val="20"/>
              </w:rPr>
              <w:t xml:space="preserve">graph </w:t>
            </w:r>
            <w:r w:rsidR="00A34281" w:rsidRPr="00F60BE7">
              <w:rPr>
                <w:iCs/>
                <w:szCs w:val="20"/>
              </w:rPr>
              <w:fldChar w:fldCharType="begin"/>
            </w:r>
            <w:r w:rsidR="00A34281" w:rsidRPr="00F60BE7">
              <w:rPr>
                <w:iCs/>
                <w:szCs w:val="20"/>
              </w:rPr>
              <w:instrText xml:space="preserve"> REF _Ref200041055 \r \h </w:instrText>
            </w:r>
            <w:r w:rsidR="008569E4" w:rsidRPr="00F60BE7">
              <w:rPr>
                <w:iCs/>
                <w:szCs w:val="20"/>
              </w:rPr>
              <w:instrText xml:space="preserve"> \* MERGEFORMAT </w:instrText>
            </w:r>
            <w:r w:rsidR="00A34281" w:rsidRPr="00F60BE7">
              <w:rPr>
                <w:iCs/>
                <w:szCs w:val="20"/>
              </w:rPr>
            </w:r>
            <w:r w:rsidR="00A34281" w:rsidRPr="00F60BE7">
              <w:rPr>
                <w:iCs/>
                <w:szCs w:val="20"/>
              </w:rPr>
              <w:fldChar w:fldCharType="separate"/>
            </w:r>
            <w:r w:rsidR="009F3D59">
              <w:rPr>
                <w:iCs/>
                <w:szCs w:val="20"/>
              </w:rPr>
              <w:t>3.3</w:t>
            </w:r>
            <w:r w:rsidR="00A34281" w:rsidRPr="00F60BE7">
              <w:rPr>
                <w:iCs/>
                <w:szCs w:val="20"/>
              </w:rPr>
              <w:fldChar w:fldCharType="end"/>
            </w:r>
            <w:r w:rsidR="00A34281" w:rsidRPr="00F60BE7">
              <w:rPr>
                <w:iCs/>
                <w:szCs w:val="20"/>
              </w:rPr>
              <w:t>)</w:t>
            </w:r>
            <w:r w:rsidR="006C5729" w:rsidRPr="00F60BE7">
              <w:rPr>
                <w:iCs/>
                <w:szCs w:val="20"/>
              </w:rPr>
              <w:t xml:space="preserve">, </w:t>
            </w:r>
            <w:r w:rsidR="0050188D" w:rsidRPr="00F60BE7">
              <w:rPr>
                <w:iCs/>
                <w:szCs w:val="20"/>
              </w:rPr>
              <w:t>a small amendment to the prevalent pool</w:t>
            </w:r>
            <w:r w:rsidR="00BD6BAD" w:rsidRPr="00F60BE7">
              <w:rPr>
                <w:iCs/>
                <w:szCs w:val="20"/>
              </w:rPr>
              <w:t xml:space="preserve"> </w:t>
            </w:r>
            <w:r w:rsidR="009D3C63" w:rsidRPr="00F60BE7">
              <w:rPr>
                <w:iCs/>
                <w:szCs w:val="20"/>
              </w:rPr>
              <w:t xml:space="preserve">would be required </w:t>
            </w:r>
            <w:r w:rsidR="00BD6BAD" w:rsidRPr="00F60BE7">
              <w:rPr>
                <w:iCs/>
                <w:szCs w:val="20"/>
              </w:rPr>
              <w:t>for the financial estimates.</w:t>
            </w:r>
            <w:r w:rsidR="007B3CA4">
              <w:rPr>
                <w:iCs/>
                <w:szCs w:val="20"/>
              </w:rPr>
              <w:t xml:space="preserve"> </w:t>
            </w:r>
            <w:r w:rsidR="007B3CA4" w:rsidRPr="0043454D">
              <w:rPr>
                <w:iCs/>
              </w:rPr>
              <w:t>The requested restriction was silent on the timeframe between CRT and initiation of osimertinib.</w:t>
            </w:r>
            <w:r w:rsidR="00B37434">
              <w:rPr>
                <w:iCs/>
                <w:szCs w:val="20"/>
              </w:rPr>
              <w:t xml:space="preserve"> The PBAC considered that a 6-week time limit would not be appropriate</w:t>
            </w:r>
            <w:r w:rsidR="00083C69">
              <w:rPr>
                <w:iCs/>
                <w:szCs w:val="20"/>
              </w:rPr>
              <w:t>.</w:t>
            </w:r>
            <w:r w:rsidR="00582AFB">
              <w:rPr>
                <w:iCs/>
                <w:szCs w:val="20"/>
              </w:rPr>
              <w:t xml:space="preserve"> </w:t>
            </w:r>
          </w:p>
        </w:tc>
      </w:tr>
      <w:tr w:rsidR="009745EA" w:rsidRPr="00E2771E" w14:paraId="5D42C4D5" w14:textId="77777777">
        <w:tc>
          <w:tcPr>
            <w:tcW w:w="862" w:type="pct"/>
            <w:shd w:val="clear" w:color="auto" w:fill="FFFFFF" w:themeFill="background1"/>
          </w:tcPr>
          <w:p w14:paraId="58C8B34E" w14:textId="77A3B967" w:rsidR="009745EA" w:rsidRPr="009520E0" w:rsidRDefault="009745EA" w:rsidP="00A12328">
            <w:pPr>
              <w:pStyle w:val="TableText0"/>
              <w:keepNext w:val="0"/>
              <w:rPr>
                <w:szCs w:val="20"/>
              </w:rPr>
            </w:pPr>
            <w:r w:rsidRPr="009520E0">
              <w:rPr>
                <w:szCs w:val="20"/>
              </w:rPr>
              <w:t>Proportion</w:t>
            </w:r>
            <w:r w:rsidR="00521875">
              <w:rPr>
                <w:szCs w:val="20"/>
              </w:rPr>
              <w:t xml:space="preserve"> of patients with</w:t>
            </w:r>
            <w:r w:rsidRPr="009520E0">
              <w:rPr>
                <w:szCs w:val="20"/>
              </w:rPr>
              <w:t xml:space="preserve"> no previous osimertinib treatment</w:t>
            </w:r>
          </w:p>
        </w:tc>
        <w:tc>
          <w:tcPr>
            <w:tcW w:w="1808" w:type="pct"/>
            <w:shd w:val="clear" w:color="auto" w:fill="FFFFFF" w:themeFill="background1"/>
          </w:tcPr>
          <w:p w14:paraId="2693955F" w14:textId="77777777" w:rsidR="009745EA" w:rsidRPr="009520E0" w:rsidRDefault="009745EA" w:rsidP="00A12328">
            <w:pPr>
              <w:pStyle w:val="TableText0"/>
              <w:keepNext w:val="0"/>
              <w:rPr>
                <w:szCs w:val="20"/>
              </w:rPr>
            </w:pPr>
            <w:r w:rsidRPr="009520E0">
              <w:rPr>
                <w:szCs w:val="20"/>
              </w:rPr>
              <w:t>99% in model</w:t>
            </w:r>
          </w:p>
          <w:p w14:paraId="06D635C8" w14:textId="77777777" w:rsidR="009745EA" w:rsidRPr="009520E0" w:rsidRDefault="009745EA" w:rsidP="00A12328">
            <w:pPr>
              <w:pStyle w:val="TableText0"/>
              <w:keepNext w:val="0"/>
              <w:rPr>
                <w:szCs w:val="20"/>
              </w:rPr>
            </w:pPr>
            <w:r w:rsidRPr="009520E0">
              <w:rPr>
                <w:szCs w:val="20"/>
              </w:rPr>
              <w:t>ADAURA model; assumptions.</w:t>
            </w:r>
          </w:p>
        </w:tc>
        <w:tc>
          <w:tcPr>
            <w:tcW w:w="2330" w:type="pct"/>
            <w:vAlign w:val="center"/>
          </w:tcPr>
          <w:p w14:paraId="62D9EC15" w14:textId="77777777" w:rsidR="009745EA" w:rsidRPr="003F273D" w:rsidRDefault="009745EA" w:rsidP="00A12328">
            <w:pPr>
              <w:pStyle w:val="TableText0"/>
              <w:keepNext w:val="0"/>
              <w:rPr>
                <w:iCs/>
                <w:szCs w:val="20"/>
              </w:rPr>
            </w:pPr>
            <w:r w:rsidRPr="003F273D">
              <w:rPr>
                <w:iCs/>
                <w:szCs w:val="20"/>
              </w:rPr>
              <w:t>Reasonable but could not be verified accurately.</w:t>
            </w:r>
          </w:p>
        </w:tc>
      </w:tr>
      <w:tr w:rsidR="009745EA" w:rsidRPr="00E2771E" w14:paraId="628B0A6C" w14:textId="77777777">
        <w:tc>
          <w:tcPr>
            <w:tcW w:w="5000" w:type="pct"/>
            <w:gridSpan w:val="3"/>
            <w:vAlign w:val="center"/>
          </w:tcPr>
          <w:p w14:paraId="65860C19" w14:textId="77777777" w:rsidR="009745EA" w:rsidRPr="00C42502" w:rsidRDefault="009745EA" w:rsidP="00A12328">
            <w:pPr>
              <w:pStyle w:val="TableText0"/>
              <w:keepNext w:val="0"/>
              <w:rPr>
                <w:i/>
                <w:szCs w:val="20"/>
              </w:rPr>
            </w:pPr>
            <w:r w:rsidRPr="00C42502">
              <w:rPr>
                <w:b/>
                <w:szCs w:val="20"/>
              </w:rPr>
              <w:t>Treatment utilisation</w:t>
            </w:r>
          </w:p>
        </w:tc>
      </w:tr>
      <w:tr w:rsidR="009745EA" w:rsidRPr="00E2771E" w14:paraId="32EB05CA" w14:textId="77777777">
        <w:tc>
          <w:tcPr>
            <w:tcW w:w="862" w:type="pct"/>
            <w:shd w:val="clear" w:color="auto" w:fill="FFFFFF" w:themeFill="background1"/>
          </w:tcPr>
          <w:p w14:paraId="0B1BCE4B" w14:textId="77777777" w:rsidR="009745EA" w:rsidRPr="00C42502" w:rsidRDefault="009745EA" w:rsidP="00A12328">
            <w:pPr>
              <w:pStyle w:val="TableText0"/>
              <w:keepNext w:val="0"/>
              <w:rPr>
                <w:szCs w:val="20"/>
              </w:rPr>
            </w:pPr>
            <w:r w:rsidRPr="009520E0">
              <w:rPr>
                <w:szCs w:val="20"/>
              </w:rPr>
              <w:t>Uptake rate of osimertinib</w:t>
            </w:r>
          </w:p>
        </w:tc>
        <w:tc>
          <w:tcPr>
            <w:tcW w:w="1808" w:type="pct"/>
            <w:shd w:val="clear" w:color="auto" w:fill="FFFFFF" w:themeFill="background1"/>
          </w:tcPr>
          <w:p w14:paraId="44C5CCCB" w14:textId="53A6A945" w:rsidR="009745EA" w:rsidRPr="009520E0" w:rsidRDefault="00B50819" w:rsidP="00A12328">
            <w:pPr>
              <w:pStyle w:val="TableText0"/>
              <w:keepNext w:val="0"/>
              <w:rPr>
                <w:szCs w:val="20"/>
              </w:rPr>
            </w:pPr>
            <w:r w:rsidRPr="00B50819">
              <w:rPr>
                <w:color w:val="000000"/>
                <w:spacing w:val="53"/>
                <w:szCs w:val="20"/>
                <w:shd w:val="solid" w:color="000000" w:fill="000000"/>
                <w:fitText w:val="330" w:id="-628958715"/>
                <w14:textFill>
                  <w14:solidFill>
                    <w14:srgbClr w14:val="000000">
                      <w14:alpha w14:val="100000"/>
                    </w14:srgbClr>
                  </w14:solidFill>
                </w14:textFill>
              </w:rPr>
              <w:t>|||</w:t>
            </w:r>
            <w:r w:rsidRPr="00B50819">
              <w:rPr>
                <w:color w:val="000000"/>
                <w:spacing w:val="1"/>
                <w:szCs w:val="20"/>
                <w:shd w:val="solid" w:color="000000" w:fill="000000"/>
                <w:fitText w:val="330" w:id="-628958715"/>
                <w14:textFill>
                  <w14:solidFill>
                    <w14:srgbClr w14:val="000000">
                      <w14:alpha w14:val="100000"/>
                    </w14:srgbClr>
                  </w14:solidFill>
                </w14:textFill>
              </w:rPr>
              <w:t>|</w:t>
            </w:r>
            <w:r w:rsidR="009745EA" w:rsidRPr="009520E0">
              <w:rPr>
                <w:szCs w:val="20"/>
              </w:rPr>
              <w:t>%</w:t>
            </w:r>
            <w:r w:rsidR="006F644B">
              <w:rPr>
                <w:szCs w:val="20"/>
              </w:rPr>
              <w:t xml:space="preserve"> </w:t>
            </w:r>
            <w:r w:rsidR="002A6009">
              <w:rPr>
                <w:szCs w:val="20"/>
              </w:rPr>
              <w:t>in each of Years 1 to 6</w:t>
            </w:r>
            <w:r w:rsidR="006F644B">
              <w:rPr>
                <w:szCs w:val="20"/>
              </w:rPr>
              <w:t>.</w:t>
            </w:r>
          </w:p>
          <w:p w14:paraId="734E4E67" w14:textId="77777777" w:rsidR="009745EA" w:rsidRPr="00C42502" w:rsidRDefault="009745EA" w:rsidP="00A12328">
            <w:pPr>
              <w:pStyle w:val="TableText0"/>
              <w:keepNext w:val="0"/>
              <w:rPr>
                <w:szCs w:val="20"/>
              </w:rPr>
            </w:pPr>
            <w:r w:rsidRPr="009520E0">
              <w:rPr>
                <w:szCs w:val="20"/>
              </w:rPr>
              <w:t>Assumption, based on uptake of osimertinib in the metastatic setting and unmet clinical need in the proposed population.</w:t>
            </w:r>
          </w:p>
        </w:tc>
        <w:tc>
          <w:tcPr>
            <w:tcW w:w="2330" w:type="pct"/>
            <w:vAlign w:val="center"/>
          </w:tcPr>
          <w:p w14:paraId="1E22AA46" w14:textId="13907681" w:rsidR="009745EA" w:rsidRPr="003F273D" w:rsidRDefault="009745EA" w:rsidP="00A12328">
            <w:pPr>
              <w:pStyle w:val="TableText0"/>
              <w:keepNext w:val="0"/>
              <w:rPr>
                <w:iCs/>
                <w:szCs w:val="20"/>
              </w:rPr>
            </w:pPr>
            <w:r w:rsidRPr="003F273D">
              <w:rPr>
                <w:iCs/>
                <w:szCs w:val="20"/>
              </w:rPr>
              <w:t xml:space="preserve">Area of uncertainty. </w:t>
            </w:r>
            <w:r w:rsidR="00187BE7" w:rsidRPr="003F273D">
              <w:rPr>
                <w:iCs/>
                <w:szCs w:val="20"/>
              </w:rPr>
              <w:t>The submission stated</w:t>
            </w:r>
            <w:r w:rsidR="00564DFC" w:rsidRPr="003F273D">
              <w:rPr>
                <w:iCs/>
                <w:szCs w:val="20"/>
              </w:rPr>
              <w:t xml:space="preserve"> </w:t>
            </w:r>
            <w:r w:rsidR="00187BE7" w:rsidRPr="003F273D">
              <w:rPr>
                <w:iCs/>
                <w:szCs w:val="20"/>
              </w:rPr>
              <w:t>that</w:t>
            </w:r>
            <w:r w:rsidR="007C57B2" w:rsidRPr="003F273D">
              <w:rPr>
                <w:iCs/>
                <w:szCs w:val="20"/>
              </w:rPr>
              <w:t xml:space="preserve"> osimertinib</w:t>
            </w:r>
            <w:r w:rsidR="00187BE7" w:rsidRPr="003F273D">
              <w:rPr>
                <w:iCs/>
                <w:szCs w:val="20"/>
              </w:rPr>
              <w:t xml:space="preserve"> uptake in Y1 and Y2 of listing</w:t>
            </w:r>
            <w:r w:rsidR="006135EC" w:rsidRPr="003F273D">
              <w:rPr>
                <w:iCs/>
                <w:szCs w:val="20"/>
              </w:rPr>
              <w:t xml:space="preserve"> in the first line metastatic setting</w:t>
            </w:r>
            <w:r w:rsidR="00187BE7" w:rsidRPr="003F273D">
              <w:rPr>
                <w:iCs/>
                <w:szCs w:val="20"/>
              </w:rPr>
              <w:t xml:space="preserve"> was </w:t>
            </w:r>
            <w:r w:rsidR="00B50819" w:rsidRPr="00B50819">
              <w:rPr>
                <w:iCs/>
                <w:color w:val="000000"/>
                <w:spacing w:val="53"/>
                <w:szCs w:val="20"/>
                <w:shd w:val="solid" w:color="000000" w:fill="000000"/>
                <w:fitText w:val="330" w:id="-628958714"/>
                <w14:textFill>
                  <w14:solidFill>
                    <w14:srgbClr w14:val="000000">
                      <w14:alpha w14:val="100000"/>
                    </w14:srgbClr>
                  </w14:solidFill>
                </w14:textFill>
              </w:rPr>
              <w:t>|||</w:t>
            </w:r>
            <w:r w:rsidR="00B50819" w:rsidRPr="00B50819">
              <w:rPr>
                <w:iCs/>
                <w:color w:val="000000"/>
                <w:spacing w:val="1"/>
                <w:szCs w:val="20"/>
                <w:shd w:val="solid" w:color="000000" w:fill="000000"/>
                <w:fitText w:val="330" w:id="-628958714"/>
                <w14:textFill>
                  <w14:solidFill>
                    <w14:srgbClr w14:val="000000">
                      <w14:alpha w14:val="100000"/>
                    </w14:srgbClr>
                  </w14:solidFill>
                </w14:textFill>
              </w:rPr>
              <w:t>|</w:t>
            </w:r>
            <w:r w:rsidR="00187BE7" w:rsidRPr="003F273D">
              <w:rPr>
                <w:iCs/>
                <w:szCs w:val="20"/>
              </w:rPr>
              <w:t xml:space="preserve">% and </w:t>
            </w:r>
            <w:r w:rsidR="00B50819" w:rsidRPr="00B50819">
              <w:rPr>
                <w:iCs/>
                <w:color w:val="000000"/>
                <w:spacing w:val="53"/>
                <w:szCs w:val="20"/>
                <w:shd w:val="solid" w:color="000000" w:fill="000000"/>
                <w:fitText w:val="330" w:id="-628958713"/>
                <w14:textFill>
                  <w14:solidFill>
                    <w14:srgbClr w14:val="000000">
                      <w14:alpha w14:val="100000"/>
                    </w14:srgbClr>
                  </w14:solidFill>
                </w14:textFill>
              </w:rPr>
              <w:t>|||</w:t>
            </w:r>
            <w:r w:rsidR="00B50819" w:rsidRPr="00B50819">
              <w:rPr>
                <w:iCs/>
                <w:color w:val="000000"/>
                <w:spacing w:val="1"/>
                <w:szCs w:val="20"/>
                <w:shd w:val="solid" w:color="000000" w:fill="000000"/>
                <w:fitText w:val="330" w:id="-628958713"/>
                <w14:textFill>
                  <w14:solidFill>
                    <w14:srgbClr w14:val="000000">
                      <w14:alpha w14:val="100000"/>
                    </w14:srgbClr>
                  </w14:solidFill>
                </w14:textFill>
              </w:rPr>
              <w:t>|</w:t>
            </w:r>
            <w:r w:rsidR="00187BE7" w:rsidRPr="003F273D">
              <w:rPr>
                <w:iCs/>
                <w:szCs w:val="20"/>
              </w:rPr>
              <w:t>%</w:t>
            </w:r>
            <w:r w:rsidR="006135EC" w:rsidRPr="003F273D">
              <w:rPr>
                <w:iCs/>
                <w:szCs w:val="20"/>
              </w:rPr>
              <w:t>,</w:t>
            </w:r>
            <w:r w:rsidR="00187BE7" w:rsidRPr="003F273D">
              <w:rPr>
                <w:iCs/>
                <w:szCs w:val="20"/>
              </w:rPr>
              <w:t xml:space="preserve"> but this </w:t>
            </w:r>
            <w:r w:rsidR="00CE2F6B" w:rsidRPr="003F273D">
              <w:rPr>
                <w:iCs/>
                <w:szCs w:val="20"/>
              </w:rPr>
              <w:t>could</w:t>
            </w:r>
            <w:r w:rsidR="00187BE7" w:rsidRPr="003F273D">
              <w:rPr>
                <w:iCs/>
                <w:szCs w:val="20"/>
              </w:rPr>
              <w:t xml:space="preserve"> </w:t>
            </w:r>
            <w:r w:rsidR="00002ECF" w:rsidRPr="003F273D">
              <w:rPr>
                <w:iCs/>
                <w:szCs w:val="20"/>
              </w:rPr>
              <w:t>not</w:t>
            </w:r>
            <w:r w:rsidR="00187BE7" w:rsidRPr="003F273D">
              <w:rPr>
                <w:iCs/>
                <w:szCs w:val="20"/>
              </w:rPr>
              <w:t xml:space="preserve"> be verified.</w:t>
            </w:r>
          </w:p>
        </w:tc>
      </w:tr>
      <w:tr w:rsidR="009745EA" w:rsidRPr="00E2771E" w14:paraId="7F41C049" w14:textId="77777777">
        <w:tc>
          <w:tcPr>
            <w:tcW w:w="862" w:type="pct"/>
          </w:tcPr>
          <w:p w14:paraId="7D49DF5C" w14:textId="77777777" w:rsidR="009745EA" w:rsidRPr="00E819FC" w:rsidRDefault="009745EA" w:rsidP="00A12328">
            <w:pPr>
              <w:pStyle w:val="TableText0"/>
              <w:keepNext w:val="0"/>
              <w:rPr>
                <w:szCs w:val="20"/>
                <w:lang w:val="it-IT"/>
              </w:rPr>
            </w:pPr>
            <w:r w:rsidRPr="00E819FC">
              <w:rPr>
                <w:szCs w:val="20"/>
                <w:lang w:val="it-IT"/>
              </w:rPr>
              <w:t>Osimertinib scripts dispensed per patient</w:t>
            </w:r>
          </w:p>
        </w:tc>
        <w:tc>
          <w:tcPr>
            <w:tcW w:w="1808" w:type="pct"/>
          </w:tcPr>
          <w:p w14:paraId="160AC97B" w14:textId="77777777" w:rsidR="009745EA" w:rsidRPr="00D46FD4" w:rsidRDefault="009745EA" w:rsidP="00A12328">
            <w:pPr>
              <w:pStyle w:val="TableText0"/>
              <w:keepNext w:val="0"/>
              <w:rPr>
                <w:szCs w:val="20"/>
              </w:rPr>
            </w:pPr>
            <w:r w:rsidRPr="00D46FD4">
              <w:rPr>
                <w:szCs w:val="20"/>
              </w:rPr>
              <w:t>Yr 1: 12</w:t>
            </w:r>
          </w:p>
          <w:p w14:paraId="36E02D4E" w14:textId="77777777" w:rsidR="009745EA" w:rsidRPr="00D46FD4" w:rsidRDefault="009745EA" w:rsidP="00A12328">
            <w:pPr>
              <w:pStyle w:val="TableText0"/>
              <w:keepNext w:val="0"/>
              <w:rPr>
                <w:szCs w:val="20"/>
              </w:rPr>
            </w:pPr>
            <w:r w:rsidRPr="00D46FD4">
              <w:rPr>
                <w:szCs w:val="20"/>
              </w:rPr>
              <w:t>Yr 2: 12</w:t>
            </w:r>
          </w:p>
          <w:p w14:paraId="5136D6F6" w14:textId="77777777" w:rsidR="009745EA" w:rsidRPr="00D46FD4" w:rsidRDefault="009745EA" w:rsidP="00A12328">
            <w:pPr>
              <w:pStyle w:val="TableText0"/>
              <w:keepNext w:val="0"/>
              <w:rPr>
                <w:szCs w:val="20"/>
              </w:rPr>
            </w:pPr>
            <w:r w:rsidRPr="00D46FD4">
              <w:rPr>
                <w:szCs w:val="20"/>
              </w:rPr>
              <w:t>Yr 3: 12</w:t>
            </w:r>
          </w:p>
          <w:p w14:paraId="3FE17C1A" w14:textId="77777777" w:rsidR="009745EA" w:rsidRPr="009520E0" w:rsidRDefault="009745EA" w:rsidP="00A12328">
            <w:pPr>
              <w:pStyle w:val="TableText0"/>
              <w:keepNext w:val="0"/>
              <w:rPr>
                <w:szCs w:val="20"/>
              </w:rPr>
            </w:pPr>
            <w:r w:rsidRPr="00D46FD4">
              <w:rPr>
                <w:szCs w:val="20"/>
              </w:rPr>
              <w:t>Yr 4: 3</w:t>
            </w:r>
          </w:p>
          <w:p w14:paraId="4862B807" w14:textId="77777777" w:rsidR="009745EA" w:rsidRPr="009520E0" w:rsidRDefault="009745EA" w:rsidP="00A12328">
            <w:pPr>
              <w:pStyle w:val="TableText0"/>
              <w:keepNext w:val="0"/>
              <w:rPr>
                <w:szCs w:val="20"/>
              </w:rPr>
            </w:pPr>
            <w:r w:rsidRPr="009520E0">
              <w:rPr>
                <w:szCs w:val="20"/>
              </w:rPr>
              <w:t>Economic model’s mean treatment duration (based on median PFS in LAURA)</w:t>
            </w:r>
          </w:p>
        </w:tc>
        <w:tc>
          <w:tcPr>
            <w:tcW w:w="2330" w:type="pct"/>
            <w:vAlign w:val="center"/>
          </w:tcPr>
          <w:p w14:paraId="0E3AC26E" w14:textId="77777777" w:rsidR="009745EA" w:rsidRPr="003F273D" w:rsidRDefault="009745EA" w:rsidP="00A12328">
            <w:pPr>
              <w:pStyle w:val="TableText0"/>
              <w:keepNext w:val="0"/>
              <w:rPr>
                <w:iCs/>
                <w:szCs w:val="20"/>
              </w:rPr>
            </w:pPr>
            <w:r w:rsidRPr="003F273D">
              <w:rPr>
                <w:iCs/>
                <w:szCs w:val="20"/>
              </w:rPr>
              <w:t>There is no confirmed OS to inform the optimal duration of treatment for osimertinib, and there is the risk of extended use of osimertinib. Sensitivity analysis assuming a mean treatment duration of 48 months or 4 years, was performed on the financial estimates.</w:t>
            </w:r>
          </w:p>
        </w:tc>
      </w:tr>
      <w:tr w:rsidR="009745EA" w:rsidRPr="00E2771E" w14:paraId="64743A88" w14:textId="77777777">
        <w:tc>
          <w:tcPr>
            <w:tcW w:w="862" w:type="pct"/>
            <w:shd w:val="clear" w:color="auto" w:fill="FFFFFF" w:themeFill="background1"/>
          </w:tcPr>
          <w:p w14:paraId="187AB7EB" w14:textId="77777777" w:rsidR="009745EA" w:rsidRPr="009520E0" w:rsidRDefault="009745EA" w:rsidP="00A12328">
            <w:pPr>
              <w:pStyle w:val="TableText0"/>
              <w:keepNext w:val="0"/>
              <w:rPr>
                <w:szCs w:val="20"/>
              </w:rPr>
            </w:pPr>
            <w:r w:rsidRPr="00C42502">
              <w:rPr>
                <w:szCs w:val="20"/>
              </w:rPr>
              <w:t>Osimertinib (metastatic setting) scripts dispensed per patient</w:t>
            </w:r>
          </w:p>
        </w:tc>
        <w:tc>
          <w:tcPr>
            <w:tcW w:w="1808" w:type="pct"/>
            <w:shd w:val="clear" w:color="auto" w:fill="FFFFFF" w:themeFill="background1"/>
          </w:tcPr>
          <w:p w14:paraId="36EE6E8A" w14:textId="2C16DCA5" w:rsidR="009745EA" w:rsidRPr="00372463" w:rsidRDefault="009745EA" w:rsidP="00A12328">
            <w:pPr>
              <w:pStyle w:val="TableText0"/>
              <w:keepNext w:val="0"/>
              <w:rPr>
                <w:szCs w:val="20"/>
              </w:rPr>
            </w:pPr>
            <w:r w:rsidRPr="009520E0">
              <w:rPr>
                <w:szCs w:val="20"/>
              </w:rPr>
              <w:t xml:space="preserve">First year of </w:t>
            </w:r>
            <w:r w:rsidRPr="00372463">
              <w:rPr>
                <w:szCs w:val="20"/>
              </w:rPr>
              <w:t>treatment: 12.18</w:t>
            </w:r>
          </w:p>
          <w:p w14:paraId="74137880" w14:textId="73F29645" w:rsidR="009745EA" w:rsidRPr="00372463" w:rsidRDefault="009745EA" w:rsidP="00A12328">
            <w:pPr>
              <w:pStyle w:val="TableText0"/>
              <w:keepNext w:val="0"/>
              <w:rPr>
                <w:szCs w:val="20"/>
              </w:rPr>
            </w:pPr>
            <w:r w:rsidRPr="00372463">
              <w:rPr>
                <w:szCs w:val="20"/>
              </w:rPr>
              <w:t>Second year of treatment: 8.82</w:t>
            </w:r>
          </w:p>
          <w:p w14:paraId="2A02B492" w14:textId="7401D468" w:rsidR="009745EA" w:rsidRPr="009520E0" w:rsidRDefault="009745EA" w:rsidP="00A12328">
            <w:pPr>
              <w:pStyle w:val="TableText0"/>
              <w:keepNext w:val="0"/>
              <w:rPr>
                <w:szCs w:val="20"/>
              </w:rPr>
            </w:pPr>
            <w:r w:rsidRPr="00372463">
              <w:rPr>
                <w:szCs w:val="20"/>
              </w:rPr>
              <w:t>FLAURA (</w:t>
            </w:r>
            <w:r w:rsidR="00B50819" w:rsidRPr="00B50819">
              <w:rPr>
                <w:color w:val="000000"/>
                <w:spacing w:val="53"/>
                <w:szCs w:val="20"/>
                <w:shd w:val="solid" w:color="000000" w:fill="000000"/>
                <w:fitText w:val="330" w:id="-628958712"/>
                <w14:textFill>
                  <w14:solidFill>
                    <w14:srgbClr w14:val="000000">
                      <w14:alpha w14:val="100000"/>
                    </w14:srgbClr>
                  </w14:solidFill>
                </w14:textFill>
              </w:rPr>
              <w:t>|||</w:t>
            </w:r>
            <w:r w:rsidR="00B50819" w:rsidRPr="00B50819">
              <w:rPr>
                <w:color w:val="000000"/>
                <w:spacing w:val="1"/>
                <w:szCs w:val="20"/>
                <w:shd w:val="solid" w:color="000000" w:fill="000000"/>
                <w:fitText w:val="330" w:id="-628958712"/>
                <w14:textFill>
                  <w14:solidFill>
                    <w14:srgbClr w14:val="000000">
                      <w14:alpha w14:val="100000"/>
                    </w14:srgbClr>
                  </w14:solidFill>
                </w14:textFill>
              </w:rPr>
              <w:t>|</w:t>
            </w:r>
            <w:r w:rsidRPr="00372463">
              <w:rPr>
                <w:szCs w:val="20"/>
              </w:rPr>
              <w:t xml:space="preserve"> months treatment duration</w:t>
            </w:r>
            <w:r w:rsidRPr="009520E0">
              <w:rPr>
                <w:szCs w:val="20"/>
              </w:rPr>
              <w:t xml:space="preserve"> reimbursed through</w:t>
            </w:r>
            <w:r w:rsidR="009D0378">
              <w:rPr>
                <w:szCs w:val="20"/>
              </w:rPr>
              <w:t xml:space="preserve"> a</w:t>
            </w:r>
            <w:r w:rsidRPr="009520E0">
              <w:rPr>
                <w:szCs w:val="20"/>
              </w:rPr>
              <w:t xml:space="preserve"> RSA).</w:t>
            </w:r>
          </w:p>
        </w:tc>
        <w:tc>
          <w:tcPr>
            <w:tcW w:w="2330" w:type="pct"/>
            <w:vAlign w:val="center"/>
          </w:tcPr>
          <w:p w14:paraId="44D6186F" w14:textId="77777777" w:rsidR="009745EA" w:rsidRPr="003F273D" w:rsidRDefault="009745EA" w:rsidP="00A12328">
            <w:pPr>
              <w:pStyle w:val="TableText0"/>
              <w:keepNext w:val="0"/>
              <w:rPr>
                <w:iCs/>
                <w:szCs w:val="20"/>
              </w:rPr>
            </w:pPr>
            <w:r w:rsidRPr="003F273D">
              <w:rPr>
                <w:iCs/>
                <w:szCs w:val="20"/>
              </w:rPr>
              <w:t>Reasonable.</w:t>
            </w:r>
          </w:p>
        </w:tc>
      </w:tr>
      <w:tr w:rsidR="000358CE" w:rsidRPr="00E2771E" w14:paraId="353B0DB3" w14:textId="77777777">
        <w:tc>
          <w:tcPr>
            <w:tcW w:w="862" w:type="pct"/>
            <w:shd w:val="clear" w:color="auto" w:fill="FFFFFF" w:themeFill="background1"/>
          </w:tcPr>
          <w:p w14:paraId="7A91DE38" w14:textId="3C68F69D" w:rsidR="009C37B3" w:rsidRPr="00B040F1" w:rsidRDefault="009C37B3" w:rsidP="00A12328">
            <w:pPr>
              <w:pStyle w:val="TableText0"/>
              <w:keepNext w:val="0"/>
              <w:rPr>
                <w:szCs w:val="20"/>
              </w:rPr>
            </w:pPr>
            <w:r w:rsidRPr="00B040F1">
              <w:rPr>
                <w:szCs w:val="20"/>
              </w:rPr>
              <w:t xml:space="preserve">Osimertinib (metastatic setting) uptake rate </w:t>
            </w:r>
          </w:p>
        </w:tc>
        <w:tc>
          <w:tcPr>
            <w:tcW w:w="1808" w:type="pct"/>
            <w:shd w:val="clear" w:color="auto" w:fill="FFFFFF" w:themeFill="background1"/>
          </w:tcPr>
          <w:p w14:paraId="300BB440" w14:textId="0A6F8588" w:rsidR="009C37B3" w:rsidRPr="00C01F8E" w:rsidRDefault="00B50819" w:rsidP="00A12328">
            <w:pPr>
              <w:pStyle w:val="TableText0"/>
              <w:keepNext w:val="0"/>
              <w:rPr>
                <w:szCs w:val="20"/>
              </w:rPr>
            </w:pPr>
            <w:r w:rsidRPr="00B50819">
              <w:rPr>
                <w:color w:val="000000"/>
                <w:spacing w:val="53"/>
                <w:szCs w:val="20"/>
                <w:shd w:val="solid" w:color="000000" w:fill="000000"/>
                <w:fitText w:val="330" w:id="-628958711"/>
                <w14:textFill>
                  <w14:solidFill>
                    <w14:srgbClr w14:val="000000">
                      <w14:alpha w14:val="100000"/>
                    </w14:srgbClr>
                  </w14:solidFill>
                </w14:textFill>
              </w:rPr>
              <w:t>|||</w:t>
            </w:r>
            <w:r w:rsidRPr="00B50819">
              <w:rPr>
                <w:color w:val="000000"/>
                <w:spacing w:val="1"/>
                <w:szCs w:val="20"/>
                <w:shd w:val="solid" w:color="000000" w:fill="000000"/>
                <w:fitText w:val="330" w:id="-628958711"/>
                <w14:textFill>
                  <w14:solidFill>
                    <w14:srgbClr w14:val="000000">
                      <w14:alpha w14:val="100000"/>
                    </w14:srgbClr>
                  </w14:solidFill>
                </w14:textFill>
              </w:rPr>
              <w:t>|</w:t>
            </w:r>
            <w:r w:rsidR="009C37B3" w:rsidRPr="00C01F8E">
              <w:rPr>
                <w:szCs w:val="20"/>
              </w:rPr>
              <w:t>%</w:t>
            </w:r>
          </w:p>
          <w:p w14:paraId="64CBAB63" w14:textId="77777777" w:rsidR="000358CE" w:rsidRPr="00C01F8E" w:rsidRDefault="000358CE" w:rsidP="00A12328">
            <w:pPr>
              <w:pStyle w:val="TableText0"/>
              <w:keepNext w:val="0"/>
              <w:rPr>
                <w:szCs w:val="20"/>
              </w:rPr>
            </w:pPr>
            <w:r w:rsidRPr="00C01F8E">
              <w:rPr>
                <w:szCs w:val="20"/>
              </w:rPr>
              <w:t>Worksheet ‘14a’ of the financial model cited FLAURA as the source of this estimate, whilst p174 of the submission cited LAURA.</w:t>
            </w:r>
          </w:p>
          <w:p w14:paraId="279018AC" w14:textId="77777777" w:rsidR="00210863" w:rsidRPr="00C01F8E" w:rsidRDefault="00210863" w:rsidP="00A12328">
            <w:pPr>
              <w:pStyle w:val="TableText0"/>
              <w:keepNext w:val="0"/>
              <w:rPr>
                <w:szCs w:val="20"/>
              </w:rPr>
            </w:pPr>
          </w:p>
          <w:p w14:paraId="4906F531" w14:textId="373DDDF7" w:rsidR="00210863" w:rsidRPr="00C01F8E" w:rsidRDefault="00210863" w:rsidP="00A12328">
            <w:pPr>
              <w:pStyle w:val="TableText0"/>
              <w:keepNext w:val="0"/>
              <w:rPr>
                <w:szCs w:val="20"/>
              </w:rPr>
            </w:pPr>
            <w:r w:rsidRPr="00C01F8E">
              <w:rPr>
                <w:szCs w:val="20"/>
              </w:rPr>
              <w:t>T</w:t>
            </w:r>
            <w:r w:rsidR="00DB4EE9" w:rsidRPr="00C01F8E">
              <w:rPr>
                <w:szCs w:val="20"/>
              </w:rPr>
              <w:t>he</w:t>
            </w:r>
            <w:r w:rsidRPr="00C01F8E">
              <w:rPr>
                <w:szCs w:val="20"/>
              </w:rPr>
              <w:t xml:space="preserve"> proportion of disease progression in the placebo arm</w:t>
            </w:r>
            <w:r w:rsidR="00A4110C" w:rsidRPr="00C01F8E">
              <w:rPr>
                <w:szCs w:val="20"/>
              </w:rPr>
              <w:t xml:space="preserve"> </w:t>
            </w:r>
            <w:r w:rsidR="00562304" w:rsidRPr="00C01F8E">
              <w:rPr>
                <w:szCs w:val="20"/>
              </w:rPr>
              <w:t>in</w:t>
            </w:r>
            <w:r w:rsidR="00A4110C" w:rsidRPr="00C01F8E">
              <w:rPr>
                <w:szCs w:val="20"/>
              </w:rPr>
              <w:t xml:space="preserve"> each year</w:t>
            </w:r>
            <w:r w:rsidRPr="00C01F8E">
              <w:rPr>
                <w:szCs w:val="20"/>
              </w:rPr>
              <w:t xml:space="preserve"> </w:t>
            </w:r>
            <w:r w:rsidR="00357075" w:rsidRPr="00C01F8E">
              <w:rPr>
                <w:szCs w:val="20"/>
              </w:rPr>
              <w:t>was</w:t>
            </w:r>
            <w:r w:rsidRPr="00C01F8E">
              <w:rPr>
                <w:szCs w:val="20"/>
              </w:rPr>
              <w:t xml:space="preserve"> applied to the eligible initiating patient population </w:t>
            </w:r>
            <w:r w:rsidR="00357075" w:rsidRPr="00C01F8E">
              <w:rPr>
                <w:szCs w:val="20"/>
              </w:rPr>
              <w:t>(80.60%).</w:t>
            </w:r>
          </w:p>
        </w:tc>
        <w:tc>
          <w:tcPr>
            <w:tcW w:w="2330" w:type="pct"/>
          </w:tcPr>
          <w:p w14:paraId="2AF9338A" w14:textId="374802D5" w:rsidR="009C37B3" w:rsidRPr="00C01F8E" w:rsidRDefault="000358CE" w:rsidP="00A12328">
            <w:pPr>
              <w:pStyle w:val="TableText0"/>
              <w:keepNext w:val="0"/>
              <w:rPr>
                <w:szCs w:val="20"/>
              </w:rPr>
            </w:pPr>
            <w:r w:rsidRPr="00C01F8E">
              <w:rPr>
                <w:szCs w:val="20"/>
              </w:rPr>
              <w:t xml:space="preserve">Uncertain, the cited sources could not be verified. The model appeared to have applied an additional </w:t>
            </w:r>
            <w:r w:rsidR="008B25EA" w:rsidRPr="008B25EA">
              <w:rPr>
                <w:rFonts w:hint="eastAsia"/>
                <w:w w:val="19"/>
                <w:szCs w:val="20"/>
                <w:shd w:val="solid" w:color="000000" w:fill="000000"/>
                <w:fitText w:val="88" w:id="-617339648"/>
                <w14:textFill>
                  <w14:solidFill>
                    <w14:srgbClr w14:val="000000">
                      <w14:alpha w14:val="100000"/>
                    </w14:srgbClr>
                  </w14:solidFill>
                </w14:textFill>
              </w:rPr>
              <w:t xml:space="preserve">　</w:t>
            </w:r>
            <w:r w:rsidR="008B25EA" w:rsidRPr="008B25EA">
              <w:rPr>
                <w:w w:val="19"/>
                <w:szCs w:val="20"/>
                <w:shd w:val="solid" w:color="000000" w:fill="000000"/>
                <w:fitText w:val="88" w:id="-617339648"/>
                <w14:textFill>
                  <w14:solidFill>
                    <w14:srgbClr w14:val="000000">
                      <w14:alpha w14:val="100000"/>
                    </w14:srgbClr>
                  </w14:solidFill>
                </w14:textFill>
              </w:rPr>
              <w:t>|</w:t>
            </w:r>
            <w:r w:rsidR="008B25EA" w:rsidRPr="008B25EA">
              <w:rPr>
                <w:rFonts w:hint="eastAsia"/>
                <w:w w:val="19"/>
                <w:szCs w:val="20"/>
                <w:shd w:val="solid" w:color="000000" w:fill="000000"/>
                <w:fitText w:val="88" w:id="-617339648"/>
                <w14:textFill>
                  <w14:solidFill>
                    <w14:srgbClr w14:val="000000">
                      <w14:alpha w14:val="100000"/>
                    </w14:srgbClr>
                  </w14:solidFill>
                </w14:textFill>
              </w:rPr>
              <w:t xml:space="preserve">　</w:t>
            </w:r>
            <w:r w:rsidRPr="00C01F8E">
              <w:rPr>
                <w:szCs w:val="20"/>
              </w:rPr>
              <w:t>% uptake rate to the reduction in number of patients on osimertinib (metastatic)</w:t>
            </w:r>
            <w:r w:rsidR="00A529D9" w:rsidRPr="00C01F8E">
              <w:rPr>
                <w:szCs w:val="20"/>
              </w:rPr>
              <w:t>,</w:t>
            </w:r>
            <w:r w:rsidRPr="00C01F8E">
              <w:rPr>
                <w:szCs w:val="20"/>
              </w:rPr>
              <w:t xml:space="preserve"> which were already adjusted for uptake of </w:t>
            </w:r>
            <w:r w:rsidR="00B50819" w:rsidRPr="00B50819">
              <w:rPr>
                <w:color w:val="000000"/>
                <w:spacing w:val="53"/>
                <w:szCs w:val="20"/>
                <w:shd w:val="solid" w:color="000000" w:fill="000000"/>
                <w:fitText w:val="330" w:id="-628958710"/>
                <w14:textFill>
                  <w14:solidFill>
                    <w14:srgbClr w14:val="000000">
                      <w14:alpha w14:val="100000"/>
                    </w14:srgbClr>
                  </w14:solidFill>
                </w14:textFill>
              </w:rPr>
              <w:t>|||</w:t>
            </w:r>
            <w:r w:rsidR="00B50819" w:rsidRPr="00B50819">
              <w:rPr>
                <w:color w:val="000000"/>
                <w:spacing w:val="1"/>
                <w:szCs w:val="20"/>
                <w:shd w:val="solid" w:color="000000" w:fill="000000"/>
                <w:fitText w:val="330" w:id="-628958710"/>
                <w14:textFill>
                  <w14:solidFill>
                    <w14:srgbClr w14:val="000000">
                      <w14:alpha w14:val="100000"/>
                    </w14:srgbClr>
                  </w14:solidFill>
                </w14:textFill>
              </w:rPr>
              <w:t>|</w:t>
            </w:r>
            <w:r w:rsidRPr="00C01F8E">
              <w:rPr>
                <w:szCs w:val="20"/>
              </w:rPr>
              <w:t>%. Hence, the reduction in number of patients may have been under-estimated.</w:t>
            </w:r>
            <w:r w:rsidR="000E2792">
              <w:rPr>
                <w:szCs w:val="20"/>
              </w:rPr>
              <w:t xml:space="preserve"> The pre-PBAC response stated that </w:t>
            </w:r>
            <w:r w:rsidR="00B03361">
              <w:t xml:space="preserve">in the first-line metastatic setting, 80% of patients with </w:t>
            </w:r>
            <w:r w:rsidR="00B03361" w:rsidRPr="006D675E">
              <w:rPr>
                <w:i/>
                <w:iCs/>
              </w:rPr>
              <w:t>EGFR</w:t>
            </w:r>
            <w:r w:rsidR="00B03361">
              <w:t xml:space="preserve"> TKI mutation are assumed to receive systemic anticancer therapy</w:t>
            </w:r>
            <w:r w:rsidR="00B76882">
              <w:t>; o</w:t>
            </w:r>
            <w:r w:rsidR="00B03361">
              <w:t xml:space="preserve">f these, </w:t>
            </w:r>
            <w:r w:rsidR="00B50819" w:rsidRPr="00B50819">
              <w:rPr>
                <w:color w:val="000000"/>
                <w:spacing w:val="53"/>
                <w:shd w:val="solid" w:color="000000" w:fill="000000"/>
                <w:fitText w:val="330" w:id="-628958709"/>
                <w14:textFill>
                  <w14:solidFill>
                    <w14:srgbClr w14:val="000000">
                      <w14:alpha w14:val="100000"/>
                    </w14:srgbClr>
                  </w14:solidFill>
                </w14:textFill>
              </w:rPr>
              <w:t>|||</w:t>
            </w:r>
            <w:r w:rsidR="00B50819" w:rsidRPr="00B50819">
              <w:rPr>
                <w:color w:val="000000"/>
                <w:spacing w:val="1"/>
                <w:shd w:val="solid" w:color="000000" w:fill="000000"/>
                <w:fitText w:val="330" w:id="-628958709"/>
                <w14:textFill>
                  <w14:solidFill>
                    <w14:srgbClr w14:val="000000">
                      <w14:alpha w14:val="100000"/>
                    </w14:srgbClr>
                  </w14:solidFill>
                </w14:textFill>
              </w:rPr>
              <w:t>|</w:t>
            </w:r>
            <w:r w:rsidR="00B03361">
              <w:t>% are assumed to receive osimertinib</w:t>
            </w:r>
            <w:r w:rsidR="00CE15E1">
              <w:t>,</w:t>
            </w:r>
            <w:r w:rsidR="00B03361">
              <w:t xml:space="preserve"> which is broadly aligned with the market share of osimertinib in the first-line metastatic setting.</w:t>
            </w:r>
          </w:p>
        </w:tc>
      </w:tr>
      <w:tr w:rsidR="009745EA" w:rsidRPr="00E2771E" w14:paraId="5A4BAC8E" w14:textId="77777777">
        <w:tc>
          <w:tcPr>
            <w:tcW w:w="5000" w:type="pct"/>
            <w:gridSpan w:val="3"/>
            <w:vAlign w:val="center"/>
          </w:tcPr>
          <w:p w14:paraId="59F655F0" w14:textId="77777777" w:rsidR="009745EA" w:rsidRPr="00C42502" w:rsidRDefault="009745EA" w:rsidP="00A12328">
            <w:pPr>
              <w:pStyle w:val="TableText0"/>
              <w:keepNext w:val="0"/>
              <w:rPr>
                <w:i/>
                <w:szCs w:val="20"/>
              </w:rPr>
            </w:pPr>
            <w:r w:rsidRPr="00C42502">
              <w:rPr>
                <w:b/>
                <w:szCs w:val="20"/>
              </w:rPr>
              <w:t>Drug cost</w:t>
            </w:r>
          </w:p>
        </w:tc>
      </w:tr>
      <w:tr w:rsidR="009745EA" w:rsidRPr="00E2771E" w14:paraId="2EC5D551" w14:textId="77777777">
        <w:tc>
          <w:tcPr>
            <w:tcW w:w="862" w:type="pct"/>
            <w:shd w:val="clear" w:color="auto" w:fill="FFFFFF" w:themeFill="background1"/>
          </w:tcPr>
          <w:p w14:paraId="2427B1A8" w14:textId="77777777" w:rsidR="009745EA" w:rsidRPr="00C42502" w:rsidRDefault="009745EA" w:rsidP="00A12328">
            <w:pPr>
              <w:pStyle w:val="TableText0"/>
              <w:keepNext w:val="0"/>
              <w:rPr>
                <w:szCs w:val="20"/>
              </w:rPr>
            </w:pPr>
            <w:r w:rsidRPr="009520E0">
              <w:rPr>
                <w:szCs w:val="20"/>
              </w:rPr>
              <w:t>Osimertinib effective DPMQ</w:t>
            </w:r>
          </w:p>
        </w:tc>
        <w:tc>
          <w:tcPr>
            <w:tcW w:w="1808" w:type="pct"/>
            <w:shd w:val="clear" w:color="auto" w:fill="FFFFFF" w:themeFill="background1"/>
          </w:tcPr>
          <w:p w14:paraId="21D74D5B" w14:textId="0B224475" w:rsidR="009745EA" w:rsidRPr="009520E0" w:rsidRDefault="009745EA" w:rsidP="00A12328">
            <w:pPr>
              <w:pStyle w:val="TableText0"/>
              <w:keepNext w:val="0"/>
              <w:rPr>
                <w:szCs w:val="20"/>
              </w:rPr>
            </w:pPr>
            <w:r w:rsidRPr="009520E0">
              <w:rPr>
                <w:szCs w:val="20"/>
              </w:rPr>
              <w:t>$</w:t>
            </w:r>
            <w:r w:rsidR="00B50819" w:rsidRPr="00B50819">
              <w:rPr>
                <w:color w:val="000000"/>
                <w:spacing w:val="53"/>
                <w:szCs w:val="20"/>
                <w:shd w:val="solid" w:color="000000" w:fill="000000"/>
                <w:fitText w:val="330" w:id="-628958708"/>
                <w14:textFill>
                  <w14:solidFill>
                    <w14:srgbClr w14:val="000000">
                      <w14:alpha w14:val="100000"/>
                    </w14:srgbClr>
                  </w14:solidFill>
                </w14:textFill>
              </w:rPr>
              <w:t>|||</w:t>
            </w:r>
            <w:r w:rsidR="00B50819" w:rsidRPr="00B50819">
              <w:rPr>
                <w:color w:val="000000"/>
                <w:spacing w:val="1"/>
                <w:szCs w:val="20"/>
                <w:shd w:val="solid" w:color="000000" w:fill="000000"/>
                <w:fitText w:val="330" w:id="-628958708"/>
                <w14:textFill>
                  <w14:solidFill>
                    <w14:srgbClr w14:val="000000">
                      <w14:alpha w14:val="100000"/>
                    </w14:srgbClr>
                  </w14:solidFill>
                </w14:textFill>
              </w:rPr>
              <w:t>|</w:t>
            </w:r>
          </w:p>
          <w:p w14:paraId="5BBF4EEF" w14:textId="77777777" w:rsidR="009745EA" w:rsidRPr="00C42502" w:rsidRDefault="009745EA" w:rsidP="00A12328">
            <w:pPr>
              <w:pStyle w:val="TableText0"/>
              <w:keepNext w:val="0"/>
              <w:rPr>
                <w:szCs w:val="20"/>
              </w:rPr>
            </w:pPr>
            <w:r w:rsidRPr="009520E0">
              <w:rPr>
                <w:szCs w:val="20"/>
              </w:rPr>
              <w:t>Proposed effective DPMQ</w:t>
            </w:r>
          </w:p>
        </w:tc>
        <w:tc>
          <w:tcPr>
            <w:tcW w:w="2330" w:type="pct"/>
            <w:vAlign w:val="center"/>
          </w:tcPr>
          <w:p w14:paraId="55440D7A" w14:textId="39919D70" w:rsidR="00833991" w:rsidRPr="00865223" w:rsidRDefault="009745EA" w:rsidP="00A12328">
            <w:pPr>
              <w:pStyle w:val="TableText0"/>
              <w:keepNext w:val="0"/>
              <w:rPr>
                <w:iCs/>
                <w:szCs w:val="20"/>
              </w:rPr>
            </w:pPr>
            <w:r w:rsidRPr="00C01F8E">
              <w:rPr>
                <w:iCs/>
                <w:szCs w:val="20"/>
              </w:rPr>
              <w:t xml:space="preserve">Reasonable, but noted that treatment interruptions modelled </w:t>
            </w:r>
            <w:r w:rsidRPr="007F3909">
              <w:rPr>
                <w:iCs/>
                <w:szCs w:val="20"/>
              </w:rPr>
              <w:t>in</w:t>
            </w:r>
            <w:r w:rsidR="001A3F1E" w:rsidRPr="007F3909">
              <w:rPr>
                <w:iCs/>
                <w:szCs w:val="20"/>
              </w:rPr>
              <w:t xml:space="preserve"> the economic </w:t>
            </w:r>
            <w:r w:rsidR="00514C38" w:rsidRPr="007F3909">
              <w:rPr>
                <w:iCs/>
                <w:szCs w:val="20"/>
              </w:rPr>
              <w:t>analysis</w:t>
            </w:r>
            <w:r w:rsidRPr="00C01F8E">
              <w:rPr>
                <w:iCs/>
                <w:szCs w:val="20"/>
              </w:rPr>
              <w:t xml:space="preserve"> were not applied in the financial estimates.</w:t>
            </w:r>
          </w:p>
        </w:tc>
      </w:tr>
      <w:tr w:rsidR="009745EA" w:rsidRPr="00E2771E" w14:paraId="3575FD27" w14:textId="77777777">
        <w:tc>
          <w:tcPr>
            <w:tcW w:w="862" w:type="pct"/>
          </w:tcPr>
          <w:p w14:paraId="76954FA7" w14:textId="77777777" w:rsidR="009745EA" w:rsidRPr="00C42502" w:rsidRDefault="009745EA" w:rsidP="00A12328">
            <w:pPr>
              <w:pStyle w:val="TableText0"/>
              <w:keepNext w:val="0"/>
              <w:rPr>
                <w:szCs w:val="20"/>
              </w:rPr>
            </w:pPr>
            <w:r w:rsidRPr="009520E0">
              <w:rPr>
                <w:szCs w:val="20"/>
              </w:rPr>
              <w:t>Substituted PBS costs</w:t>
            </w:r>
          </w:p>
        </w:tc>
        <w:tc>
          <w:tcPr>
            <w:tcW w:w="1808" w:type="pct"/>
          </w:tcPr>
          <w:p w14:paraId="591DA198" w14:textId="77777777" w:rsidR="009745EA" w:rsidRPr="009520E0" w:rsidRDefault="009745EA" w:rsidP="00A12328">
            <w:pPr>
              <w:pStyle w:val="TableText0"/>
              <w:keepNext w:val="0"/>
              <w:rPr>
                <w:szCs w:val="20"/>
              </w:rPr>
            </w:pPr>
            <w:r w:rsidRPr="009520E0">
              <w:rPr>
                <w:szCs w:val="20"/>
              </w:rPr>
              <w:t>Osimertinib (metastatic setting)</w:t>
            </w:r>
          </w:p>
          <w:p w14:paraId="60CD1BA9" w14:textId="77777777" w:rsidR="009745EA" w:rsidRPr="00C42502" w:rsidRDefault="009745EA" w:rsidP="00A12328">
            <w:pPr>
              <w:pStyle w:val="TableText0"/>
              <w:keepNext w:val="0"/>
              <w:rPr>
                <w:szCs w:val="20"/>
              </w:rPr>
            </w:pPr>
            <w:r w:rsidRPr="009520E0">
              <w:rPr>
                <w:szCs w:val="20"/>
              </w:rPr>
              <w:t>Assumption.</w:t>
            </w:r>
          </w:p>
        </w:tc>
        <w:tc>
          <w:tcPr>
            <w:tcW w:w="2330" w:type="pct"/>
            <w:vAlign w:val="center"/>
          </w:tcPr>
          <w:p w14:paraId="37AAFB43" w14:textId="75971455" w:rsidR="009745EA" w:rsidRPr="00C01F8E" w:rsidRDefault="009745EA" w:rsidP="00A12328">
            <w:pPr>
              <w:pStyle w:val="TableText0"/>
              <w:keepNext w:val="0"/>
              <w:rPr>
                <w:iCs/>
                <w:szCs w:val="20"/>
              </w:rPr>
            </w:pPr>
            <w:r w:rsidRPr="00C01F8E">
              <w:rPr>
                <w:iCs/>
                <w:szCs w:val="20"/>
              </w:rPr>
              <w:t xml:space="preserve">The financial model did not include additional costs of other effective post-progression therapies such as ABCP for a proportion of patients who progress on osimertinib in the proposed listing. Additional sensitivity analysis performed during the evaluation included additional costs of ABCP for </w:t>
            </w:r>
            <w:r w:rsidRPr="007F3909">
              <w:rPr>
                <w:iCs/>
                <w:szCs w:val="20"/>
              </w:rPr>
              <w:t>57.1%</w:t>
            </w:r>
            <w:r w:rsidRPr="007F3909">
              <w:rPr>
                <w:iCs/>
                <w:szCs w:val="20"/>
                <w:vertAlign w:val="superscript"/>
              </w:rPr>
              <w:t>a</w:t>
            </w:r>
            <w:r w:rsidRPr="007F3909">
              <w:rPr>
                <w:iCs/>
                <w:szCs w:val="20"/>
              </w:rPr>
              <w:t xml:space="preserve"> of patients</w:t>
            </w:r>
            <w:r w:rsidRPr="00C01F8E">
              <w:rPr>
                <w:iCs/>
                <w:szCs w:val="20"/>
              </w:rPr>
              <w:t xml:space="preserve"> who progress on osimertinib in the proposed listing.</w:t>
            </w:r>
          </w:p>
        </w:tc>
      </w:tr>
      <w:tr w:rsidR="006C3805" w:rsidRPr="00E2771E" w14:paraId="0242C412" w14:textId="77777777">
        <w:tc>
          <w:tcPr>
            <w:tcW w:w="862" w:type="pct"/>
          </w:tcPr>
          <w:p w14:paraId="660AFF56" w14:textId="285C0985" w:rsidR="006C3805" w:rsidRPr="008569E4" w:rsidRDefault="006C3805" w:rsidP="00A12328">
            <w:pPr>
              <w:pStyle w:val="TableText0"/>
              <w:keepNext w:val="0"/>
              <w:rPr>
                <w:szCs w:val="20"/>
              </w:rPr>
            </w:pPr>
            <w:r w:rsidRPr="008569E4">
              <w:rPr>
                <w:szCs w:val="20"/>
              </w:rPr>
              <w:t>Osimertinib (metastatic setting) effective DPMQ</w:t>
            </w:r>
          </w:p>
        </w:tc>
        <w:tc>
          <w:tcPr>
            <w:tcW w:w="1808" w:type="pct"/>
          </w:tcPr>
          <w:p w14:paraId="6DE5F866" w14:textId="49E72560" w:rsidR="006C3805" w:rsidRPr="008569E4" w:rsidRDefault="006C3805" w:rsidP="00A12328">
            <w:pPr>
              <w:pStyle w:val="TableText0"/>
              <w:keepNext w:val="0"/>
              <w:rPr>
                <w:szCs w:val="20"/>
              </w:rPr>
            </w:pPr>
            <w:r w:rsidRPr="008569E4">
              <w:rPr>
                <w:szCs w:val="20"/>
              </w:rPr>
              <w:t>$</w:t>
            </w:r>
            <w:r w:rsidR="00B50819" w:rsidRPr="00B50819">
              <w:rPr>
                <w:color w:val="000000"/>
                <w:spacing w:val="53"/>
                <w:szCs w:val="20"/>
                <w:shd w:val="solid" w:color="000000" w:fill="000000"/>
                <w:fitText w:val="330" w:id="-628958707"/>
                <w14:textFill>
                  <w14:solidFill>
                    <w14:srgbClr w14:val="000000">
                      <w14:alpha w14:val="100000"/>
                    </w14:srgbClr>
                  </w14:solidFill>
                </w14:textFill>
              </w:rPr>
              <w:t>|||</w:t>
            </w:r>
            <w:r w:rsidR="00B50819" w:rsidRPr="00B50819">
              <w:rPr>
                <w:color w:val="000000"/>
                <w:spacing w:val="1"/>
                <w:szCs w:val="20"/>
                <w:shd w:val="solid" w:color="000000" w:fill="000000"/>
                <w:fitText w:val="330" w:id="-628958707"/>
                <w14:textFill>
                  <w14:solidFill>
                    <w14:srgbClr w14:val="000000">
                      <w14:alpha w14:val="100000"/>
                    </w14:srgbClr>
                  </w14:solidFill>
                </w14:textFill>
              </w:rPr>
              <w:t>|</w:t>
            </w:r>
          </w:p>
          <w:p w14:paraId="4EF2828C" w14:textId="2246D29F" w:rsidR="006C3805" w:rsidRPr="008569E4" w:rsidRDefault="006C3805" w:rsidP="00A12328">
            <w:pPr>
              <w:pStyle w:val="TableText0"/>
              <w:keepNext w:val="0"/>
              <w:rPr>
                <w:szCs w:val="20"/>
              </w:rPr>
            </w:pPr>
          </w:p>
        </w:tc>
        <w:tc>
          <w:tcPr>
            <w:tcW w:w="2330" w:type="pct"/>
            <w:vAlign w:val="center"/>
          </w:tcPr>
          <w:p w14:paraId="48871BD0" w14:textId="253B84E2" w:rsidR="006C3805" w:rsidRPr="008569E4" w:rsidRDefault="006C3805" w:rsidP="00A12328">
            <w:pPr>
              <w:pStyle w:val="TableText0"/>
              <w:keepNext w:val="0"/>
              <w:rPr>
                <w:iCs/>
                <w:szCs w:val="20"/>
              </w:rPr>
            </w:pPr>
            <w:r w:rsidRPr="008569E4">
              <w:rPr>
                <w:iCs/>
                <w:szCs w:val="20"/>
              </w:rPr>
              <w:t xml:space="preserve">Inappropriate and inconsistent with the economic model. The submission </w:t>
            </w:r>
            <w:r w:rsidR="00707A2A" w:rsidRPr="008569E4">
              <w:rPr>
                <w:iCs/>
                <w:szCs w:val="20"/>
              </w:rPr>
              <w:t xml:space="preserve">appropriately </w:t>
            </w:r>
            <w:r w:rsidRPr="008569E4">
              <w:rPr>
                <w:iCs/>
                <w:szCs w:val="20"/>
              </w:rPr>
              <w:t>applied an effective DPMQ of $</w:t>
            </w:r>
            <w:r w:rsidR="00B50819" w:rsidRPr="00B50819">
              <w:rPr>
                <w:iCs/>
                <w:color w:val="000000"/>
                <w:spacing w:val="48"/>
                <w:szCs w:val="20"/>
                <w:shd w:val="solid" w:color="000000" w:fill="000000"/>
                <w:fitText w:val="315" w:id="-628958706"/>
                <w14:textFill>
                  <w14:solidFill>
                    <w14:srgbClr w14:val="000000">
                      <w14:alpha w14:val="100000"/>
                    </w14:srgbClr>
                  </w14:solidFill>
                </w14:textFill>
              </w:rPr>
              <w:t>|||</w:t>
            </w:r>
            <w:r w:rsidR="00B50819" w:rsidRPr="00B50819">
              <w:rPr>
                <w:iCs/>
                <w:color w:val="000000"/>
                <w:spacing w:val="1"/>
                <w:szCs w:val="20"/>
                <w:shd w:val="solid" w:color="000000" w:fill="000000"/>
                <w:fitText w:val="315" w:id="-628958706"/>
                <w14:textFill>
                  <w14:solidFill>
                    <w14:srgbClr w14:val="000000">
                      <w14:alpha w14:val="100000"/>
                    </w14:srgbClr>
                  </w14:solidFill>
                </w14:textFill>
              </w:rPr>
              <w:t>|</w:t>
            </w:r>
            <w:r w:rsidRPr="008569E4">
              <w:rPr>
                <w:iCs/>
                <w:szCs w:val="20"/>
              </w:rPr>
              <w:t xml:space="preserve"> in </w:t>
            </w:r>
            <w:r w:rsidR="00707A2A" w:rsidRPr="008569E4">
              <w:rPr>
                <w:iCs/>
                <w:szCs w:val="20"/>
              </w:rPr>
              <w:t>the economic model</w:t>
            </w:r>
            <w:r w:rsidRPr="008569E4">
              <w:rPr>
                <w:iCs/>
                <w:szCs w:val="20"/>
              </w:rPr>
              <w:t xml:space="preserve"> for osimertinib in the metastatic setting.</w:t>
            </w:r>
            <w:r w:rsidR="00707A2A" w:rsidRPr="008569E4">
              <w:rPr>
                <w:iCs/>
                <w:szCs w:val="20"/>
              </w:rPr>
              <w:t xml:space="preserve"> </w:t>
            </w:r>
          </w:p>
        </w:tc>
      </w:tr>
    </w:tbl>
    <w:p w14:paraId="6D8A5AC9" w14:textId="77777777" w:rsidR="009745EA" w:rsidRPr="009520E0" w:rsidRDefault="009745EA" w:rsidP="00A12328">
      <w:pPr>
        <w:pStyle w:val="TableFigureFooter"/>
        <w:rPr>
          <w:bCs/>
          <w:szCs w:val="18"/>
        </w:rPr>
      </w:pPr>
      <w:r w:rsidRPr="009520E0">
        <w:rPr>
          <w:szCs w:val="18"/>
        </w:rPr>
        <w:t>Source: Table 4-1, p165 of the submission.</w:t>
      </w:r>
    </w:p>
    <w:p w14:paraId="6FC9BBCA" w14:textId="301BF3AD" w:rsidR="009745EA" w:rsidRPr="009520E0" w:rsidRDefault="009745EA" w:rsidP="00A12328">
      <w:pPr>
        <w:pStyle w:val="TableFigureFooter"/>
        <w:rPr>
          <w:szCs w:val="18"/>
        </w:rPr>
      </w:pPr>
      <w:r w:rsidRPr="009520E0">
        <w:rPr>
          <w:szCs w:val="18"/>
        </w:rPr>
        <w:t xml:space="preserve">ABCP = </w:t>
      </w:r>
      <w:r w:rsidRPr="009520E0">
        <w:rPr>
          <w:iCs/>
          <w:szCs w:val="18"/>
        </w:rPr>
        <w:t>atezolizumab, bevacizumab in combination with platinum doublet chemotherapy; AIHW</w:t>
      </w:r>
      <w:r w:rsidRPr="009520E0">
        <w:rPr>
          <w:szCs w:val="18"/>
        </w:rPr>
        <w:t xml:space="preserve"> = Australian Institute of Health and Welfare; CRT = chemoradiation therapy; DPMQ=dispensed price for maximum quantity, </w:t>
      </w:r>
      <w:r w:rsidR="00C45A6D" w:rsidRPr="00C45A6D">
        <w:rPr>
          <w:i/>
          <w:szCs w:val="18"/>
        </w:rPr>
        <w:t>EGFR</w:t>
      </w:r>
      <w:r w:rsidRPr="009520E0">
        <w:rPr>
          <w:szCs w:val="18"/>
        </w:rPr>
        <w:t xml:space="preserve"> = epidermal growth factor receptor; FAS = full analysis set; KM = Kaplan-Meier; LRR = loco-regional recurrence; MBS = Medicare Benefits Schedule; NSCLC = non-small cell lung cancer; OS = overall survival; PBS = Pharmaceutical Benefits Scheme; PD = progressive disease; PFS = progression-free survival; RPBS = Repatriation Pharmaceutical Benefits Scheme; RSA = risk-share arrangement; TKI = tyrosine kinase inhibitor; TTD = time to treatment discontinuation; VLCR = Victorian Lung Cancer Registry</w:t>
      </w:r>
      <w:r w:rsidR="00AD0F62">
        <w:rPr>
          <w:szCs w:val="18"/>
        </w:rPr>
        <w:t>;</w:t>
      </w:r>
      <w:r w:rsidRPr="009520E0">
        <w:rPr>
          <w:szCs w:val="18"/>
        </w:rPr>
        <w:t xml:space="preserve"> Yr=year.</w:t>
      </w:r>
    </w:p>
    <w:p w14:paraId="44CF14DD" w14:textId="0F7FDBCF" w:rsidR="00810ACD" w:rsidRPr="00406B28" w:rsidRDefault="009745EA" w:rsidP="00A12328">
      <w:pPr>
        <w:pStyle w:val="TableFigureFooter"/>
        <w:ind w:left="165" w:hanging="165"/>
        <w:rPr>
          <w:szCs w:val="18"/>
        </w:rPr>
      </w:pPr>
      <w:r w:rsidRPr="009520E0">
        <w:rPr>
          <w:szCs w:val="18"/>
          <w:vertAlign w:val="superscript"/>
        </w:rPr>
        <w:t>a</w:t>
      </w:r>
      <w:r w:rsidR="00144398">
        <w:rPr>
          <w:szCs w:val="18"/>
          <w:vertAlign w:val="superscript"/>
        </w:rPr>
        <w:t xml:space="preserve"> </w:t>
      </w:r>
      <w:r w:rsidRPr="00C01F8E">
        <w:rPr>
          <w:szCs w:val="18"/>
        </w:rPr>
        <w:t xml:space="preserve">This was </w:t>
      </w:r>
      <w:r w:rsidRPr="007F3909">
        <w:rPr>
          <w:szCs w:val="18"/>
        </w:rPr>
        <w:t>derived in</w:t>
      </w:r>
      <w:r w:rsidR="007F3909" w:rsidRPr="007F3909">
        <w:rPr>
          <w:szCs w:val="18"/>
        </w:rPr>
        <w:t xml:space="preserve"> the economic analysis</w:t>
      </w:r>
      <w:r w:rsidRPr="007F3909">
        <w:rPr>
          <w:szCs w:val="18"/>
        </w:rPr>
        <w:t xml:space="preserve"> as follow</w:t>
      </w:r>
      <w:r w:rsidRPr="00C01F8E">
        <w:rPr>
          <w:szCs w:val="18"/>
        </w:rPr>
        <w:t xml:space="preserve">s: from the osimertinib arm of LAURA, 28 patients used subsequent </w:t>
      </w:r>
      <w:r w:rsidR="00C45A6D" w:rsidRPr="00C45A6D">
        <w:rPr>
          <w:i/>
          <w:szCs w:val="18"/>
        </w:rPr>
        <w:t>EGFR</w:t>
      </w:r>
      <w:r w:rsidRPr="00C01F8E">
        <w:rPr>
          <w:szCs w:val="18"/>
        </w:rPr>
        <w:t>-</w:t>
      </w:r>
      <w:r w:rsidR="009D29FB" w:rsidRPr="00C01F8E">
        <w:rPr>
          <w:szCs w:val="18"/>
        </w:rPr>
        <w:t>TKI,</w:t>
      </w:r>
      <w:r w:rsidRPr="00C01F8E">
        <w:rPr>
          <w:szCs w:val="18"/>
        </w:rPr>
        <w:t xml:space="preserve"> and 8 patients used subsequent VEGF-inhibitor – monoclonal antibody. 36 out of 63 patients who discontinued randomised study treatment is 57.1%.</w:t>
      </w:r>
    </w:p>
    <w:p w14:paraId="0B7587E3" w14:textId="683B9271" w:rsidR="00F71947" w:rsidRPr="002E0A70" w:rsidRDefault="009745EA" w:rsidP="00A12328">
      <w:pPr>
        <w:pStyle w:val="3-BodyText"/>
        <w:spacing w:before="0"/>
      </w:pPr>
      <w:r>
        <w:t>The predicted use of osimertinib</w:t>
      </w:r>
      <w:r w:rsidRPr="004A16E0">
        <w:t xml:space="preserve"> and financial implications associated with the proposed listing </w:t>
      </w:r>
      <w:r>
        <w:t>a</w:t>
      </w:r>
      <w:r w:rsidRPr="004A16E0">
        <w:t xml:space="preserve">re </w:t>
      </w:r>
      <w:r w:rsidRPr="0051073E">
        <w:t xml:space="preserve">summarised in </w:t>
      </w:r>
      <w:r w:rsidR="006C530F" w:rsidRPr="0051073E">
        <w:fldChar w:fldCharType="begin"/>
      </w:r>
      <w:r w:rsidR="006C530F" w:rsidRPr="0051073E">
        <w:instrText xml:space="preserve"> REF _Ref198210622 \h </w:instrText>
      </w:r>
      <w:r w:rsidR="0051073E">
        <w:instrText xml:space="preserve"> \* MERGEFORMAT </w:instrText>
      </w:r>
      <w:r w:rsidR="006C530F" w:rsidRPr="0051073E">
        <w:fldChar w:fldCharType="separate"/>
      </w:r>
      <w:r w:rsidR="009F3D59">
        <w:t xml:space="preserve">Table </w:t>
      </w:r>
      <w:r w:rsidR="009F3D59">
        <w:rPr>
          <w:noProof/>
        </w:rPr>
        <w:t>19</w:t>
      </w:r>
      <w:r w:rsidR="006C530F" w:rsidRPr="0051073E">
        <w:fldChar w:fldCharType="end"/>
      </w:r>
      <w:r w:rsidRPr="0051073E">
        <w:t xml:space="preserve">. </w:t>
      </w:r>
      <w:r w:rsidR="00406B28" w:rsidRPr="0051073E">
        <w:rPr>
          <w:szCs w:val="20"/>
        </w:rPr>
        <w:t xml:space="preserve">The model </w:t>
      </w:r>
      <w:r w:rsidR="00406B28" w:rsidRPr="006A390F">
        <w:rPr>
          <w:szCs w:val="20"/>
        </w:rPr>
        <w:t>assumed a 50% rebate</w:t>
      </w:r>
      <w:r w:rsidR="00406B28" w:rsidRPr="0051073E">
        <w:rPr>
          <w:szCs w:val="20"/>
        </w:rPr>
        <w:t xml:space="preserve"> for the published prices of atezolizumab and nivolumab. </w:t>
      </w:r>
    </w:p>
    <w:p w14:paraId="0D95897D" w14:textId="2E7D2D3A" w:rsidR="009745EA" w:rsidRPr="00606FBA" w:rsidRDefault="009745EA" w:rsidP="004A476B">
      <w:pPr>
        <w:pStyle w:val="Caption"/>
      </w:pPr>
      <w:bookmarkStart w:id="84" w:name="_Ref198210622"/>
      <w:r>
        <w:t xml:space="preserve">Table </w:t>
      </w:r>
      <w:r w:rsidR="002E1944">
        <w:fldChar w:fldCharType="begin"/>
      </w:r>
      <w:r w:rsidR="002E1944">
        <w:instrText xml:space="preserve"> SEQ Table \* ARABIC </w:instrText>
      </w:r>
      <w:r w:rsidR="002E1944">
        <w:fldChar w:fldCharType="separate"/>
      </w:r>
      <w:r w:rsidR="009F3D59">
        <w:rPr>
          <w:noProof/>
        </w:rPr>
        <w:t>19</w:t>
      </w:r>
      <w:r w:rsidR="002E1944">
        <w:rPr>
          <w:noProof/>
        </w:rPr>
        <w:fldChar w:fldCharType="end"/>
      </w:r>
      <w:bookmarkEnd w:id="84"/>
      <w: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w:tblPr>
      <w:tblGrid>
        <w:gridCol w:w="2405"/>
        <w:gridCol w:w="1102"/>
        <w:gridCol w:w="1102"/>
        <w:gridCol w:w="1102"/>
        <w:gridCol w:w="1102"/>
        <w:gridCol w:w="1102"/>
        <w:gridCol w:w="1102"/>
      </w:tblGrid>
      <w:tr w:rsidR="009745EA" w:rsidRPr="00741A27" w14:paraId="56C14C39" w14:textId="77777777">
        <w:trPr>
          <w:tblHeader/>
        </w:trPr>
        <w:tc>
          <w:tcPr>
            <w:tcW w:w="1334" w:type="pct"/>
            <w:vAlign w:val="center"/>
          </w:tcPr>
          <w:p w14:paraId="3CC82BCB" w14:textId="77777777" w:rsidR="009745EA" w:rsidRPr="0095264D" w:rsidRDefault="009745EA" w:rsidP="004A476B">
            <w:pPr>
              <w:pStyle w:val="In-tableHeading"/>
              <w:keepLines/>
              <w:jc w:val="center"/>
              <w:rPr>
                <w:lang w:val="en-AU"/>
              </w:rPr>
            </w:pPr>
          </w:p>
        </w:tc>
        <w:tc>
          <w:tcPr>
            <w:tcW w:w="611" w:type="pct"/>
            <w:vAlign w:val="center"/>
          </w:tcPr>
          <w:p w14:paraId="6644EB1A" w14:textId="77777777" w:rsidR="009745EA" w:rsidRPr="0095264D" w:rsidRDefault="009745EA" w:rsidP="004A476B">
            <w:pPr>
              <w:pStyle w:val="In-tableHeading"/>
              <w:keepLines/>
              <w:jc w:val="center"/>
              <w:rPr>
                <w:lang w:val="en-AU"/>
              </w:rPr>
            </w:pPr>
            <w:r w:rsidRPr="0095264D">
              <w:rPr>
                <w:lang w:val="en-AU"/>
              </w:rPr>
              <w:t>Year 1</w:t>
            </w:r>
          </w:p>
        </w:tc>
        <w:tc>
          <w:tcPr>
            <w:tcW w:w="611" w:type="pct"/>
            <w:vAlign w:val="center"/>
          </w:tcPr>
          <w:p w14:paraId="7CFC34E9" w14:textId="77777777" w:rsidR="009745EA" w:rsidRPr="0095264D" w:rsidRDefault="009745EA" w:rsidP="004A476B">
            <w:pPr>
              <w:pStyle w:val="In-tableHeading"/>
              <w:keepLines/>
              <w:jc w:val="center"/>
              <w:rPr>
                <w:lang w:val="en-AU"/>
              </w:rPr>
            </w:pPr>
            <w:r w:rsidRPr="0095264D">
              <w:rPr>
                <w:lang w:val="en-AU"/>
              </w:rPr>
              <w:t>Year 2</w:t>
            </w:r>
          </w:p>
        </w:tc>
        <w:tc>
          <w:tcPr>
            <w:tcW w:w="611" w:type="pct"/>
            <w:vAlign w:val="center"/>
          </w:tcPr>
          <w:p w14:paraId="36AC242C" w14:textId="630E7C3B" w:rsidR="009745EA" w:rsidRPr="0095264D" w:rsidRDefault="00557000" w:rsidP="004A476B">
            <w:pPr>
              <w:pStyle w:val="In-tableHeading"/>
              <w:keepLines/>
              <w:jc w:val="center"/>
              <w:rPr>
                <w:lang w:val="en-AU"/>
              </w:rPr>
            </w:pPr>
            <w:r>
              <w:rPr>
                <w:lang w:val="en-AU"/>
              </w:rPr>
              <w:t>Year 3</w:t>
            </w:r>
          </w:p>
        </w:tc>
        <w:tc>
          <w:tcPr>
            <w:tcW w:w="611" w:type="pct"/>
            <w:vAlign w:val="center"/>
          </w:tcPr>
          <w:p w14:paraId="04F47857" w14:textId="77777777" w:rsidR="009745EA" w:rsidRPr="0095264D" w:rsidRDefault="009745EA" w:rsidP="004A476B">
            <w:pPr>
              <w:pStyle w:val="In-tableHeading"/>
              <w:keepLines/>
              <w:jc w:val="center"/>
              <w:rPr>
                <w:lang w:val="en-AU"/>
              </w:rPr>
            </w:pPr>
            <w:r w:rsidRPr="0095264D">
              <w:rPr>
                <w:lang w:val="en-AU"/>
              </w:rPr>
              <w:t>Year 4</w:t>
            </w:r>
          </w:p>
        </w:tc>
        <w:tc>
          <w:tcPr>
            <w:tcW w:w="611" w:type="pct"/>
            <w:vAlign w:val="center"/>
          </w:tcPr>
          <w:p w14:paraId="31B9589B" w14:textId="77777777" w:rsidR="009745EA" w:rsidRPr="0095264D" w:rsidRDefault="009745EA" w:rsidP="004A476B">
            <w:pPr>
              <w:pStyle w:val="In-tableHeading"/>
              <w:keepLines/>
              <w:jc w:val="center"/>
              <w:rPr>
                <w:lang w:val="en-AU"/>
              </w:rPr>
            </w:pPr>
            <w:r w:rsidRPr="0095264D">
              <w:rPr>
                <w:lang w:val="en-AU"/>
              </w:rPr>
              <w:t>Year 5</w:t>
            </w:r>
          </w:p>
        </w:tc>
        <w:tc>
          <w:tcPr>
            <w:tcW w:w="611" w:type="pct"/>
          </w:tcPr>
          <w:p w14:paraId="2E88F239" w14:textId="77777777" w:rsidR="009745EA" w:rsidRPr="0095264D" w:rsidRDefault="009745EA" w:rsidP="004A476B">
            <w:pPr>
              <w:pStyle w:val="In-tableHeading"/>
              <w:keepLines/>
              <w:jc w:val="center"/>
              <w:rPr>
                <w:lang w:val="en-AU"/>
              </w:rPr>
            </w:pPr>
            <w:r w:rsidRPr="0095264D">
              <w:rPr>
                <w:lang w:val="en-AU"/>
              </w:rPr>
              <w:t>Year 6</w:t>
            </w:r>
          </w:p>
        </w:tc>
      </w:tr>
      <w:tr w:rsidR="009745EA" w:rsidRPr="00741A27" w14:paraId="2685C230" w14:textId="77777777">
        <w:tc>
          <w:tcPr>
            <w:tcW w:w="5000" w:type="pct"/>
            <w:gridSpan w:val="7"/>
            <w:vAlign w:val="center"/>
          </w:tcPr>
          <w:p w14:paraId="5096068A" w14:textId="77777777" w:rsidR="009745EA" w:rsidRPr="0095264D" w:rsidRDefault="009745EA" w:rsidP="004A476B">
            <w:pPr>
              <w:pStyle w:val="In-tableHeading"/>
              <w:keepLines/>
              <w:rPr>
                <w:color w:val="000000"/>
                <w:lang w:val="en-AU"/>
              </w:rPr>
            </w:pPr>
            <w:r w:rsidRPr="0095264D">
              <w:rPr>
                <w:color w:val="000000"/>
                <w:lang w:val="en-AU"/>
              </w:rPr>
              <w:t>Estimated extent of use</w:t>
            </w:r>
          </w:p>
        </w:tc>
      </w:tr>
      <w:tr w:rsidR="009745EA" w:rsidRPr="00741A27" w14:paraId="67639F11" w14:textId="77777777">
        <w:tc>
          <w:tcPr>
            <w:tcW w:w="1334" w:type="pct"/>
            <w:vAlign w:val="center"/>
          </w:tcPr>
          <w:p w14:paraId="74776E0C" w14:textId="77777777" w:rsidR="009745EA" w:rsidRPr="00741A27" w:rsidRDefault="009745EA" w:rsidP="004A476B">
            <w:pPr>
              <w:pStyle w:val="TableText0"/>
              <w:keepLines/>
              <w:rPr>
                <w:szCs w:val="20"/>
              </w:rPr>
            </w:pPr>
            <w:r w:rsidRPr="00741A27">
              <w:rPr>
                <w:szCs w:val="20"/>
              </w:rPr>
              <w:t>Number of patients treated</w:t>
            </w:r>
          </w:p>
        </w:tc>
        <w:tc>
          <w:tcPr>
            <w:tcW w:w="611" w:type="pct"/>
          </w:tcPr>
          <w:p w14:paraId="24C5AE8F" w14:textId="37645B9E"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05"/>
                <w14:textFill>
                  <w14:solidFill>
                    <w14:srgbClr w14:val="000000">
                      <w14:alpha w14:val="100000"/>
                    </w14:srgbClr>
                  </w14:solidFill>
                </w14:textFill>
              </w:rPr>
              <w:t>|||</w:t>
            </w:r>
            <w:r w:rsidRPr="00B50819">
              <w:rPr>
                <w:color w:val="000000"/>
                <w:spacing w:val="1"/>
                <w:szCs w:val="20"/>
                <w:shd w:val="solid" w:color="000000" w:fill="000000"/>
                <w:fitText w:val="315" w:id="-628958705"/>
                <w14:textFill>
                  <w14:solidFill>
                    <w14:srgbClr w14:val="000000">
                      <w14:alpha w14:val="100000"/>
                    </w14:srgbClr>
                  </w14:solidFill>
                </w14:textFill>
              </w:rPr>
              <w:t>|</w:t>
            </w:r>
            <w:r w:rsidR="009745EA" w:rsidRPr="00741A27">
              <w:rPr>
                <w:szCs w:val="20"/>
                <w:vertAlign w:val="superscript"/>
              </w:rPr>
              <w:t>b</w:t>
            </w:r>
            <w:r w:rsidR="00ED2732" w:rsidRPr="00ED2732">
              <w:rPr>
                <w:color w:val="333333"/>
                <w:szCs w:val="20"/>
                <w:vertAlign w:val="superscript"/>
              </w:rPr>
              <w:t>1</w:t>
            </w:r>
          </w:p>
        </w:tc>
        <w:tc>
          <w:tcPr>
            <w:tcW w:w="611" w:type="pct"/>
          </w:tcPr>
          <w:p w14:paraId="4EC66284" w14:textId="561BF4A8"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04"/>
                <w14:textFill>
                  <w14:solidFill>
                    <w14:srgbClr w14:val="000000">
                      <w14:alpha w14:val="100000"/>
                    </w14:srgbClr>
                  </w14:solidFill>
                </w14:textFill>
              </w:rPr>
              <w:t>|||</w:t>
            </w:r>
            <w:r w:rsidRPr="00B50819">
              <w:rPr>
                <w:color w:val="000000"/>
                <w:spacing w:val="1"/>
                <w:szCs w:val="20"/>
                <w:shd w:val="solid" w:color="000000" w:fill="000000"/>
                <w:fitText w:val="315" w:id="-628958704"/>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2BBE2F21" w14:textId="537D5E45"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20"/>
                <w14:textFill>
                  <w14:solidFill>
                    <w14:srgbClr w14:val="000000">
                      <w14:alpha w14:val="100000"/>
                    </w14:srgbClr>
                  </w14:solidFill>
                </w14:textFill>
              </w:rPr>
              <w:t>|||</w:t>
            </w:r>
            <w:r w:rsidRPr="00B50819">
              <w:rPr>
                <w:color w:val="000000"/>
                <w:spacing w:val="1"/>
                <w:szCs w:val="20"/>
                <w:shd w:val="solid" w:color="000000" w:fill="000000"/>
                <w:fitText w:val="315" w:id="-628958720"/>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3A22E246" w14:textId="6A2C2968"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9"/>
                <w14:textFill>
                  <w14:solidFill>
                    <w14:srgbClr w14:val="000000">
                      <w14:alpha w14:val="100000"/>
                    </w14:srgbClr>
                  </w14:solidFill>
                </w14:textFill>
              </w:rPr>
              <w:t>|||</w:t>
            </w:r>
            <w:r w:rsidRPr="00B50819">
              <w:rPr>
                <w:color w:val="000000"/>
                <w:spacing w:val="1"/>
                <w:szCs w:val="20"/>
                <w:shd w:val="solid" w:color="000000" w:fill="000000"/>
                <w:fitText w:val="315" w:id="-628958719"/>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674F76BD" w14:textId="2C512720"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8"/>
                <w14:textFill>
                  <w14:solidFill>
                    <w14:srgbClr w14:val="000000">
                      <w14:alpha w14:val="100000"/>
                    </w14:srgbClr>
                  </w14:solidFill>
                </w14:textFill>
              </w:rPr>
              <w:t>|||</w:t>
            </w:r>
            <w:r w:rsidRPr="00B50819">
              <w:rPr>
                <w:color w:val="000000"/>
                <w:spacing w:val="1"/>
                <w:szCs w:val="20"/>
                <w:shd w:val="solid" w:color="000000" w:fill="000000"/>
                <w:fitText w:val="315" w:id="-628958718"/>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6E8B0C4C" w14:textId="1884D83A"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7"/>
                <w14:textFill>
                  <w14:solidFill>
                    <w14:srgbClr w14:val="000000">
                      <w14:alpha w14:val="100000"/>
                    </w14:srgbClr>
                  </w14:solidFill>
                </w14:textFill>
              </w:rPr>
              <w:t>|||</w:t>
            </w:r>
            <w:r w:rsidRPr="00B50819">
              <w:rPr>
                <w:color w:val="000000"/>
                <w:spacing w:val="1"/>
                <w:szCs w:val="20"/>
                <w:shd w:val="solid" w:color="000000" w:fill="000000"/>
                <w:fitText w:val="315" w:id="-628958717"/>
                <w14:textFill>
                  <w14:solidFill>
                    <w14:srgbClr w14:val="000000">
                      <w14:alpha w14:val="100000"/>
                    </w14:srgbClr>
                  </w14:solidFill>
                </w14:textFill>
              </w:rPr>
              <w:t>|</w:t>
            </w:r>
            <w:r w:rsidR="00ED2732" w:rsidRPr="00ED2732">
              <w:rPr>
                <w:color w:val="333333"/>
                <w:szCs w:val="20"/>
                <w:vertAlign w:val="superscript"/>
              </w:rPr>
              <w:t>1</w:t>
            </w:r>
          </w:p>
        </w:tc>
      </w:tr>
      <w:tr w:rsidR="009745EA" w:rsidRPr="00741A27" w14:paraId="0D458040" w14:textId="77777777">
        <w:tc>
          <w:tcPr>
            <w:tcW w:w="1334" w:type="pct"/>
            <w:vAlign w:val="center"/>
          </w:tcPr>
          <w:p w14:paraId="73DA38E6" w14:textId="77777777" w:rsidR="009745EA" w:rsidRPr="00741A27" w:rsidRDefault="009745EA" w:rsidP="004A476B">
            <w:pPr>
              <w:pStyle w:val="TableText0"/>
              <w:keepLines/>
              <w:rPr>
                <w:szCs w:val="20"/>
              </w:rPr>
            </w:pPr>
            <w:r w:rsidRPr="00741A27">
              <w:rPr>
                <w:szCs w:val="20"/>
              </w:rPr>
              <w:t>Number of scripts dispensed</w:t>
            </w:r>
            <w:r w:rsidRPr="00741A27">
              <w:rPr>
                <w:szCs w:val="20"/>
                <w:vertAlign w:val="superscript"/>
              </w:rPr>
              <w:t>a</w:t>
            </w:r>
          </w:p>
        </w:tc>
        <w:tc>
          <w:tcPr>
            <w:tcW w:w="611" w:type="pct"/>
          </w:tcPr>
          <w:p w14:paraId="15C5B4B6" w14:textId="06798FFE"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6"/>
                <w14:textFill>
                  <w14:solidFill>
                    <w14:srgbClr w14:val="000000">
                      <w14:alpha w14:val="100000"/>
                    </w14:srgbClr>
                  </w14:solidFill>
                </w14:textFill>
              </w:rPr>
              <w:t>|||</w:t>
            </w:r>
            <w:r w:rsidRPr="00B50819">
              <w:rPr>
                <w:color w:val="000000"/>
                <w:spacing w:val="1"/>
                <w:szCs w:val="20"/>
                <w:shd w:val="solid" w:color="000000" w:fill="000000"/>
                <w:fitText w:val="315" w:id="-628958716"/>
                <w14:textFill>
                  <w14:solidFill>
                    <w14:srgbClr w14:val="000000">
                      <w14:alpha w14:val="100000"/>
                    </w14:srgbClr>
                  </w14:solidFill>
                </w14:textFill>
              </w:rPr>
              <w:t>|</w:t>
            </w:r>
            <w:r w:rsidR="00040E75" w:rsidRPr="00ED2732">
              <w:rPr>
                <w:color w:val="333333"/>
                <w:szCs w:val="20"/>
                <w:vertAlign w:val="superscript"/>
              </w:rPr>
              <w:t>2</w:t>
            </w:r>
          </w:p>
        </w:tc>
        <w:tc>
          <w:tcPr>
            <w:tcW w:w="611" w:type="pct"/>
          </w:tcPr>
          <w:p w14:paraId="5CB265FC" w14:textId="3D364F36"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5"/>
                <w14:textFill>
                  <w14:solidFill>
                    <w14:srgbClr w14:val="000000">
                      <w14:alpha w14:val="100000"/>
                    </w14:srgbClr>
                  </w14:solidFill>
                </w14:textFill>
              </w:rPr>
              <w:t>|||</w:t>
            </w:r>
            <w:r w:rsidRPr="00B50819">
              <w:rPr>
                <w:color w:val="000000"/>
                <w:spacing w:val="1"/>
                <w:szCs w:val="20"/>
                <w:shd w:val="solid" w:color="000000" w:fill="000000"/>
                <w:fitText w:val="315" w:id="-628958715"/>
                <w14:textFill>
                  <w14:solidFill>
                    <w14:srgbClr w14:val="000000">
                      <w14:alpha w14:val="100000"/>
                    </w14:srgbClr>
                  </w14:solidFill>
                </w14:textFill>
              </w:rPr>
              <w:t>|</w:t>
            </w:r>
            <w:r w:rsidR="00040E75" w:rsidRPr="00040E75">
              <w:rPr>
                <w:color w:val="333333"/>
                <w:szCs w:val="20"/>
                <w:vertAlign w:val="superscript"/>
              </w:rPr>
              <w:t>3</w:t>
            </w:r>
          </w:p>
        </w:tc>
        <w:tc>
          <w:tcPr>
            <w:tcW w:w="611" w:type="pct"/>
          </w:tcPr>
          <w:p w14:paraId="42FF5368" w14:textId="27AE005D"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4"/>
                <w14:textFill>
                  <w14:solidFill>
                    <w14:srgbClr w14:val="000000">
                      <w14:alpha w14:val="100000"/>
                    </w14:srgbClr>
                  </w14:solidFill>
                </w14:textFill>
              </w:rPr>
              <w:t>|||</w:t>
            </w:r>
            <w:r w:rsidRPr="00B50819">
              <w:rPr>
                <w:color w:val="000000"/>
                <w:spacing w:val="1"/>
                <w:szCs w:val="20"/>
                <w:shd w:val="solid" w:color="000000" w:fill="000000"/>
                <w:fitText w:val="315" w:id="-628958714"/>
                <w14:textFill>
                  <w14:solidFill>
                    <w14:srgbClr w14:val="000000">
                      <w14:alpha w14:val="100000"/>
                    </w14:srgbClr>
                  </w14:solidFill>
                </w14:textFill>
              </w:rPr>
              <w:t>|</w:t>
            </w:r>
            <w:r w:rsidR="00040E75" w:rsidRPr="00040E75">
              <w:rPr>
                <w:color w:val="333333"/>
                <w:szCs w:val="20"/>
                <w:vertAlign w:val="superscript"/>
              </w:rPr>
              <w:t>4</w:t>
            </w:r>
          </w:p>
        </w:tc>
        <w:tc>
          <w:tcPr>
            <w:tcW w:w="611" w:type="pct"/>
          </w:tcPr>
          <w:p w14:paraId="582F94F8" w14:textId="2B312410"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3"/>
                <w14:textFill>
                  <w14:solidFill>
                    <w14:srgbClr w14:val="000000">
                      <w14:alpha w14:val="100000"/>
                    </w14:srgbClr>
                  </w14:solidFill>
                </w14:textFill>
              </w:rPr>
              <w:t>|||</w:t>
            </w:r>
            <w:r w:rsidRPr="00B50819">
              <w:rPr>
                <w:color w:val="000000"/>
                <w:spacing w:val="1"/>
                <w:szCs w:val="20"/>
                <w:shd w:val="solid" w:color="000000" w:fill="000000"/>
                <w:fitText w:val="315" w:id="-628958713"/>
                <w14:textFill>
                  <w14:solidFill>
                    <w14:srgbClr w14:val="000000">
                      <w14:alpha w14:val="100000"/>
                    </w14:srgbClr>
                  </w14:solidFill>
                </w14:textFill>
              </w:rPr>
              <w:t>|</w:t>
            </w:r>
            <w:r w:rsidR="00040E75" w:rsidRPr="00040E75">
              <w:rPr>
                <w:color w:val="333333"/>
                <w:szCs w:val="20"/>
                <w:vertAlign w:val="superscript"/>
              </w:rPr>
              <w:t>4</w:t>
            </w:r>
          </w:p>
        </w:tc>
        <w:tc>
          <w:tcPr>
            <w:tcW w:w="611" w:type="pct"/>
          </w:tcPr>
          <w:p w14:paraId="3472E648" w14:textId="0F6B0027"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2"/>
                <w14:textFill>
                  <w14:solidFill>
                    <w14:srgbClr w14:val="000000">
                      <w14:alpha w14:val="100000"/>
                    </w14:srgbClr>
                  </w14:solidFill>
                </w14:textFill>
              </w:rPr>
              <w:t>|||</w:t>
            </w:r>
            <w:r w:rsidRPr="00B50819">
              <w:rPr>
                <w:color w:val="000000"/>
                <w:spacing w:val="1"/>
                <w:szCs w:val="20"/>
                <w:shd w:val="solid" w:color="000000" w:fill="000000"/>
                <w:fitText w:val="315" w:id="-628958712"/>
                <w14:textFill>
                  <w14:solidFill>
                    <w14:srgbClr w14:val="000000">
                      <w14:alpha w14:val="100000"/>
                    </w14:srgbClr>
                  </w14:solidFill>
                </w14:textFill>
              </w:rPr>
              <w:t>|</w:t>
            </w:r>
            <w:r w:rsidR="00040E75" w:rsidRPr="00040E75">
              <w:rPr>
                <w:color w:val="333333"/>
                <w:szCs w:val="20"/>
                <w:vertAlign w:val="superscript"/>
              </w:rPr>
              <w:t>4</w:t>
            </w:r>
          </w:p>
        </w:tc>
        <w:tc>
          <w:tcPr>
            <w:tcW w:w="611" w:type="pct"/>
          </w:tcPr>
          <w:p w14:paraId="36F9191F" w14:textId="43BCD69F" w:rsidR="009745EA" w:rsidRPr="00741A27" w:rsidRDefault="00B50819" w:rsidP="004A476B">
            <w:pPr>
              <w:pStyle w:val="TableText0"/>
              <w:keepLines/>
              <w:jc w:val="center"/>
              <w:rPr>
                <w:color w:val="000000"/>
                <w:szCs w:val="20"/>
              </w:rPr>
            </w:pPr>
            <w:r w:rsidRPr="00B50819">
              <w:rPr>
                <w:color w:val="000000"/>
                <w:spacing w:val="48"/>
                <w:szCs w:val="20"/>
                <w:shd w:val="solid" w:color="000000" w:fill="000000"/>
                <w:fitText w:val="315" w:id="-628958711"/>
                <w14:textFill>
                  <w14:solidFill>
                    <w14:srgbClr w14:val="000000">
                      <w14:alpha w14:val="100000"/>
                    </w14:srgbClr>
                  </w14:solidFill>
                </w14:textFill>
              </w:rPr>
              <w:t>|||</w:t>
            </w:r>
            <w:r w:rsidRPr="00B50819">
              <w:rPr>
                <w:color w:val="000000"/>
                <w:spacing w:val="1"/>
                <w:szCs w:val="20"/>
                <w:shd w:val="solid" w:color="000000" w:fill="000000"/>
                <w:fitText w:val="315" w:id="-628958711"/>
                <w14:textFill>
                  <w14:solidFill>
                    <w14:srgbClr w14:val="000000">
                      <w14:alpha w14:val="100000"/>
                    </w14:srgbClr>
                  </w14:solidFill>
                </w14:textFill>
              </w:rPr>
              <w:t>|</w:t>
            </w:r>
            <w:r w:rsidR="00040E75" w:rsidRPr="00040E75">
              <w:rPr>
                <w:color w:val="333333"/>
                <w:szCs w:val="20"/>
                <w:vertAlign w:val="superscript"/>
              </w:rPr>
              <w:t>4</w:t>
            </w:r>
          </w:p>
        </w:tc>
      </w:tr>
      <w:tr w:rsidR="009745EA" w:rsidRPr="00741A27" w14:paraId="7A4F6A42" w14:textId="77777777">
        <w:tc>
          <w:tcPr>
            <w:tcW w:w="5000" w:type="pct"/>
            <w:gridSpan w:val="7"/>
            <w:vAlign w:val="center"/>
          </w:tcPr>
          <w:p w14:paraId="3E55BD64" w14:textId="77777777" w:rsidR="009745EA" w:rsidRPr="0095264D" w:rsidRDefault="009745EA" w:rsidP="004A476B">
            <w:pPr>
              <w:pStyle w:val="In-tableHeading"/>
              <w:keepLines/>
              <w:rPr>
                <w:lang w:val="en-AU"/>
              </w:rPr>
            </w:pPr>
            <w:r w:rsidRPr="0095264D">
              <w:rPr>
                <w:lang w:val="en-AU"/>
              </w:rPr>
              <w:t>Estimated financial implications of osimertinib</w:t>
            </w:r>
          </w:p>
        </w:tc>
      </w:tr>
      <w:tr w:rsidR="009745EA" w:rsidRPr="00741A27" w14:paraId="462234F9" w14:textId="77777777">
        <w:tc>
          <w:tcPr>
            <w:tcW w:w="1334" w:type="pct"/>
            <w:vAlign w:val="center"/>
          </w:tcPr>
          <w:p w14:paraId="53AC6A60" w14:textId="77777777" w:rsidR="009745EA" w:rsidRPr="00741A27" w:rsidRDefault="009745EA" w:rsidP="004A476B">
            <w:pPr>
              <w:pStyle w:val="TableText0"/>
              <w:keepLines/>
              <w:rPr>
                <w:szCs w:val="20"/>
              </w:rPr>
            </w:pPr>
            <w:r w:rsidRPr="00741A27">
              <w:rPr>
                <w:szCs w:val="20"/>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tcPr>
          <w:p w14:paraId="1879BD38" w14:textId="130D650F" w:rsidR="009745EA" w:rsidRPr="0095264D" w:rsidRDefault="009745EA" w:rsidP="004A476B">
            <w:pPr>
              <w:pStyle w:val="TableText0"/>
              <w:keepLines/>
              <w:jc w:val="center"/>
            </w:pPr>
            <w:r w:rsidRPr="00741A27">
              <w:rPr>
                <w:rFonts w:cs="Arial"/>
                <w:color w:val="000000"/>
                <w:szCs w:val="20"/>
              </w:rPr>
              <w:t>$</w:t>
            </w:r>
            <w:r w:rsidR="00B50819" w:rsidRPr="0035199C">
              <w:rPr>
                <w:rFonts w:cs="Arial"/>
                <w:color w:val="000000"/>
                <w:spacing w:val="53"/>
                <w:szCs w:val="20"/>
                <w:shd w:val="solid" w:color="000000" w:fill="000000"/>
                <w:fitText w:val="330" w:id="-628958710"/>
                <w14:textFill>
                  <w14:solidFill>
                    <w14:srgbClr w14:val="000000">
                      <w14:alpha w14:val="100000"/>
                    </w14:srgbClr>
                  </w14:solidFill>
                </w14:textFill>
              </w:rPr>
              <w:t>|||</w:t>
            </w:r>
            <w:r w:rsidR="00B50819" w:rsidRPr="0035199C">
              <w:rPr>
                <w:rFonts w:cs="Arial"/>
                <w:color w:val="000000"/>
                <w:spacing w:val="1"/>
                <w:szCs w:val="20"/>
                <w:shd w:val="solid" w:color="000000" w:fill="000000"/>
                <w:fitText w:val="330" w:id="-628958710"/>
                <w14:textFill>
                  <w14:solidFill>
                    <w14:srgbClr w14:val="000000">
                      <w14:alpha w14:val="100000"/>
                    </w14:srgbClr>
                  </w14:solidFill>
                </w14:textFill>
              </w:rPr>
              <w:t>|</w:t>
            </w:r>
            <w:r w:rsidR="00B85C93" w:rsidRPr="00B85C93">
              <w:rPr>
                <w:color w:val="333333"/>
                <w:szCs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115CC6BE" w14:textId="2C8820E4" w:rsidR="009745EA" w:rsidRPr="0095264D" w:rsidRDefault="009745EA" w:rsidP="004A476B">
            <w:pPr>
              <w:pStyle w:val="TableText0"/>
              <w:keepLines/>
              <w:jc w:val="center"/>
            </w:pPr>
            <w:r w:rsidRPr="00741A27">
              <w:rPr>
                <w:rFonts w:cs="Arial"/>
                <w:color w:val="000000"/>
                <w:szCs w:val="20"/>
              </w:rPr>
              <w:t>$</w:t>
            </w:r>
            <w:r w:rsidR="00B50819" w:rsidRPr="00B50819">
              <w:rPr>
                <w:rFonts w:cs="Arial"/>
                <w:color w:val="000000"/>
                <w:spacing w:val="53"/>
                <w:szCs w:val="20"/>
                <w:shd w:val="solid" w:color="000000" w:fill="000000"/>
                <w:fitText w:val="330" w:id="-628958709"/>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09"/>
                <w14:textFill>
                  <w14:solidFill>
                    <w14:srgbClr w14:val="000000">
                      <w14:alpha w14:val="100000"/>
                    </w14:srgbClr>
                  </w14:solidFill>
                </w14:textFill>
              </w:rPr>
              <w:t>|</w:t>
            </w:r>
            <w:r w:rsidR="004561EB"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2F411FBF" w14:textId="7C788DFD" w:rsidR="009745EA" w:rsidRPr="0095264D" w:rsidRDefault="009745EA" w:rsidP="004A476B">
            <w:pPr>
              <w:pStyle w:val="TableText0"/>
              <w:keepLines/>
              <w:jc w:val="center"/>
            </w:pPr>
            <w:r w:rsidRPr="00741A27">
              <w:rPr>
                <w:rFonts w:cs="Arial"/>
                <w:color w:val="000000"/>
                <w:szCs w:val="20"/>
              </w:rPr>
              <w:t>$</w:t>
            </w:r>
            <w:r w:rsidR="00B50819" w:rsidRPr="00B50819">
              <w:rPr>
                <w:rFonts w:cs="Arial"/>
                <w:color w:val="000000"/>
                <w:spacing w:val="53"/>
                <w:szCs w:val="20"/>
                <w:shd w:val="solid" w:color="000000" w:fill="000000"/>
                <w:fitText w:val="330" w:id="-628958708"/>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08"/>
                <w14:textFill>
                  <w14:solidFill>
                    <w14:srgbClr w14:val="000000">
                      <w14:alpha w14:val="100000"/>
                    </w14:srgbClr>
                  </w14:solidFill>
                </w14:textFill>
              </w:rPr>
              <w:t>|</w:t>
            </w:r>
            <w:r w:rsidR="004B7997" w:rsidRPr="004B7997">
              <w:rPr>
                <w:color w:val="333333"/>
                <w:szCs w:val="20"/>
                <w:vertAlign w:val="superscript"/>
              </w:rPr>
              <w:t>9</w:t>
            </w:r>
          </w:p>
        </w:tc>
        <w:tc>
          <w:tcPr>
            <w:tcW w:w="611" w:type="pct"/>
            <w:tcBorders>
              <w:top w:val="single" w:sz="4" w:space="0" w:color="auto"/>
              <w:left w:val="nil"/>
              <w:bottom w:val="single" w:sz="4" w:space="0" w:color="auto"/>
              <w:right w:val="single" w:sz="4" w:space="0" w:color="auto"/>
            </w:tcBorders>
            <w:vAlign w:val="center"/>
          </w:tcPr>
          <w:p w14:paraId="706BA91E" w14:textId="4F91D94E" w:rsidR="009745EA" w:rsidRPr="0095264D" w:rsidRDefault="009745EA" w:rsidP="004A476B">
            <w:pPr>
              <w:pStyle w:val="TableText0"/>
              <w:keepLines/>
              <w:jc w:val="center"/>
            </w:pPr>
            <w:r w:rsidRPr="00741A27">
              <w:rPr>
                <w:rFonts w:cs="Arial"/>
                <w:color w:val="000000"/>
                <w:szCs w:val="20"/>
              </w:rPr>
              <w:t>$</w:t>
            </w:r>
            <w:r w:rsidR="00B50819" w:rsidRPr="00B50819">
              <w:rPr>
                <w:rFonts w:cs="Arial"/>
                <w:color w:val="000000"/>
                <w:spacing w:val="53"/>
                <w:szCs w:val="20"/>
                <w:shd w:val="solid" w:color="000000" w:fill="000000"/>
                <w:fitText w:val="330" w:id="-628958707"/>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07"/>
                <w14:textFill>
                  <w14:solidFill>
                    <w14:srgbClr w14:val="000000">
                      <w14:alpha w14:val="100000"/>
                    </w14:srgbClr>
                  </w14:solidFill>
                </w14:textFill>
              </w:rPr>
              <w:t>|</w:t>
            </w:r>
            <w:r w:rsidR="004B7997" w:rsidRPr="004B7997">
              <w:rPr>
                <w:color w:val="333333"/>
                <w:szCs w:val="20"/>
                <w:vertAlign w:val="superscript"/>
              </w:rPr>
              <w:t>9</w:t>
            </w:r>
          </w:p>
        </w:tc>
        <w:tc>
          <w:tcPr>
            <w:tcW w:w="611" w:type="pct"/>
            <w:tcBorders>
              <w:top w:val="single" w:sz="4" w:space="0" w:color="auto"/>
              <w:left w:val="nil"/>
              <w:bottom w:val="single" w:sz="4" w:space="0" w:color="auto"/>
              <w:right w:val="single" w:sz="4" w:space="0" w:color="auto"/>
            </w:tcBorders>
            <w:vAlign w:val="center"/>
          </w:tcPr>
          <w:p w14:paraId="6D43CFB8" w14:textId="4AF08E60" w:rsidR="009745EA" w:rsidRPr="0095264D" w:rsidRDefault="009745EA" w:rsidP="004A476B">
            <w:pPr>
              <w:pStyle w:val="TableText0"/>
              <w:keepLines/>
              <w:jc w:val="center"/>
            </w:pPr>
            <w:r w:rsidRPr="00741A27">
              <w:rPr>
                <w:rFonts w:cs="Arial"/>
                <w:color w:val="000000"/>
                <w:szCs w:val="20"/>
              </w:rPr>
              <w:t>$</w:t>
            </w:r>
            <w:r w:rsidR="00B50819" w:rsidRPr="00B50819">
              <w:rPr>
                <w:rFonts w:cs="Arial"/>
                <w:color w:val="000000"/>
                <w:spacing w:val="53"/>
                <w:szCs w:val="20"/>
                <w:shd w:val="solid" w:color="000000" w:fill="000000"/>
                <w:fitText w:val="330" w:id="-628958706"/>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06"/>
                <w14:textFill>
                  <w14:solidFill>
                    <w14:srgbClr w14:val="000000">
                      <w14:alpha w14:val="100000"/>
                    </w14:srgbClr>
                  </w14:solidFill>
                </w14:textFill>
              </w:rPr>
              <w:t>|</w:t>
            </w:r>
            <w:r w:rsidR="004B7997" w:rsidRPr="004B7997">
              <w:rPr>
                <w:color w:val="333333"/>
                <w:szCs w:val="20"/>
                <w:vertAlign w:val="superscript"/>
              </w:rPr>
              <w:t>9</w:t>
            </w:r>
          </w:p>
        </w:tc>
        <w:tc>
          <w:tcPr>
            <w:tcW w:w="611" w:type="pct"/>
            <w:tcBorders>
              <w:top w:val="single" w:sz="4" w:space="0" w:color="auto"/>
              <w:left w:val="nil"/>
              <w:bottom w:val="single" w:sz="4" w:space="0" w:color="auto"/>
              <w:right w:val="single" w:sz="4" w:space="0" w:color="auto"/>
            </w:tcBorders>
            <w:vAlign w:val="center"/>
          </w:tcPr>
          <w:p w14:paraId="5D84AE5E" w14:textId="60D97DE0" w:rsidR="009745EA" w:rsidRPr="0095264D" w:rsidRDefault="009745EA" w:rsidP="004A476B">
            <w:pPr>
              <w:pStyle w:val="TableText0"/>
              <w:keepLines/>
              <w:jc w:val="center"/>
            </w:pPr>
            <w:r w:rsidRPr="00741A27">
              <w:rPr>
                <w:rFonts w:cs="Arial"/>
                <w:color w:val="000000"/>
                <w:szCs w:val="20"/>
              </w:rPr>
              <w:t>$</w:t>
            </w:r>
            <w:r w:rsidR="00B50819" w:rsidRPr="00B50819">
              <w:rPr>
                <w:rFonts w:cs="Arial"/>
                <w:color w:val="000000"/>
                <w:spacing w:val="53"/>
                <w:szCs w:val="20"/>
                <w:shd w:val="solid" w:color="000000" w:fill="000000"/>
                <w:fitText w:val="330" w:id="-628958705"/>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05"/>
                <w14:textFill>
                  <w14:solidFill>
                    <w14:srgbClr w14:val="000000">
                      <w14:alpha w14:val="100000"/>
                    </w14:srgbClr>
                  </w14:solidFill>
                </w14:textFill>
              </w:rPr>
              <w:t>|</w:t>
            </w:r>
            <w:r w:rsidR="004B7997" w:rsidRPr="004B7997">
              <w:rPr>
                <w:color w:val="333333"/>
                <w:szCs w:val="20"/>
                <w:vertAlign w:val="superscript"/>
              </w:rPr>
              <w:t>10</w:t>
            </w:r>
          </w:p>
        </w:tc>
      </w:tr>
      <w:tr w:rsidR="009745EA" w:rsidRPr="00741A27" w14:paraId="0C75E3A8" w14:textId="77777777">
        <w:tc>
          <w:tcPr>
            <w:tcW w:w="5000" w:type="pct"/>
            <w:gridSpan w:val="7"/>
            <w:vAlign w:val="center"/>
          </w:tcPr>
          <w:p w14:paraId="295712B8" w14:textId="77777777" w:rsidR="009745EA" w:rsidRPr="000144EF" w:rsidRDefault="009745EA" w:rsidP="004A476B">
            <w:pPr>
              <w:pStyle w:val="TableText0"/>
              <w:keepLines/>
              <w:rPr>
                <w:b/>
                <w:bCs w:val="0"/>
                <w:szCs w:val="20"/>
              </w:rPr>
            </w:pPr>
            <w:r w:rsidRPr="000144EF">
              <w:rPr>
                <w:b/>
                <w:bCs w:val="0"/>
                <w:szCs w:val="20"/>
              </w:rPr>
              <w:t>Estimated financial implications for osimertinib (metastatic setting)</w:t>
            </w:r>
          </w:p>
        </w:tc>
      </w:tr>
      <w:tr w:rsidR="009745EA" w:rsidRPr="00741A27" w14:paraId="1755E00A" w14:textId="77777777" w:rsidTr="00E02724">
        <w:tc>
          <w:tcPr>
            <w:tcW w:w="1334" w:type="pct"/>
            <w:vAlign w:val="center"/>
          </w:tcPr>
          <w:p w14:paraId="21AB4A19" w14:textId="77777777" w:rsidR="009745EA" w:rsidRPr="00741A27" w:rsidRDefault="009745EA" w:rsidP="004A476B">
            <w:pPr>
              <w:pStyle w:val="TableText0"/>
              <w:keepLines/>
              <w:rPr>
                <w:szCs w:val="20"/>
              </w:rPr>
            </w:pPr>
            <w:r w:rsidRPr="00741A27">
              <w:rPr>
                <w:szCs w:val="20"/>
              </w:rPr>
              <w:t>Change in patients</w:t>
            </w:r>
            <w:r w:rsidRPr="00741A27">
              <w:rPr>
                <w:szCs w:val="20"/>
                <w:vertAlign w:val="superscript"/>
              </w:rPr>
              <w:t>c</w:t>
            </w:r>
          </w:p>
        </w:tc>
        <w:tc>
          <w:tcPr>
            <w:tcW w:w="611" w:type="pct"/>
          </w:tcPr>
          <w:p w14:paraId="43465F0C" w14:textId="0C10492E" w:rsidR="009745EA" w:rsidRPr="00741A27" w:rsidRDefault="009745EA" w:rsidP="004A476B">
            <w:pPr>
              <w:pStyle w:val="TableText0"/>
              <w:keepLines/>
              <w:jc w:val="center"/>
              <w:rPr>
                <w:szCs w:val="20"/>
              </w:rPr>
            </w:pPr>
            <w:r w:rsidRPr="00741A27">
              <w:rPr>
                <w:szCs w:val="20"/>
              </w:rPr>
              <w:t>-</w:t>
            </w:r>
            <w:r w:rsidR="00B50819" w:rsidRPr="00B50819">
              <w:rPr>
                <w:color w:val="000000"/>
                <w:spacing w:val="53"/>
                <w:szCs w:val="20"/>
                <w:shd w:val="solid" w:color="000000" w:fill="000000"/>
                <w:fitText w:val="330" w:id="-628958704"/>
                <w14:textFill>
                  <w14:solidFill>
                    <w14:srgbClr w14:val="000000">
                      <w14:alpha w14:val="100000"/>
                    </w14:srgbClr>
                  </w14:solidFill>
                </w14:textFill>
              </w:rPr>
              <w:t>|||</w:t>
            </w:r>
            <w:r w:rsidR="00B50819" w:rsidRPr="00B50819">
              <w:rPr>
                <w:color w:val="000000"/>
                <w:spacing w:val="1"/>
                <w:szCs w:val="20"/>
                <w:shd w:val="solid" w:color="000000" w:fill="000000"/>
                <w:fitText w:val="330" w:id="-628958704"/>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7DB93183" w14:textId="60B6D158" w:rsidR="009745EA" w:rsidRPr="00741A27" w:rsidRDefault="009745EA" w:rsidP="004A476B">
            <w:pPr>
              <w:pStyle w:val="TableText0"/>
              <w:keepLines/>
              <w:jc w:val="center"/>
              <w:rPr>
                <w:rFonts w:cs="Arial"/>
                <w:szCs w:val="20"/>
              </w:rPr>
            </w:pPr>
            <w:r w:rsidRPr="00741A27">
              <w:rPr>
                <w:szCs w:val="20"/>
              </w:rPr>
              <w:t>-</w:t>
            </w:r>
            <w:r w:rsidR="00B50819" w:rsidRPr="00B50819">
              <w:rPr>
                <w:color w:val="000000"/>
                <w:spacing w:val="53"/>
                <w:szCs w:val="20"/>
                <w:shd w:val="solid" w:color="000000" w:fill="000000"/>
                <w:fitText w:val="330" w:id="-628958720"/>
                <w14:textFill>
                  <w14:solidFill>
                    <w14:srgbClr w14:val="000000">
                      <w14:alpha w14:val="100000"/>
                    </w14:srgbClr>
                  </w14:solidFill>
                </w14:textFill>
              </w:rPr>
              <w:t>|||</w:t>
            </w:r>
            <w:r w:rsidR="00B50819" w:rsidRPr="00B50819">
              <w:rPr>
                <w:color w:val="000000"/>
                <w:spacing w:val="1"/>
                <w:szCs w:val="20"/>
                <w:shd w:val="solid" w:color="000000" w:fill="000000"/>
                <w:fitText w:val="330" w:id="-628958720"/>
                <w14:textFill>
                  <w14:solidFill>
                    <w14:srgbClr w14:val="000000">
                      <w14:alpha w14:val="100000"/>
                    </w14:srgbClr>
                  </w14:solidFill>
                </w14:textFill>
              </w:rPr>
              <w:t>|</w:t>
            </w:r>
            <w:r w:rsidR="00ED2732" w:rsidRPr="00ED2732">
              <w:rPr>
                <w:color w:val="333333"/>
                <w:szCs w:val="20"/>
                <w:vertAlign w:val="superscript"/>
              </w:rPr>
              <w:t>1</w:t>
            </w:r>
          </w:p>
        </w:tc>
        <w:tc>
          <w:tcPr>
            <w:tcW w:w="611" w:type="pct"/>
            <w:tcBorders>
              <w:bottom w:val="single" w:sz="4" w:space="0" w:color="auto"/>
            </w:tcBorders>
          </w:tcPr>
          <w:p w14:paraId="44AD6CD8" w14:textId="320BD373" w:rsidR="009745EA" w:rsidRPr="00741A27" w:rsidRDefault="009745EA" w:rsidP="004A476B">
            <w:pPr>
              <w:pStyle w:val="TableText0"/>
              <w:keepLines/>
              <w:jc w:val="center"/>
              <w:rPr>
                <w:rFonts w:cs="Arial"/>
                <w:szCs w:val="20"/>
              </w:rPr>
            </w:pPr>
            <w:r w:rsidRPr="00741A27">
              <w:rPr>
                <w:szCs w:val="20"/>
              </w:rPr>
              <w:t>-</w:t>
            </w:r>
            <w:r w:rsidR="00B50819" w:rsidRPr="00B50819">
              <w:rPr>
                <w:color w:val="000000"/>
                <w:spacing w:val="53"/>
                <w:szCs w:val="20"/>
                <w:shd w:val="solid" w:color="000000" w:fill="000000"/>
                <w:fitText w:val="330" w:id="-628958719"/>
                <w14:textFill>
                  <w14:solidFill>
                    <w14:srgbClr w14:val="000000">
                      <w14:alpha w14:val="100000"/>
                    </w14:srgbClr>
                  </w14:solidFill>
                </w14:textFill>
              </w:rPr>
              <w:t>|||</w:t>
            </w:r>
            <w:r w:rsidR="00B50819" w:rsidRPr="00B50819">
              <w:rPr>
                <w:color w:val="000000"/>
                <w:spacing w:val="1"/>
                <w:szCs w:val="20"/>
                <w:shd w:val="solid" w:color="000000" w:fill="000000"/>
                <w:fitText w:val="330" w:id="-628958719"/>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4C3576DB" w14:textId="5E0AB307" w:rsidR="009745EA" w:rsidRPr="00741A27" w:rsidRDefault="009745EA" w:rsidP="004A476B">
            <w:pPr>
              <w:pStyle w:val="TableText0"/>
              <w:keepLines/>
              <w:jc w:val="center"/>
              <w:rPr>
                <w:rFonts w:cs="Arial"/>
                <w:szCs w:val="20"/>
              </w:rPr>
            </w:pPr>
            <w:r w:rsidRPr="00741A27">
              <w:rPr>
                <w:szCs w:val="20"/>
              </w:rPr>
              <w:t>-</w:t>
            </w:r>
            <w:r w:rsidR="00B50819" w:rsidRPr="00B50819">
              <w:rPr>
                <w:color w:val="000000"/>
                <w:spacing w:val="53"/>
                <w:szCs w:val="20"/>
                <w:shd w:val="solid" w:color="000000" w:fill="000000"/>
                <w:fitText w:val="330" w:id="-628958718"/>
                <w14:textFill>
                  <w14:solidFill>
                    <w14:srgbClr w14:val="000000">
                      <w14:alpha w14:val="100000"/>
                    </w14:srgbClr>
                  </w14:solidFill>
                </w14:textFill>
              </w:rPr>
              <w:t>|||</w:t>
            </w:r>
            <w:r w:rsidR="00B50819" w:rsidRPr="00B50819">
              <w:rPr>
                <w:color w:val="000000"/>
                <w:spacing w:val="1"/>
                <w:szCs w:val="20"/>
                <w:shd w:val="solid" w:color="000000" w:fill="000000"/>
                <w:fitText w:val="330" w:id="-628958718"/>
                <w14:textFill>
                  <w14:solidFill>
                    <w14:srgbClr w14:val="000000">
                      <w14:alpha w14:val="100000"/>
                    </w14:srgbClr>
                  </w14:solidFill>
                </w14:textFill>
              </w:rPr>
              <w:t>|</w:t>
            </w:r>
            <w:r w:rsidR="00ED2732" w:rsidRPr="00ED2732">
              <w:rPr>
                <w:color w:val="333333"/>
                <w:szCs w:val="20"/>
                <w:vertAlign w:val="superscript"/>
              </w:rPr>
              <w:t>1</w:t>
            </w:r>
          </w:p>
        </w:tc>
        <w:tc>
          <w:tcPr>
            <w:tcW w:w="611" w:type="pct"/>
          </w:tcPr>
          <w:p w14:paraId="3A1D87FA" w14:textId="24B6BB6D" w:rsidR="009745EA" w:rsidRPr="00741A27" w:rsidRDefault="009745EA" w:rsidP="004A476B">
            <w:pPr>
              <w:pStyle w:val="TableText0"/>
              <w:keepLines/>
              <w:jc w:val="center"/>
              <w:rPr>
                <w:rFonts w:cs="Arial"/>
                <w:szCs w:val="20"/>
              </w:rPr>
            </w:pPr>
            <w:r w:rsidRPr="00741A27">
              <w:rPr>
                <w:szCs w:val="20"/>
              </w:rPr>
              <w:t>-</w:t>
            </w:r>
            <w:r w:rsidR="00B50819" w:rsidRPr="00B50819">
              <w:rPr>
                <w:color w:val="000000"/>
                <w:spacing w:val="53"/>
                <w:szCs w:val="20"/>
                <w:shd w:val="solid" w:color="000000" w:fill="000000"/>
                <w:fitText w:val="330" w:id="-628958717"/>
                <w14:textFill>
                  <w14:solidFill>
                    <w14:srgbClr w14:val="000000">
                      <w14:alpha w14:val="100000"/>
                    </w14:srgbClr>
                  </w14:solidFill>
                </w14:textFill>
              </w:rPr>
              <w:t>|||</w:t>
            </w:r>
            <w:r w:rsidR="00B50819" w:rsidRPr="00B50819">
              <w:rPr>
                <w:color w:val="000000"/>
                <w:spacing w:val="1"/>
                <w:szCs w:val="20"/>
                <w:shd w:val="solid" w:color="000000" w:fill="000000"/>
                <w:fitText w:val="330" w:id="-628958717"/>
                <w14:textFill>
                  <w14:solidFill>
                    <w14:srgbClr w14:val="000000">
                      <w14:alpha w14:val="100000"/>
                    </w14:srgbClr>
                  </w14:solidFill>
                </w14:textFill>
              </w:rPr>
              <w:t>|</w:t>
            </w:r>
            <w:r w:rsidR="00ED2732" w:rsidRPr="00ED2732">
              <w:rPr>
                <w:color w:val="333333"/>
                <w:szCs w:val="20"/>
                <w:vertAlign w:val="superscript"/>
              </w:rPr>
              <w:t>1</w:t>
            </w:r>
          </w:p>
        </w:tc>
        <w:tc>
          <w:tcPr>
            <w:tcW w:w="611" w:type="pct"/>
            <w:tcBorders>
              <w:bottom w:val="single" w:sz="4" w:space="0" w:color="auto"/>
            </w:tcBorders>
          </w:tcPr>
          <w:p w14:paraId="19F64230" w14:textId="00715D77" w:rsidR="009745EA" w:rsidRPr="00741A27" w:rsidRDefault="009745EA" w:rsidP="004A476B">
            <w:pPr>
              <w:pStyle w:val="TableText0"/>
              <w:keepLines/>
              <w:jc w:val="center"/>
              <w:rPr>
                <w:rFonts w:cs="Arial"/>
                <w:szCs w:val="20"/>
              </w:rPr>
            </w:pPr>
            <w:r w:rsidRPr="00741A27">
              <w:rPr>
                <w:szCs w:val="20"/>
              </w:rPr>
              <w:t>-</w:t>
            </w:r>
            <w:r w:rsidR="00B50819" w:rsidRPr="00B50819">
              <w:rPr>
                <w:color w:val="000000"/>
                <w:spacing w:val="53"/>
                <w:szCs w:val="20"/>
                <w:shd w:val="solid" w:color="000000" w:fill="000000"/>
                <w:fitText w:val="330" w:id="-628958716"/>
                <w14:textFill>
                  <w14:solidFill>
                    <w14:srgbClr w14:val="000000">
                      <w14:alpha w14:val="100000"/>
                    </w14:srgbClr>
                  </w14:solidFill>
                </w14:textFill>
              </w:rPr>
              <w:t>|||</w:t>
            </w:r>
            <w:r w:rsidR="00B50819" w:rsidRPr="00B50819">
              <w:rPr>
                <w:color w:val="000000"/>
                <w:spacing w:val="1"/>
                <w:szCs w:val="20"/>
                <w:shd w:val="solid" w:color="000000" w:fill="000000"/>
                <w:fitText w:val="330" w:id="-628958716"/>
                <w14:textFill>
                  <w14:solidFill>
                    <w14:srgbClr w14:val="000000">
                      <w14:alpha w14:val="100000"/>
                    </w14:srgbClr>
                  </w14:solidFill>
                </w14:textFill>
              </w:rPr>
              <w:t>|</w:t>
            </w:r>
            <w:r w:rsidR="00ED2732" w:rsidRPr="00ED2732">
              <w:rPr>
                <w:color w:val="333333"/>
                <w:szCs w:val="20"/>
                <w:vertAlign w:val="superscript"/>
              </w:rPr>
              <w:t>1</w:t>
            </w:r>
          </w:p>
        </w:tc>
      </w:tr>
      <w:tr w:rsidR="0013302B" w:rsidRPr="00741A27" w14:paraId="51ECDC8E" w14:textId="77777777" w:rsidTr="00E02724">
        <w:tc>
          <w:tcPr>
            <w:tcW w:w="1334" w:type="pct"/>
            <w:vAlign w:val="center"/>
          </w:tcPr>
          <w:p w14:paraId="5480A6BD" w14:textId="77777777" w:rsidR="009745EA" w:rsidRPr="00741A27" w:rsidRDefault="009745EA" w:rsidP="004A476B">
            <w:pPr>
              <w:pStyle w:val="TableText0"/>
              <w:keepLines/>
              <w:rPr>
                <w:szCs w:val="20"/>
              </w:rPr>
            </w:pPr>
            <w:r w:rsidRPr="00741A27">
              <w:rPr>
                <w:szCs w:val="20"/>
              </w:rPr>
              <w:t>Cost to PBS/RPBS less copayments</w:t>
            </w:r>
            <w:r w:rsidRPr="00741A27">
              <w:rPr>
                <w:szCs w:val="20"/>
                <w:vertAlign w:val="superscript"/>
              </w:rPr>
              <w:t>d</w:t>
            </w:r>
          </w:p>
        </w:tc>
        <w:tc>
          <w:tcPr>
            <w:tcW w:w="611" w:type="pct"/>
            <w:tcBorders>
              <w:top w:val="single" w:sz="4" w:space="0" w:color="auto"/>
              <w:left w:val="single" w:sz="4" w:space="0" w:color="auto"/>
              <w:bottom w:val="single" w:sz="4" w:space="0" w:color="auto"/>
              <w:right w:val="single" w:sz="4" w:space="0" w:color="auto"/>
            </w:tcBorders>
            <w:vAlign w:val="center"/>
          </w:tcPr>
          <w:p w14:paraId="668988F5" w14:textId="62A73B10" w:rsidR="009745EA" w:rsidRPr="0095264D" w:rsidRDefault="009745EA" w:rsidP="004A476B">
            <w:pPr>
              <w:pStyle w:val="TableText0"/>
              <w:keepLines/>
              <w:jc w:val="center"/>
            </w:pPr>
            <w:r w:rsidRPr="00741A27">
              <w:rPr>
                <w:szCs w:val="20"/>
              </w:rPr>
              <w:t>-$</w:t>
            </w:r>
            <w:r w:rsidR="00B50819" w:rsidRPr="00B50819">
              <w:rPr>
                <w:color w:val="000000"/>
                <w:spacing w:val="53"/>
                <w:szCs w:val="20"/>
                <w:shd w:val="solid" w:color="000000" w:fill="000000"/>
                <w:fitText w:val="330" w:id="-628958715"/>
                <w14:textFill>
                  <w14:solidFill>
                    <w14:srgbClr w14:val="000000">
                      <w14:alpha w14:val="100000"/>
                    </w14:srgbClr>
                  </w14:solidFill>
                </w14:textFill>
              </w:rPr>
              <w:t>|||</w:t>
            </w:r>
            <w:r w:rsidR="00B50819" w:rsidRPr="00B50819">
              <w:rPr>
                <w:color w:val="000000"/>
                <w:spacing w:val="1"/>
                <w:szCs w:val="20"/>
                <w:shd w:val="solid" w:color="000000" w:fill="000000"/>
                <w:fitText w:val="330" w:id="-628958715"/>
                <w14:textFill>
                  <w14:solidFill>
                    <w14:srgbClr w14:val="000000">
                      <w14:alpha w14:val="100000"/>
                    </w14:srgbClr>
                  </w14:solidFill>
                </w14:textFill>
              </w:rPr>
              <w:t>|</w:t>
            </w:r>
            <w:r w:rsidR="0056372D" w:rsidRPr="0056372D">
              <w:rPr>
                <w:color w:val="333333"/>
                <w:szCs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45581936" w14:textId="7869FCE4" w:rsidR="009745EA" w:rsidRPr="0095264D" w:rsidRDefault="009745EA" w:rsidP="004A476B">
            <w:pPr>
              <w:pStyle w:val="TableText0"/>
              <w:keepLines/>
              <w:jc w:val="center"/>
            </w:pPr>
            <w:r w:rsidRPr="00741A27">
              <w:rPr>
                <w:rFonts w:cs="Arial"/>
                <w:szCs w:val="20"/>
              </w:rPr>
              <w:t>-$</w:t>
            </w:r>
            <w:r w:rsidR="00B50819" w:rsidRPr="00B50819">
              <w:rPr>
                <w:rFonts w:cs="Arial"/>
                <w:color w:val="000000"/>
                <w:spacing w:val="53"/>
                <w:szCs w:val="20"/>
                <w:shd w:val="solid" w:color="000000" w:fill="000000"/>
                <w:fitText w:val="330" w:id="-628958714"/>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14"/>
                <w14:textFill>
                  <w14:solidFill>
                    <w14:srgbClr w14:val="000000">
                      <w14:alpha w14:val="100000"/>
                    </w14:srgbClr>
                  </w14:solidFill>
                </w14:textFill>
              </w:rPr>
              <w:t>|</w:t>
            </w:r>
            <w:r w:rsidR="00B85C93" w:rsidRPr="00B85C93">
              <w:rPr>
                <w:color w:val="333333"/>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center"/>
          </w:tcPr>
          <w:p w14:paraId="5FCC1045" w14:textId="241A53AE" w:rsidR="009745EA" w:rsidRPr="0095264D" w:rsidRDefault="009745EA" w:rsidP="004A476B">
            <w:pPr>
              <w:pStyle w:val="TableText0"/>
              <w:keepLines/>
              <w:jc w:val="center"/>
            </w:pPr>
            <w:r w:rsidRPr="00741A27">
              <w:rPr>
                <w:rFonts w:cs="Arial"/>
                <w:szCs w:val="20"/>
              </w:rPr>
              <w:t>-$</w:t>
            </w:r>
            <w:r w:rsidR="00B50819" w:rsidRPr="00B50819">
              <w:rPr>
                <w:rFonts w:cs="Arial"/>
                <w:color w:val="000000"/>
                <w:spacing w:val="53"/>
                <w:szCs w:val="20"/>
                <w:shd w:val="solid" w:color="000000" w:fill="000000"/>
                <w:fitText w:val="330" w:id="-628958713"/>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13"/>
                <w14:textFill>
                  <w14:solidFill>
                    <w14:srgbClr w14:val="000000">
                      <w14:alpha w14:val="100000"/>
                    </w14:srgbClr>
                  </w14:solidFill>
                </w14:textFill>
              </w:rPr>
              <w:t>|</w:t>
            </w:r>
            <w:r w:rsidR="00B85C93" w:rsidRPr="00B85C93">
              <w:rPr>
                <w:color w:val="333333"/>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center"/>
          </w:tcPr>
          <w:p w14:paraId="3299173C" w14:textId="0388E236" w:rsidR="009745EA" w:rsidRPr="0095264D" w:rsidRDefault="009745EA" w:rsidP="004A476B">
            <w:pPr>
              <w:pStyle w:val="TableText0"/>
              <w:keepLines/>
              <w:jc w:val="center"/>
            </w:pPr>
            <w:r w:rsidRPr="00741A27">
              <w:rPr>
                <w:rFonts w:cs="Arial"/>
                <w:szCs w:val="20"/>
              </w:rPr>
              <w:t>-$</w:t>
            </w:r>
            <w:r w:rsidR="00B50819" w:rsidRPr="00B50819">
              <w:rPr>
                <w:rFonts w:cs="Arial"/>
                <w:color w:val="000000"/>
                <w:spacing w:val="53"/>
                <w:szCs w:val="20"/>
                <w:shd w:val="solid" w:color="000000" w:fill="000000"/>
                <w:fitText w:val="330" w:id="-628958712"/>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12"/>
                <w14:textFill>
                  <w14:solidFill>
                    <w14:srgbClr w14:val="000000">
                      <w14:alpha w14:val="100000"/>
                    </w14:srgbClr>
                  </w14:solidFill>
                </w14:textFill>
              </w:rPr>
              <w:t>|</w:t>
            </w:r>
            <w:r w:rsidR="00B85C93" w:rsidRPr="00B85C93">
              <w:rPr>
                <w:color w:val="333333"/>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center"/>
          </w:tcPr>
          <w:p w14:paraId="361D2F6A" w14:textId="49457D64" w:rsidR="009745EA" w:rsidRPr="0095264D" w:rsidRDefault="009745EA" w:rsidP="004A476B">
            <w:pPr>
              <w:pStyle w:val="TableText0"/>
              <w:keepLines/>
              <w:jc w:val="center"/>
            </w:pPr>
            <w:r w:rsidRPr="00741A27">
              <w:rPr>
                <w:rFonts w:cs="Arial"/>
                <w:szCs w:val="20"/>
              </w:rPr>
              <w:t>-$</w:t>
            </w:r>
            <w:r w:rsidR="00B50819" w:rsidRPr="00B50819">
              <w:rPr>
                <w:rFonts w:cs="Arial"/>
                <w:color w:val="000000"/>
                <w:spacing w:val="53"/>
                <w:szCs w:val="20"/>
                <w:shd w:val="solid" w:color="000000" w:fill="000000"/>
                <w:fitText w:val="330" w:id="-628958711"/>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11"/>
                <w14:textFill>
                  <w14:solidFill>
                    <w14:srgbClr w14:val="000000">
                      <w14:alpha w14:val="100000"/>
                    </w14:srgbClr>
                  </w14:solidFill>
                </w14:textFill>
              </w:rPr>
              <w:t>|</w:t>
            </w:r>
            <w:r w:rsidR="00B85C93" w:rsidRPr="00B85C93">
              <w:rPr>
                <w:color w:val="333333"/>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center"/>
          </w:tcPr>
          <w:p w14:paraId="18B0CE73" w14:textId="0DA50134" w:rsidR="009745EA" w:rsidRPr="0095264D" w:rsidRDefault="009745EA" w:rsidP="004A476B">
            <w:pPr>
              <w:pStyle w:val="TableText0"/>
              <w:keepLines/>
              <w:jc w:val="center"/>
            </w:pPr>
            <w:r w:rsidRPr="00741A27">
              <w:rPr>
                <w:rFonts w:cs="Arial"/>
                <w:szCs w:val="20"/>
              </w:rPr>
              <w:t>-$</w:t>
            </w:r>
            <w:r w:rsidR="00B50819" w:rsidRPr="00B50819">
              <w:rPr>
                <w:rFonts w:cs="Arial"/>
                <w:color w:val="000000"/>
                <w:spacing w:val="53"/>
                <w:szCs w:val="20"/>
                <w:shd w:val="solid" w:color="000000" w:fill="000000"/>
                <w:fitText w:val="330" w:id="-628958710"/>
                <w14:textFill>
                  <w14:solidFill>
                    <w14:srgbClr w14:val="000000">
                      <w14:alpha w14:val="100000"/>
                    </w14:srgbClr>
                  </w14:solidFill>
                </w14:textFill>
              </w:rPr>
              <w:t>|||</w:t>
            </w:r>
            <w:r w:rsidR="00B50819" w:rsidRPr="00B50819">
              <w:rPr>
                <w:rFonts w:cs="Arial"/>
                <w:color w:val="000000"/>
                <w:spacing w:val="1"/>
                <w:szCs w:val="20"/>
                <w:shd w:val="solid" w:color="000000" w:fill="000000"/>
                <w:fitText w:val="330" w:id="-628958710"/>
                <w14:textFill>
                  <w14:solidFill>
                    <w14:srgbClr w14:val="000000">
                      <w14:alpha w14:val="100000"/>
                    </w14:srgbClr>
                  </w14:solidFill>
                </w14:textFill>
              </w:rPr>
              <w:t>|</w:t>
            </w:r>
            <w:r w:rsidR="00B46B83" w:rsidRPr="004561EB">
              <w:rPr>
                <w:color w:val="333333"/>
                <w:szCs w:val="20"/>
                <w:vertAlign w:val="superscript"/>
              </w:rPr>
              <w:t>7</w:t>
            </w:r>
          </w:p>
        </w:tc>
      </w:tr>
      <w:tr w:rsidR="009745EA" w:rsidRPr="00741A27" w14:paraId="5E660DE7" w14:textId="77777777">
        <w:tc>
          <w:tcPr>
            <w:tcW w:w="5000" w:type="pct"/>
            <w:gridSpan w:val="7"/>
            <w:vAlign w:val="center"/>
          </w:tcPr>
          <w:p w14:paraId="06D61812" w14:textId="77777777" w:rsidR="009745EA" w:rsidRPr="0095264D" w:rsidRDefault="009745EA" w:rsidP="004A476B">
            <w:pPr>
              <w:pStyle w:val="In-tableHeading"/>
              <w:keepLines/>
              <w:rPr>
                <w:lang w:val="en-AU"/>
              </w:rPr>
            </w:pPr>
            <w:r w:rsidRPr="0095264D">
              <w:rPr>
                <w:lang w:val="en-AU"/>
              </w:rPr>
              <w:t>Net financial implications</w:t>
            </w:r>
          </w:p>
        </w:tc>
      </w:tr>
      <w:tr w:rsidR="009745EA" w:rsidRPr="00741A27" w14:paraId="6AF60668" w14:textId="77777777">
        <w:tc>
          <w:tcPr>
            <w:tcW w:w="1334" w:type="pct"/>
            <w:vAlign w:val="center"/>
          </w:tcPr>
          <w:p w14:paraId="0C304CEF" w14:textId="77777777" w:rsidR="009745EA" w:rsidRPr="00741A27" w:rsidRDefault="009745EA" w:rsidP="004A476B">
            <w:pPr>
              <w:pStyle w:val="TableText0"/>
              <w:keepLines/>
              <w:rPr>
                <w:szCs w:val="20"/>
              </w:rPr>
            </w:pPr>
            <w:r w:rsidRPr="00741A27">
              <w:rPr>
                <w:szCs w:val="20"/>
              </w:rPr>
              <w:t>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34042386" w14:textId="709D7359" w:rsidR="009745EA" w:rsidRPr="0095264D" w:rsidRDefault="009745EA" w:rsidP="004A476B">
            <w:pPr>
              <w:pStyle w:val="TableText0"/>
              <w:keepLines/>
              <w:jc w:val="center"/>
            </w:pPr>
            <w:r w:rsidRPr="00741A27">
              <w:rPr>
                <w:b/>
                <w:szCs w:val="20"/>
              </w:rPr>
              <w:t>$</w:t>
            </w:r>
            <w:r w:rsidR="00B50819" w:rsidRPr="00B50819">
              <w:rPr>
                <w:b/>
                <w:color w:val="000000"/>
                <w:spacing w:val="58"/>
                <w:szCs w:val="20"/>
                <w:shd w:val="solid" w:color="000000" w:fill="000000"/>
                <w:fitText w:val="360" w:id="-628958709"/>
                <w14:textFill>
                  <w14:solidFill>
                    <w14:srgbClr w14:val="000000">
                      <w14:alpha w14:val="100000"/>
                    </w14:srgbClr>
                  </w14:solidFill>
                </w14:textFill>
              </w:rPr>
              <w:t>|||</w:t>
            </w:r>
            <w:r w:rsidR="00B50819" w:rsidRPr="00B50819">
              <w:rPr>
                <w:b/>
                <w:color w:val="000000"/>
                <w:spacing w:val="3"/>
                <w:szCs w:val="20"/>
                <w:shd w:val="solid" w:color="000000" w:fill="000000"/>
                <w:fitText w:val="360" w:id="-628958709"/>
                <w14:textFill>
                  <w14:solidFill>
                    <w14:srgbClr w14:val="000000">
                      <w14:alpha w14:val="100000"/>
                    </w14:srgbClr>
                  </w14:solidFill>
                </w14:textFill>
              </w:rPr>
              <w:t>|</w:t>
            </w:r>
            <w:r w:rsidR="00B85C93" w:rsidRPr="0056372D">
              <w:rPr>
                <w:color w:val="333333"/>
                <w:szCs w:val="20"/>
                <w:vertAlign w:val="superscript"/>
              </w:rPr>
              <w:t>5</w:t>
            </w:r>
          </w:p>
        </w:tc>
        <w:tc>
          <w:tcPr>
            <w:tcW w:w="611" w:type="pct"/>
            <w:tcBorders>
              <w:top w:val="single" w:sz="4" w:space="0" w:color="auto"/>
              <w:left w:val="single" w:sz="4" w:space="0" w:color="auto"/>
              <w:bottom w:val="single" w:sz="4" w:space="0" w:color="auto"/>
              <w:right w:val="single" w:sz="4" w:space="0" w:color="auto"/>
            </w:tcBorders>
            <w:vAlign w:val="center"/>
          </w:tcPr>
          <w:p w14:paraId="1DD39616" w14:textId="2608D26B" w:rsidR="009745EA" w:rsidRPr="0095264D" w:rsidRDefault="009745EA" w:rsidP="004A476B">
            <w:pPr>
              <w:pStyle w:val="TableText0"/>
              <w:keepLines/>
              <w:jc w:val="center"/>
            </w:pPr>
            <w:r w:rsidRPr="00741A27">
              <w:rPr>
                <w:rFonts w:cs="Arial"/>
                <w:b/>
                <w:bCs w:val="0"/>
                <w:color w:val="000000"/>
                <w:szCs w:val="20"/>
              </w:rPr>
              <w:t>$</w:t>
            </w:r>
            <w:r w:rsidR="00B50819" w:rsidRPr="00B50819">
              <w:rPr>
                <w:rFonts w:cs="Arial"/>
                <w:b/>
                <w:bCs w:val="0"/>
                <w:color w:val="000000"/>
                <w:spacing w:val="58"/>
                <w:szCs w:val="20"/>
                <w:shd w:val="solid" w:color="000000" w:fill="000000"/>
                <w:fitText w:val="360" w:id="-628958708"/>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08"/>
                <w14:textFill>
                  <w14:solidFill>
                    <w14:srgbClr w14:val="000000">
                      <w14:alpha w14:val="100000"/>
                    </w14:srgbClr>
                  </w14:solidFill>
                </w14:textFill>
              </w:rPr>
              <w:t>|</w:t>
            </w:r>
            <w:r w:rsidR="00B85C93" w:rsidRPr="00B85C93">
              <w:rPr>
                <w:color w:val="333333"/>
                <w:szCs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59318BA1" w14:textId="4ECAC75E" w:rsidR="009745EA" w:rsidRPr="0095264D" w:rsidRDefault="009745EA" w:rsidP="004A476B">
            <w:pPr>
              <w:pStyle w:val="TableText0"/>
              <w:keepLines/>
              <w:jc w:val="center"/>
            </w:pPr>
            <w:r w:rsidRPr="00741A27">
              <w:rPr>
                <w:rFonts w:cs="Arial"/>
                <w:b/>
                <w:bCs w:val="0"/>
                <w:color w:val="000000"/>
                <w:szCs w:val="20"/>
              </w:rPr>
              <w:t>$</w:t>
            </w:r>
            <w:r w:rsidR="00B50819" w:rsidRPr="00B50819">
              <w:rPr>
                <w:rFonts w:cs="Arial"/>
                <w:b/>
                <w:bCs w:val="0"/>
                <w:color w:val="000000"/>
                <w:spacing w:val="58"/>
                <w:szCs w:val="20"/>
                <w:shd w:val="solid" w:color="000000" w:fill="000000"/>
                <w:fitText w:val="360" w:id="-628958707"/>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07"/>
                <w14:textFill>
                  <w14:solidFill>
                    <w14:srgbClr w14:val="000000">
                      <w14:alpha w14:val="100000"/>
                    </w14:srgbClr>
                  </w14:solidFill>
                </w14:textFill>
              </w:rPr>
              <w:t>|</w:t>
            </w:r>
            <w:r w:rsidR="00B46B83"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5CC67DD2" w14:textId="579B7B33" w:rsidR="009745EA" w:rsidRPr="0095264D" w:rsidRDefault="009745EA" w:rsidP="004A476B">
            <w:pPr>
              <w:pStyle w:val="TableText0"/>
              <w:keepLines/>
              <w:jc w:val="center"/>
            </w:pPr>
            <w:r w:rsidRPr="00741A27">
              <w:rPr>
                <w:rFonts w:cs="Arial"/>
                <w:b/>
                <w:bCs w:val="0"/>
                <w:color w:val="000000"/>
                <w:szCs w:val="20"/>
              </w:rPr>
              <w:t>$</w:t>
            </w:r>
            <w:r w:rsidR="00B50819" w:rsidRPr="00B50819">
              <w:rPr>
                <w:rFonts w:cs="Arial"/>
                <w:b/>
                <w:bCs w:val="0"/>
                <w:color w:val="000000"/>
                <w:spacing w:val="58"/>
                <w:szCs w:val="20"/>
                <w:shd w:val="solid" w:color="000000" w:fill="000000"/>
                <w:fitText w:val="360" w:id="-628958706"/>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06"/>
                <w14:textFill>
                  <w14:solidFill>
                    <w14:srgbClr w14:val="000000">
                      <w14:alpha w14:val="100000"/>
                    </w14:srgbClr>
                  </w14:solidFill>
                </w14:textFill>
              </w:rPr>
              <w:t>|</w:t>
            </w:r>
            <w:r w:rsidR="00B46B83"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45D5D56E" w14:textId="39155EC8" w:rsidR="009745EA" w:rsidRPr="0095264D" w:rsidRDefault="009745EA" w:rsidP="004A476B">
            <w:pPr>
              <w:pStyle w:val="TableText0"/>
              <w:keepLines/>
              <w:jc w:val="center"/>
            </w:pPr>
            <w:r w:rsidRPr="00741A27">
              <w:rPr>
                <w:rFonts w:cs="Arial"/>
                <w:b/>
                <w:bCs w:val="0"/>
                <w:color w:val="000000"/>
                <w:szCs w:val="20"/>
              </w:rPr>
              <w:t>$</w:t>
            </w:r>
            <w:r w:rsidR="00B50819" w:rsidRPr="00B50819">
              <w:rPr>
                <w:rFonts w:cs="Arial"/>
                <w:b/>
                <w:bCs w:val="0"/>
                <w:color w:val="000000"/>
                <w:spacing w:val="58"/>
                <w:szCs w:val="20"/>
                <w:shd w:val="solid" w:color="000000" w:fill="000000"/>
                <w:fitText w:val="360" w:id="-628958705"/>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05"/>
                <w14:textFill>
                  <w14:solidFill>
                    <w14:srgbClr w14:val="000000">
                      <w14:alpha w14:val="100000"/>
                    </w14:srgbClr>
                  </w14:solidFill>
                </w14:textFill>
              </w:rPr>
              <w:t>|</w:t>
            </w:r>
            <w:r w:rsidR="00B46B83"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3769A545" w14:textId="24BB644D" w:rsidR="009745EA" w:rsidRPr="0095264D" w:rsidRDefault="009745EA" w:rsidP="004A476B">
            <w:pPr>
              <w:pStyle w:val="TableText0"/>
              <w:keepLines/>
              <w:jc w:val="center"/>
            </w:pPr>
            <w:r w:rsidRPr="00741A27">
              <w:rPr>
                <w:rFonts w:cs="Arial"/>
                <w:b/>
                <w:bCs w:val="0"/>
                <w:color w:val="000000"/>
                <w:szCs w:val="20"/>
              </w:rPr>
              <w:t>$</w:t>
            </w:r>
            <w:r w:rsidR="00B50819" w:rsidRPr="00B50819">
              <w:rPr>
                <w:rFonts w:cs="Arial"/>
                <w:b/>
                <w:bCs w:val="0"/>
                <w:color w:val="000000"/>
                <w:spacing w:val="58"/>
                <w:szCs w:val="20"/>
                <w:shd w:val="solid" w:color="000000" w:fill="000000"/>
                <w:fitText w:val="360" w:id="-628958704"/>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04"/>
                <w14:textFill>
                  <w14:solidFill>
                    <w14:srgbClr w14:val="000000">
                      <w14:alpha w14:val="100000"/>
                    </w14:srgbClr>
                  </w14:solidFill>
                </w14:textFill>
              </w:rPr>
              <w:t>|</w:t>
            </w:r>
            <w:r w:rsidR="00362364" w:rsidRPr="004561EB">
              <w:rPr>
                <w:color w:val="333333"/>
                <w:szCs w:val="20"/>
                <w:vertAlign w:val="superscript"/>
              </w:rPr>
              <w:t>8</w:t>
            </w:r>
          </w:p>
        </w:tc>
      </w:tr>
      <w:tr w:rsidR="00AE7B53" w:rsidRPr="00741A27" w14:paraId="276B0B2F" w14:textId="77777777">
        <w:tc>
          <w:tcPr>
            <w:tcW w:w="1334" w:type="pct"/>
            <w:vAlign w:val="center"/>
          </w:tcPr>
          <w:p w14:paraId="6BAC389B" w14:textId="4C1F41E3" w:rsidR="00AE7B53" w:rsidRPr="00BA1616" w:rsidRDefault="00AE7B53" w:rsidP="004A476B">
            <w:pPr>
              <w:pStyle w:val="TableText0"/>
              <w:keepLines/>
              <w:rPr>
                <w:szCs w:val="20"/>
              </w:rPr>
            </w:pPr>
            <w:r w:rsidRPr="00741A27">
              <w:rPr>
                <w:szCs w:val="20"/>
              </w:rPr>
              <w:t>Net cost to PBS/RPBS</w:t>
            </w:r>
            <w:r w:rsidRPr="00BA1616">
              <w:rPr>
                <w:szCs w:val="20"/>
                <w:vertAlign w:val="superscript"/>
              </w:rPr>
              <w:t>e</w:t>
            </w:r>
            <w:r>
              <w:rPr>
                <w:szCs w:val="20"/>
              </w:rPr>
              <w:t xml:space="preserve"> in pre-PBAC response</w:t>
            </w:r>
          </w:p>
        </w:tc>
        <w:tc>
          <w:tcPr>
            <w:tcW w:w="611" w:type="pct"/>
            <w:tcBorders>
              <w:top w:val="single" w:sz="4" w:space="0" w:color="auto"/>
              <w:left w:val="single" w:sz="4" w:space="0" w:color="auto"/>
              <w:bottom w:val="single" w:sz="4" w:space="0" w:color="auto"/>
              <w:right w:val="single" w:sz="4" w:space="0" w:color="auto"/>
            </w:tcBorders>
            <w:vAlign w:val="center"/>
          </w:tcPr>
          <w:p w14:paraId="4904931C" w14:textId="1960A487" w:rsidR="00AE7B53" w:rsidRPr="00E179F0" w:rsidRDefault="00AE7B53" w:rsidP="004A476B">
            <w:pPr>
              <w:pStyle w:val="TableText0"/>
              <w:keepLines/>
              <w:jc w:val="center"/>
              <w:rPr>
                <w:b/>
                <w:bCs w:val="0"/>
                <w:szCs w:val="20"/>
              </w:rPr>
            </w:pPr>
            <w:r w:rsidRPr="00E179F0">
              <w:rPr>
                <w:rFonts w:cs="Arial"/>
                <w:b/>
                <w:bCs w:val="0"/>
                <w:color w:val="000000"/>
                <w:szCs w:val="20"/>
              </w:rPr>
              <w:t>$</w:t>
            </w:r>
            <w:r w:rsidR="00B50819" w:rsidRPr="00B50819">
              <w:rPr>
                <w:rFonts w:cs="Arial"/>
                <w:b/>
                <w:bCs w:val="0"/>
                <w:color w:val="000000"/>
                <w:spacing w:val="58"/>
                <w:szCs w:val="20"/>
                <w:shd w:val="solid" w:color="000000" w:fill="000000"/>
                <w:fitText w:val="360" w:id="-628958720"/>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20"/>
                <w14:textFill>
                  <w14:solidFill>
                    <w14:srgbClr w14:val="000000">
                      <w14:alpha w14:val="100000"/>
                    </w14:srgbClr>
                  </w14:solidFill>
                </w14:textFill>
              </w:rPr>
              <w:t>|</w:t>
            </w:r>
            <w:r w:rsidR="00B85C93" w:rsidRPr="0056372D">
              <w:rPr>
                <w:color w:val="333333"/>
                <w:szCs w:val="20"/>
                <w:vertAlign w:val="superscript"/>
              </w:rPr>
              <w:t>5</w:t>
            </w:r>
          </w:p>
        </w:tc>
        <w:tc>
          <w:tcPr>
            <w:tcW w:w="611" w:type="pct"/>
            <w:tcBorders>
              <w:top w:val="single" w:sz="4" w:space="0" w:color="auto"/>
              <w:left w:val="single" w:sz="4" w:space="0" w:color="auto"/>
              <w:bottom w:val="single" w:sz="4" w:space="0" w:color="auto"/>
              <w:right w:val="single" w:sz="4" w:space="0" w:color="auto"/>
            </w:tcBorders>
            <w:vAlign w:val="center"/>
          </w:tcPr>
          <w:p w14:paraId="4F8C7C4D" w14:textId="43EC9C18" w:rsidR="00AE7B53" w:rsidRPr="00E179F0" w:rsidRDefault="00AE7B53" w:rsidP="004A476B">
            <w:pPr>
              <w:pStyle w:val="TableText0"/>
              <w:keepLines/>
              <w:jc w:val="center"/>
              <w:rPr>
                <w:rFonts w:cs="Arial"/>
                <w:b/>
                <w:bCs w:val="0"/>
                <w:color w:val="000000"/>
                <w:szCs w:val="20"/>
              </w:rPr>
            </w:pPr>
            <w:r w:rsidRPr="00E179F0">
              <w:rPr>
                <w:rFonts w:cs="Arial"/>
                <w:b/>
                <w:bCs w:val="0"/>
                <w:color w:val="000000"/>
                <w:szCs w:val="20"/>
              </w:rPr>
              <w:t>$</w:t>
            </w:r>
            <w:r w:rsidR="00B50819" w:rsidRPr="00B50819">
              <w:rPr>
                <w:rFonts w:cs="Arial"/>
                <w:b/>
                <w:bCs w:val="0"/>
                <w:color w:val="000000"/>
                <w:spacing w:val="58"/>
                <w:szCs w:val="20"/>
                <w:shd w:val="solid" w:color="000000" w:fill="000000"/>
                <w:fitText w:val="360" w:id="-628958719"/>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19"/>
                <w14:textFill>
                  <w14:solidFill>
                    <w14:srgbClr w14:val="000000">
                      <w14:alpha w14:val="100000"/>
                    </w14:srgbClr>
                  </w14:solidFill>
                </w14:textFill>
              </w:rPr>
              <w:t>|</w:t>
            </w:r>
            <w:r w:rsidR="004561EB"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5B897BB9" w14:textId="0E1429C3" w:rsidR="00AE7B53" w:rsidRPr="00E179F0" w:rsidRDefault="00AE7B53" w:rsidP="004A476B">
            <w:pPr>
              <w:pStyle w:val="TableText0"/>
              <w:keepLines/>
              <w:jc w:val="center"/>
              <w:rPr>
                <w:rFonts w:cs="Arial"/>
                <w:b/>
                <w:bCs w:val="0"/>
                <w:color w:val="000000"/>
                <w:szCs w:val="20"/>
              </w:rPr>
            </w:pPr>
            <w:r w:rsidRPr="00E179F0">
              <w:rPr>
                <w:rFonts w:cs="Arial"/>
                <w:b/>
                <w:bCs w:val="0"/>
                <w:color w:val="000000"/>
                <w:szCs w:val="20"/>
              </w:rPr>
              <w:t>$</w:t>
            </w:r>
            <w:r w:rsidR="00B50819" w:rsidRPr="00B50819">
              <w:rPr>
                <w:rFonts w:cs="Arial"/>
                <w:b/>
                <w:bCs w:val="0"/>
                <w:color w:val="000000"/>
                <w:spacing w:val="58"/>
                <w:szCs w:val="20"/>
                <w:shd w:val="solid" w:color="000000" w:fill="000000"/>
                <w:fitText w:val="360" w:id="-628958718"/>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18"/>
                <w14:textFill>
                  <w14:solidFill>
                    <w14:srgbClr w14:val="000000">
                      <w14:alpha w14:val="100000"/>
                    </w14:srgbClr>
                  </w14:solidFill>
                </w14:textFill>
              </w:rPr>
              <w:t>|</w:t>
            </w:r>
            <w:r w:rsidR="00B46B83"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445C5BAC" w14:textId="12A16A7F" w:rsidR="00AE7B53" w:rsidRPr="00E179F0" w:rsidRDefault="00AE7B53" w:rsidP="004A476B">
            <w:pPr>
              <w:pStyle w:val="TableText0"/>
              <w:keepLines/>
              <w:jc w:val="center"/>
              <w:rPr>
                <w:rFonts w:cs="Arial"/>
                <w:b/>
                <w:bCs w:val="0"/>
                <w:color w:val="000000"/>
                <w:szCs w:val="20"/>
              </w:rPr>
            </w:pPr>
            <w:r w:rsidRPr="00E179F0">
              <w:rPr>
                <w:rFonts w:cs="Arial"/>
                <w:b/>
                <w:bCs w:val="0"/>
                <w:color w:val="000000"/>
                <w:szCs w:val="20"/>
              </w:rPr>
              <w:t>$</w:t>
            </w:r>
            <w:r w:rsidR="00B50819" w:rsidRPr="00B50819">
              <w:rPr>
                <w:rFonts w:cs="Arial"/>
                <w:b/>
                <w:bCs w:val="0"/>
                <w:color w:val="000000"/>
                <w:spacing w:val="58"/>
                <w:szCs w:val="20"/>
                <w:shd w:val="solid" w:color="000000" w:fill="000000"/>
                <w:fitText w:val="360" w:id="-628958717"/>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17"/>
                <w14:textFill>
                  <w14:solidFill>
                    <w14:srgbClr w14:val="000000">
                      <w14:alpha w14:val="100000"/>
                    </w14:srgbClr>
                  </w14:solidFill>
                </w14:textFill>
              </w:rPr>
              <w:t>|</w:t>
            </w:r>
            <w:r w:rsidR="00B46B83" w:rsidRPr="004561EB">
              <w:rPr>
                <w:color w:val="333333"/>
                <w:szCs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2635ABCE" w14:textId="07668A9D" w:rsidR="00AE7B53" w:rsidRPr="00E179F0" w:rsidRDefault="00AE7B53" w:rsidP="004A476B">
            <w:pPr>
              <w:pStyle w:val="TableText0"/>
              <w:keepLines/>
              <w:jc w:val="center"/>
              <w:rPr>
                <w:rFonts w:cs="Arial"/>
                <w:b/>
                <w:bCs w:val="0"/>
                <w:color w:val="000000"/>
                <w:szCs w:val="20"/>
              </w:rPr>
            </w:pPr>
            <w:r w:rsidRPr="00E179F0">
              <w:rPr>
                <w:rFonts w:cs="Arial"/>
                <w:b/>
                <w:bCs w:val="0"/>
                <w:color w:val="000000"/>
                <w:szCs w:val="20"/>
              </w:rPr>
              <w:t>$</w:t>
            </w:r>
            <w:r w:rsidR="00B50819" w:rsidRPr="00B50819">
              <w:rPr>
                <w:rFonts w:cs="Arial"/>
                <w:b/>
                <w:bCs w:val="0"/>
                <w:color w:val="000000"/>
                <w:spacing w:val="58"/>
                <w:szCs w:val="20"/>
                <w:shd w:val="solid" w:color="000000" w:fill="000000"/>
                <w:fitText w:val="360" w:id="-628958716"/>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16"/>
                <w14:textFill>
                  <w14:solidFill>
                    <w14:srgbClr w14:val="000000">
                      <w14:alpha w14:val="100000"/>
                    </w14:srgbClr>
                  </w14:solidFill>
                </w14:textFill>
              </w:rPr>
              <w:t>|</w:t>
            </w:r>
            <w:r w:rsidR="00362364" w:rsidRPr="004561EB">
              <w:rPr>
                <w:color w:val="333333"/>
                <w:szCs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740CBAE6" w14:textId="54BF6CF7" w:rsidR="00AE7B53" w:rsidRPr="00E179F0" w:rsidRDefault="00AE7B53" w:rsidP="004A476B">
            <w:pPr>
              <w:pStyle w:val="TableText0"/>
              <w:keepLines/>
              <w:jc w:val="center"/>
              <w:rPr>
                <w:rFonts w:cs="Arial"/>
                <w:b/>
                <w:bCs w:val="0"/>
                <w:color w:val="000000"/>
                <w:szCs w:val="20"/>
              </w:rPr>
            </w:pPr>
            <w:r w:rsidRPr="00E179F0">
              <w:rPr>
                <w:rFonts w:cs="Arial"/>
                <w:b/>
                <w:bCs w:val="0"/>
                <w:color w:val="000000"/>
                <w:szCs w:val="20"/>
              </w:rPr>
              <w:t>$</w:t>
            </w:r>
            <w:r w:rsidR="00B50819" w:rsidRPr="00B50819">
              <w:rPr>
                <w:rFonts w:cs="Arial"/>
                <w:b/>
                <w:bCs w:val="0"/>
                <w:color w:val="000000"/>
                <w:spacing w:val="58"/>
                <w:szCs w:val="20"/>
                <w:shd w:val="solid" w:color="000000" w:fill="000000"/>
                <w:fitText w:val="360" w:id="-628958715"/>
                <w14:textFill>
                  <w14:solidFill>
                    <w14:srgbClr w14:val="000000">
                      <w14:alpha w14:val="100000"/>
                    </w14:srgbClr>
                  </w14:solidFill>
                </w14:textFill>
              </w:rPr>
              <w:t>|||</w:t>
            </w:r>
            <w:r w:rsidR="00B50819" w:rsidRPr="00B50819">
              <w:rPr>
                <w:rFonts w:cs="Arial"/>
                <w:b/>
                <w:bCs w:val="0"/>
                <w:color w:val="000000"/>
                <w:spacing w:val="3"/>
                <w:szCs w:val="20"/>
                <w:shd w:val="solid" w:color="000000" w:fill="000000"/>
                <w:fitText w:val="360" w:id="-628958715"/>
                <w14:textFill>
                  <w14:solidFill>
                    <w14:srgbClr w14:val="000000">
                      <w14:alpha w14:val="100000"/>
                    </w14:srgbClr>
                  </w14:solidFill>
                </w14:textFill>
              </w:rPr>
              <w:t>|</w:t>
            </w:r>
            <w:r w:rsidR="00362364" w:rsidRPr="004561EB">
              <w:rPr>
                <w:color w:val="333333"/>
                <w:szCs w:val="20"/>
                <w:vertAlign w:val="superscript"/>
              </w:rPr>
              <w:t>8</w:t>
            </w:r>
          </w:p>
        </w:tc>
      </w:tr>
    </w:tbl>
    <w:p w14:paraId="7B60A26A" w14:textId="77777777" w:rsidR="009745EA" w:rsidRDefault="009745EA" w:rsidP="004A476B">
      <w:pPr>
        <w:pStyle w:val="TableFigureFooter"/>
        <w:keepNext/>
        <w:keepLines/>
        <w:rPr>
          <w:szCs w:val="18"/>
        </w:rPr>
      </w:pPr>
      <w:r w:rsidRPr="008E041A">
        <w:rPr>
          <w:szCs w:val="18"/>
        </w:rPr>
        <w:t>Source: Tables 4-2 to 4-22, pp.166-178 of the submission.</w:t>
      </w:r>
    </w:p>
    <w:p w14:paraId="4543A63B" w14:textId="489BFD31" w:rsidR="009745EA" w:rsidRPr="00522895" w:rsidRDefault="009745EA" w:rsidP="004A476B">
      <w:pPr>
        <w:pStyle w:val="TableFigureFooter"/>
        <w:keepNext/>
        <w:keepLines/>
        <w:rPr>
          <w:szCs w:val="18"/>
        </w:rPr>
      </w:pPr>
      <w:r w:rsidRPr="00522895">
        <w:rPr>
          <w:szCs w:val="18"/>
          <w:vertAlign w:val="superscript"/>
        </w:rPr>
        <w:t>a</w:t>
      </w:r>
      <w:r w:rsidR="00144398" w:rsidRPr="00522895">
        <w:rPr>
          <w:szCs w:val="18"/>
        </w:rPr>
        <w:t xml:space="preserve"> </w:t>
      </w:r>
      <w:r w:rsidRPr="00522895">
        <w:rPr>
          <w:szCs w:val="18"/>
        </w:rPr>
        <w:t xml:space="preserve">Assuming </w:t>
      </w:r>
      <w:r w:rsidR="00B50819" w:rsidRPr="002B736C">
        <w:rPr>
          <w:color w:val="000000"/>
          <w:spacing w:val="73"/>
          <w:szCs w:val="18"/>
          <w:shd w:val="solid" w:color="000000" w:fill="000000"/>
          <w:fitText w:val="265" w:id="-628958714"/>
          <w14:textFill>
            <w14:solidFill>
              <w14:srgbClr w14:val="000000">
                <w14:alpha w14:val="100000"/>
              </w14:srgbClr>
            </w14:solidFill>
          </w14:textFill>
        </w:rPr>
        <w:t>|</w:t>
      </w:r>
      <w:r w:rsidR="002B736C" w:rsidRPr="002B736C">
        <w:rPr>
          <w:color w:val="000000"/>
          <w:spacing w:val="73"/>
          <w:szCs w:val="18"/>
          <w:shd w:val="solid" w:color="000000" w:fill="000000"/>
          <w:fitText w:val="265" w:id="-628958714"/>
          <w14:textFill>
            <w14:solidFill>
              <w14:srgbClr w14:val="000000">
                <w14:alpha w14:val="100000"/>
              </w14:srgbClr>
            </w14:solidFill>
          </w14:textFill>
        </w:rPr>
        <w:t xml:space="preserve"> </w:t>
      </w:r>
      <w:r w:rsidR="00B50819" w:rsidRPr="002B736C">
        <w:rPr>
          <w:color w:val="000000"/>
          <w:spacing w:val="2"/>
          <w:szCs w:val="18"/>
          <w:shd w:val="solid" w:color="000000" w:fill="000000"/>
          <w:fitText w:val="265" w:id="-628958714"/>
          <w14:textFill>
            <w14:solidFill>
              <w14:srgbClr w14:val="000000">
                <w14:alpha w14:val="100000"/>
              </w14:srgbClr>
            </w14:solidFill>
          </w14:textFill>
        </w:rPr>
        <w:t>|</w:t>
      </w:r>
      <w:r w:rsidRPr="00522895">
        <w:rPr>
          <w:szCs w:val="18"/>
        </w:rPr>
        <w:t xml:space="preserve"> scripts per patient (</w:t>
      </w:r>
      <w:r w:rsidR="00B50819" w:rsidRPr="002B736C">
        <w:rPr>
          <w:color w:val="000000"/>
          <w:spacing w:val="81"/>
          <w:szCs w:val="18"/>
          <w:shd w:val="solid" w:color="000000" w:fill="000000"/>
          <w:fitText w:val="280" w:id="-628958713"/>
          <w14:textFill>
            <w14:solidFill>
              <w14:srgbClr w14:val="000000">
                <w14:alpha w14:val="100000"/>
              </w14:srgbClr>
            </w14:solidFill>
          </w14:textFill>
        </w:rPr>
        <w:t>|</w:t>
      </w:r>
      <w:r w:rsidR="002B736C" w:rsidRPr="002B736C">
        <w:rPr>
          <w:color w:val="000000"/>
          <w:spacing w:val="81"/>
          <w:szCs w:val="18"/>
          <w:shd w:val="solid" w:color="000000" w:fill="000000"/>
          <w:fitText w:val="280" w:id="-628958713"/>
          <w14:textFill>
            <w14:solidFill>
              <w14:srgbClr w14:val="000000">
                <w14:alpha w14:val="100000"/>
              </w14:srgbClr>
            </w14:solidFill>
          </w14:textFill>
        </w:rPr>
        <w:t xml:space="preserve"> </w:t>
      </w:r>
      <w:r w:rsidR="00B50819" w:rsidRPr="002B736C">
        <w:rPr>
          <w:color w:val="000000"/>
          <w:spacing w:val="1"/>
          <w:szCs w:val="18"/>
          <w:shd w:val="solid" w:color="000000" w:fill="000000"/>
          <w:fitText w:val="280" w:id="-628958713"/>
          <w14:textFill>
            <w14:solidFill>
              <w14:srgbClr w14:val="000000">
                <w14:alpha w14:val="100000"/>
              </w14:srgbClr>
            </w14:solidFill>
          </w14:textFill>
        </w:rPr>
        <w:t>|</w:t>
      </w:r>
      <w:r w:rsidRPr="00522895">
        <w:rPr>
          <w:szCs w:val="18"/>
        </w:rPr>
        <w:t xml:space="preserve"> in the first year, </w:t>
      </w:r>
      <w:r w:rsidR="00B50819" w:rsidRPr="002B736C">
        <w:rPr>
          <w:color w:val="000000"/>
          <w:spacing w:val="73"/>
          <w:szCs w:val="18"/>
          <w:shd w:val="solid" w:color="000000" w:fill="000000"/>
          <w:fitText w:val="265" w:id="-628958712"/>
          <w14:textFill>
            <w14:solidFill>
              <w14:srgbClr w14:val="000000">
                <w14:alpha w14:val="100000"/>
              </w14:srgbClr>
            </w14:solidFill>
          </w14:textFill>
        </w:rPr>
        <w:t>|</w:t>
      </w:r>
      <w:r w:rsidR="002B736C" w:rsidRPr="002B736C">
        <w:rPr>
          <w:color w:val="000000"/>
          <w:spacing w:val="73"/>
          <w:szCs w:val="18"/>
          <w:shd w:val="solid" w:color="000000" w:fill="000000"/>
          <w:fitText w:val="265" w:id="-628958712"/>
          <w14:textFill>
            <w14:solidFill>
              <w14:srgbClr w14:val="000000">
                <w14:alpha w14:val="100000"/>
              </w14:srgbClr>
            </w14:solidFill>
          </w14:textFill>
        </w:rPr>
        <w:t xml:space="preserve"> </w:t>
      </w:r>
      <w:r w:rsidR="00B50819" w:rsidRPr="002B736C">
        <w:rPr>
          <w:color w:val="000000"/>
          <w:spacing w:val="2"/>
          <w:szCs w:val="18"/>
          <w:shd w:val="solid" w:color="000000" w:fill="000000"/>
          <w:fitText w:val="265" w:id="-628958712"/>
          <w14:textFill>
            <w14:solidFill>
              <w14:srgbClr w14:val="000000">
                <w14:alpha w14:val="100000"/>
              </w14:srgbClr>
            </w14:solidFill>
          </w14:textFill>
        </w:rPr>
        <w:t>|</w:t>
      </w:r>
      <w:r w:rsidRPr="00522895">
        <w:rPr>
          <w:szCs w:val="18"/>
        </w:rPr>
        <w:t xml:space="preserve"> in the second year, </w:t>
      </w:r>
      <w:r w:rsidR="00B50819" w:rsidRPr="002B736C">
        <w:rPr>
          <w:color w:val="000000"/>
          <w:spacing w:val="81"/>
          <w:szCs w:val="18"/>
          <w:shd w:val="solid" w:color="000000" w:fill="000000"/>
          <w:fitText w:val="280" w:id="-628958711"/>
          <w14:textFill>
            <w14:solidFill>
              <w14:srgbClr w14:val="000000">
                <w14:alpha w14:val="100000"/>
              </w14:srgbClr>
            </w14:solidFill>
          </w14:textFill>
        </w:rPr>
        <w:t>|</w:t>
      </w:r>
      <w:r w:rsidR="002B736C" w:rsidRPr="002B736C">
        <w:rPr>
          <w:color w:val="000000"/>
          <w:spacing w:val="81"/>
          <w:szCs w:val="18"/>
          <w:shd w:val="solid" w:color="000000" w:fill="000000"/>
          <w:fitText w:val="280" w:id="-628958711"/>
          <w14:textFill>
            <w14:solidFill>
              <w14:srgbClr w14:val="000000">
                <w14:alpha w14:val="100000"/>
              </w14:srgbClr>
            </w14:solidFill>
          </w14:textFill>
        </w:rPr>
        <w:t xml:space="preserve"> </w:t>
      </w:r>
      <w:r w:rsidR="00B50819" w:rsidRPr="002B736C">
        <w:rPr>
          <w:color w:val="000000"/>
          <w:spacing w:val="1"/>
          <w:szCs w:val="18"/>
          <w:shd w:val="solid" w:color="000000" w:fill="000000"/>
          <w:fitText w:val="280" w:id="-628958711"/>
          <w14:textFill>
            <w14:solidFill>
              <w14:srgbClr w14:val="000000">
                <w14:alpha w14:val="100000"/>
              </w14:srgbClr>
            </w14:solidFill>
          </w14:textFill>
        </w:rPr>
        <w:t>|</w:t>
      </w:r>
      <w:r w:rsidRPr="00522895">
        <w:rPr>
          <w:szCs w:val="18"/>
        </w:rPr>
        <w:t xml:space="preserve"> in the third year, and </w:t>
      </w:r>
      <w:r w:rsidR="00B50819" w:rsidRPr="002B736C">
        <w:rPr>
          <w:color w:val="000000"/>
          <w:spacing w:val="81"/>
          <w:szCs w:val="18"/>
          <w:shd w:val="solid" w:color="000000" w:fill="000000"/>
          <w:fitText w:val="280" w:id="-628958710"/>
          <w14:textFill>
            <w14:solidFill>
              <w14:srgbClr w14:val="000000">
                <w14:alpha w14:val="100000"/>
              </w14:srgbClr>
            </w14:solidFill>
          </w14:textFill>
        </w:rPr>
        <w:t>|</w:t>
      </w:r>
      <w:r w:rsidR="002B736C" w:rsidRPr="002B736C">
        <w:rPr>
          <w:color w:val="000000"/>
          <w:spacing w:val="81"/>
          <w:szCs w:val="18"/>
          <w:shd w:val="solid" w:color="000000" w:fill="000000"/>
          <w:fitText w:val="280" w:id="-628958710"/>
          <w14:textFill>
            <w14:solidFill>
              <w14:srgbClr w14:val="000000">
                <w14:alpha w14:val="100000"/>
              </w14:srgbClr>
            </w14:solidFill>
          </w14:textFill>
        </w:rPr>
        <w:t xml:space="preserve"> </w:t>
      </w:r>
      <w:r w:rsidR="00B50819" w:rsidRPr="002B736C">
        <w:rPr>
          <w:color w:val="000000"/>
          <w:spacing w:val="1"/>
          <w:szCs w:val="18"/>
          <w:shd w:val="solid" w:color="000000" w:fill="000000"/>
          <w:fitText w:val="280" w:id="-628958710"/>
          <w14:textFill>
            <w14:solidFill>
              <w14:srgbClr w14:val="000000">
                <w14:alpha w14:val="100000"/>
              </w14:srgbClr>
            </w14:solidFill>
          </w14:textFill>
        </w:rPr>
        <w:t>|</w:t>
      </w:r>
      <w:r w:rsidRPr="00522895">
        <w:rPr>
          <w:szCs w:val="18"/>
        </w:rPr>
        <w:t xml:space="preserve"> in the fourth year) as estimated by the submission.</w:t>
      </w:r>
    </w:p>
    <w:p w14:paraId="4F4D0AA9" w14:textId="5C19D7E6" w:rsidR="009745EA" w:rsidRPr="00E176E7" w:rsidRDefault="009745EA" w:rsidP="004A476B">
      <w:pPr>
        <w:pStyle w:val="TableFigureFooter"/>
        <w:keepNext/>
        <w:keepLines/>
        <w:ind w:left="170" w:hanging="170"/>
        <w:rPr>
          <w:szCs w:val="18"/>
        </w:rPr>
      </w:pPr>
      <w:r w:rsidRPr="00522895">
        <w:rPr>
          <w:szCs w:val="18"/>
          <w:vertAlign w:val="superscript"/>
        </w:rPr>
        <w:t>b</w:t>
      </w:r>
      <w:r w:rsidR="00144398" w:rsidRPr="00522895">
        <w:rPr>
          <w:szCs w:val="18"/>
          <w:vertAlign w:val="superscript"/>
        </w:rPr>
        <w:t xml:space="preserve"> </w:t>
      </w:r>
      <w:r w:rsidRPr="00522895">
        <w:rPr>
          <w:szCs w:val="18"/>
        </w:rPr>
        <w:t xml:space="preserve">Assuming </w:t>
      </w:r>
      <w:r w:rsidR="00B50819" w:rsidRPr="002B736C">
        <w:rPr>
          <w:color w:val="000000"/>
          <w:spacing w:val="81"/>
          <w:szCs w:val="18"/>
          <w:shd w:val="solid" w:color="000000" w:fill="000000"/>
          <w:fitText w:val="280" w:id="-628958709"/>
          <w14:textFill>
            <w14:solidFill>
              <w14:srgbClr w14:val="000000">
                <w14:alpha w14:val="100000"/>
              </w14:srgbClr>
            </w14:solidFill>
          </w14:textFill>
        </w:rPr>
        <w:t>|</w:t>
      </w:r>
      <w:r w:rsidR="002B736C" w:rsidRPr="002B736C">
        <w:rPr>
          <w:color w:val="000000"/>
          <w:spacing w:val="81"/>
          <w:szCs w:val="18"/>
          <w:shd w:val="solid" w:color="000000" w:fill="000000"/>
          <w:fitText w:val="280" w:id="-628958709"/>
          <w14:textFill>
            <w14:solidFill>
              <w14:srgbClr w14:val="000000">
                <w14:alpha w14:val="100000"/>
              </w14:srgbClr>
            </w14:solidFill>
          </w14:textFill>
        </w:rPr>
        <w:t xml:space="preserve"> </w:t>
      </w:r>
      <w:r w:rsidR="00B50819" w:rsidRPr="002B736C">
        <w:rPr>
          <w:color w:val="000000"/>
          <w:spacing w:val="1"/>
          <w:szCs w:val="18"/>
          <w:shd w:val="solid" w:color="000000" w:fill="000000"/>
          <w:fitText w:val="280" w:id="-628958709"/>
          <w14:textFill>
            <w14:solidFill>
              <w14:srgbClr w14:val="000000">
                <w14:alpha w14:val="100000"/>
              </w14:srgbClr>
            </w14:solidFill>
          </w14:textFill>
        </w:rPr>
        <w:t>|</w:t>
      </w:r>
      <w:r w:rsidRPr="00522895">
        <w:rPr>
          <w:szCs w:val="18"/>
        </w:rPr>
        <w:t xml:space="preserve"> incident patients, and </w:t>
      </w:r>
      <w:r w:rsidR="00B50819" w:rsidRPr="002B736C">
        <w:rPr>
          <w:color w:val="000000"/>
          <w:spacing w:val="81"/>
          <w:szCs w:val="18"/>
          <w:shd w:val="solid" w:color="000000" w:fill="000000"/>
          <w:fitText w:val="280" w:id="-628958708"/>
          <w14:textFill>
            <w14:solidFill>
              <w14:srgbClr w14:val="000000">
                <w14:alpha w14:val="100000"/>
              </w14:srgbClr>
            </w14:solidFill>
          </w14:textFill>
        </w:rPr>
        <w:t>|</w:t>
      </w:r>
      <w:r w:rsidR="002B736C" w:rsidRPr="002B736C">
        <w:rPr>
          <w:color w:val="000000"/>
          <w:spacing w:val="81"/>
          <w:szCs w:val="18"/>
          <w:shd w:val="solid" w:color="000000" w:fill="000000"/>
          <w:fitText w:val="280" w:id="-628958708"/>
          <w14:textFill>
            <w14:solidFill>
              <w14:srgbClr w14:val="000000">
                <w14:alpha w14:val="100000"/>
              </w14:srgbClr>
            </w14:solidFill>
          </w14:textFill>
        </w:rPr>
        <w:t xml:space="preserve"> </w:t>
      </w:r>
      <w:r w:rsidR="00B50819" w:rsidRPr="002B736C">
        <w:rPr>
          <w:color w:val="000000"/>
          <w:spacing w:val="1"/>
          <w:szCs w:val="18"/>
          <w:shd w:val="solid" w:color="000000" w:fill="000000"/>
          <w:fitText w:val="280" w:id="-628958708"/>
          <w14:textFill>
            <w14:solidFill>
              <w14:srgbClr w14:val="000000">
                <w14:alpha w14:val="100000"/>
              </w14:srgbClr>
            </w14:solidFill>
          </w14:textFill>
        </w:rPr>
        <w:t>|</w:t>
      </w:r>
      <w:r w:rsidRPr="00522895">
        <w:rPr>
          <w:szCs w:val="18"/>
        </w:rPr>
        <w:t xml:space="preserve"> prevalent patients.</w:t>
      </w:r>
    </w:p>
    <w:p w14:paraId="112F6897" w14:textId="44B3EA6A" w:rsidR="00C07DB4" w:rsidRDefault="009745EA" w:rsidP="004A476B">
      <w:pPr>
        <w:pStyle w:val="TableFigureFooter"/>
        <w:keepNext/>
        <w:keepLines/>
        <w:ind w:left="170" w:hanging="170"/>
        <w:rPr>
          <w:szCs w:val="18"/>
        </w:rPr>
      </w:pPr>
      <w:r w:rsidRPr="00E176E7">
        <w:rPr>
          <w:szCs w:val="18"/>
          <w:vertAlign w:val="superscript"/>
        </w:rPr>
        <w:t>c</w:t>
      </w:r>
      <w:r w:rsidR="00144398" w:rsidRPr="00E176E7">
        <w:rPr>
          <w:szCs w:val="18"/>
        </w:rPr>
        <w:t xml:space="preserve"> </w:t>
      </w:r>
      <w:r w:rsidRPr="00E176E7">
        <w:rPr>
          <w:szCs w:val="18"/>
        </w:rPr>
        <w:t xml:space="preserve">Assumed proportion of patients transitioning out of PFS health state in </w:t>
      </w:r>
      <w:r w:rsidR="00B64A3F" w:rsidRPr="00E176E7">
        <w:rPr>
          <w:szCs w:val="18"/>
        </w:rPr>
        <w:t xml:space="preserve">the placebo arm of the </w:t>
      </w:r>
      <w:r w:rsidRPr="00E176E7">
        <w:rPr>
          <w:szCs w:val="18"/>
        </w:rPr>
        <w:t>economic</w:t>
      </w:r>
      <w:r w:rsidRPr="008E041A">
        <w:rPr>
          <w:szCs w:val="18"/>
        </w:rPr>
        <w:t xml:space="preserve"> model.</w:t>
      </w:r>
    </w:p>
    <w:p w14:paraId="7435F99B" w14:textId="50C1348F" w:rsidR="001F2E71" w:rsidRDefault="009745EA" w:rsidP="004A476B">
      <w:pPr>
        <w:pStyle w:val="TableFigureFooter"/>
        <w:keepNext/>
        <w:keepLines/>
        <w:ind w:left="170" w:hanging="170"/>
        <w:rPr>
          <w:szCs w:val="18"/>
        </w:rPr>
      </w:pPr>
      <w:r w:rsidRPr="008E041A">
        <w:rPr>
          <w:szCs w:val="18"/>
          <w:vertAlign w:val="superscript"/>
        </w:rPr>
        <w:t>d</w:t>
      </w:r>
      <w:r w:rsidR="00144398">
        <w:rPr>
          <w:szCs w:val="18"/>
        </w:rPr>
        <w:t xml:space="preserve"> </w:t>
      </w:r>
      <w:r w:rsidRPr="008E041A">
        <w:rPr>
          <w:szCs w:val="18"/>
        </w:rPr>
        <w:t xml:space="preserve">Assumed </w:t>
      </w:r>
      <w:r w:rsidR="00B50819" w:rsidRPr="002B736C">
        <w:rPr>
          <w:color w:val="000000"/>
          <w:spacing w:val="73"/>
          <w:szCs w:val="18"/>
          <w:shd w:val="solid" w:color="000000" w:fill="000000"/>
          <w:fitText w:val="265" w:id="-628958707"/>
          <w14:textFill>
            <w14:solidFill>
              <w14:srgbClr w14:val="000000">
                <w14:alpha w14:val="100000"/>
              </w14:srgbClr>
            </w14:solidFill>
          </w14:textFill>
        </w:rPr>
        <w:t>|</w:t>
      </w:r>
      <w:r w:rsidR="002B736C" w:rsidRPr="002B736C">
        <w:rPr>
          <w:color w:val="000000"/>
          <w:spacing w:val="73"/>
          <w:szCs w:val="18"/>
          <w:shd w:val="solid" w:color="000000" w:fill="000000"/>
          <w:fitText w:val="265" w:id="-628958707"/>
          <w14:textFill>
            <w14:solidFill>
              <w14:srgbClr w14:val="000000">
                <w14:alpha w14:val="100000"/>
              </w14:srgbClr>
            </w14:solidFill>
          </w14:textFill>
        </w:rPr>
        <w:t xml:space="preserve"> </w:t>
      </w:r>
      <w:r w:rsidR="00B50819" w:rsidRPr="002B736C">
        <w:rPr>
          <w:color w:val="000000"/>
          <w:spacing w:val="2"/>
          <w:szCs w:val="18"/>
          <w:shd w:val="solid" w:color="000000" w:fill="000000"/>
          <w:fitText w:val="265" w:id="-628958707"/>
          <w14:textFill>
            <w14:solidFill>
              <w14:srgbClr w14:val="000000">
                <w14:alpha w14:val="100000"/>
              </w14:srgbClr>
            </w14:solidFill>
          </w14:textFill>
        </w:rPr>
        <w:t>|</w:t>
      </w:r>
      <w:r w:rsidRPr="008E041A">
        <w:rPr>
          <w:szCs w:val="18"/>
        </w:rPr>
        <w:t xml:space="preserve"> months treatment duration for osimertinib (metastatic setting).</w:t>
      </w:r>
    </w:p>
    <w:p w14:paraId="562F12D2" w14:textId="22DE085F" w:rsidR="006128E5" w:rsidRDefault="006A1109" w:rsidP="004A476B">
      <w:pPr>
        <w:pStyle w:val="TableFigureFooter"/>
        <w:keepNext/>
        <w:keepLines/>
      </w:pPr>
      <w:r w:rsidRPr="006A1109">
        <w:rPr>
          <w:szCs w:val="18"/>
          <w:vertAlign w:val="superscript"/>
        </w:rPr>
        <w:t>e</w:t>
      </w:r>
      <w:r w:rsidR="006128E5">
        <w:rPr>
          <w:szCs w:val="18"/>
        </w:rPr>
        <w:t xml:space="preserve"> </w:t>
      </w:r>
      <w:r w:rsidR="001D604F">
        <w:t xml:space="preserve">Alternative </w:t>
      </w:r>
      <w:r w:rsidR="001D604F" w:rsidDel="00F71947">
        <w:t xml:space="preserve">financial estimates </w:t>
      </w:r>
      <w:r w:rsidDel="00F71947">
        <w:t>were</w:t>
      </w:r>
      <w:r w:rsidR="001D604F" w:rsidDel="00F71947">
        <w:t xml:space="preserve"> provided</w:t>
      </w:r>
      <w:r w:rsidDel="00F71947">
        <w:t xml:space="preserve"> in the pre-PBAC response</w:t>
      </w:r>
      <w:r w:rsidR="001D604F" w:rsidDel="00F71947">
        <w:t xml:space="preserve"> that include subsequent use of the ABCP regimen after progression on osimertinib, applying a </w:t>
      </w:r>
      <w:r w:rsidR="00B50819" w:rsidRPr="002B736C">
        <w:rPr>
          <w:color w:val="000000"/>
          <w:spacing w:val="81"/>
          <w:shd w:val="solid" w:color="000000" w:fill="000000"/>
          <w:fitText w:val="280" w:id="-628958706"/>
          <w14:textFill>
            <w14:solidFill>
              <w14:srgbClr w14:val="000000">
                <w14:alpha w14:val="100000"/>
              </w14:srgbClr>
            </w14:solidFill>
          </w14:textFill>
        </w:rPr>
        <w:t>|</w:t>
      </w:r>
      <w:r w:rsidR="002B736C" w:rsidRPr="002B736C">
        <w:rPr>
          <w:color w:val="000000"/>
          <w:spacing w:val="81"/>
          <w:shd w:val="solid" w:color="000000" w:fill="000000"/>
          <w:fitText w:val="280" w:id="-628958706"/>
          <w14:textFill>
            <w14:solidFill>
              <w14:srgbClr w14:val="000000">
                <w14:alpha w14:val="100000"/>
              </w14:srgbClr>
            </w14:solidFill>
          </w14:textFill>
        </w:rPr>
        <w:t xml:space="preserve"> </w:t>
      </w:r>
      <w:r w:rsidR="00B50819" w:rsidRPr="002B736C">
        <w:rPr>
          <w:color w:val="000000"/>
          <w:spacing w:val="1"/>
          <w:shd w:val="solid" w:color="000000" w:fill="000000"/>
          <w:fitText w:val="280" w:id="-628958706"/>
          <w14:textFill>
            <w14:solidFill>
              <w14:srgbClr w14:val="000000">
                <w14:alpha w14:val="100000"/>
              </w14:srgbClr>
            </w14:solidFill>
          </w14:textFill>
        </w:rPr>
        <w:t>|</w:t>
      </w:r>
      <w:r w:rsidR="001D604F" w:rsidDel="00F71947">
        <w:t>% uptake rate in line with ESC sensitivity analysis</w:t>
      </w:r>
      <w:r w:rsidR="001022F2" w:rsidDel="00F71947">
        <w:t xml:space="preserve"> </w:t>
      </w:r>
      <w:r w:rsidR="001022F2" w:rsidRPr="00226DA0" w:rsidDel="00F71947">
        <w:t>and</w:t>
      </w:r>
      <w:r w:rsidR="001D604F" w:rsidRPr="00226DA0" w:rsidDel="00F71947">
        <w:t xml:space="preserve"> a 50% discount</w:t>
      </w:r>
      <w:r w:rsidR="001D604F" w:rsidDel="00F71947">
        <w:t xml:space="preserve"> to the published ABCP price</w:t>
      </w:r>
      <w:r w:rsidR="006A51FC" w:rsidDel="00F71947">
        <w:t xml:space="preserve"> in lieu of effective prices</w:t>
      </w:r>
      <w:r w:rsidR="001D604F" w:rsidDel="00F71947">
        <w:t xml:space="preserve">. Incorporating these assumptions projects an increase of around </w:t>
      </w:r>
      <w:r w:rsidR="00B50819" w:rsidRPr="002B736C">
        <w:rPr>
          <w:color w:val="000000"/>
          <w:spacing w:val="81"/>
          <w:shd w:val="solid" w:color="000000" w:fill="000000"/>
          <w:fitText w:val="280" w:id="-628958705"/>
          <w14:textFill>
            <w14:solidFill>
              <w14:srgbClr w14:val="000000">
                <w14:alpha w14:val="100000"/>
              </w14:srgbClr>
            </w14:solidFill>
          </w14:textFill>
        </w:rPr>
        <w:t>|</w:t>
      </w:r>
      <w:r w:rsidR="002B736C" w:rsidRPr="002B736C">
        <w:rPr>
          <w:color w:val="000000"/>
          <w:spacing w:val="81"/>
          <w:shd w:val="solid" w:color="000000" w:fill="000000"/>
          <w:fitText w:val="280" w:id="-628958705"/>
          <w14:textFill>
            <w14:solidFill>
              <w14:srgbClr w14:val="000000">
                <w14:alpha w14:val="100000"/>
              </w14:srgbClr>
            </w14:solidFill>
          </w14:textFill>
        </w:rPr>
        <w:t xml:space="preserve"> </w:t>
      </w:r>
      <w:r w:rsidR="00B50819" w:rsidRPr="002B736C">
        <w:rPr>
          <w:color w:val="000000"/>
          <w:spacing w:val="1"/>
          <w:shd w:val="solid" w:color="000000" w:fill="000000"/>
          <w:fitText w:val="280" w:id="-628958705"/>
          <w14:textFill>
            <w14:solidFill>
              <w14:srgbClr w14:val="000000">
                <w14:alpha w14:val="100000"/>
              </w14:srgbClr>
            </w14:solidFill>
          </w14:textFill>
        </w:rPr>
        <w:t>|</w:t>
      </w:r>
      <w:r w:rsidR="001D604F" w:rsidDel="00F71947">
        <w:t xml:space="preserve"> additional patients receiving </w:t>
      </w:r>
      <w:r w:rsidR="002B736C" w:rsidDel="00F71947">
        <w:t>immune oncology</w:t>
      </w:r>
      <w:r w:rsidR="001D604F" w:rsidDel="00F71947">
        <w:t xml:space="preserve"> over six years</w:t>
      </w:r>
      <w:r w:rsidR="0020622D">
        <w:t xml:space="preserve"> (see paragraph </w:t>
      </w:r>
      <w:r w:rsidR="0020622D">
        <w:fldChar w:fldCharType="begin"/>
      </w:r>
      <w:r w:rsidR="0020622D">
        <w:instrText xml:space="preserve"> REF _Ref201154825 \r \h </w:instrText>
      </w:r>
      <w:r w:rsidR="0020622D">
        <w:fldChar w:fldCharType="separate"/>
      </w:r>
      <w:r w:rsidR="009F3D59">
        <w:t>6.70</w:t>
      </w:r>
      <w:r w:rsidR="0020622D">
        <w:fldChar w:fldCharType="end"/>
      </w:r>
      <w:r w:rsidR="00C87A32">
        <w:t xml:space="preserve"> below</w:t>
      </w:r>
      <w:r w:rsidR="00E02699">
        <w:t>, third dot point</w:t>
      </w:r>
      <w:r w:rsidR="0020622D">
        <w:t>)</w:t>
      </w:r>
      <w:r w:rsidDel="00F71947">
        <w:t>.</w:t>
      </w:r>
    </w:p>
    <w:p w14:paraId="62441A22" w14:textId="25BCF286" w:rsidR="001E6AFE" w:rsidRPr="001E6AFE" w:rsidRDefault="001E6AFE" w:rsidP="004A476B">
      <w:pPr>
        <w:pStyle w:val="TableFigureFooter"/>
        <w:keepNext/>
        <w:keepLines/>
        <w:spacing w:after="0"/>
        <w:rPr>
          <w:i/>
          <w:iCs/>
        </w:rPr>
      </w:pPr>
      <w:r w:rsidRPr="001E6AFE">
        <w:rPr>
          <w:i/>
          <w:iCs/>
        </w:rPr>
        <w:t>The redacted values correspond to the following ranges:</w:t>
      </w:r>
    </w:p>
    <w:p w14:paraId="3F1E0BB3" w14:textId="337B66FD" w:rsidR="00ED2732" w:rsidRPr="001E6AFE" w:rsidRDefault="00ED2732" w:rsidP="004A476B">
      <w:pPr>
        <w:keepNext/>
        <w:keepLines/>
        <w:ind w:right="147"/>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1 </w:t>
      </w:r>
      <w:r w:rsidRPr="001E6AFE">
        <w:rPr>
          <w:rFonts w:ascii="Arial Narrow" w:hAnsi="Arial Narrow"/>
          <w:i/>
          <w:iCs/>
          <w:color w:val="333333"/>
          <w:sz w:val="18"/>
          <w:szCs w:val="18"/>
        </w:rPr>
        <w:t>&lt; 500</w:t>
      </w:r>
    </w:p>
    <w:p w14:paraId="7EB39502" w14:textId="34E13F75" w:rsidR="00ED2732" w:rsidRPr="001E6AFE" w:rsidRDefault="00ED2732" w:rsidP="004A476B">
      <w:pPr>
        <w:keepNext/>
        <w:keepLines/>
        <w:ind w:right="147"/>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2 </w:t>
      </w:r>
      <w:r w:rsidRPr="001E6AFE">
        <w:rPr>
          <w:rFonts w:ascii="Arial Narrow" w:hAnsi="Arial Narrow"/>
          <w:i/>
          <w:iCs/>
          <w:color w:val="333333"/>
          <w:sz w:val="18"/>
          <w:szCs w:val="18"/>
        </w:rPr>
        <w:t>500 to &lt; 5,000</w:t>
      </w:r>
    </w:p>
    <w:p w14:paraId="4A687CC4" w14:textId="081C02B3" w:rsidR="00ED2732" w:rsidRPr="001E6AFE" w:rsidRDefault="00040E75" w:rsidP="004A476B">
      <w:pPr>
        <w:keepNext/>
        <w:keepLines/>
        <w:ind w:right="147"/>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3 </w:t>
      </w:r>
      <w:r w:rsidR="00ED2732" w:rsidRPr="001E6AFE">
        <w:rPr>
          <w:rFonts w:ascii="Arial Narrow" w:hAnsi="Arial Narrow"/>
          <w:i/>
          <w:iCs/>
          <w:color w:val="333333"/>
          <w:sz w:val="18"/>
          <w:szCs w:val="18"/>
        </w:rPr>
        <w:t>5,000 to &lt; 10,000</w:t>
      </w:r>
    </w:p>
    <w:p w14:paraId="25873B9A" w14:textId="397EB3F4" w:rsidR="00ED2732" w:rsidRPr="001E6AFE" w:rsidRDefault="00040E75" w:rsidP="004A476B">
      <w:pPr>
        <w:keepNext/>
        <w:keepLines/>
        <w:ind w:right="147"/>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4 </w:t>
      </w:r>
      <w:r w:rsidR="00ED2732" w:rsidRPr="001E6AFE">
        <w:rPr>
          <w:rFonts w:ascii="Arial Narrow" w:hAnsi="Arial Narrow"/>
          <w:i/>
          <w:iCs/>
          <w:color w:val="333333"/>
          <w:sz w:val="18"/>
          <w:szCs w:val="18"/>
        </w:rPr>
        <w:t>10,000 to &lt; 20,000</w:t>
      </w:r>
    </w:p>
    <w:p w14:paraId="23AD0407" w14:textId="1FE3A4DE" w:rsidR="0056372D" w:rsidRPr="001E6AFE" w:rsidRDefault="0056372D" w:rsidP="004A476B">
      <w:pPr>
        <w:keepNext/>
        <w:keepLines/>
        <w:ind w:right="150"/>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5 </w:t>
      </w:r>
      <w:r w:rsidRPr="001E6AFE">
        <w:rPr>
          <w:rFonts w:ascii="Arial Narrow" w:hAnsi="Arial Narrow"/>
          <w:i/>
          <w:iCs/>
          <w:color w:val="333333"/>
          <w:sz w:val="18"/>
          <w:szCs w:val="18"/>
        </w:rPr>
        <w:t>$0 to &lt; $10 million</w:t>
      </w:r>
    </w:p>
    <w:p w14:paraId="3F805789" w14:textId="35F7E247" w:rsidR="0056372D" w:rsidRPr="001E6AFE" w:rsidRDefault="00B85C93" w:rsidP="004A476B">
      <w:pPr>
        <w:keepNext/>
        <w:keepLines/>
        <w:ind w:right="150"/>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6 </w:t>
      </w:r>
      <w:r w:rsidR="0056372D" w:rsidRPr="001E6AFE">
        <w:rPr>
          <w:rFonts w:ascii="Arial Narrow" w:hAnsi="Arial Narrow"/>
          <w:i/>
          <w:iCs/>
          <w:color w:val="333333"/>
          <w:sz w:val="18"/>
          <w:szCs w:val="18"/>
        </w:rPr>
        <w:t>$10 million to &lt; $20 million</w:t>
      </w:r>
    </w:p>
    <w:p w14:paraId="39AAF830" w14:textId="2BF67246" w:rsidR="0056372D" w:rsidRPr="001E6AFE" w:rsidRDefault="004561EB" w:rsidP="004A476B">
      <w:pPr>
        <w:keepNext/>
        <w:keepLines/>
        <w:ind w:right="150"/>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7 </w:t>
      </w:r>
      <w:r w:rsidR="0056372D" w:rsidRPr="001E6AFE">
        <w:rPr>
          <w:rFonts w:ascii="Arial Narrow" w:hAnsi="Arial Narrow"/>
          <w:i/>
          <w:iCs/>
          <w:color w:val="333333"/>
          <w:sz w:val="18"/>
          <w:szCs w:val="18"/>
        </w:rPr>
        <w:t>$20 million to &lt; $30 million</w:t>
      </w:r>
    </w:p>
    <w:p w14:paraId="6F0025F9" w14:textId="612A58DB" w:rsidR="0056372D" w:rsidRPr="001E6AFE" w:rsidRDefault="004561EB" w:rsidP="004A476B">
      <w:pPr>
        <w:keepNext/>
        <w:keepLines/>
        <w:ind w:right="150"/>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8 </w:t>
      </w:r>
      <w:r w:rsidR="0056372D" w:rsidRPr="001E6AFE">
        <w:rPr>
          <w:rFonts w:ascii="Arial Narrow" w:hAnsi="Arial Narrow"/>
          <w:i/>
          <w:iCs/>
          <w:color w:val="333333"/>
          <w:sz w:val="18"/>
          <w:szCs w:val="18"/>
        </w:rPr>
        <w:t>$30 million to &lt; $40 million</w:t>
      </w:r>
    </w:p>
    <w:p w14:paraId="7C23D470" w14:textId="68D07BC7" w:rsidR="004B7997" w:rsidRPr="001E6AFE" w:rsidRDefault="004B7997" w:rsidP="004A476B">
      <w:pPr>
        <w:keepNext/>
        <w:keepLines/>
        <w:ind w:right="150"/>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9 </w:t>
      </w:r>
      <w:r w:rsidRPr="001E6AFE">
        <w:rPr>
          <w:rFonts w:ascii="Arial Narrow" w:hAnsi="Arial Narrow"/>
          <w:i/>
          <w:iCs/>
          <w:color w:val="333333"/>
          <w:sz w:val="18"/>
          <w:szCs w:val="18"/>
        </w:rPr>
        <w:t>$40 million to &lt; $50 million</w:t>
      </w:r>
    </w:p>
    <w:p w14:paraId="60005AA5" w14:textId="6B96E8BA" w:rsidR="0056372D" w:rsidRPr="001E6AFE" w:rsidRDefault="004B7997" w:rsidP="004A476B">
      <w:pPr>
        <w:keepNext/>
        <w:keepLines/>
        <w:ind w:right="150"/>
        <w:rPr>
          <w:rFonts w:ascii="Arial Narrow" w:hAnsi="Arial Narrow"/>
          <w:i/>
          <w:iCs/>
          <w:color w:val="333333"/>
          <w:sz w:val="18"/>
          <w:szCs w:val="18"/>
        </w:rPr>
      </w:pPr>
      <w:r w:rsidRPr="001E6AFE">
        <w:rPr>
          <w:rFonts w:ascii="Arial Narrow" w:hAnsi="Arial Narrow"/>
          <w:i/>
          <w:iCs/>
          <w:color w:val="333333"/>
          <w:sz w:val="18"/>
          <w:szCs w:val="18"/>
          <w:vertAlign w:val="superscript"/>
        </w:rPr>
        <w:t xml:space="preserve">10 </w:t>
      </w:r>
      <w:r w:rsidRPr="001E6AFE">
        <w:rPr>
          <w:rFonts w:ascii="Arial Narrow" w:hAnsi="Arial Narrow"/>
          <w:i/>
          <w:iCs/>
          <w:color w:val="333333"/>
          <w:sz w:val="18"/>
          <w:szCs w:val="18"/>
        </w:rPr>
        <w:t>$50 million to &lt; $60 million</w:t>
      </w:r>
    </w:p>
    <w:p w14:paraId="1F2FE8A3" w14:textId="77777777" w:rsidR="00ED2732" w:rsidRPr="003F12F1" w:rsidRDefault="00ED2732" w:rsidP="00A12328">
      <w:pPr>
        <w:pStyle w:val="TableFigureFooter"/>
        <w:rPr>
          <w:szCs w:val="18"/>
        </w:rPr>
      </w:pPr>
    </w:p>
    <w:p w14:paraId="2E1E86CA" w14:textId="11427729" w:rsidR="009745EA" w:rsidRPr="003F12F1" w:rsidRDefault="009745EA" w:rsidP="00A12328">
      <w:pPr>
        <w:pStyle w:val="3-BodyText"/>
        <w:rPr>
          <w:iCs/>
        </w:rPr>
      </w:pPr>
      <w:bookmarkStart w:id="85" w:name="_Ref201154825"/>
      <w:r w:rsidRPr="000902D9">
        <w:t xml:space="preserve">The total cost to the PBS/RPBS of listing </w:t>
      </w:r>
      <w:r>
        <w:t>osimertinib</w:t>
      </w:r>
      <w:r w:rsidRPr="000902D9">
        <w:t xml:space="preserve"> was estimated </w:t>
      </w:r>
      <w:r>
        <w:t>to be</w:t>
      </w:r>
      <w:r w:rsidRPr="000902D9">
        <w:t xml:space="preserve"> $</w:t>
      </w:r>
      <w:r w:rsidR="004E0D9E">
        <w:t>30 million to &lt; $40</w:t>
      </w:r>
      <w:r w:rsidRPr="000902D9">
        <w:t xml:space="preserve"> million in Year </w:t>
      </w:r>
      <w:r>
        <w:t xml:space="preserve">6, and </w:t>
      </w:r>
      <w:r w:rsidRPr="000902D9">
        <w:t>a total of $</w:t>
      </w:r>
      <w:r w:rsidR="005C361F">
        <w:t>100</w:t>
      </w:r>
      <w:r w:rsidR="002B736C">
        <w:t xml:space="preserve"> </w:t>
      </w:r>
      <w:r w:rsidR="005C361F">
        <w:t>million to &lt; $200</w:t>
      </w:r>
      <w:r w:rsidRPr="000902D9">
        <w:t xml:space="preserve"> million in the first 6 years of listing</w:t>
      </w:r>
      <w:r w:rsidRPr="00C7060A">
        <w:rPr>
          <w:color w:val="3366FF"/>
        </w:rPr>
        <w:t xml:space="preserve">. </w:t>
      </w:r>
      <w:r w:rsidRPr="003F12F1">
        <w:rPr>
          <w:iCs/>
        </w:rPr>
        <w:t>The main uncertainties were:</w:t>
      </w:r>
      <w:bookmarkEnd w:id="85"/>
      <w:r w:rsidRPr="003F12F1">
        <w:rPr>
          <w:iCs/>
        </w:rPr>
        <w:t xml:space="preserve"> </w:t>
      </w:r>
    </w:p>
    <w:p w14:paraId="6425C0EF" w14:textId="1E4B3932" w:rsidR="009745EA" w:rsidRPr="003F12F1" w:rsidRDefault="009745EA" w:rsidP="00A12328">
      <w:pPr>
        <w:pStyle w:val="3-BodyText"/>
        <w:numPr>
          <w:ilvl w:val="1"/>
          <w:numId w:val="9"/>
        </w:numPr>
        <w:rPr>
          <w:iCs/>
        </w:rPr>
      </w:pPr>
      <w:r w:rsidRPr="003F12F1">
        <w:rPr>
          <w:iCs/>
        </w:rPr>
        <w:t>the proportion of NSCLC</w:t>
      </w:r>
      <w:r w:rsidR="001C18AF" w:rsidRPr="003F12F1">
        <w:rPr>
          <w:iCs/>
        </w:rPr>
        <w:t xml:space="preserve"> patients having</w:t>
      </w:r>
      <w:r w:rsidRPr="003F12F1">
        <w:rPr>
          <w:iCs/>
        </w:rPr>
        <w:t xml:space="preserve"> Stage III disease</w:t>
      </w:r>
      <w:r w:rsidR="009D6879" w:rsidRPr="003F12F1">
        <w:rPr>
          <w:iCs/>
        </w:rPr>
        <w:t xml:space="preserve">, the proportion of unresectable stage III NSCLC </w:t>
      </w:r>
      <w:r w:rsidR="00C45A6D" w:rsidRPr="00C45A6D">
        <w:rPr>
          <w:i/>
          <w:iCs/>
        </w:rPr>
        <w:t>EGFR</w:t>
      </w:r>
      <w:r w:rsidR="009D6879" w:rsidRPr="003F12F1">
        <w:rPr>
          <w:iCs/>
        </w:rPr>
        <w:t>m positive</w:t>
      </w:r>
      <w:r w:rsidR="00C51F38" w:rsidRPr="003F12F1">
        <w:rPr>
          <w:iCs/>
        </w:rPr>
        <w:t xml:space="preserve"> patients</w:t>
      </w:r>
      <w:r w:rsidR="009D6879" w:rsidRPr="003F12F1">
        <w:rPr>
          <w:iCs/>
        </w:rPr>
        <w:t xml:space="preserve"> receiving</w:t>
      </w:r>
      <w:r w:rsidR="005B0465" w:rsidRPr="003F12F1">
        <w:rPr>
          <w:iCs/>
        </w:rPr>
        <w:t xml:space="preserve"> </w:t>
      </w:r>
      <w:r w:rsidR="009D29FB">
        <w:rPr>
          <w:iCs/>
        </w:rPr>
        <w:t>platinum-based</w:t>
      </w:r>
      <w:r w:rsidR="009D6879" w:rsidRPr="003F12F1">
        <w:rPr>
          <w:iCs/>
        </w:rPr>
        <w:t xml:space="preserve"> CRT, and</w:t>
      </w:r>
      <w:r w:rsidR="00C51F38" w:rsidRPr="003F12F1">
        <w:rPr>
          <w:iCs/>
        </w:rPr>
        <w:t xml:space="preserve"> the proportion of those patients </w:t>
      </w:r>
      <w:r w:rsidR="003779D3" w:rsidRPr="003F12F1">
        <w:rPr>
          <w:iCs/>
        </w:rPr>
        <w:t>who do not have progressive disease</w:t>
      </w:r>
      <w:r w:rsidR="00577C3F" w:rsidRPr="003F12F1">
        <w:rPr>
          <w:iCs/>
        </w:rPr>
        <w:t xml:space="preserve"> following</w:t>
      </w:r>
      <w:r w:rsidR="00F451F7" w:rsidRPr="003F12F1">
        <w:rPr>
          <w:iCs/>
        </w:rPr>
        <w:t xml:space="preserve"> CRT</w:t>
      </w:r>
      <w:r w:rsidRPr="003F12F1">
        <w:rPr>
          <w:iCs/>
        </w:rPr>
        <w:t>. If lower proportions are</w:t>
      </w:r>
      <w:r w:rsidR="00814E7C" w:rsidRPr="003F12F1">
        <w:rPr>
          <w:iCs/>
        </w:rPr>
        <w:t xml:space="preserve"> used for these inputs</w:t>
      </w:r>
      <w:r w:rsidRPr="003F12F1">
        <w:rPr>
          <w:iCs/>
        </w:rPr>
        <w:t>, the PBS costs would be lower</w:t>
      </w:r>
      <w:r w:rsidRPr="006A597D">
        <w:rPr>
          <w:i/>
        </w:rPr>
        <w:t>.</w:t>
      </w:r>
      <w:r w:rsidR="005B5F72" w:rsidRPr="006A597D">
        <w:rPr>
          <w:i/>
        </w:rPr>
        <w:t xml:space="preserve"> </w:t>
      </w:r>
      <w:r w:rsidR="00685E30" w:rsidRPr="008569E4">
        <w:rPr>
          <w:iCs/>
        </w:rPr>
        <w:t>The</w:t>
      </w:r>
      <w:r w:rsidR="003C7C09" w:rsidRPr="008569E4">
        <w:rPr>
          <w:iCs/>
        </w:rPr>
        <w:t xml:space="preserve"> comments in the</w:t>
      </w:r>
      <w:r w:rsidR="00685E30" w:rsidRPr="008569E4">
        <w:rPr>
          <w:iCs/>
        </w:rPr>
        <w:t xml:space="preserve"> PSCR</w:t>
      </w:r>
      <w:r w:rsidR="00AE7A00">
        <w:rPr>
          <w:iCs/>
        </w:rPr>
        <w:t xml:space="preserve"> and pre-PBAC </w:t>
      </w:r>
      <w:r w:rsidR="005C43A1">
        <w:rPr>
          <w:iCs/>
        </w:rPr>
        <w:t>response</w:t>
      </w:r>
      <w:r w:rsidR="00685E30" w:rsidRPr="008569E4">
        <w:rPr>
          <w:iCs/>
        </w:rPr>
        <w:t xml:space="preserve"> </w:t>
      </w:r>
      <w:r w:rsidR="003C7C09" w:rsidRPr="008569E4">
        <w:rPr>
          <w:iCs/>
        </w:rPr>
        <w:t>regarding specific inputs for</w:t>
      </w:r>
      <w:r w:rsidR="005C43A1">
        <w:rPr>
          <w:iCs/>
        </w:rPr>
        <w:t xml:space="preserve"> the</w:t>
      </w:r>
      <w:r w:rsidR="003C7C09" w:rsidRPr="008569E4">
        <w:rPr>
          <w:iCs/>
        </w:rPr>
        <w:t xml:space="preserve"> financial model are shown in </w:t>
      </w:r>
      <w:r w:rsidR="006A597D" w:rsidRPr="008569E4">
        <w:rPr>
          <w:iCs/>
        </w:rPr>
        <w:fldChar w:fldCharType="begin"/>
      </w:r>
      <w:r w:rsidR="006A597D" w:rsidRPr="008569E4">
        <w:rPr>
          <w:iCs/>
        </w:rPr>
        <w:instrText xml:space="preserve"> REF _Ref198210643 \h  \* MERGEFORMAT </w:instrText>
      </w:r>
      <w:r w:rsidR="006A597D" w:rsidRPr="008569E4">
        <w:rPr>
          <w:iCs/>
        </w:rPr>
      </w:r>
      <w:r w:rsidR="006A597D" w:rsidRPr="008569E4">
        <w:rPr>
          <w:iCs/>
        </w:rPr>
        <w:fldChar w:fldCharType="separate"/>
      </w:r>
      <w:r w:rsidR="009F3D59" w:rsidRPr="009F3D59">
        <w:rPr>
          <w:iCs/>
        </w:rPr>
        <w:t xml:space="preserve">Table </w:t>
      </w:r>
      <w:r w:rsidR="009F3D59" w:rsidRPr="009F3D59">
        <w:rPr>
          <w:iCs/>
          <w:noProof/>
        </w:rPr>
        <w:t>18</w:t>
      </w:r>
      <w:r w:rsidR="006A597D" w:rsidRPr="008569E4">
        <w:rPr>
          <w:iCs/>
        </w:rPr>
        <w:fldChar w:fldCharType="end"/>
      </w:r>
      <w:r w:rsidR="006A597D" w:rsidRPr="008569E4">
        <w:rPr>
          <w:iCs/>
        </w:rPr>
        <w:t>.</w:t>
      </w:r>
      <w:r w:rsidR="00D04359" w:rsidRPr="008569E4">
        <w:rPr>
          <w:iCs/>
        </w:rPr>
        <w:t xml:space="preserve"> The ESC noted </w:t>
      </w:r>
      <w:r w:rsidR="00EB407F" w:rsidRPr="008569E4">
        <w:rPr>
          <w:iCs/>
        </w:rPr>
        <w:t>the uncertainty associated with these inputs</w:t>
      </w:r>
      <w:r w:rsidR="0024408B" w:rsidRPr="008569E4">
        <w:rPr>
          <w:iCs/>
        </w:rPr>
        <w:t xml:space="preserve"> to the financial model</w:t>
      </w:r>
      <w:r w:rsidR="00EB407F" w:rsidRPr="008569E4">
        <w:rPr>
          <w:iCs/>
        </w:rPr>
        <w:t>.</w:t>
      </w:r>
    </w:p>
    <w:p w14:paraId="17676A97" w14:textId="27EDD414" w:rsidR="009745EA" w:rsidRPr="008569E4" w:rsidRDefault="009745EA" w:rsidP="00A12328">
      <w:pPr>
        <w:pStyle w:val="3-BodyText"/>
        <w:numPr>
          <w:ilvl w:val="1"/>
          <w:numId w:val="9"/>
        </w:numPr>
        <w:rPr>
          <w:iCs/>
        </w:rPr>
      </w:pPr>
      <w:bookmarkStart w:id="86" w:name="_Hlk198288218"/>
      <w:r w:rsidRPr="003F12F1">
        <w:rPr>
          <w:iCs/>
        </w:rPr>
        <w:t>the cost for osimertinib due to uncertainties in the uptake of osimertinib and the risk of extended use of osimertinib beyond progression. If</w:t>
      </w:r>
      <w:r w:rsidR="00F2140E" w:rsidRPr="003F12F1">
        <w:rPr>
          <w:iCs/>
        </w:rPr>
        <w:t xml:space="preserve"> the uptake of osimertinib is assum</w:t>
      </w:r>
      <w:r w:rsidR="005D30EB" w:rsidRPr="003F12F1">
        <w:rPr>
          <w:iCs/>
        </w:rPr>
        <w:t xml:space="preserve">ed to be less than </w:t>
      </w:r>
      <w:r w:rsidR="00B50819" w:rsidRPr="002B736C">
        <w:rPr>
          <w:iCs/>
          <w:color w:val="000000"/>
          <w:spacing w:val="6"/>
          <w:w w:val="61"/>
          <w:shd w:val="solid" w:color="000000" w:fill="000000"/>
          <w:fitText w:val="475" w:id="-628958704"/>
          <w14:textFill>
            <w14:solidFill>
              <w14:srgbClr w14:val="000000">
                <w14:alpha w14:val="100000"/>
              </w14:srgbClr>
            </w14:solidFill>
          </w14:textFill>
        </w:rPr>
        <w:t>|||</w:t>
      </w:r>
      <w:r w:rsidR="002B736C" w:rsidRPr="002B736C">
        <w:rPr>
          <w:iCs/>
          <w:color w:val="000000"/>
          <w:spacing w:val="6"/>
          <w:w w:val="61"/>
          <w:shd w:val="solid" w:color="000000" w:fill="000000"/>
          <w:fitText w:val="475" w:id="-628958704"/>
          <w14:textFill>
            <w14:solidFill>
              <w14:srgbClr w14:val="000000">
                <w14:alpha w14:val="100000"/>
              </w14:srgbClr>
            </w14:solidFill>
          </w14:textFill>
        </w:rPr>
        <w:t xml:space="preserve"> </w:t>
      </w:r>
      <w:r w:rsidR="00B50819" w:rsidRPr="002B736C">
        <w:rPr>
          <w:iCs/>
          <w:color w:val="000000"/>
          <w:spacing w:val="6"/>
          <w:w w:val="61"/>
          <w:shd w:val="solid" w:color="000000" w:fill="000000"/>
          <w:fitText w:val="475" w:id="-628958704"/>
          <w14:textFill>
            <w14:solidFill>
              <w14:srgbClr w14:val="000000">
                <w14:alpha w14:val="100000"/>
              </w14:srgbClr>
            </w14:solidFill>
          </w14:textFill>
        </w:rPr>
        <w:t>||</w:t>
      </w:r>
      <w:r w:rsidR="00B50819" w:rsidRPr="002B736C">
        <w:rPr>
          <w:iCs/>
          <w:color w:val="000000"/>
          <w:spacing w:val="3"/>
          <w:w w:val="61"/>
          <w:shd w:val="solid" w:color="000000" w:fill="000000"/>
          <w:fitText w:val="475" w:id="-628958704"/>
          <w14:textFill>
            <w14:solidFill>
              <w14:srgbClr w14:val="000000">
                <w14:alpha w14:val="100000"/>
              </w14:srgbClr>
            </w14:solidFill>
          </w14:textFill>
        </w:rPr>
        <w:t>|</w:t>
      </w:r>
      <w:r w:rsidR="005D30EB" w:rsidRPr="003F12F1">
        <w:rPr>
          <w:iCs/>
        </w:rPr>
        <w:t>% from Year 1,</w:t>
      </w:r>
      <w:r w:rsidR="00C63AE8" w:rsidRPr="003F12F1">
        <w:rPr>
          <w:iCs/>
        </w:rPr>
        <w:t xml:space="preserve"> the PBS costs would be lower; if</w:t>
      </w:r>
      <w:r w:rsidRPr="003F12F1">
        <w:rPr>
          <w:iCs/>
        </w:rPr>
        <w:t xml:space="preserve"> there is use of osimertinib post disease progression</w:t>
      </w:r>
      <w:r w:rsidR="00543229">
        <w:rPr>
          <w:iCs/>
        </w:rPr>
        <w:t>,</w:t>
      </w:r>
      <w:r w:rsidR="00884599" w:rsidRPr="003F12F1">
        <w:rPr>
          <w:iCs/>
        </w:rPr>
        <w:t xml:space="preserve"> which may occur despite the requested restriction stopping treatment at disease progression</w:t>
      </w:r>
      <w:r w:rsidR="00E95106" w:rsidRPr="003F12F1">
        <w:rPr>
          <w:iCs/>
        </w:rPr>
        <w:t>,</w:t>
      </w:r>
      <w:r w:rsidRPr="003F12F1">
        <w:rPr>
          <w:iCs/>
        </w:rPr>
        <w:t xml:space="preserve"> the</w:t>
      </w:r>
      <w:r w:rsidR="00DE706A" w:rsidRPr="003F12F1">
        <w:rPr>
          <w:iCs/>
        </w:rPr>
        <w:t xml:space="preserve"> PBS</w:t>
      </w:r>
      <w:r w:rsidRPr="003F12F1">
        <w:rPr>
          <w:iCs/>
        </w:rPr>
        <w:t xml:space="preserve"> cost</w:t>
      </w:r>
      <w:r w:rsidR="00DE706A" w:rsidRPr="003F12F1">
        <w:rPr>
          <w:iCs/>
        </w:rPr>
        <w:t>s</w:t>
      </w:r>
      <w:r w:rsidRPr="003F12F1">
        <w:rPr>
          <w:iCs/>
        </w:rPr>
        <w:t xml:space="preserve"> would be higher.</w:t>
      </w:r>
      <w:r w:rsidR="00367840">
        <w:rPr>
          <w:iCs/>
        </w:rPr>
        <w:t xml:space="preserve"> </w:t>
      </w:r>
      <w:r w:rsidR="00367840" w:rsidRPr="008569E4">
        <w:rPr>
          <w:iCs/>
        </w:rPr>
        <w:t>The ESC noted that this could be addressed through a RSA</w:t>
      </w:r>
      <w:r w:rsidR="002B6A42">
        <w:rPr>
          <w:iCs/>
        </w:rPr>
        <w:t>.</w:t>
      </w:r>
    </w:p>
    <w:bookmarkEnd w:id="86"/>
    <w:p w14:paraId="7558D0B7" w14:textId="4ACEC8C6" w:rsidR="009745EA" w:rsidRPr="008569E4" w:rsidRDefault="009745EA" w:rsidP="00A12328">
      <w:pPr>
        <w:pStyle w:val="3-BodyText"/>
        <w:numPr>
          <w:ilvl w:val="1"/>
          <w:numId w:val="9"/>
        </w:numPr>
        <w:rPr>
          <w:iCs/>
        </w:rPr>
      </w:pPr>
      <w:r w:rsidRPr="003F12F1">
        <w:rPr>
          <w:iCs/>
        </w:rPr>
        <w:t>the exclusion of costs for additional targeted therapies such as ABCP (</w:t>
      </w:r>
      <w:r w:rsidRPr="003F12F1">
        <w:rPr>
          <w:rFonts w:cstheme="minorHAnsi"/>
          <w:iCs/>
        </w:rPr>
        <w:t xml:space="preserve">atezolizumab, bevacizumab in combination with platinum doublet chemotherapy) </w:t>
      </w:r>
      <w:r w:rsidRPr="003F12F1">
        <w:rPr>
          <w:iCs/>
        </w:rPr>
        <w:t xml:space="preserve">post progression for a proportion of patients on osimertinib </w:t>
      </w:r>
      <w:r w:rsidR="00AF06E1">
        <w:rPr>
          <w:iCs/>
        </w:rPr>
        <w:t>is</w:t>
      </w:r>
      <w:r w:rsidR="00AF06E1" w:rsidRPr="003F12F1">
        <w:rPr>
          <w:iCs/>
        </w:rPr>
        <w:t xml:space="preserve"> </w:t>
      </w:r>
      <w:r w:rsidRPr="003F12F1">
        <w:rPr>
          <w:iCs/>
        </w:rPr>
        <w:t>expected to underestimate the budget impact of the proposed listing.</w:t>
      </w:r>
      <w:r w:rsidR="004E3602">
        <w:rPr>
          <w:iCs/>
        </w:rPr>
        <w:t xml:space="preserve"> </w:t>
      </w:r>
      <w:r w:rsidR="004E3602" w:rsidRPr="008569E4">
        <w:rPr>
          <w:iCs/>
        </w:rPr>
        <w:t xml:space="preserve">The PSCR stated that </w:t>
      </w:r>
      <w:r w:rsidR="007360F0" w:rsidRPr="008569E4">
        <w:rPr>
          <w:iCs/>
        </w:rPr>
        <w:t xml:space="preserve">although ABCP is available on the PBS as first subsequent therapy after osimertinib, </w:t>
      </w:r>
      <w:r w:rsidR="002C0B7D" w:rsidRPr="008569E4">
        <w:rPr>
          <w:iCs/>
        </w:rPr>
        <w:t>the uptake is reasonably low; however, the PSCR did not provide</w:t>
      </w:r>
      <w:r w:rsidR="002D3E4A" w:rsidRPr="008569E4">
        <w:rPr>
          <w:iCs/>
        </w:rPr>
        <w:t xml:space="preserve"> the stated 10% sample</w:t>
      </w:r>
      <w:r w:rsidR="002C0B7D" w:rsidRPr="008569E4">
        <w:rPr>
          <w:iCs/>
        </w:rPr>
        <w:t xml:space="preserve"> PBS data to su</w:t>
      </w:r>
      <w:r w:rsidR="007F01E9" w:rsidRPr="008569E4">
        <w:rPr>
          <w:iCs/>
        </w:rPr>
        <w:t xml:space="preserve">pport this </w:t>
      </w:r>
      <w:r w:rsidR="002D3E4A" w:rsidRPr="008569E4">
        <w:rPr>
          <w:iCs/>
        </w:rPr>
        <w:t>claim</w:t>
      </w:r>
      <w:r w:rsidR="007F01E9" w:rsidRPr="008569E4">
        <w:rPr>
          <w:iCs/>
        </w:rPr>
        <w:t>, and</w:t>
      </w:r>
      <w:r w:rsidR="00221906" w:rsidRPr="008569E4">
        <w:rPr>
          <w:iCs/>
        </w:rPr>
        <w:t xml:space="preserve"> the ESC noted</w:t>
      </w:r>
      <w:r w:rsidR="007F01E9" w:rsidRPr="008569E4">
        <w:rPr>
          <w:iCs/>
        </w:rPr>
        <w:t xml:space="preserve"> </w:t>
      </w:r>
      <w:r w:rsidR="002213E8" w:rsidRPr="008569E4">
        <w:rPr>
          <w:iCs/>
        </w:rPr>
        <w:t>it is relevant to include the cost of ABCP in the financial estimates because it is an effective post-progression therapy</w:t>
      </w:r>
      <w:r w:rsidR="0044507A" w:rsidRPr="008569E4">
        <w:rPr>
          <w:iCs/>
        </w:rPr>
        <w:t xml:space="preserve"> used</w:t>
      </w:r>
      <w:r w:rsidR="002213E8" w:rsidRPr="008569E4">
        <w:rPr>
          <w:iCs/>
        </w:rPr>
        <w:t xml:space="preserve"> in Australia.</w:t>
      </w:r>
      <w:r w:rsidR="006642C5">
        <w:rPr>
          <w:iCs/>
        </w:rPr>
        <w:t xml:space="preserve"> The pre-PBAC response</w:t>
      </w:r>
      <w:r w:rsidR="00701909">
        <w:rPr>
          <w:iCs/>
        </w:rPr>
        <w:t xml:space="preserve"> provided alternative financial estimates that</w:t>
      </w:r>
      <w:r w:rsidR="006642C5">
        <w:rPr>
          <w:iCs/>
        </w:rPr>
        <w:t xml:space="preserve"> included costs </w:t>
      </w:r>
      <w:r w:rsidR="00111A42">
        <w:rPr>
          <w:iCs/>
        </w:rPr>
        <w:t xml:space="preserve">for the </w:t>
      </w:r>
      <w:r w:rsidR="00213972">
        <w:t xml:space="preserve">subsequent use of the ABCP regimen after progression on osimertinib, applying a </w:t>
      </w:r>
      <w:r w:rsidR="00B50819" w:rsidRPr="002B736C">
        <w:rPr>
          <w:color w:val="000000"/>
          <w:spacing w:val="6"/>
          <w:w w:val="61"/>
          <w:shd w:val="solid" w:color="000000" w:fill="000000"/>
          <w:fitText w:val="475" w:id="-628958720"/>
          <w14:textFill>
            <w14:solidFill>
              <w14:srgbClr w14:val="000000">
                <w14:alpha w14:val="100000"/>
              </w14:srgbClr>
            </w14:solidFill>
          </w14:textFill>
        </w:rPr>
        <w:t>|||</w:t>
      </w:r>
      <w:r w:rsidR="002B736C" w:rsidRPr="002B736C">
        <w:rPr>
          <w:color w:val="000000"/>
          <w:spacing w:val="6"/>
          <w:w w:val="61"/>
          <w:shd w:val="solid" w:color="000000" w:fill="000000"/>
          <w:fitText w:val="475" w:id="-628958720"/>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720"/>
          <w14:textFill>
            <w14:solidFill>
              <w14:srgbClr w14:val="000000">
                <w14:alpha w14:val="100000"/>
              </w14:srgbClr>
            </w14:solidFill>
          </w14:textFill>
        </w:rPr>
        <w:t>||</w:t>
      </w:r>
      <w:r w:rsidR="00B50819" w:rsidRPr="002B736C">
        <w:rPr>
          <w:color w:val="000000"/>
          <w:spacing w:val="3"/>
          <w:w w:val="61"/>
          <w:shd w:val="solid" w:color="000000" w:fill="000000"/>
          <w:fitText w:val="475" w:id="-628958720"/>
          <w14:textFill>
            <w14:solidFill>
              <w14:srgbClr w14:val="000000">
                <w14:alpha w14:val="100000"/>
              </w14:srgbClr>
            </w14:solidFill>
          </w14:textFill>
        </w:rPr>
        <w:t>|</w:t>
      </w:r>
      <w:r w:rsidR="00213972">
        <w:t>% uptake rate in line with</w:t>
      </w:r>
      <w:r w:rsidR="00A24285">
        <w:t xml:space="preserve"> the</w:t>
      </w:r>
      <w:r w:rsidR="00213972">
        <w:t xml:space="preserve"> </w:t>
      </w:r>
      <w:r w:rsidR="00687B95">
        <w:t xml:space="preserve">alternative </w:t>
      </w:r>
      <w:r w:rsidR="00C87A32">
        <w:t xml:space="preserve">economic </w:t>
      </w:r>
      <w:r w:rsidR="00687B95">
        <w:t xml:space="preserve">base case </w:t>
      </w:r>
      <w:r w:rsidR="00687B95" w:rsidRPr="00EF0B41">
        <w:t>(</w:t>
      </w:r>
      <w:r w:rsidR="00D14C67" w:rsidRPr="00EF0B41">
        <w:t>paragraph</w:t>
      </w:r>
      <w:r w:rsidR="00C206EE" w:rsidRPr="00EF0B41">
        <w:t xml:space="preserve"> </w:t>
      </w:r>
      <w:r w:rsidR="00C206EE" w:rsidRPr="00EF0B41">
        <w:fldChar w:fldCharType="begin"/>
      </w:r>
      <w:r w:rsidR="00C206EE" w:rsidRPr="00EF0B41">
        <w:instrText xml:space="preserve"> REF _Ref204353568 \r \h </w:instrText>
      </w:r>
      <w:r w:rsidR="00EF0B41">
        <w:instrText xml:space="preserve"> \* MERGEFORMAT </w:instrText>
      </w:r>
      <w:r w:rsidR="00C206EE" w:rsidRPr="00EF0B41">
        <w:fldChar w:fldCharType="separate"/>
      </w:r>
      <w:r w:rsidR="009F3D59">
        <w:t>6.56</w:t>
      </w:r>
      <w:r w:rsidR="00C206EE" w:rsidRPr="00EF0B41">
        <w:fldChar w:fldCharType="end"/>
      </w:r>
      <w:r w:rsidR="00687B95" w:rsidRPr="00EF0B41">
        <w:t>)</w:t>
      </w:r>
      <w:r w:rsidR="00D14C67" w:rsidRPr="00EF0B41">
        <w:t>.</w:t>
      </w:r>
      <w:r w:rsidR="00752D8A">
        <w:t xml:space="preserve"> This added a financial cost of approximately $</w:t>
      </w:r>
      <w:r w:rsidR="001A68CD">
        <w:t>0 to &lt; $10</w:t>
      </w:r>
      <w:r w:rsidR="000A6E40">
        <w:t xml:space="preserve"> million</w:t>
      </w:r>
      <w:r w:rsidR="00752D8A">
        <w:t xml:space="preserve"> over the first six years of listing.</w:t>
      </w:r>
    </w:p>
    <w:p w14:paraId="0ED30789" w14:textId="28BA3212" w:rsidR="001B295C" w:rsidRDefault="00694DD9" w:rsidP="00A12328">
      <w:pPr>
        <w:pStyle w:val="3-BodyText"/>
      </w:pPr>
      <w:r>
        <w:fldChar w:fldCharType="begin"/>
      </w:r>
      <w:r>
        <w:instrText xml:space="preserve"> REF _Ref201152498 \h </w:instrText>
      </w:r>
      <w:r>
        <w:fldChar w:fldCharType="separate"/>
      </w:r>
      <w:r w:rsidR="009F3D59">
        <w:t xml:space="preserve">Table </w:t>
      </w:r>
      <w:r w:rsidR="009F3D59">
        <w:rPr>
          <w:noProof/>
        </w:rPr>
        <w:t>20</w:t>
      </w:r>
      <w:r>
        <w:fldChar w:fldCharType="end"/>
      </w:r>
      <w:r w:rsidR="001A5371">
        <w:t xml:space="preserve"> shows sensitivity analyses</w:t>
      </w:r>
      <w:r w:rsidR="00154D41">
        <w:t xml:space="preserve"> performed during the evaluation</w:t>
      </w:r>
      <w:r w:rsidR="001A5371">
        <w:t xml:space="preserve"> for the financial impact of osimertinib in the </w:t>
      </w:r>
      <w:r w:rsidR="00815752">
        <w:t>unresectable locally advanced (Stage III)</w:t>
      </w:r>
      <w:r>
        <w:t xml:space="preserve"> setting.</w:t>
      </w:r>
    </w:p>
    <w:p w14:paraId="5D553861" w14:textId="3E00F620" w:rsidR="00630437" w:rsidRPr="0032524D" w:rsidRDefault="001B295C" w:rsidP="00A12328">
      <w:pPr>
        <w:pStyle w:val="Caption"/>
      </w:pPr>
      <w:bookmarkStart w:id="87" w:name="_Ref201152498"/>
      <w:r>
        <w:t xml:space="preserve">Table </w:t>
      </w:r>
      <w:r w:rsidR="002E1944">
        <w:fldChar w:fldCharType="begin"/>
      </w:r>
      <w:r w:rsidR="002E1944">
        <w:instrText xml:space="preserve"> SEQ Table \* ARABIC </w:instrText>
      </w:r>
      <w:r w:rsidR="002E1944">
        <w:fldChar w:fldCharType="separate"/>
      </w:r>
      <w:r w:rsidR="009F3D59">
        <w:rPr>
          <w:noProof/>
        </w:rPr>
        <w:t>20</w:t>
      </w:r>
      <w:r w:rsidR="002E1944">
        <w:rPr>
          <w:noProof/>
        </w:rPr>
        <w:fldChar w:fldCharType="end"/>
      </w:r>
      <w:bookmarkEnd w:id="87"/>
      <w:r>
        <w:t xml:space="preserve">: </w:t>
      </w:r>
      <w:r w:rsidR="00630437" w:rsidRPr="0032524D">
        <w:t xml:space="preserve">Financial impacts to the </w:t>
      </w:r>
      <w:r w:rsidR="00630437">
        <w:t>PBS/RPBS</w:t>
      </w:r>
      <w:r w:rsidR="00630437" w:rsidRPr="0032524D">
        <w:t xml:space="preserve"> for sensitivity analyses </w:t>
      </w:r>
      <w:r w:rsidR="00630437">
        <w:t>– effective prices</w:t>
      </w:r>
    </w:p>
    <w:tbl>
      <w:tblPr>
        <w:tblW w:w="8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Caption w:val="Table 20: Financial impacts to the PBS/RPBS for sensitivity analyses – effective prices"/>
      </w:tblPr>
      <w:tblGrid>
        <w:gridCol w:w="1413"/>
        <w:gridCol w:w="895"/>
        <w:gridCol w:w="895"/>
        <w:gridCol w:w="896"/>
        <w:gridCol w:w="895"/>
        <w:gridCol w:w="895"/>
        <w:gridCol w:w="896"/>
        <w:gridCol w:w="1007"/>
        <w:gridCol w:w="784"/>
      </w:tblGrid>
      <w:tr w:rsidR="00630437" w:rsidRPr="00015190" w14:paraId="010B2AAD" w14:textId="77777777" w:rsidTr="00FC23C0">
        <w:trPr>
          <w:tblHeader/>
        </w:trPr>
        <w:tc>
          <w:tcPr>
            <w:tcW w:w="1413" w:type="dxa"/>
            <w:shd w:val="clear" w:color="auto" w:fill="FFFFFF" w:themeFill="background1"/>
            <w:vAlign w:val="center"/>
          </w:tcPr>
          <w:p w14:paraId="2960CC50" w14:textId="77777777" w:rsidR="00630437" w:rsidRPr="00015190" w:rsidRDefault="00630437" w:rsidP="00A12328">
            <w:pPr>
              <w:pStyle w:val="TableHeadingRow"/>
              <w:keepLines/>
              <w:jc w:val="left"/>
              <w:rPr>
                <w:rFonts w:ascii="Arial Narrow" w:hAnsi="Arial Narrow"/>
              </w:rPr>
            </w:pPr>
            <w:r w:rsidRPr="00015190">
              <w:rPr>
                <w:rFonts w:ascii="Arial Narrow" w:hAnsi="Arial Narrow"/>
              </w:rPr>
              <w:t>Sensitivity analysis assumptions</w:t>
            </w:r>
          </w:p>
        </w:tc>
        <w:tc>
          <w:tcPr>
            <w:tcW w:w="895" w:type="dxa"/>
            <w:shd w:val="clear" w:color="auto" w:fill="FFFFFF" w:themeFill="background1"/>
            <w:hideMark/>
          </w:tcPr>
          <w:p w14:paraId="018AE232" w14:textId="77777777" w:rsidR="00630437" w:rsidRPr="00015190" w:rsidRDefault="00630437" w:rsidP="00A12328">
            <w:pPr>
              <w:pStyle w:val="TableText0"/>
              <w:keepLines/>
              <w:jc w:val="center"/>
              <w:rPr>
                <w:b/>
                <w:szCs w:val="20"/>
                <w:lang w:eastAsia="zh-CN"/>
              </w:rPr>
            </w:pPr>
            <w:r w:rsidRPr="00015190">
              <w:rPr>
                <w:b/>
                <w:szCs w:val="20"/>
                <w:lang w:eastAsia="zh-CN"/>
              </w:rPr>
              <w:t>Year 1</w:t>
            </w:r>
          </w:p>
          <w:p w14:paraId="4814566E" w14:textId="77777777" w:rsidR="00630437" w:rsidRPr="00015190" w:rsidRDefault="00630437" w:rsidP="00A12328">
            <w:pPr>
              <w:pStyle w:val="TableText1"/>
              <w:keepNext/>
              <w:keepLines/>
              <w:jc w:val="center"/>
              <w:rPr>
                <w:rFonts w:ascii="Arial Narrow" w:hAnsi="Arial Narrow"/>
                <w:b/>
              </w:rPr>
            </w:pPr>
            <w:r w:rsidRPr="00015190">
              <w:rPr>
                <w:rFonts w:ascii="Arial Narrow" w:hAnsi="Arial Narrow"/>
                <w:b/>
              </w:rPr>
              <w:t>2026</w:t>
            </w:r>
          </w:p>
        </w:tc>
        <w:tc>
          <w:tcPr>
            <w:tcW w:w="895" w:type="dxa"/>
            <w:shd w:val="clear" w:color="auto" w:fill="FFFFFF" w:themeFill="background1"/>
            <w:hideMark/>
          </w:tcPr>
          <w:p w14:paraId="4F4491A1" w14:textId="77777777" w:rsidR="00630437" w:rsidRPr="00015190" w:rsidRDefault="00630437" w:rsidP="00A12328">
            <w:pPr>
              <w:pStyle w:val="TableText0"/>
              <w:keepLines/>
              <w:jc w:val="center"/>
              <w:rPr>
                <w:b/>
                <w:szCs w:val="20"/>
                <w:lang w:eastAsia="zh-CN"/>
              </w:rPr>
            </w:pPr>
            <w:r w:rsidRPr="00015190">
              <w:rPr>
                <w:b/>
                <w:szCs w:val="20"/>
                <w:lang w:eastAsia="zh-CN"/>
              </w:rPr>
              <w:t>Year 2</w:t>
            </w:r>
          </w:p>
          <w:p w14:paraId="1493A05D" w14:textId="77777777" w:rsidR="00630437" w:rsidRPr="00015190" w:rsidRDefault="00630437" w:rsidP="00A12328">
            <w:pPr>
              <w:pStyle w:val="TableText1"/>
              <w:keepNext/>
              <w:keepLines/>
              <w:jc w:val="center"/>
              <w:rPr>
                <w:rFonts w:ascii="Arial Narrow" w:hAnsi="Arial Narrow"/>
                <w:b/>
              </w:rPr>
            </w:pPr>
            <w:r w:rsidRPr="00015190">
              <w:rPr>
                <w:rFonts w:ascii="Arial Narrow" w:hAnsi="Arial Narrow"/>
                <w:b/>
              </w:rPr>
              <w:t>2027</w:t>
            </w:r>
          </w:p>
        </w:tc>
        <w:tc>
          <w:tcPr>
            <w:tcW w:w="896" w:type="dxa"/>
            <w:shd w:val="clear" w:color="auto" w:fill="FFFFFF" w:themeFill="background1"/>
            <w:hideMark/>
          </w:tcPr>
          <w:p w14:paraId="7E7BBF36" w14:textId="77777777" w:rsidR="00630437" w:rsidRPr="00015190" w:rsidRDefault="00630437" w:rsidP="00A12328">
            <w:pPr>
              <w:pStyle w:val="TableText0"/>
              <w:keepLines/>
              <w:jc w:val="center"/>
              <w:rPr>
                <w:b/>
                <w:szCs w:val="20"/>
                <w:lang w:eastAsia="zh-CN"/>
              </w:rPr>
            </w:pPr>
            <w:r w:rsidRPr="00015190">
              <w:rPr>
                <w:b/>
                <w:szCs w:val="20"/>
                <w:lang w:eastAsia="zh-CN"/>
              </w:rPr>
              <w:t>Year 3</w:t>
            </w:r>
          </w:p>
          <w:p w14:paraId="6C6379FE" w14:textId="77777777" w:rsidR="00630437" w:rsidRPr="00015190" w:rsidRDefault="00630437" w:rsidP="00A12328">
            <w:pPr>
              <w:pStyle w:val="TableText1"/>
              <w:keepNext/>
              <w:keepLines/>
              <w:jc w:val="center"/>
              <w:rPr>
                <w:rFonts w:ascii="Arial Narrow" w:hAnsi="Arial Narrow"/>
                <w:b/>
              </w:rPr>
            </w:pPr>
            <w:r w:rsidRPr="00015190">
              <w:rPr>
                <w:rFonts w:ascii="Arial Narrow" w:hAnsi="Arial Narrow"/>
                <w:b/>
              </w:rPr>
              <w:t>2028</w:t>
            </w:r>
          </w:p>
        </w:tc>
        <w:tc>
          <w:tcPr>
            <w:tcW w:w="895" w:type="dxa"/>
            <w:shd w:val="clear" w:color="auto" w:fill="FFFFFF" w:themeFill="background1"/>
            <w:hideMark/>
          </w:tcPr>
          <w:p w14:paraId="3F4BFD62" w14:textId="77777777" w:rsidR="00630437" w:rsidRPr="00015190" w:rsidRDefault="00630437" w:rsidP="00A12328">
            <w:pPr>
              <w:pStyle w:val="TableText0"/>
              <w:keepLines/>
              <w:jc w:val="center"/>
              <w:rPr>
                <w:b/>
                <w:szCs w:val="20"/>
                <w:lang w:eastAsia="zh-CN"/>
              </w:rPr>
            </w:pPr>
            <w:r w:rsidRPr="00015190">
              <w:rPr>
                <w:b/>
                <w:szCs w:val="20"/>
                <w:lang w:eastAsia="zh-CN"/>
              </w:rPr>
              <w:t>Year 4</w:t>
            </w:r>
          </w:p>
          <w:p w14:paraId="61447908" w14:textId="77777777" w:rsidR="00630437" w:rsidRPr="00015190" w:rsidRDefault="00630437" w:rsidP="00A12328">
            <w:pPr>
              <w:pStyle w:val="TableText1"/>
              <w:keepNext/>
              <w:keepLines/>
              <w:jc w:val="center"/>
              <w:rPr>
                <w:rFonts w:ascii="Arial Narrow" w:hAnsi="Arial Narrow"/>
                <w:b/>
              </w:rPr>
            </w:pPr>
            <w:r w:rsidRPr="00015190">
              <w:rPr>
                <w:rFonts w:ascii="Arial Narrow" w:hAnsi="Arial Narrow"/>
                <w:b/>
              </w:rPr>
              <w:t>2029</w:t>
            </w:r>
          </w:p>
        </w:tc>
        <w:tc>
          <w:tcPr>
            <w:tcW w:w="895" w:type="dxa"/>
            <w:shd w:val="clear" w:color="auto" w:fill="FFFFFF" w:themeFill="background1"/>
            <w:hideMark/>
          </w:tcPr>
          <w:p w14:paraId="1AE41F58" w14:textId="77777777" w:rsidR="00630437" w:rsidRPr="00015190" w:rsidRDefault="00630437" w:rsidP="00A12328">
            <w:pPr>
              <w:pStyle w:val="TableText0"/>
              <w:keepLines/>
              <w:jc w:val="center"/>
              <w:rPr>
                <w:b/>
                <w:szCs w:val="20"/>
                <w:lang w:eastAsia="zh-CN"/>
              </w:rPr>
            </w:pPr>
            <w:r w:rsidRPr="00015190">
              <w:rPr>
                <w:b/>
                <w:szCs w:val="20"/>
                <w:lang w:eastAsia="zh-CN"/>
              </w:rPr>
              <w:t>Year 5</w:t>
            </w:r>
          </w:p>
          <w:p w14:paraId="3C933AFA" w14:textId="77777777" w:rsidR="00630437" w:rsidRPr="00015190" w:rsidRDefault="00630437" w:rsidP="00A12328">
            <w:pPr>
              <w:pStyle w:val="TableText1"/>
              <w:keepNext/>
              <w:keepLines/>
              <w:jc w:val="center"/>
              <w:rPr>
                <w:rFonts w:ascii="Arial Narrow" w:hAnsi="Arial Narrow"/>
                <w:b/>
              </w:rPr>
            </w:pPr>
            <w:r w:rsidRPr="00015190">
              <w:rPr>
                <w:rFonts w:ascii="Arial Narrow" w:hAnsi="Arial Narrow"/>
                <w:b/>
              </w:rPr>
              <w:t>2030</w:t>
            </w:r>
          </w:p>
        </w:tc>
        <w:tc>
          <w:tcPr>
            <w:tcW w:w="896" w:type="dxa"/>
            <w:shd w:val="clear" w:color="auto" w:fill="FFFFFF" w:themeFill="background1"/>
            <w:hideMark/>
          </w:tcPr>
          <w:p w14:paraId="774A51A6" w14:textId="77777777" w:rsidR="00630437" w:rsidRPr="00015190" w:rsidRDefault="00630437" w:rsidP="00A12328">
            <w:pPr>
              <w:pStyle w:val="TableText0"/>
              <w:keepLines/>
              <w:jc w:val="center"/>
              <w:rPr>
                <w:b/>
                <w:szCs w:val="20"/>
                <w:lang w:eastAsia="zh-CN"/>
              </w:rPr>
            </w:pPr>
            <w:r w:rsidRPr="00015190">
              <w:rPr>
                <w:b/>
                <w:szCs w:val="20"/>
                <w:lang w:eastAsia="zh-CN"/>
              </w:rPr>
              <w:t>Year 6</w:t>
            </w:r>
          </w:p>
          <w:p w14:paraId="792B3C6C" w14:textId="77777777" w:rsidR="00630437" w:rsidRPr="00015190" w:rsidRDefault="00630437" w:rsidP="00A12328">
            <w:pPr>
              <w:pStyle w:val="TableText1"/>
              <w:keepNext/>
              <w:keepLines/>
              <w:jc w:val="center"/>
              <w:rPr>
                <w:rFonts w:ascii="Arial Narrow" w:hAnsi="Arial Narrow"/>
                <w:b/>
              </w:rPr>
            </w:pPr>
            <w:r w:rsidRPr="00015190">
              <w:rPr>
                <w:rFonts w:ascii="Arial Narrow" w:hAnsi="Arial Narrow"/>
                <w:b/>
              </w:rPr>
              <w:t>2031</w:t>
            </w:r>
          </w:p>
        </w:tc>
        <w:tc>
          <w:tcPr>
            <w:tcW w:w="1007" w:type="dxa"/>
            <w:shd w:val="clear" w:color="auto" w:fill="FFFFFF" w:themeFill="background1"/>
          </w:tcPr>
          <w:p w14:paraId="0AB9E377" w14:textId="77777777" w:rsidR="00630437" w:rsidRPr="00015190" w:rsidRDefault="00630437" w:rsidP="00A12328">
            <w:pPr>
              <w:pStyle w:val="TableText0"/>
              <w:keepLines/>
              <w:jc w:val="center"/>
              <w:rPr>
                <w:b/>
                <w:szCs w:val="20"/>
                <w:lang w:eastAsia="zh-CN"/>
              </w:rPr>
            </w:pPr>
            <w:r w:rsidRPr="00015190">
              <w:rPr>
                <w:b/>
                <w:szCs w:val="20"/>
                <w:lang w:eastAsia="zh-CN"/>
              </w:rPr>
              <w:t>First 6 years</w:t>
            </w:r>
          </w:p>
        </w:tc>
        <w:tc>
          <w:tcPr>
            <w:tcW w:w="784" w:type="dxa"/>
            <w:shd w:val="clear" w:color="auto" w:fill="FFFFFF" w:themeFill="background1"/>
          </w:tcPr>
          <w:p w14:paraId="1857F2D2" w14:textId="77777777" w:rsidR="00630437" w:rsidRPr="00015190" w:rsidRDefault="00630437" w:rsidP="00A12328">
            <w:pPr>
              <w:pStyle w:val="TableText0"/>
              <w:keepLines/>
              <w:jc w:val="center"/>
              <w:rPr>
                <w:b/>
                <w:szCs w:val="20"/>
                <w:lang w:eastAsia="zh-CN"/>
              </w:rPr>
            </w:pPr>
            <w:r w:rsidRPr="00015190">
              <w:rPr>
                <w:b/>
                <w:szCs w:val="20"/>
                <w:lang w:eastAsia="zh-CN"/>
              </w:rPr>
              <w:t>% change</w:t>
            </w:r>
          </w:p>
        </w:tc>
      </w:tr>
      <w:tr w:rsidR="0013302B" w:rsidRPr="00015190" w14:paraId="2EE15356" w14:textId="77777777" w:rsidTr="00FC23C0">
        <w:tc>
          <w:tcPr>
            <w:tcW w:w="1413" w:type="dxa"/>
            <w:shd w:val="clear" w:color="auto" w:fill="FFFFFF" w:themeFill="background1"/>
            <w:vAlign w:val="center"/>
            <w:hideMark/>
          </w:tcPr>
          <w:p w14:paraId="2470CDCC" w14:textId="77777777" w:rsidR="00630437" w:rsidRPr="00015190" w:rsidRDefault="00630437" w:rsidP="00A12328">
            <w:pPr>
              <w:pStyle w:val="TableHeadingRow"/>
              <w:keepLines/>
              <w:jc w:val="left"/>
              <w:rPr>
                <w:rFonts w:ascii="Arial Narrow" w:hAnsi="Arial Narrow"/>
                <w:bCs/>
              </w:rPr>
            </w:pPr>
            <w:r w:rsidRPr="00015190">
              <w:rPr>
                <w:rFonts w:ascii="Arial Narrow" w:hAnsi="Arial Narrow"/>
              </w:rPr>
              <w:t>Base case</w:t>
            </w:r>
            <w:r w:rsidRPr="00015190">
              <w:rPr>
                <w:rFonts w:ascii="Arial Narrow" w:hAnsi="Arial Narrow"/>
                <w:bCs/>
              </w:rPr>
              <w:t xml:space="preserve"> </w:t>
            </w:r>
          </w:p>
        </w:tc>
        <w:tc>
          <w:tcPr>
            <w:tcW w:w="895" w:type="dxa"/>
            <w:vAlign w:val="center"/>
          </w:tcPr>
          <w:p w14:paraId="02F72117" w14:textId="67112198" w:rsidR="005407CA" w:rsidRDefault="00630437" w:rsidP="00A12328">
            <w:pPr>
              <w:pStyle w:val="TableText1"/>
              <w:keepNext/>
              <w:keepLines/>
              <w:jc w:val="center"/>
              <w:rPr>
                <w:rFonts w:ascii="Arial Narrow" w:hAnsi="Arial Narrow"/>
                <w:b/>
                <w:sz w:val="18"/>
                <w:szCs w:val="18"/>
              </w:rPr>
            </w:pPr>
            <w:r w:rsidRPr="00015190">
              <w:rPr>
                <w:rFonts w:ascii="Arial Narrow" w:hAnsi="Arial Narrow"/>
                <w:b/>
                <w:sz w:val="18"/>
                <w:szCs w:val="18"/>
              </w:rPr>
              <w:t>$</w:t>
            </w:r>
            <w:r w:rsidR="00B50819" w:rsidRPr="00B50819">
              <w:rPr>
                <w:rFonts w:ascii="Arial Narrow" w:hAnsi="Arial Narrow"/>
                <w:b/>
                <w:color w:val="000000"/>
                <w:spacing w:val="49"/>
                <w:sz w:val="18"/>
                <w:szCs w:val="18"/>
                <w:shd w:val="solid" w:color="000000" w:fill="000000"/>
                <w:fitText w:val="315" w:id="-628958719"/>
                <w14:textFill>
                  <w14:solidFill>
                    <w14:srgbClr w14:val="000000">
                      <w14:alpha w14:val="100000"/>
                    </w14:srgbClr>
                  </w14:solidFill>
                </w14:textFill>
              </w:rPr>
              <w:t>|||</w:t>
            </w:r>
            <w:r w:rsidR="00B50819" w:rsidRPr="00B50819">
              <w:rPr>
                <w:rFonts w:ascii="Arial Narrow" w:hAnsi="Arial Narrow"/>
                <w:b/>
                <w:color w:val="000000"/>
                <w:spacing w:val="3"/>
                <w:sz w:val="18"/>
                <w:szCs w:val="18"/>
                <w:shd w:val="solid" w:color="000000" w:fill="000000"/>
                <w:fitText w:val="315" w:id="-628958719"/>
                <w14:textFill>
                  <w14:solidFill>
                    <w14:srgbClr w14:val="000000">
                      <w14:alpha w14:val="100000"/>
                    </w14:srgbClr>
                  </w14:solidFill>
                </w14:textFill>
              </w:rPr>
              <w:t>|</w:t>
            </w:r>
          </w:p>
          <w:p w14:paraId="1693BF43" w14:textId="0013642F" w:rsidR="00630437" w:rsidRPr="00015190" w:rsidRDefault="002C2DD7" w:rsidP="00A12328">
            <w:pPr>
              <w:pStyle w:val="TableText1"/>
              <w:keepNext/>
              <w:keepLines/>
              <w:jc w:val="center"/>
              <w:rPr>
                <w:rFonts w:ascii="Arial Narrow" w:hAnsi="Arial Narrow"/>
                <w:sz w:val="18"/>
                <w:szCs w:val="18"/>
                <w:highlight w:val="yellow"/>
              </w:rPr>
            </w:pPr>
            <w:r w:rsidRPr="002C2DD7">
              <w:rPr>
                <w:rFonts w:ascii="Arial Narrow" w:hAnsi="Arial Narrow"/>
                <w:color w:val="333333"/>
                <w:vertAlign w:val="superscript"/>
              </w:rPr>
              <w:t>1</w:t>
            </w:r>
          </w:p>
        </w:tc>
        <w:tc>
          <w:tcPr>
            <w:tcW w:w="895" w:type="dxa"/>
            <w:vAlign w:val="center"/>
          </w:tcPr>
          <w:p w14:paraId="3D1D3C81" w14:textId="73A44F81" w:rsidR="00630437" w:rsidRPr="00015190" w:rsidRDefault="00630437" w:rsidP="00A12328">
            <w:pPr>
              <w:pStyle w:val="TableText1"/>
              <w:keepNext/>
              <w:keepLines/>
              <w:jc w:val="center"/>
              <w:rPr>
                <w:rFonts w:ascii="Arial Narrow" w:hAnsi="Arial Narrow"/>
                <w:sz w:val="18"/>
                <w:szCs w:val="18"/>
                <w:highlight w:val="yellow"/>
              </w:rPr>
            </w:pPr>
            <w:r w:rsidRPr="00015190">
              <w:rPr>
                <w:rFonts w:ascii="Arial Narrow" w:hAnsi="Arial Narrow" w:cs="Arial"/>
                <w:b/>
                <w:bCs w:val="0"/>
                <w:color w:val="000000"/>
                <w:sz w:val="18"/>
                <w:szCs w:val="18"/>
              </w:rPr>
              <w:t>$</w:t>
            </w:r>
            <w:r w:rsidR="00B50819" w:rsidRPr="00B50819">
              <w:rPr>
                <w:rFonts w:ascii="Arial Narrow" w:hAnsi="Arial Narrow" w:cs="Arial"/>
                <w:b/>
                <w:bCs w:val="0"/>
                <w:color w:val="000000"/>
                <w:spacing w:val="49"/>
                <w:sz w:val="18"/>
                <w:szCs w:val="18"/>
                <w:shd w:val="solid" w:color="000000" w:fill="000000"/>
                <w:fitText w:val="315" w:id="-628958718"/>
                <w14:textFill>
                  <w14:solidFill>
                    <w14:srgbClr w14:val="000000">
                      <w14:alpha w14:val="100000"/>
                    </w14:srgbClr>
                  </w14:solidFill>
                </w14:textFill>
              </w:rPr>
              <w:t>|||</w:t>
            </w:r>
            <w:r w:rsidR="00B50819" w:rsidRPr="00B50819">
              <w:rPr>
                <w:rFonts w:ascii="Arial Narrow" w:hAnsi="Arial Narrow" w:cs="Arial"/>
                <w:b/>
                <w:bCs w:val="0"/>
                <w:color w:val="000000"/>
                <w:spacing w:val="3"/>
                <w:sz w:val="18"/>
                <w:szCs w:val="18"/>
                <w:shd w:val="solid" w:color="000000" w:fill="000000"/>
                <w:fitText w:val="315" w:id="-628958718"/>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6" w:type="dxa"/>
            <w:vAlign w:val="center"/>
          </w:tcPr>
          <w:p w14:paraId="25A6E3D0" w14:textId="7F923E47" w:rsidR="00630437" w:rsidRPr="00015190" w:rsidRDefault="00630437" w:rsidP="00A12328">
            <w:pPr>
              <w:pStyle w:val="TableText1"/>
              <w:keepNext/>
              <w:keepLines/>
              <w:jc w:val="center"/>
              <w:rPr>
                <w:rFonts w:ascii="Arial Narrow" w:hAnsi="Arial Narrow"/>
                <w:sz w:val="18"/>
                <w:szCs w:val="18"/>
                <w:highlight w:val="yellow"/>
              </w:rPr>
            </w:pPr>
            <w:r w:rsidRPr="00015190">
              <w:rPr>
                <w:rFonts w:ascii="Arial Narrow" w:hAnsi="Arial Narrow" w:cs="Arial"/>
                <w:b/>
                <w:bCs w:val="0"/>
                <w:color w:val="000000"/>
                <w:sz w:val="18"/>
                <w:szCs w:val="18"/>
              </w:rPr>
              <w:t>$</w:t>
            </w:r>
            <w:r w:rsidR="00B50819" w:rsidRPr="00B50819">
              <w:rPr>
                <w:rFonts w:ascii="Arial Narrow" w:hAnsi="Arial Narrow" w:cs="Arial"/>
                <w:b/>
                <w:bCs w:val="0"/>
                <w:color w:val="000000"/>
                <w:spacing w:val="49"/>
                <w:sz w:val="18"/>
                <w:szCs w:val="18"/>
                <w:shd w:val="solid" w:color="000000" w:fill="000000"/>
                <w:fitText w:val="315" w:id="-628958717"/>
                <w14:textFill>
                  <w14:solidFill>
                    <w14:srgbClr w14:val="000000">
                      <w14:alpha w14:val="100000"/>
                    </w14:srgbClr>
                  </w14:solidFill>
                </w14:textFill>
              </w:rPr>
              <w:t>|||</w:t>
            </w:r>
            <w:r w:rsidR="00B50819" w:rsidRPr="00B50819">
              <w:rPr>
                <w:rFonts w:ascii="Arial Narrow" w:hAnsi="Arial Narrow" w:cs="Arial"/>
                <w:b/>
                <w:bCs w:val="0"/>
                <w:color w:val="000000"/>
                <w:spacing w:val="3"/>
                <w:sz w:val="18"/>
                <w:szCs w:val="18"/>
                <w:shd w:val="solid" w:color="000000" w:fill="000000"/>
                <w:fitText w:val="315" w:id="-628958717"/>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5" w:type="dxa"/>
            <w:vAlign w:val="center"/>
          </w:tcPr>
          <w:p w14:paraId="0E7E748A" w14:textId="32020E50" w:rsidR="00630437" w:rsidRPr="00015190" w:rsidRDefault="00630437" w:rsidP="00A12328">
            <w:pPr>
              <w:pStyle w:val="TableText1"/>
              <w:keepNext/>
              <w:keepLines/>
              <w:jc w:val="center"/>
              <w:rPr>
                <w:rFonts w:ascii="Arial Narrow" w:hAnsi="Arial Narrow"/>
                <w:sz w:val="18"/>
                <w:szCs w:val="18"/>
                <w:highlight w:val="yellow"/>
              </w:rPr>
            </w:pPr>
            <w:r w:rsidRPr="00015190">
              <w:rPr>
                <w:rFonts w:ascii="Arial Narrow" w:hAnsi="Arial Narrow" w:cs="Arial"/>
                <w:b/>
                <w:bCs w:val="0"/>
                <w:sz w:val="18"/>
                <w:szCs w:val="18"/>
              </w:rPr>
              <w:t>$</w:t>
            </w:r>
            <w:r w:rsidR="00B50819" w:rsidRPr="00B50819">
              <w:rPr>
                <w:rFonts w:ascii="Arial Narrow" w:hAnsi="Arial Narrow" w:cs="Arial"/>
                <w:b/>
                <w:bCs w:val="0"/>
                <w:color w:val="000000"/>
                <w:spacing w:val="49"/>
                <w:sz w:val="18"/>
                <w:szCs w:val="18"/>
                <w:shd w:val="solid" w:color="000000" w:fill="000000"/>
                <w:fitText w:val="315" w:id="-628958716"/>
                <w14:textFill>
                  <w14:solidFill>
                    <w14:srgbClr w14:val="000000">
                      <w14:alpha w14:val="100000"/>
                    </w14:srgbClr>
                  </w14:solidFill>
                </w14:textFill>
              </w:rPr>
              <w:t>|||</w:t>
            </w:r>
            <w:r w:rsidR="00B50819" w:rsidRPr="00B50819">
              <w:rPr>
                <w:rFonts w:ascii="Arial Narrow" w:hAnsi="Arial Narrow" w:cs="Arial"/>
                <w:b/>
                <w:bCs w:val="0"/>
                <w:color w:val="000000"/>
                <w:spacing w:val="3"/>
                <w:sz w:val="18"/>
                <w:szCs w:val="18"/>
                <w:shd w:val="solid" w:color="000000" w:fill="000000"/>
                <w:fitText w:val="315" w:id="-628958716"/>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5" w:type="dxa"/>
            <w:vAlign w:val="center"/>
          </w:tcPr>
          <w:p w14:paraId="24497AAC" w14:textId="5192997B" w:rsidR="00630437" w:rsidRPr="00015190" w:rsidRDefault="00630437" w:rsidP="00A12328">
            <w:pPr>
              <w:pStyle w:val="TableText1"/>
              <w:keepNext/>
              <w:keepLines/>
              <w:jc w:val="center"/>
              <w:rPr>
                <w:rFonts w:ascii="Arial Narrow" w:hAnsi="Arial Narrow"/>
                <w:sz w:val="18"/>
                <w:szCs w:val="18"/>
                <w:highlight w:val="yellow"/>
              </w:rPr>
            </w:pPr>
            <w:r w:rsidRPr="00015190">
              <w:rPr>
                <w:rFonts w:ascii="Arial Narrow" w:hAnsi="Arial Narrow" w:cs="Arial"/>
                <w:b/>
                <w:bCs w:val="0"/>
                <w:sz w:val="18"/>
                <w:szCs w:val="18"/>
              </w:rPr>
              <w:t>$</w:t>
            </w:r>
            <w:r w:rsidR="00B50819" w:rsidRPr="00B50819">
              <w:rPr>
                <w:rFonts w:ascii="Arial Narrow" w:hAnsi="Arial Narrow" w:cs="Arial"/>
                <w:b/>
                <w:bCs w:val="0"/>
                <w:color w:val="000000"/>
                <w:spacing w:val="49"/>
                <w:sz w:val="18"/>
                <w:szCs w:val="18"/>
                <w:shd w:val="solid" w:color="000000" w:fill="000000"/>
                <w:fitText w:val="315" w:id="-628958715"/>
                <w14:textFill>
                  <w14:solidFill>
                    <w14:srgbClr w14:val="000000">
                      <w14:alpha w14:val="100000"/>
                    </w14:srgbClr>
                  </w14:solidFill>
                </w14:textFill>
              </w:rPr>
              <w:t>|||</w:t>
            </w:r>
            <w:r w:rsidR="00B50819" w:rsidRPr="00B50819">
              <w:rPr>
                <w:rFonts w:ascii="Arial Narrow" w:hAnsi="Arial Narrow" w:cs="Arial"/>
                <w:b/>
                <w:bCs w:val="0"/>
                <w:color w:val="000000"/>
                <w:spacing w:val="3"/>
                <w:sz w:val="18"/>
                <w:szCs w:val="18"/>
                <w:shd w:val="solid" w:color="000000" w:fill="000000"/>
                <w:fitText w:val="315" w:id="-628958715"/>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6" w:type="dxa"/>
            <w:vAlign w:val="center"/>
          </w:tcPr>
          <w:p w14:paraId="31F3D63A" w14:textId="405D0B76" w:rsidR="00630437" w:rsidRPr="00015190" w:rsidRDefault="00630437" w:rsidP="00A12328">
            <w:pPr>
              <w:pStyle w:val="TableText1"/>
              <w:keepNext/>
              <w:keepLines/>
              <w:jc w:val="center"/>
              <w:rPr>
                <w:rFonts w:ascii="Arial Narrow" w:hAnsi="Arial Narrow"/>
                <w:sz w:val="18"/>
                <w:szCs w:val="18"/>
                <w:highlight w:val="yellow"/>
              </w:rPr>
            </w:pPr>
            <w:r w:rsidRPr="00015190">
              <w:rPr>
                <w:rFonts w:ascii="Arial Narrow" w:hAnsi="Arial Narrow" w:cs="Arial"/>
                <w:b/>
                <w:bCs w:val="0"/>
                <w:color w:val="000000"/>
                <w:sz w:val="18"/>
                <w:szCs w:val="18"/>
              </w:rPr>
              <w:t>$</w:t>
            </w:r>
            <w:r w:rsidR="00B50819" w:rsidRPr="00B50819">
              <w:rPr>
                <w:rFonts w:ascii="Arial Narrow" w:hAnsi="Arial Narrow" w:cs="Arial"/>
                <w:b/>
                <w:bCs w:val="0"/>
                <w:color w:val="000000"/>
                <w:spacing w:val="49"/>
                <w:sz w:val="18"/>
                <w:szCs w:val="18"/>
                <w:shd w:val="solid" w:color="000000" w:fill="000000"/>
                <w:fitText w:val="315" w:id="-628958714"/>
                <w14:textFill>
                  <w14:solidFill>
                    <w14:srgbClr w14:val="000000">
                      <w14:alpha w14:val="100000"/>
                    </w14:srgbClr>
                  </w14:solidFill>
                </w14:textFill>
              </w:rPr>
              <w:t>|||</w:t>
            </w:r>
            <w:r w:rsidR="00B50819" w:rsidRPr="00B50819">
              <w:rPr>
                <w:rFonts w:ascii="Arial Narrow" w:hAnsi="Arial Narrow" w:cs="Arial"/>
                <w:b/>
                <w:bCs w:val="0"/>
                <w:color w:val="000000"/>
                <w:spacing w:val="3"/>
                <w:sz w:val="18"/>
                <w:szCs w:val="18"/>
                <w:shd w:val="solid" w:color="000000" w:fill="000000"/>
                <w:fitText w:val="315" w:id="-628958714"/>
                <w14:textFill>
                  <w14:solidFill>
                    <w14:srgbClr w14:val="000000">
                      <w14:alpha w14:val="100000"/>
                    </w14:srgbClr>
                  </w14:solidFill>
                </w14:textFill>
              </w:rPr>
              <w:t>|</w:t>
            </w:r>
            <w:r w:rsidR="006E6321" w:rsidRPr="006E6321">
              <w:rPr>
                <w:rFonts w:ascii="Arial Narrow" w:hAnsi="Arial Narrow"/>
                <w:color w:val="333333"/>
                <w:vertAlign w:val="superscript"/>
              </w:rPr>
              <w:t>4</w:t>
            </w:r>
          </w:p>
        </w:tc>
        <w:tc>
          <w:tcPr>
            <w:tcW w:w="1007" w:type="dxa"/>
            <w:vAlign w:val="center"/>
          </w:tcPr>
          <w:p w14:paraId="726E3C52" w14:textId="06F6FE4E" w:rsidR="00630437" w:rsidRPr="00015190" w:rsidRDefault="00630437" w:rsidP="00A12328">
            <w:pPr>
              <w:pStyle w:val="TableText1"/>
              <w:keepNext/>
              <w:keepLines/>
              <w:jc w:val="center"/>
              <w:rPr>
                <w:rFonts w:ascii="Arial Narrow" w:hAnsi="Arial Narrow" w:cs="Arial"/>
                <w:b/>
                <w:bCs w:val="0"/>
                <w:color w:val="000000"/>
                <w:sz w:val="18"/>
                <w:szCs w:val="18"/>
                <w:highlight w:val="yellow"/>
              </w:rPr>
            </w:pPr>
            <w:r w:rsidRPr="00015190">
              <w:rPr>
                <w:rFonts w:ascii="Arial Narrow" w:hAnsi="Arial Narrow" w:cs="Arial"/>
                <w:b/>
                <w:bCs w:val="0"/>
                <w:color w:val="000000"/>
                <w:sz w:val="18"/>
                <w:szCs w:val="18"/>
              </w:rPr>
              <w:t>$</w:t>
            </w:r>
            <w:r w:rsidR="00B50819" w:rsidRPr="00B50819">
              <w:rPr>
                <w:rFonts w:ascii="Arial Narrow" w:hAnsi="Arial Narrow" w:cs="Arial"/>
                <w:b/>
                <w:bCs w:val="0"/>
                <w:color w:val="000000"/>
                <w:spacing w:val="54"/>
                <w:sz w:val="18"/>
                <w:szCs w:val="18"/>
                <w:shd w:val="solid" w:color="000000" w:fill="000000"/>
                <w:fitText w:val="330" w:id="-628958713"/>
                <w14:textFill>
                  <w14:solidFill>
                    <w14:srgbClr w14:val="000000">
                      <w14:alpha w14:val="100000"/>
                    </w14:srgbClr>
                  </w14:solidFill>
                </w14:textFill>
              </w:rPr>
              <w:t>|||</w:t>
            </w:r>
            <w:r w:rsidR="00B50819" w:rsidRPr="00B50819">
              <w:rPr>
                <w:rFonts w:ascii="Arial Narrow" w:hAnsi="Arial Narrow" w:cs="Arial"/>
                <w:b/>
                <w:bCs w:val="0"/>
                <w:color w:val="000000"/>
                <w:spacing w:val="3"/>
                <w:sz w:val="18"/>
                <w:szCs w:val="18"/>
                <w:shd w:val="solid" w:color="000000" w:fill="000000"/>
                <w:fitText w:val="330" w:id="-628958713"/>
                <w14:textFill>
                  <w14:solidFill>
                    <w14:srgbClr w14:val="000000">
                      <w14:alpha w14:val="100000"/>
                    </w14:srgbClr>
                  </w14:solidFill>
                </w14:textFill>
              </w:rPr>
              <w:t>|</w:t>
            </w:r>
            <w:r w:rsidR="00B15983" w:rsidRPr="00B15983">
              <w:rPr>
                <w:rFonts w:ascii="Arial Narrow" w:hAnsi="Arial Narrow"/>
                <w:color w:val="333333"/>
                <w:vertAlign w:val="superscript"/>
              </w:rPr>
              <w:t>8</w:t>
            </w:r>
          </w:p>
        </w:tc>
        <w:tc>
          <w:tcPr>
            <w:tcW w:w="784" w:type="dxa"/>
          </w:tcPr>
          <w:p w14:paraId="0A0CFA0C" w14:textId="77777777" w:rsidR="00630437" w:rsidRPr="00015190" w:rsidRDefault="00630437" w:rsidP="00A12328">
            <w:pPr>
              <w:pStyle w:val="TableText1"/>
              <w:keepNext/>
              <w:keepLines/>
              <w:jc w:val="center"/>
              <w:rPr>
                <w:rFonts w:ascii="Arial Narrow" w:hAnsi="Arial Narrow" w:cs="Arial"/>
                <w:bCs w:val="0"/>
                <w:color w:val="000000"/>
                <w:sz w:val="18"/>
                <w:szCs w:val="18"/>
              </w:rPr>
            </w:pPr>
            <w:r w:rsidRPr="00015190">
              <w:rPr>
                <w:rFonts w:ascii="Arial Narrow" w:hAnsi="Arial Narrow" w:cs="Arial"/>
                <w:bCs w:val="0"/>
                <w:color w:val="000000"/>
                <w:sz w:val="18"/>
                <w:szCs w:val="18"/>
              </w:rPr>
              <w:t>-</w:t>
            </w:r>
          </w:p>
        </w:tc>
      </w:tr>
      <w:tr w:rsidR="0013302B" w:rsidRPr="00015190" w14:paraId="18CEF1BC" w14:textId="77777777" w:rsidTr="00FC23C0">
        <w:tc>
          <w:tcPr>
            <w:tcW w:w="1413" w:type="dxa"/>
            <w:shd w:val="clear" w:color="auto" w:fill="FFFFFF" w:themeFill="background1"/>
            <w:vAlign w:val="center"/>
          </w:tcPr>
          <w:p w14:paraId="1546CDD5" w14:textId="305EC560" w:rsidR="00630437" w:rsidRPr="00015190" w:rsidRDefault="00F826CD" w:rsidP="00A12328">
            <w:pPr>
              <w:pStyle w:val="TableHeadingRow"/>
              <w:keepLines/>
              <w:jc w:val="left"/>
              <w:rPr>
                <w:rFonts w:ascii="Arial Narrow" w:hAnsi="Arial Narrow"/>
                <w:b w:val="0"/>
              </w:rPr>
            </w:pPr>
            <w:r w:rsidRPr="00015190">
              <w:rPr>
                <w:rFonts w:ascii="Arial Narrow" w:hAnsi="Arial Narrow"/>
                <w:b w:val="0"/>
              </w:rPr>
              <w:t xml:space="preserve">1. </w:t>
            </w:r>
            <w:r w:rsidR="00630437" w:rsidRPr="00015190">
              <w:rPr>
                <w:rFonts w:ascii="Arial Narrow" w:hAnsi="Arial Narrow"/>
                <w:b w:val="0"/>
              </w:rPr>
              <w:t>Proportion of NSCLC with Stage III 15% (base case 27.2%)</w:t>
            </w:r>
          </w:p>
        </w:tc>
        <w:tc>
          <w:tcPr>
            <w:tcW w:w="895" w:type="dxa"/>
            <w:vAlign w:val="center"/>
          </w:tcPr>
          <w:p w14:paraId="2B3F20A9" w14:textId="1B664532"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2"/>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2"/>
                <w14:textFill>
                  <w14:solidFill>
                    <w14:srgbClr w14:val="000000">
                      <w14:alpha w14:val="100000"/>
                    </w14:srgbClr>
                  </w14:solidFill>
                </w14:textFill>
              </w:rPr>
              <w:t>|</w:t>
            </w:r>
          </w:p>
          <w:p w14:paraId="585311B6" w14:textId="097A1332"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5" w:type="dxa"/>
            <w:vAlign w:val="center"/>
          </w:tcPr>
          <w:p w14:paraId="18043D53" w14:textId="01051970"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1"/>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1"/>
                <w14:textFill>
                  <w14:solidFill>
                    <w14:srgbClr w14:val="000000">
                      <w14:alpha w14:val="100000"/>
                    </w14:srgbClr>
                  </w14:solidFill>
                </w14:textFill>
              </w:rPr>
              <w:t>|</w:t>
            </w:r>
          </w:p>
          <w:p w14:paraId="05DB48D7" w14:textId="26AB6311"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6" w:type="dxa"/>
            <w:vAlign w:val="center"/>
          </w:tcPr>
          <w:p w14:paraId="48860BCA" w14:textId="7F4B4340"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0"/>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0"/>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5" w:type="dxa"/>
            <w:vAlign w:val="center"/>
          </w:tcPr>
          <w:p w14:paraId="597F1A40" w14:textId="3D6A66A6"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9"/>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9"/>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5" w:type="dxa"/>
            <w:vAlign w:val="center"/>
          </w:tcPr>
          <w:p w14:paraId="7C1EE93B" w14:textId="1BE5DB15"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8"/>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8"/>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6" w:type="dxa"/>
            <w:vAlign w:val="center"/>
          </w:tcPr>
          <w:p w14:paraId="48E6706C" w14:textId="543F8474"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7"/>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7"/>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1007" w:type="dxa"/>
            <w:shd w:val="clear" w:color="000000" w:fill="FFFFFF"/>
            <w:vAlign w:val="center"/>
          </w:tcPr>
          <w:p w14:paraId="10A63A57" w14:textId="162AC731" w:rsidR="005407CA" w:rsidRDefault="00630437" w:rsidP="00A12328">
            <w:pPr>
              <w:pStyle w:val="TableText1"/>
              <w:keepNext/>
              <w:keepLines/>
              <w:jc w:val="center"/>
              <w:rPr>
                <w:rFonts w:ascii="Arial Narrow" w:hAnsi="Arial Narrow" w:cs="Arial"/>
                <w:sz w:val="18"/>
                <w:szCs w:val="18"/>
              </w:rPr>
            </w:pPr>
            <w:r w:rsidRPr="00015190">
              <w:rPr>
                <w:rFonts w:ascii="Arial Narrow" w:hAnsi="Arial Narrow" w:cs="Arial"/>
                <w:sz w:val="18"/>
                <w:szCs w:val="18"/>
              </w:rPr>
              <w:t>$</w:t>
            </w:r>
            <w:r w:rsidR="00B50819" w:rsidRPr="00B50819">
              <w:rPr>
                <w:rFonts w:ascii="Arial Narrow" w:hAnsi="Arial Narrow" w:cs="Arial"/>
                <w:color w:val="000000"/>
                <w:spacing w:val="223"/>
                <w:sz w:val="18"/>
                <w:szCs w:val="18"/>
                <w:shd w:val="solid" w:color="000000" w:fill="000000"/>
                <w:fitText w:val="300" w:id="-628958706"/>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6"/>
                <w14:textFill>
                  <w14:solidFill>
                    <w14:srgbClr w14:val="000000">
                      <w14:alpha w14:val="100000"/>
                    </w14:srgbClr>
                  </w14:solidFill>
                </w14:textFill>
              </w:rPr>
              <w:t>|</w:t>
            </w:r>
          </w:p>
          <w:p w14:paraId="4B73BFF7" w14:textId="0C0E036E" w:rsidR="00630437" w:rsidRPr="00015190" w:rsidRDefault="00AE1834" w:rsidP="00A12328">
            <w:pPr>
              <w:pStyle w:val="TableText1"/>
              <w:keepNext/>
              <w:keepLines/>
              <w:jc w:val="center"/>
              <w:rPr>
                <w:rFonts w:ascii="Arial Narrow" w:hAnsi="Arial Narrow" w:cs="Arial"/>
                <w:sz w:val="18"/>
                <w:szCs w:val="18"/>
              </w:rPr>
            </w:pPr>
            <w:r w:rsidRPr="00AE1834">
              <w:rPr>
                <w:rFonts w:ascii="Arial Narrow" w:hAnsi="Arial Narrow"/>
                <w:color w:val="333333"/>
                <w:vertAlign w:val="superscript"/>
              </w:rPr>
              <w:t>6</w:t>
            </w:r>
          </w:p>
        </w:tc>
        <w:tc>
          <w:tcPr>
            <w:tcW w:w="784" w:type="dxa"/>
            <w:vAlign w:val="center"/>
          </w:tcPr>
          <w:p w14:paraId="329853AD" w14:textId="77777777" w:rsidR="00630437" w:rsidRPr="00015190" w:rsidRDefault="00630437" w:rsidP="00A12328">
            <w:pPr>
              <w:pStyle w:val="TableText1"/>
              <w:keepNext/>
              <w:keepLines/>
              <w:jc w:val="center"/>
              <w:rPr>
                <w:rFonts w:ascii="Arial Narrow" w:hAnsi="Arial Narrow" w:cs="Arial"/>
                <w:bCs w:val="0"/>
                <w:sz w:val="18"/>
                <w:szCs w:val="18"/>
              </w:rPr>
            </w:pPr>
            <w:r w:rsidRPr="00015190">
              <w:rPr>
                <w:rFonts w:ascii="Arial Narrow" w:hAnsi="Arial Narrow" w:cs="Arial"/>
                <w:bCs w:val="0"/>
                <w:sz w:val="18"/>
                <w:szCs w:val="18"/>
              </w:rPr>
              <w:t>-</w:t>
            </w:r>
            <w:r w:rsidRPr="005407CA">
              <w:rPr>
                <w:rFonts w:ascii="Arial Narrow" w:hAnsi="Arial Narrow" w:cs="Arial"/>
                <w:bCs w:val="0"/>
                <w:sz w:val="18"/>
                <w:szCs w:val="18"/>
              </w:rPr>
              <w:t>44.9%</w:t>
            </w:r>
          </w:p>
        </w:tc>
      </w:tr>
      <w:tr w:rsidR="0013302B" w:rsidRPr="00015190" w14:paraId="07027224" w14:textId="77777777" w:rsidTr="00FC23C0">
        <w:tc>
          <w:tcPr>
            <w:tcW w:w="1413" w:type="dxa"/>
            <w:shd w:val="clear" w:color="auto" w:fill="FFFFFF" w:themeFill="background1"/>
            <w:vAlign w:val="center"/>
          </w:tcPr>
          <w:p w14:paraId="561C83A0" w14:textId="62981DF5" w:rsidR="00630437" w:rsidRPr="00015190" w:rsidRDefault="00F826CD" w:rsidP="00A12328">
            <w:pPr>
              <w:pStyle w:val="TableHeadingRow"/>
              <w:keepLines/>
              <w:jc w:val="left"/>
              <w:rPr>
                <w:rFonts w:ascii="Arial Narrow" w:hAnsi="Arial Narrow"/>
                <w:b w:val="0"/>
              </w:rPr>
            </w:pPr>
            <w:r w:rsidRPr="00015190">
              <w:rPr>
                <w:rFonts w:ascii="Arial Narrow" w:hAnsi="Arial Narrow"/>
                <w:b w:val="0"/>
              </w:rPr>
              <w:t xml:space="preserve">2. </w:t>
            </w:r>
            <w:r w:rsidR="00630437" w:rsidRPr="00015190">
              <w:rPr>
                <w:rFonts w:ascii="Arial Narrow" w:hAnsi="Arial Narrow"/>
                <w:b w:val="0"/>
              </w:rPr>
              <w:t>Proportion receiving platinum-based CRT 59% (base case 70%)</w:t>
            </w:r>
          </w:p>
        </w:tc>
        <w:tc>
          <w:tcPr>
            <w:tcW w:w="895" w:type="dxa"/>
            <w:vAlign w:val="center"/>
          </w:tcPr>
          <w:p w14:paraId="293D910F" w14:textId="64669FE2"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5"/>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5"/>
                <w14:textFill>
                  <w14:solidFill>
                    <w14:srgbClr w14:val="000000">
                      <w14:alpha w14:val="100000"/>
                    </w14:srgbClr>
                  </w14:solidFill>
                </w14:textFill>
              </w:rPr>
              <w:t>|</w:t>
            </w:r>
          </w:p>
          <w:p w14:paraId="1EF27229" w14:textId="342FCFA4"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5" w:type="dxa"/>
            <w:vAlign w:val="center"/>
          </w:tcPr>
          <w:p w14:paraId="56124AFC" w14:textId="2CE36208"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4"/>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4"/>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6" w:type="dxa"/>
            <w:vAlign w:val="center"/>
          </w:tcPr>
          <w:p w14:paraId="16D39950" w14:textId="3D6F26A7"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20"/>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20"/>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5" w:type="dxa"/>
            <w:vAlign w:val="center"/>
          </w:tcPr>
          <w:p w14:paraId="4EAD5DE4" w14:textId="2E44EB59"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9"/>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9"/>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5" w:type="dxa"/>
            <w:vAlign w:val="center"/>
          </w:tcPr>
          <w:p w14:paraId="6BF7C6C5" w14:textId="711F418B"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8"/>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8"/>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6" w:type="dxa"/>
            <w:vAlign w:val="center"/>
          </w:tcPr>
          <w:p w14:paraId="1B9176B2" w14:textId="46EAA956"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7"/>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7"/>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1007" w:type="dxa"/>
            <w:vAlign w:val="center"/>
          </w:tcPr>
          <w:p w14:paraId="36833958" w14:textId="2F046516" w:rsidR="00630437" w:rsidRPr="00015190" w:rsidRDefault="00630437" w:rsidP="00A12328">
            <w:pPr>
              <w:pStyle w:val="TableText1"/>
              <w:keepNext/>
              <w:keepLines/>
              <w:jc w:val="center"/>
              <w:rPr>
                <w:rFonts w:ascii="Arial Narrow" w:hAnsi="Arial Narrow" w:cs="Arial"/>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6"/>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6"/>
                <w14:textFill>
                  <w14:solidFill>
                    <w14:srgbClr w14:val="000000">
                      <w14:alpha w14:val="100000"/>
                    </w14:srgbClr>
                  </w14:solidFill>
                </w14:textFill>
              </w:rPr>
              <w:t>|</w:t>
            </w:r>
            <w:r w:rsidR="00B15983" w:rsidRPr="00B15983">
              <w:rPr>
                <w:rFonts w:ascii="Arial Narrow" w:hAnsi="Arial Narrow"/>
                <w:color w:val="333333"/>
                <w:vertAlign w:val="superscript"/>
              </w:rPr>
              <w:t>8</w:t>
            </w:r>
          </w:p>
        </w:tc>
        <w:tc>
          <w:tcPr>
            <w:tcW w:w="784" w:type="dxa"/>
            <w:vAlign w:val="center"/>
          </w:tcPr>
          <w:p w14:paraId="633BC506" w14:textId="77777777" w:rsidR="00630437" w:rsidRPr="00015190" w:rsidRDefault="00630437" w:rsidP="00A12328">
            <w:pPr>
              <w:pStyle w:val="TableText1"/>
              <w:keepNext/>
              <w:keepLines/>
              <w:jc w:val="center"/>
              <w:rPr>
                <w:rFonts w:ascii="Arial Narrow" w:hAnsi="Arial Narrow" w:cs="Arial"/>
                <w:bCs w:val="0"/>
                <w:sz w:val="18"/>
                <w:szCs w:val="18"/>
              </w:rPr>
            </w:pPr>
            <w:r w:rsidRPr="00015190">
              <w:rPr>
                <w:rFonts w:ascii="Arial Narrow" w:hAnsi="Arial Narrow" w:cs="Arial"/>
                <w:bCs w:val="0"/>
                <w:sz w:val="18"/>
                <w:szCs w:val="18"/>
              </w:rPr>
              <w:t>-</w:t>
            </w:r>
            <w:r w:rsidRPr="005407CA">
              <w:rPr>
                <w:rFonts w:ascii="Arial Narrow" w:hAnsi="Arial Narrow" w:cs="Arial"/>
                <w:bCs w:val="0"/>
                <w:sz w:val="18"/>
                <w:szCs w:val="18"/>
              </w:rPr>
              <w:t>15.7%</w:t>
            </w:r>
          </w:p>
        </w:tc>
      </w:tr>
      <w:tr w:rsidR="0013302B" w:rsidRPr="00015190" w14:paraId="0AADC053" w14:textId="77777777" w:rsidTr="00FC23C0">
        <w:tc>
          <w:tcPr>
            <w:tcW w:w="1413" w:type="dxa"/>
            <w:shd w:val="clear" w:color="auto" w:fill="FFFFFF" w:themeFill="background1"/>
            <w:vAlign w:val="center"/>
          </w:tcPr>
          <w:p w14:paraId="03E18555" w14:textId="70279D5E" w:rsidR="00630437" w:rsidRPr="00015190" w:rsidRDefault="00F826CD" w:rsidP="00A12328">
            <w:pPr>
              <w:pStyle w:val="TableHeadingRow"/>
              <w:keepLines/>
              <w:jc w:val="left"/>
              <w:rPr>
                <w:rFonts w:ascii="Arial Narrow" w:hAnsi="Arial Narrow"/>
                <w:b w:val="0"/>
              </w:rPr>
            </w:pPr>
            <w:r w:rsidRPr="00015190">
              <w:rPr>
                <w:rFonts w:ascii="Arial Narrow" w:hAnsi="Arial Narrow"/>
                <w:b w:val="0"/>
              </w:rPr>
              <w:t xml:space="preserve">3. </w:t>
            </w:r>
            <w:r w:rsidR="00630437" w:rsidRPr="00015190">
              <w:rPr>
                <w:rFonts w:ascii="Arial Narrow" w:hAnsi="Arial Narrow"/>
                <w:b w:val="0"/>
              </w:rPr>
              <w:t>64% without progressive disease following CRT (base case 95%)</w:t>
            </w:r>
          </w:p>
        </w:tc>
        <w:tc>
          <w:tcPr>
            <w:tcW w:w="895" w:type="dxa"/>
            <w:vAlign w:val="center"/>
          </w:tcPr>
          <w:p w14:paraId="7DC4AE78" w14:textId="459F160C"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4F1438">
              <w:rPr>
                <w:rFonts w:ascii="Arial Narrow" w:hAnsi="Arial Narrow" w:cs="Arial"/>
                <w:color w:val="000000"/>
                <w:spacing w:val="223"/>
                <w:sz w:val="18"/>
                <w:szCs w:val="18"/>
                <w:shd w:val="solid" w:color="000000" w:fill="000000"/>
                <w:fitText w:val="300" w:id="-628958715"/>
                <w14:textFill>
                  <w14:solidFill>
                    <w14:srgbClr w14:val="000000">
                      <w14:alpha w14:val="100000"/>
                    </w14:srgbClr>
                  </w14:solidFill>
                </w14:textFill>
              </w:rPr>
              <w:t>|</w:t>
            </w:r>
            <w:r w:rsidR="00B50819" w:rsidRPr="004F1438">
              <w:rPr>
                <w:rFonts w:ascii="Arial Narrow" w:hAnsi="Arial Narrow" w:cs="Arial"/>
                <w:color w:val="000000"/>
                <w:sz w:val="18"/>
                <w:szCs w:val="18"/>
                <w:shd w:val="solid" w:color="000000" w:fill="000000"/>
                <w:fitText w:val="300" w:id="-628958715"/>
                <w14:textFill>
                  <w14:solidFill>
                    <w14:srgbClr w14:val="000000">
                      <w14:alpha w14:val="100000"/>
                    </w14:srgbClr>
                  </w14:solidFill>
                </w14:textFill>
              </w:rPr>
              <w:t>|</w:t>
            </w:r>
            <w:r w:rsidR="002C2DD7" w:rsidRPr="002C2DD7">
              <w:rPr>
                <w:rFonts w:ascii="Arial Narrow" w:hAnsi="Arial Narrow"/>
                <w:color w:val="333333"/>
                <w:vertAlign w:val="superscript"/>
              </w:rPr>
              <w:t>1</w:t>
            </w:r>
          </w:p>
        </w:tc>
        <w:tc>
          <w:tcPr>
            <w:tcW w:w="895" w:type="dxa"/>
            <w:vAlign w:val="center"/>
          </w:tcPr>
          <w:p w14:paraId="7D663251" w14:textId="1E7306C7"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7E1CEC">
              <w:rPr>
                <w:rFonts w:ascii="Arial Narrow" w:hAnsi="Arial Narrow" w:cs="Arial"/>
                <w:color w:val="000000"/>
                <w:spacing w:val="223"/>
                <w:sz w:val="18"/>
                <w:szCs w:val="18"/>
                <w:shd w:val="solid" w:color="000000" w:fill="000000"/>
                <w:fitText w:val="300" w:id="-628958714"/>
                <w14:textFill>
                  <w14:solidFill>
                    <w14:srgbClr w14:val="000000">
                      <w14:alpha w14:val="100000"/>
                    </w14:srgbClr>
                  </w14:solidFill>
                </w14:textFill>
              </w:rPr>
              <w:t>|</w:t>
            </w:r>
            <w:r w:rsidR="00B50819" w:rsidRPr="007E1CEC">
              <w:rPr>
                <w:rFonts w:ascii="Arial Narrow" w:hAnsi="Arial Narrow" w:cs="Arial"/>
                <w:color w:val="000000"/>
                <w:sz w:val="18"/>
                <w:szCs w:val="18"/>
                <w:shd w:val="solid" w:color="000000" w:fill="000000"/>
                <w:fitText w:val="300" w:id="-628958714"/>
                <w14:textFill>
                  <w14:solidFill>
                    <w14:srgbClr w14:val="000000">
                      <w14:alpha w14:val="100000"/>
                    </w14:srgbClr>
                  </w14:solidFill>
                </w14:textFill>
              </w:rPr>
              <w:t>|</w:t>
            </w:r>
            <w:r w:rsidR="002C2DD7" w:rsidRPr="002C2DD7">
              <w:rPr>
                <w:rFonts w:ascii="Arial Narrow" w:hAnsi="Arial Narrow"/>
                <w:color w:val="333333"/>
                <w:vertAlign w:val="superscript"/>
              </w:rPr>
              <w:t>1</w:t>
            </w:r>
          </w:p>
        </w:tc>
        <w:tc>
          <w:tcPr>
            <w:tcW w:w="896" w:type="dxa"/>
            <w:vAlign w:val="center"/>
          </w:tcPr>
          <w:p w14:paraId="54A55006" w14:textId="295E4495"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3"/>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3"/>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5" w:type="dxa"/>
            <w:vAlign w:val="center"/>
          </w:tcPr>
          <w:p w14:paraId="64FBE718" w14:textId="03726318"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2"/>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2"/>
                <w14:textFill>
                  <w14:solidFill>
                    <w14:srgbClr w14:val="000000">
                      <w14:alpha w14:val="100000"/>
                    </w14:srgbClr>
                  </w14:solidFill>
                </w14:textFill>
              </w:rPr>
              <w:t>|</w:t>
            </w:r>
            <w:r w:rsidR="006E6321" w:rsidRPr="002C2DD7">
              <w:rPr>
                <w:rFonts w:ascii="Arial Narrow" w:hAnsi="Arial Narrow"/>
                <w:color w:val="333333"/>
                <w:vertAlign w:val="superscript"/>
              </w:rPr>
              <w:t>2</w:t>
            </w:r>
          </w:p>
        </w:tc>
        <w:tc>
          <w:tcPr>
            <w:tcW w:w="895" w:type="dxa"/>
            <w:vAlign w:val="center"/>
          </w:tcPr>
          <w:p w14:paraId="2EDD79A8" w14:textId="3697EDEC"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1"/>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1"/>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6" w:type="dxa"/>
            <w:vAlign w:val="center"/>
          </w:tcPr>
          <w:p w14:paraId="0190F821" w14:textId="5D00588F"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0"/>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0"/>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1007" w:type="dxa"/>
            <w:shd w:val="clear" w:color="000000" w:fill="FFFFFF"/>
            <w:vAlign w:val="center"/>
          </w:tcPr>
          <w:p w14:paraId="318BB227" w14:textId="3BECA7AF" w:rsidR="00630437" w:rsidRPr="00015190" w:rsidRDefault="00630437" w:rsidP="00A12328">
            <w:pPr>
              <w:pStyle w:val="TableText1"/>
              <w:keepNext/>
              <w:keepLines/>
              <w:jc w:val="center"/>
              <w:rPr>
                <w:rFonts w:ascii="Arial Narrow" w:hAnsi="Arial Narrow" w:cs="Arial"/>
                <w:sz w:val="18"/>
                <w:szCs w:val="18"/>
              </w:rPr>
            </w:pPr>
            <w:r w:rsidRPr="00015190">
              <w:rPr>
                <w:rFonts w:ascii="Arial Narrow" w:hAnsi="Arial Narrow" w:cs="Arial"/>
                <w:sz w:val="18"/>
                <w:szCs w:val="18"/>
              </w:rPr>
              <w:t>$</w:t>
            </w:r>
            <w:r w:rsidR="00B50819" w:rsidRPr="007E1CEC">
              <w:rPr>
                <w:rFonts w:ascii="Arial Narrow" w:hAnsi="Arial Narrow" w:cs="Arial"/>
                <w:color w:val="000000"/>
                <w:spacing w:val="223"/>
                <w:sz w:val="18"/>
                <w:szCs w:val="18"/>
                <w:shd w:val="solid" w:color="000000" w:fill="000000"/>
                <w:fitText w:val="300" w:id="-628958709"/>
                <w14:textFill>
                  <w14:solidFill>
                    <w14:srgbClr w14:val="000000">
                      <w14:alpha w14:val="100000"/>
                    </w14:srgbClr>
                  </w14:solidFill>
                </w14:textFill>
              </w:rPr>
              <w:t>|</w:t>
            </w:r>
            <w:r w:rsidR="00B50819" w:rsidRPr="007E1CEC">
              <w:rPr>
                <w:rFonts w:ascii="Arial Narrow" w:hAnsi="Arial Narrow" w:cs="Arial"/>
                <w:color w:val="000000"/>
                <w:sz w:val="18"/>
                <w:szCs w:val="18"/>
                <w:shd w:val="solid" w:color="000000" w:fill="000000"/>
                <w:fitText w:val="300" w:id="-628958709"/>
                <w14:textFill>
                  <w14:solidFill>
                    <w14:srgbClr w14:val="000000">
                      <w14:alpha w14:val="100000"/>
                    </w14:srgbClr>
                  </w14:solidFill>
                </w14:textFill>
              </w:rPr>
              <w:t>|</w:t>
            </w:r>
            <w:r w:rsidR="0026094D" w:rsidRPr="0026094D">
              <w:rPr>
                <w:rFonts w:ascii="Arial Narrow" w:hAnsi="Arial Narrow"/>
                <w:color w:val="333333"/>
                <w:vertAlign w:val="superscript"/>
              </w:rPr>
              <w:t>7</w:t>
            </w:r>
          </w:p>
        </w:tc>
        <w:tc>
          <w:tcPr>
            <w:tcW w:w="784" w:type="dxa"/>
            <w:vAlign w:val="center"/>
          </w:tcPr>
          <w:p w14:paraId="573E436E" w14:textId="77777777" w:rsidR="00630437" w:rsidRPr="00015190" w:rsidRDefault="00630437" w:rsidP="00A12328">
            <w:pPr>
              <w:pStyle w:val="TableText1"/>
              <w:keepNext/>
              <w:keepLines/>
              <w:jc w:val="center"/>
              <w:rPr>
                <w:rFonts w:ascii="Arial Narrow" w:hAnsi="Arial Narrow" w:cs="Arial"/>
                <w:bCs w:val="0"/>
                <w:sz w:val="18"/>
                <w:szCs w:val="18"/>
              </w:rPr>
            </w:pPr>
            <w:r w:rsidRPr="00015190">
              <w:rPr>
                <w:rFonts w:ascii="Arial Narrow" w:hAnsi="Arial Narrow" w:cs="Arial"/>
                <w:bCs w:val="0"/>
                <w:sz w:val="18"/>
                <w:szCs w:val="18"/>
              </w:rPr>
              <w:t>-</w:t>
            </w:r>
            <w:r w:rsidRPr="005407CA">
              <w:rPr>
                <w:rFonts w:ascii="Arial Narrow" w:hAnsi="Arial Narrow" w:cs="Arial"/>
                <w:bCs w:val="0"/>
                <w:sz w:val="18"/>
                <w:szCs w:val="18"/>
              </w:rPr>
              <w:t>32.6%</w:t>
            </w:r>
          </w:p>
        </w:tc>
      </w:tr>
      <w:tr w:rsidR="0013302B" w:rsidRPr="00015190" w14:paraId="1B00183A" w14:textId="77777777" w:rsidTr="00FC23C0">
        <w:tc>
          <w:tcPr>
            <w:tcW w:w="1413" w:type="dxa"/>
            <w:shd w:val="clear" w:color="auto" w:fill="FFFFFF" w:themeFill="background1"/>
            <w:vAlign w:val="center"/>
          </w:tcPr>
          <w:p w14:paraId="773271A5" w14:textId="70A4DD60" w:rsidR="00630437" w:rsidRPr="00015190" w:rsidRDefault="00F826CD" w:rsidP="00A12328">
            <w:pPr>
              <w:pStyle w:val="TableHeadingRow"/>
              <w:keepLines/>
              <w:jc w:val="left"/>
              <w:rPr>
                <w:rFonts w:ascii="Arial Narrow" w:hAnsi="Arial Narrow"/>
                <w:b w:val="0"/>
                <w:bCs/>
              </w:rPr>
            </w:pPr>
            <w:r w:rsidRPr="00015190">
              <w:rPr>
                <w:rFonts w:ascii="Arial Narrow" w:hAnsi="Arial Narrow"/>
                <w:b w:val="0"/>
                <w:bCs/>
              </w:rPr>
              <w:t xml:space="preserve">4. </w:t>
            </w:r>
            <w:r w:rsidR="00630437" w:rsidRPr="00015190">
              <w:rPr>
                <w:rFonts w:ascii="Arial Narrow" w:hAnsi="Arial Narrow"/>
                <w:b w:val="0"/>
                <w:bCs/>
              </w:rPr>
              <w:t xml:space="preserve">60-80% osimertinib (proposed listing) uptake rates (base case </w:t>
            </w:r>
            <w:r w:rsidR="00B50819" w:rsidRPr="00B50819">
              <w:rPr>
                <w:rFonts w:ascii="Arial Narrow" w:hAnsi="Arial Narrow"/>
                <w:b w:val="0"/>
                <w:bCs/>
                <w:color w:val="000000"/>
                <w:spacing w:val="53"/>
                <w:shd w:val="solid" w:color="000000" w:fill="000000"/>
                <w:fitText w:val="330" w:id="-628958708"/>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08"/>
                <w14:textFill>
                  <w14:solidFill>
                    <w14:srgbClr w14:val="000000">
                      <w14:alpha w14:val="100000"/>
                    </w14:srgbClr>
                  </w14:solidFill>
                </w14:textFill>
              </w:rPr>
              <w:t>|</w:t>
            </w:r>
            <w:r w:rsidR="00630437" w:rsidRPr="00015190">
              <w:rPr>
                <w:rFonts w:ascii="Arial Narrow" w:hAnsi="Arial Narrow"/>
                <w:b w:val="0"/>
                <w:bCs/>
              </w:rPr>
              <w:t xml:space="preserve">%): assumed </w:t>
            </w:r>
            <w:r w:rsidR="00B50819" w:rsidRPr="00B50819">
              <w:rPr>
                <w:rFonts w:ascii="Arial Narrow" w:hAnsi="Arial Narrow"/>
                <w:b w:val="0"/>
                <w:bCs/>
                <w:color w:val="000000"/>
                <w:spacing w:val="53"/>
                <w:shd w:val="solid" w:color="000000" w:fill="000000"/>
                <w:fitText w:val="330" w:id="-628958707"/>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07"/>
                <w14:textFill>
                  <w14:solidFill>
                    <w14:srgbClr w14:val="000000">
                      <w14:alpha w14:val="100000"/>
                    </w14:srgbClr>
                  </w14:solidFill>
                </w14:textFill>
              </w:rPr>
              <w:t>|</w:t>
            </w:r>
            <w:r w:rsidR="00630437" w:rsidRPr="00015190">
              <w:rPr>
                <w:rFonts w:ascii="Arial Narrow" w:hAnsi="Arial Narrow"/>
                <w:b w:val="0"/>
                <w:bCs/>
              </w:rPr>
              <w:t xml:space="preserve">% Y1, </w:t>
            </w:r>
            <w:r w:rsidR="00B50819" w:rsidRPr="00B50819">
              <w:rPr>
                <w:rFonts w:ascii="Arial Narrow" w:hAnsi="Arial Narrow"/>
                <w:b w:val="0"/>
                <w:bCs/>
                <w:color w:val="000000"/>
                <w:spacing w:val="53"/>
                <w:shd w:val="solid" w:color="000000" w:fill="000000"/>
                <w:fitText w:val="330" w:id="-628958706"/>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06"/>
                <w14:textFill>
                  <w14:solidFill>
                    <w14:srgbClr w14:val="000000">
                      <w14:alpha w14:val="100000"/>
                    </w14:srgbClr>
                  </w14:solidFill>
                </w14:textFill>
              </w:rPr>
              <w:t>|</w:t>
            </w:r>
            <w:r w:rsidR="00630437" w:rsidRPr="00015190">
              <w:rPr>
                <w:rFonts w:ascii="Arial Narrow" w:hAnsi="Arial Narrow"/>
                <w:b w:val="0"/>
                <w:bCs/>
              </w:rPr>
              <w:t xml:space="preserve">% Y2, </w:t>
            </w:r>
            <w:r w:rsidR="00B50819" w:rsidRPr="00B50819">
              <w:rPr>
                <w:rFonts w:ascii="Arial Narrow" w:hAnsi="Arial Narrow"/>
                <w:b w:val="0"/>
                <w:bCs/>
                <w:color w:val="000000"/>
                <w:spacing w:val="53"/>
                <w:shd w:val="solid" w:color="000000" w:fill="000000"/>
                <w:fitText w:val="330" w:id="-628958705"/>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05"/>
                <w14:textFill>
                  <w14:solidFill>
                    <w14:srgbClr w14:val="000000">
                      <w14:alpha w14:val="100000"/>
                    </w14:srgbClr>
                  </w14:solidFill>
                </w14:textFill>
              </w:rPr>
              <w:t>|</w:t>
            </w:r>
            <w:r w:rsidR="00630437" w:rsidRPr="00015190">
              <w:rPr>
                <w:rFonts w:ascii="Arial Narrow" w:hAnsi="Arial Narrow"/>
                <w:b w:val="0"/>
                <w:bCs/>
              </w:rPr>
              <w:t xml:space="preserve">% Y3, </w:t>
            </w:r>
            <w:r w:rsidR="00B50819" w:rsidRPr="00B50819">
              <w:rPr>
                <w:rFonts w:ascii="Arial Narrow" w:hAnsi="Arial Narrow"/>
                <w:b w:val="0"/>
                <w:bCs/>
                <w:color w:val="000000"/>
                <w:spacing w:val="53"/>
                <w:shd w:val="solid" w:color="000000" w:fill="000000"/>
                <w:fitText w:val="330" w:id="-628958704"/>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04"/>
                <w14:textFill>
                  <w14:solidFill>
                    <w14:srgbClr w14:val="000000">
                      <w14:alpha w14:val="100000"/>
                    </w14:srgbClr>
                  </w14:solidFill>
                </w14:textFill>
              </w:rPr>
              <w:t>|</w:t>
            </w:r>
            <w:r w:rsidR="00630437" w:rsidRPr="00015190">
              <w:rPr>
                <w:rFonts w:ascii="Arial Narrow" w:hAnsi="Arial Narrow"/>
                <w:b w:val="0"/>
                <w:bCs/>
              </w:rPr>
              <w:t xml:space="preserve">% Y4, </w:t>
            </w:r>
            <w:r w:rsidR="00B50819" w:rsidRPr="00B50819">
              <w:rPr>
                <w:rFonts w:ascii="Arial Narrow" w:hAnsi="Arial Narrow"/>
                <w:b w:val="0"/>
                <w:bCs/>
                <w:color w:val="000000"/>
                <w:spacing w:val="53"/>
                <w:shd w:val="solid" w:color="000000" w:fill="000000"/>
                <w:fitText w:val="330" w:id="-628958720"/>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20"/>
                <w14:textFill>
                  <w14:solidFill>
                    <w14:srgbClr w14:val="000000">
                      <w14:alpha w14:val="100000"/>
                    </w14:srgbClr>
                  </w14:solidFill>
                </w14:textFill>
              </w:rPr>
              <w:t>|</w:t>
            </w:r>
            <w:r w:rsidR="00630437" w:rsidRPr="00015190">
              <w:rPr>
                <w:rFonts w:ascii="Arial Narrow" w:hAnsi="Arial Narrow"/>
                <w:b w:val="0"/>
                <w:bCs/>
              </w:rPr>
              <w:t xml:space="preserve">% Y5, </w:t>
            </w:r>
            <w:r w:rsidR="00B50819" w:rsidRPr="00B50819">
              <w:rPr>
                <w:rFonts w:ascii="Arial Narrow" w:hAnsi="Arial Narrow"/>
                <w:b w:val="0"/>
                <w:bCs/>
                <w:color w:val="000000"/>
                <w:spacing w:val="53"/>
                <w:shd w:val="solid" w:color="000000" w:fill="000000"/>
                <w:fitText w:val="330" w:id="-628958719"/>
                <w14:textFill>
                  <w14:solidFill>
                    <w14:srgbClr w14:val="000000">
                      <w14:alpha w14:val="100000"/>
                    </w14:srgbClr>
                  </w14:solidFill>
                </w14:textFill>
              </w:rPr>
              <w:t>|||</w:t>
            </w:r>
            <w:r w:rsidR="00B50819" w:rsidRPr="00B50819">
              <w:rPr>
                <w:rFonts w:ascii="Arial Narrow" w:hAnsi="Arial Narrow"/>
                <w:b w:val="0"/>
                <w:bCs/>
                <w:color w:val="000000"/>
                <w:spacing w:val="1"/>
                <w:shd w:val="solid" w:color="000000" w:fill="000000"/>
                <w:fitText w:val="330" w:id="-628958719"/>
                <w14:textFill>
                  <w14:solidFill>
                    <w14:srgbClr w14:val="000000">
                      <w14:alpha w14:val="100000"/>
                    </w14:srgbClr>
                  </w14:solidFill>
                </w14:textFill>
              </w:rPr>
              <w:t>|</w:t>
            </w:r>
            <w:r w:rsidR="00630437" w:rsidRPr="00015190">
              <w:rPr>
                <w:rFonts w:ascii="Arial Narrow" w:hAnsi="Arial Narrow"/>
                <w:b w:val="0"/>
                <w:bCs/>
              </w:rPr>
              <w:t>% Y6</w:t>
            </w:r>
          </w:p>
        </w:tc>
        <w:tc>
          <w:tcPr>
            <w:tcW w:w="895" w:type="dxa"/>
            <w:tcBorders>
              <w:top w:val="single" w:sz="4" w:space="0" w:color="auto"/>
              <w:left w:val="single" w:sz="4" w:space="0" w:color="auto"/>
              <w:bottom w:val="single" w:sz="4" w:space="0" w:color="auto"/>
              <w:right w:val="single" w:sz="4" w:space="0" w:color="auto"/>
            </w:tcBorders>
            <w:vAlign w:val="center"/>
          </w:tcPr>
          <w:p w14:paraId="603E56EA" w14:textId="77E281FB"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8"/>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8"/>
                <w14:textFill>
                  <w14:solidFill>
                    <w14:srgbClr w14:val="000000">
                      <w14:alpha w14:val="100000"/>
                    </w14:srgbClr>
                  </w14:solidFill>
                </w14:textFill>
              </w:rPr>
              <w:t>|</w:t>
            </w:r>
          </w:p>
          <w:p w14:paraId="653EAE6A" w14:textId="23F745D2"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5" w:type="dxa"/>
            <w:tcBorders>
              <w:top w:val="single" w:sz="4" w:space="0" w:color="auto"/>
              <w:left w:val="nil"/>
              <w:bottom w:val="single" w:sz="4" w:space="0" w:color="auto"/>
              <w:right w:val="single" w:sz="4" w:space="0" w:color="auto"/>
            </w:tcBorders>
            <w:vAlign w:val="center"/>
          </w:tcPr>
          <w:p w14:paraId="2E5354BC" w14:textId="1CA5CE07"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7"/>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7"/>
                <w14:textFill>
                  <w14:solidFill>
                    <w14:srgbClr w14:val="000000">
                      <w14:alpha w14:val="100000"/>
                    </w14:srgbClr>
                  </w14:solidFill>
                </w14:textFill>
              </w:rPr>
              <w:t>|</w:t>
            </w:r>
          </w:p>
          <w:p w14:paraId="30B612DE" w14:textId="0E715EED"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6" w:type="dxa"/>
            <w:tcBorders>
              <w:top w:val="single" w:sz="4" w:space="0" w:color="auto"/>
              <w:left w:val="nil"/>
              <w:bottom w:val="single" w:sz="4" w:space="0" w:color="auto"/>
              <w:right w:val="single" w:sz="4" w:space="0" w:color="auto"/>
            </w:tcBorders>
            <w:vAlign w:val="center"/>
          </w:tcPr>
          <w:p w14:paraId="53FE99E0" w14:textId="704A05AA"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6"/>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6"/>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5" w:type="dxa"/>
            <w:tcBorders>
              <w:top w:val="single" w:sz="4" w:space="0" w:color="auto"/>
              <w:left w:val="nil"/>
              <w:bottom w:val="single" w:sz="4" w:space="0" w:color="auto"/>
              <w:right w:val="single" w:sz="4" w:space="0" w:color="auto"/>
            </w:tcBorders>
            <w:vAlign w:val="center"/>
          </w:tcPr>
          <w:p w14:paraId="69620E4C" w14:textId="13387518"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5"/>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5"/>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5" w:type="dxa"/>
            <w:tcBorders>
              <w:top w:val="single" w:sz="4" w:space="0" w:color="auto"/>
              <w:left w:val="nil"/>
              <w:bottom w:val="single" w:sz="4" w:space="0" w:color="auto"/>
              <w:right w:val="single" w:sz="4" w:space="0" w:color="auto"/>
            </w:tcBorders>
            <w:vAlign w:val="center"/>
          </w:tcPr>
          <w:p w14:paraId="71CB7756" w14:textId="2DFC1BB7"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4"/>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4"/>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6" w:type="dxa"/>
            <w:tcBorders>
              <w:top w:val="single" w:sz="4" w:space="0" w:color="auto"/>
              <w:left w:val="nil"/>
              <w:bottom w:val="single" w:sz="4" w:space="0" w:color="auto"/>
              <w:right w:val="single" w:sz="4" w:space="0" w:color="auto"/>
            </w:tcBorders>
            <w:vAlign w:val="center"/>
          </w:tcPr>
          <w:p w14:paraId="25AE1681" w14:textId="7C0B8184"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3"/>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3"/>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1007" w:type="dxa"/>
            <w:tcBorders>
              <w:top w:val="nil"/>
              <w:left w:val="nil"/>
              <w:bottom w:val="nil"/>
              <w:right w:val="nil"/>
            </w:tcBorders>
            <w:vAlign w:val="center"/>
          </w:tcPr>
          <w:p w14:paraId="22A21ADF" w14:textId="5A2C8BB2"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2"/>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2"/>
                <w14:textFill>
                  <w14:solidFill>
                    <w14:srgbClr w14:val="000000">
                      <w14:alpha w14:val="100000"/>
                    </w14:srgbClr>
                  </w14:solidFill>
                </w14:textFill>
              </w:rPr>
              <w:t>|</w:t>
            </w:r>
            <w:r w:rsidR="00B15983" w:rsidRPr="00B15983">
              <w:rPr>
                <w:rFonts w:ascii="Arial Narrow" w:hAnsi="Arial Narrow"/>
                <w:color w:val="333333"/>
                <w:vertAlign w:val="superscript"/>
              </w:rPr>
              <w:t>8</w:t>
            </w:r>
          </w:p>
        </w:tc>
        <w:tc>
          <w:tcPr>
            <w:tcW w:w="784" w:type="dxa"/>
            <w:vAlign w:val="center"/>
          </w:tcPr>
          <w:p w14:paraId="3FEDA5D8" w14:textId="77777777" w:rsidR="00630437" w:rsidRPr="00015190" w:rsidRDefault="00630437" w:rsidP="00A12328">
            <w:pPr>
              <w:pStyle w:val="TableText1"/>
              <w:keepNext/>
              <w:keepLines/>
              <w:jc w:val="center"/>
              <w:rPr>
                <w:rFonts w:ascii="Arial Narrow" w:hAnsi="Arial Narrow" w:cs="Arial"/>
                <w:bCs w:val="0"/>
                <w:color w:val="000000"/>
                <w:sz w:val="18"/>
                <w:szCs w:val="18"/>
              </w:rPr>
            </w:pPr>
            <w:r w:rsidRPr="00015190">
              <w:rPr>
                <w:rFonts w:ascii="Arial Narrow" w:hAnsi="Arial Narrow" w:cs="Arial"/>
                <w:bCs w:val="0"/>
                <w:color w:val="000000"/>
                <w:sz w:val="18"/>
                <w:szCs w:val="18"/>
              </w:rPr>
              <w:t>-</w:t>
            </w:r>
            <w:r w:rsidRPr="005407CA">
              <w:rPr>
                <w:rFonts w:ascii="Arial Narrow" w:hAnsi="Arial Narrow" w:cs="Arial"/>
                <w:bCs w:val="0"/>
                <w:color w:val="000000"/>
                <w:sz w:val="18"/>
                <w:szCs w:val="18"/>
              </w:rPr>
              <w:t>26.3%</w:t>
            </w:r>
          </w:p>
        </w:tc>
      </w:tr>
      <w:tr w:rsidR="0013302B" w:rsidRPr="00015190" w14:paraId="538210D7" w14:textId="77777777" w:rsidTr="00FC23C0">
        <w:tc>
          <w:tcPr>
            <w:tcW w:w="1413" w:type="dxa"/>
            <w:shd w:val="clear" w:color="auto" w:fill="FFFFFF" w:themeFill="background1"/>
            <w:vAlign w:val="center"/>
          </w:tcPr>
          <w:p w14:paraId="7FA40E9A" w14:textId="4B0590BB" w:rsidR="00630437" w:rsidRPr="00015190" w:rsidRDefault="00F826CD" w:rsidP="00A12328">
            <w:pPr>
              <w:pStyle w:val="TableHeadingRow"/>
              <w:keepLines/>
              <w:jc w:val="left"/>
              <w:rPr>
                <w:rFonts w:ascii="Arial Narrow" w:hAnsi="Arial Narrow"/>
                <w:b w:val="0"/>
                <w:bCs/>
              </w:rPr>
            </w:pPr>
            <w:r w:rsidRPr="00015190">
              <w:rPr>
                <w:rFonts w:ascii="Arial Narrow" w:hAnsi="Arial Narrow"/>
                <w:b w:val="0"/>
                <w:bCs/>
              </w:rPr>
              <w:t xml:space="preserve">5. </w:t>
            </w:r>
            <w:r w:rsidR="00630437" w:rsidRPr="00015190">
              <w:rPr>
                <w:rFonts w:ascii="Arial Narrow" w:hAnsi="Arial Narrow"/>
                <w:b w:val="0"/>
                <w:bCs/>
              </w:rPr>
              <w:t xml:space="preserve">Assuming mean treatment duration of </w:t>
            </w:r>
            <w:r w:rsidR="00B50819" w:rsidRPr="00B50819">
              <w:rPr>
                <w:rFonts w:ascii="Arial Narrow" w:hAnsi="Arial Narrow"/>
                <w:b w:val="0"/>
                <w:color w:val="000000"/>
                <w:spacing w:val="53"/>
                <w:shd w:val="solid" w:color="000000" w:fill="000000"/>
                <w:fitText w:val="330" w:id="-628958711"/>
                <w14:textFill>
                  <w14:solidFill>
                    <w14:srgbClr w14:val="000000">
                      <w14:alpha w14:val="100000"/>
                    </w14:srgbClr>
                  </w14:solidFill>
                </w14:textFill>
              </w:rPr>
              <w:t>|||</w:t>
            </w:r>
            <w:r w:rsidR="00B50819" w:rsidRPr="00B50819">
              <w:rPr>
                <w:rFonts w:ascii="Arial Narrow" w:hAnsi="Arial Narrow"/>
                <w:b w:val="0"/>
                <w:color w:val="000000"/>
                <w:spacing w:val="1"/>
                <w:shd w:val="solid" w:color="000000" w:fill="000000"/>
                <w:fitText w:val="330" w:id="-628958711"/>
                <w14:textFill>
                  <w14:solidFill>
                    <w14:srgbClr w14:val="000000">
                      <w14:alpha w14:val="100000"/>
                    </w14:srgbClr>
                  </w14:solidFill>
                </w14:textFill>
              </w:rPr>
              <w:t>|</w:t>
            </w:r>
            <w:r w:rsidR="00630437" w:rsidRPr="00015190">
              <w:rPr>
                <w:rFonts w:ascii="Arial Narrow" w:hAnsi="Arial Narrow"/>
                <w:b w:val="0"/>
                <w:bCs/>
              </w:rPr>
              <w:t xml:space="preserve"> months for osimertinib under the proposed listing</w:t>
            </w:r>
            <w:r w:rsidR="003E39B6" w:rsidRPr="00015190">
              <w:rPr>
                <w:rFonts w:ascii="Arial Narrow" w:hAnsi="Arial Narrow"/>
                <w:b w:val="0"/>
                <w:bCs/>
                <w:vertAlign w:val="superscript"/>
              </w:rPr>
              <w:t>a</w:t>
            </w:r>
            <w:r w:rsidR="00630437" w:rsidRPr="00015190">
              <w:rPr>
                <w:rFonts w:ascii="Arial Narrow" w:hAnsi="Arial Narrow"/>
                <w:b w:val="0"/>
                <w:bCs/>
              </w:rPr>
              <w:t xml:space="preserve"> (base case </w:t>
            </w:r>
            <w:r w:rsidR="00B50819" w:rsidRPr="00B50819">
              <w:rPr>
                <w:rFonts w:ascii="Arial Narrow" w:hAnsi="Arial Narrow"/>
                <w:b w:val="0"/>
                <w:color w:val="000000"/>
                <w:spacing w:val="53"/>
                <w:shd w:val="solid" w:color="000000" w:fill="000000"/>
                <w:fitText w:val="330" w:id="-628958710"/>
                <w14:textFill>
                  <w14:solidFill>
                    <w14:srgbClr w14:val="000000">
                      <w14:alpha w14:val="100000"/>
                    </w14:srgbClr>
                  </w14:solidFill>
                </w14:textFill>
              </w:rPr>
              <w:t>|||</w:t>
            </w:r>
            <w:r w:rsidR="00B50819" w:rsidRPr="00B50819">
              <w:rPr>
                <w:rFonts w:ascii="Arial Narrow" w:hAnsi="Arial Narrow"/>
                <w:b w:val="0"/>
                <w:color w:val="000000"/>
                <w:spacing w:val="1"/>
                <w:shd w:val="solid" w:color="000000" w:fill="000000"/>
                <w:fitText w:val="330" w:id="-628958710"/>
                <w14:textFill>
                  <w14:solidFill>
                    <w14:srgbClr w14:val="000000">
                      <w14:alpha w14:val="100000"/>
                    </w14:srgbClr>
                  </w14:solidFill>
                </w14:textFill>
              </w:rPr>
              <w:t>|</w:t>
            </w:r>
            <w:r w:rsidR="00630437" w:rsidRPr="00015190">
              <w:rPr>
                <w:rFonts w:ascii="Arial Narrow" w:hAnsi="Arial Narrow"/>
                <w:b w:val="0"/>
                <w:bCs/>
              </w:rPr>
              <w:t xml:space="preserve"> months)</w:t>
            </w:r>
          </w:p>
        </w:tc>
        <w:tc>
          <w:tcPr>
            <w:tcW w:w="895" w:type="dxa"/>
            <w:vAlign w:val="center"/>
          </w:tcPr>
          <w:p w14:paraId="037E3052" w14:textId="68C4558F"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9"/>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9"/>
                <w14:textFill>
                  <w14:solidFill>
                    <w14:srgbClr w14:val="000000">
                      <w14:alpha w14:val="100000"/>
                    </w14:srgbClr>
                  </w14:solidFill>
                </w14:textFill>
              </w:rPr>
              <w:t>|</w:t>
            </w:r>
          </w:p>
          <w:p w14:paraId="53D127AD" w14:textId="28D160E0"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5" w:type="dxa"/>
            <w:vAlign w:val="center"/>
          </w:tcPr>
          <w:p w14:paraId="19EBE9E6" w14:textId="1F246076"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8"/>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8"/>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6" w:type="dxa"/>
            <w:vAlign w:val="center"/>
          </w:tcPr>
          <w:p w14:paraId="0A78CC10" w14:textId="5811CB1B"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7"/>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7"/>
                <w14:textFill>
                  <w14:solidFill>
                    <w14:srgbClr w14:val="000000">
                      <w14:alpha w14:val="100000"/>
                    </w14:srgbClr>
                  </w14:solidFill>
                </w14:textFill>
              </w:rPr>
              <w:t>|</w:t>
            </w:r>
            <w:r w:rsidR="006E6321" w:rsidRPr="006E6321">
              <w:rPr>
                <w:rFonts w:ascii="Arial Narrow" w:hAnsi="Arial Narrow"/>
                <w:color w:val="333333"/>
                <w:vertAlign w:val="superscript"/>
              </w:rPr>
              <w:t>3</w:t>
            </w:r>
          </w:p>
        </w:tc>
        <w:tc>
          <w:tcPr>
            <w:tcW w:w="895" w:type="dxa"/>
            <w:vAlign w:val="center"/>
          </w:tcPr>
          <w:p w14:paraId="57393B6E" w14:textId="5A2D03FF"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6"/>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6"/>
                <w14:textFill>
                  <w14:solidFill>
                    <w14:srgbClr w14:val="000000">
                      <w14:alpha w14:val="100000"/>
                    </w14:srgbClr>
                  </w14:solidFill>
                </w14:textFill>
              </w:rPr>
              <w:t>|</w:t>
            </w:r>
            <w:r w:rsidR="009C6389" w:rsidRPr="009C6389">
              <w:rPr>
                <w:rFonts w:ascii="Arial Narrow" w:hAnsi="Arial Narrow"/>
                <w:color w:val="333333"/>
                <w:vertAlign w:val="superscript"/>
              </w:rPr>
              <w:t>5</w:t>
            </w:r>
          </w:p>
        </w:tc>
        <w:tc>
          <w:tcPr>
            <w:tcW w:w="895" w:type="dxa"/>
            <w:vAlign w:val="center"/>
          </w:tcPr>
          <w:p w14:paraId="49A9DEF3" w14:textId="013BC17C"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5"/>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5"/>
                <w14:textFill>
                  <w14:solidFill>
                    <w14:srgbClr w14:val="000000">
                      <w14:alpha w14:val="100000"/>
                    </w14:srgbClr>
                  </w14:solidFill>
                </w14:textFill>
              </w:rPr>
              <w:t>|</w:t>
            </w:r>
            <w:r w:rsidR="009C6389" w:rsidRPr="009C6389">
              <w:rPr>
                <w:rFonts w:ascii="Arial Narrow" w:hAnsi="Arial Narrow"/>
                <w:color w:val="333333"/>
                <w:vertAlign w:val="superscript"/>
              </w:rPr>
              <w:t>5</w:t>
            </w:r>
          </w:p>
        </w:tc>
        <w:tc>
          <w:tcPr>
            <w:tcW w:w="896" w:type="dxa"/>
            <w:vAlign w:val="center"/>
          </w:tcPr>
          <w:p w14:paraId="14DAF103" w14:textId="42372BEE"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04"/>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04"/>
                <w14:textFill>
                  <w14:solidFill>
                    <w14:srgbClr w14:val="000000">
                      <w14:alpha w14:val="100000"/>
                    </w14:srgbClr>
                  </w14:solidFill>
                </w14:textFill>
              </w:rPr>
              <w:t>|</w:t>
            </w:r>
            <w:r w:rsidR="009C6389" w:rsidRPr="009C6389">
              <w:rPr>
                <w:rFonts w:ascii="Arial Narrow" w:hAnsi="Arial Narrow"/>
                <w:color w:val="333333"/>
                <w:vertAlign w:val="superscript"/>
              </w:rPr>
              <w:t>5</w:t>
            </w:r>
          </w:p>
        </w:tc>
        <w:tc>
          <w:tcPr>
            <w:tcW w:w="1007" w:type="dxa"/>
            <w:vAlign w:val="center"/>
          </w:tcPr>
          <w:p w14:paraId="2E5CC6AC" w14:textId="7114C273" w:rsidR="00630437" w:rsidRPr="00015190" w:rsidRDefault="00630437" w:rsidP="00A12328">
            <w:pPr>
              <w:pStyle w:val="TableText1"/>
              <w:keepNext/>
              <w:keepLines/>
              <w:jc w:val="center"/>
              <w:rPr>
                <w:rFonts w:ascii="Arial Narrow" w:hAnsi="Arial Narrow" w:cs="Arial"/>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20"/>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20"/>
                <w14:textFill>
                  <w14:solidFill>
                    <w14:srgbClr w14:val="000000">
                      <w14:alpha w14:val="100000"/>
                    </w14:srgbClr>
                  </w14:solidFill>
                </w14:textFill>
              </w:rPr>
              <w:t>|</w:t>
            </w:r>
            <w:r w:rsidR="00B15983" w:rsidRPr="00B15983">
              <w:rPr>
                <w:rFonts w:ascii="Arial Narrow" w:hAnsi="Arial Narrow"/>
                <w:color w:val="333333"/>
                <w:vertAlign w:val="superscript"/>
              </w:rPr>
              <w:t>8</w:t>
            </w:r>
          </w:p>
        </w:tc>
        <w:tc>
          <w:tcPr>
            <w:tcW w:w="784" w:type="dxa"/>
            <w:vAlign w:val="center"/>
          </w:tcPr>
          <w:p w14:paraId="383E925F" w14:textId="77777777" w:rsidR="00630437" w:rsidRPr="00015190" w:rsidRDefault="00630437" w:rsidP="00A12328">
            <w:pPr>
              <w:pStyle w:val="TableText1"/>
              <w:keepNext/>
              <w:keepLines/>
              <w:jc w:val="center"/>
              <w:rPr>
                <w:rFonts w:ascii="Arial Narrow" w:hAnsi="Arial Narrow" w:cs="Arial"/>
                <w:bCs w:val="0"/>
                <w:color w:val="000000"/>
                <w:sz w:val="18"/>
                <w:szCs w:val="18"/>
              </w:rPr>
            </w:pPr>
            <w:r w:rsidRPr="00015190">
              <w:rPr>
                <w:rFonts w:ascii="Arial Narrow" w:hAnsi="Arial Narrow" w:cs="Arial"/>
                <w:bCs w:val="0"/>
                <w:color w:val="000000"/>
                <w:sz w:val="18"/>
                <w:szCs w:val="18"/>
              </w:rPr>
              <w:t>+</w:t>
            </w:r>
            <w:r w:rsidRPr="005407CA">
              <w:rPr>
                <w:rFonts w:ascii="Arial Narrow" w:hAnsi="Arial Narrow" w:cs="Arial"/>
                <w:bCs w:val="0"/>
                <w:color w:val="000000"/>
                <w:sz w:val="18"/>
                <w:szCs w:val="18"/>
              </w:rPr>
              <w:t>24.6%</w:t>
            </w:r>
          </w:p>
        </w:tc>
      </w:tr>
      <w:tr w:rsidR="0013302B" w:rsidRPr="00015190" w14:paraId="0143DCDA" w14:textId="77777777" w:rsidTr="00FC23C0">
        <w:tc>
          <w:tcPr>
            <w:tcW w:w="1413" w:type="dxa"/>
            <w:shd w:val="clear" w:color="auto" w:fill="FFFFFF" w:themeFill="background1"/>
            <w:vAlign w:val="center"/>
          </w:tcPr>
          <w:p w14:paraId="3FCCE923" w14:textId="7BA6E4C6" w:rsidR="00630437" w:rsidRPr="00015190" w:rsidRDefault="00C930F2" w:rsidP="00A12328">
            <w:pPr>
              <w:pStyle w:val="TableHeadingRow"/>
              <w:keepLines/>
              <w:jc w:val="left"/>
              <w:rPr>
                <w:rFonts w:ascii="Arial Narrow" w:hAnsi="Arial Narrow"/>
                <w:b w:val="0"/>
                <w:bCs/>
              </w:rPr>
            </w:pPr>
            <w:r w:rsidRPr="00015190">
              <w:rPr>
                <w:rFonts w:ascii="Arial Narrow" w:hAnsi="Arial Narrow"/>
                <w:b w:val="0"/>
                <w:bCs/>
              </w:rPr>
              <w:t xml:space="preserve">6. </w:t>
            </w:r>
            <w:r w:rsidR="00630437" w:rsidRPr="00015190">
              <w:rPr>
                <w:rFonts w:ascii="Arial Narrow" w:hAnsi="Arial Narrow"/>
                <w:b w:val="0"/>
                <w:bCs/>
              </w:rPr>
              <w:t>Including additional costs of ABCP</w:t>
            </w:r>
            <w:r w:rsidR="003E39B6" w:rsidRPr="00015190">
              <w:rPr>
                <w:rFonts w:ascii="Arial Narrow" w:hAnsi="Arial Narrow"/>
                <w:b w:val="0"/>
                <w:bCs/>
                <w:vertAlign w:val="superscript"/>
              </w:rPr>
              <w:t>b</w:t>
            </w:r>
            <w:r w:rsidR="00630437" w:rsidRPr="00015190">
              <w:rPr>
                <w:rFonts w:ascii="Arial Narrow" w:hAnsi="Arial Narrow"/>
                <w:b w:val="0"/>
                <w:bCs/>
              </w:rPr>
              <w:t xml:space="preserve"> for 57.1% of patients who progress on osimertinib under the proposed listing</w:t>
            </w:r>
          </w:p>
        </w:tc>
        <w:tc>
          <w:tcPr>
            <w:tcW w:w="895" w:type="dxa"/>
            <w:vAlign w:val="center"/>
          </w:tcPr>
          <w:p w14:paraId="60843148" w14:textId="313DE559" w:rsidR="005407CA"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9"/>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9"/>
                <w14:textFill>
                  <w14:solidFill>
                    <w14:srgbClr w14:val="000000">
                      <w14:alpha w14:val="100000"/>
                    </w14:srgbClr>
                  </w14:solidFill>
                </w14:textFill>
              </w:rPr>
              <w:t>|</w:t>
            </w:r>
          </w:p>
          <w:p w14:paraId="3318C62C" w14:textId="71E7B128" w:rsidR="00630437" w:rsidRPr="00015190" w:rsidRDefault="002C2DD7" w:rsidP="00A12328">
            <w:pPr>
              <w:pStyle w:val="TableText1"/>
              <w:keepNext/>
              <w:keepLines/>
              <w:jc w:val="center"/>
              <w:rPr>
                <w:rFonts w:ascii="Arial Narrow" w:hAnsi="Arial Narrow" w:cs="Arial"/>
                <w:color w:val="000000"/>
                <w:sz w:val="18"/>
                <w:szCs w:val="18"/>
              </w:rPr>
            </w:pPr>
            <w:r w:rsidRPr="002C2DD7">
              <w:rPr>
                <w:rFonts w:ascii="Arial Narrow" w:hAnsi="Arial Narrow"/>
                <w:color w:val="333333"/>
                <w:vertAlign w:val="superscript"/>
              </w:rPr>
              <w:t>1</w:t>
            </w:r>
          </w:p>
        </w:tc>
        <w:tc>
          <w:tcPr>
            <w:tcW w:w="895" w:type="dxa"/>
            <w:vAlign w:val="center"/>
          </w:tcPr>
          <w:p w14:paraId="58775362" w14:textId="4EF3A727"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8"/>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8"/>
                <w14:textFill>
                  <w14:solidFill>
                    <w14:srgbClr w14:val="000000">
                      <w14:alpha w14:val="100000"/>
                    </w14:srgbClr>
                  </w14:solidFill>
                </w14:textFill>
              </w:rPr>
              <w:t>|</w:t>
            </w:r>
            <w:r w:rsidR="002C2DD7" w:rsidRPr="002C2DD7">
              <w:rPr>
                <w:rFonts w:ascii="Arial Narrow" w:hAnsi="Arial Narrow"/>
                <w:color w:val="333333"/>
                <w:vertAlign w:val="superscript"/>
              </w:rPr>
              <w:t>2</w:t>
            </w:r>
          </w:p>
        </w:tc>
        <w:tc>
          <w:tcPr>
            <w:tcW w:w="896" w:type="dxa"/>
            <w:vAlign w:val="center"/>
          </w:tcPr>
          <w:p w14:paraId="74C6C8CA" w14:textId="4A5D60F4"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7"/>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7"/>
                <w14:textFill>
                  <w14:solidFill>
                    <w14:srgbClr w14:val="000000">
                      <w14:alpha w14:val="100000"/>
                    </w14:srgbClr>
                  </w14:solidFill>
                </w14:textFill>
              </w:rPr>
              <w:t>|</w:t>
            </w:r>
            <w:r w:rsidR="006E6321" w:rsidRPr="006E6321">
              <w:rPr>
                <w:rFonts w:ascii="Arial Narrow" w:hAnsi="Arial Narrow"/>
                <w:color w:val="333333"/>
                <w:vertAlign w:val="superscript"/>
              </w:rPr>
              <w:t>4</w:t>
            </w:r>
          </w:p>
        </w:tc>
        <w:tc>
          <w:tcPr>
            <w:tcW w:w="895" w:type="dxa"/>
            <w:vAlign w:val="center"/>
          </w:tcPr>
          <w:p w14:paraId="0911E6B2" w14:textId="39D6B446"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6"/>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6"/>
                <w14:textFill>
                  <w14:solidFill>
                    <w14:srgbClr w14:val="000000">
                      <w14:alpha w14:val="100000"/>
                    </w14:srgbClr>
                  </w14:solidFill>
                </w14:textFill>
              </w:rPr>
              <w:t>|</w:t>
            </w:r>
            <w:r w:rsidR="006E6321" w:rsidRPr="006E6321">
              <w:rPr>
                <w:rFonts w:ascii="Arial Narrow" w:hAnsi="Arial Narrow"/>
                <w:color w:val="333333"/>
                <w:vertAlign w:val="superscript"/>
              </w:rPr>
              <w:t>4</w:t>
            </w:r>
          </w:p>
        </w:tc>
        <w:tc>
          <w:tcPr>
            <w:tcW w:w="895" w:type="dxa"/>
            <w:vAlign w:val="center"/>
          </w:tcPr>
          <w:p w14:paraId="0ECBF124" w14:textId="7C1F8576"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5"/>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5"/>
                <w14:textFill>
                  <w14:solidFill>
                    <w14:srgbClr w14:val="000000">
                      <w14:alpha w14:val="100000"/>
                    </w14:srgbClr>
                  </w14:solidFill>
                </w14:textFill>
              </w:rPr>
              <w:t>|</w:t>
            </w:r>
            <w:r w:rsidR="006E6321" w:rsidRPr="006E6321">
              <w:rPr>
                <w:rFonts w:ascii="Arial Narrow" w:hAnsi="Arial Narrow"/>
                <w:color w:val="333333"/>
                <w:vertAlign w:val="superscript"/>
              </w:rPr>
              <w:t>4</w:t>
            </w:r>
          </w:p>
        </w:tc>
        <w:tc>
          <w:tcPr>
            <w:tcW w:w="896" w:type="dxa"/>
            <w:vAlign w:val="center"/>
          </w:tcPr>
          <w:p w14:paraId="40EEA794" w14:textId="329A7507"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4"/>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4"/>
                <w14:textFill>
                  <w14:solidFill>
                    <w14:srgbClr w14:val="000000">
                      <w14:alpha w14:val="100000"/>
                    </w14:srgbClr>
                  </w14:solidFill>
                </w14:textFill>
              </w:rPr>
              <w:t>|</w:t>
            </w:r>
            <w:r w:rsidR="006E6321" w:rsidRPr="006E6321">
              <w:rPr>
                <w:rFonts w:ascii="Arial Narrow" w:hAnsi="Arial Narrow"/>
                <w:color w:val="333333"/>
                <w:vertAlign w:val="superscript"/>
              </w:rPr>
              <w:t>4</w:t>
            </w:r>
          </w:p>
        </w:tc>
        <w:tc>
          <w:tcPr>
            <w:tcW w:w="1007" w:type="dxa"/>
            <w:vAlign w:val="center"/>
          </w:tcPr>
          <w:p w14:paraId="1E9FA6C5" w14:textId="1089AB08" w:rsidR="00630437" w:rsidRPr="00015190" w:rsidRDefault="00630437" w:rsidP="00A12328">
            <w:pPr>
              <w:pStyle w:val="TableText1"/>
              <w:keepNext/>
              <w:keepLines/>
              <w:jc w:val="center"/>
              <w:rPr>
                <w:rFonts w:ascii="Arial Narrow" w:hAnsi="Arial Narrow" w:cs="Arial"/>
                <w:color w:val="000000"/>
                <w:sz w:val="18"/>
                <w:szCs w:val="18"/>
              </w:rPr>
            </w:pPr>
            <w:r w:rsidRPr="00015190">
              <w:rPr>
                <w:rFonts w:ascii="Arial Narrow" w:hAnsi="Arial Narrow" w:cs="Arial"/>
                <w:color w:val="000000"/>
                <w:sz w:val="18"/>
                <w:szCs w:val="18"/>
              </w:rPr>
              <w:t>$</w:t>
            </w:r>
            <w:r w:rsidR="00B50819" w:rsidRPr="00B50819">
              <w:rPr>
                <w:rFonts w:ascii="Arial Narrow" w:hAnsi="Arial Narrow" w:cs="Arial"/>
                <w:color w:val="000000"/>
                <w:spacing w:val="223"/>
                <w:sz w:val="18"/>
                <w:szCs w:val="18"/>
                <w:shd w:val="solid" w:color="000000" w:fill="000000"/>
                <w:fitText w:val="300" w:id="-628958713"/>
                <w14:textFill>
                  <w14:solidFill>
                    <w14:srgbClr w14:val="000000">
                      <w14:alpha w14:val="100000"/>
                    </w14:srgbClr>
                  </w14:solidFill>
                </w14:textFill>
              </w:rPr>
              <w:t>|</w:t>
            </w:r>
            <w:r w:rsidR="00B50819" w:rsidRPr="00B50819">
              <w:rPr>
                <w:rFonts w:ascii="Arial Narrow" w:hAnsi="Arial Narrow" w:cs="Arial"/>
                <w:color w:val="000000"/>
                <w:spacing w:val="1"/>
                <w:sz w:val="18"/>
                <w:szCs w:val="18"/>
                <w:shd w:val="solid" w:color="000000" w:fill="000000"/>
                <w:fitText w:val="300" w:id="-628958713"/>
                <w14:textFill>
                  <w14:solidFill>
                    <w14:srgbClr w14:val="000000">
                      <w14:alpha w14:val="100000"/>
                    </w14:srgbClr>
                  </w14:solidFill>
                </w14:textFill>
              </w:rPr>
              <w:t>|</w:t>
            </w:r>
            <w:r w:rsidR="00B15983" w:rsidRPr="00B15983">
              <w:rPr>
                <w:rFonts w:ascii="Arial Narrow" w:hAnsi="Arial Narrow"/>
                <w:color w:val="333333"/>
                <w:vertAlign w:val="superscript"/>
              </w:rPr>
              <w:t>8</w:t>
            </w:r>
          </w:p>
        </w:tc>
        <w:tc>
          <w:tcPr>
            <w:tcW w:w="784" w:type="dxa"/>
            <w:vAlign w:val="center"/>
          </w:tcPr>
          <w:p w14:paraId="6DCD8A69" w14:textId="77777777" w:rsidR="00630437" w:rsidRPr="00015190" w:rsidRDefault="00630437" w:rsidP="00A12328">
            <w:pPr>
              <w:pStyle w:val="TableText1"/>
              <w:keepNext/>
              <w:keepLines/>
              <w:jc w:val="center"/>
              <w:rPr>
                <w:rFonts w:ascii="Arial Narrow" w:hAnsi="Arial Narrow" w:cs="Arial"/>
                <w:bCs w:val="0"/>
                <w:color w:val="000000"/>
                <w:sz w:val="18"/>
                <w:szCs w:val="18"/>
              </w:rPr>
            </w:pPr>
            <w:r w:rsidRPr="005407CA">
              <w:rPr>
                <w:rFonts w:ascii="Arial Narrow" w:hAnsi="Arial Narrow" w:cs="Arial"/>
                <w:bCs w:val="0"/>
                <w:color w:val="000000"/>
                <w:sz w:val="18"/>
                <w:szCs w:val="18"/>
              </w:rPr>
              <w:t>+20.9%</w:t>
            </w:r>
          </w:p>
        </w:tc>
      </w:tr>
    </w:tbl>
    <w:p w14:paraId="25F56DAE" w14:textId="77777777" w:rsidR="000D1908" w:rsidRPr="00015190" w:rsidRDefault="000D1908" w:rsidP="00A12328">
      <w:pPr>
        <w:pStyle w:val="TableFigureFooter"/>
      </w:pPr>
      <w:r w:rsidRPr="00015190">
        <w:t>Source: constructed during the evaluation.</w:t>
      </w:r>
    </w:p>
    <w:p w14:paraId="537D7617" w14:textId="77777777" w:rsidR="000D1908" w:rsidRPr="00015190" w:rsidRDefault="000D1908" w:rsidP="00A12328">
      <w:pPr>
        <w:pStyle w:val="TableFigureFooter"/>
      </w:pPr>
      <w:r w:rsidRPr="00015190">
        <w:rPr>
          <w:rFonts w:cstheme="minorHAnsi"/>
        </w:rPr>
        <w:t xml:space="preserve">ABCP = atezolizumab, bevacizumab in combination with platinum doublet chemotherapy; </w:t>
      </w:r>
      <w:r w:rsidRPr="00015190">
        <w:t>CRT = chemoradiation therapy; NSCLC = non-small cell lung cancer.</w:t>
      </w:r>
    </w:p>
    <w:p w14:paraId="21BD33E9" w14:textId="35C6F81A" w:rsidR="002C2DD7" w:rsidRPr="00015190" w:rsidRDefault="003E39B6" w:rsidP="00A12328">
      <w:pPr>
        <w:pStyle w:val="TableFigureFooter"/>
      </w:pPr>
      <w:r w:rsidRPr="00015190">
        <w:rPr>
          <w:vertAlign w:val="superscript"/>
        </w:rPr>
        <w:t>a</w:t>
      </w:r>
      <w:r w:rsidR="000D1908" w:rsidRPr="00015190">
        <w:t xml:space="preserve"> In the financial model the following changes have to be made to change the treatment duration for osimertinib in the proposed listing: (i) cell N32 and cell N54 of ‘2d. Patients – DTG’ worksheet have to be changed to treatment duration minus 6 months. (ii) the wording in cells Q117:120 of ‘3a. Scripts – proposed’ worksheet have to be changed to reflect variation in treatment duration.</w:t>
      </w:r>
    </w:p>
    <w:p w14:paraId="2D979A88" w14:textId="197EE6CD" w:rsidR="00B97CD1" w:rsidRDefault="00B97CD1" w:rsidP="00A12328">
      <w:pPr>
        <w:pStyle w:val="TableFigureFooter"/>
        <w:spacing w:after="0"/>
      </w:pPr>
      <w:r w:rsidRPr="00015190">
        <w:rPr>
          <w:vertAlign w:val="superscript"/>
        </w:rPr>
        <w:t xml:space="preserve">b </w:t>
      </w:r>
      <w:r w:rsidRPr="00015190">
        <w:t xml:space="preserve">Assumed ABCP cost </w:t>
      </w:r>
      <w:r w:rsidRPr="007D0B57">
        <w:t>of $7,212.92 per month (50% rebate</w:t>
      </w:r>
      <w:r w:rsidR="00280F8E">
        <w:t xml:space="preserve"> assumed</w:t>
      </w:r>
      <w:r w:rsidRPr="00015190">
        <w:t xml:space="preserve">); and duration of ABCP of 8 months, derived from the Section 3 economic model. Applied estimated osimertinib </w:t>
      </w:r>
      <w:r w:rsidRPr="00A24BB7">
        <w:t>patients who progressed from ‘14c.Recurrence_osimertinib’ worksheet of financial model based on osimertinib arm of Section 3 economic model (26.3% progress in first year post progression, an additional 8.5% progress in second year post progression, additional 7%, 11%, 9% and 7% progress in 3</w:t>
      </w:r>
      <w:r w:rsidRPr="00A24BB7">
        <w:rPr>
          <w:vertAlign w:val="superscript"/>
        </w:rPr>
        <w:t>rd</w:t>
      </w:r>
      <w:r w:rsidRPr="00A24BB7">
        <w:t>, 4</w:t>
      </w:r>
      <w:r w:rsidRPr="00A24BB7">
        <w:rPr>
          <w:vertAlign w:val="superscript"/>
        </w:rPr>
        <w:t>th</w:t>
      </w:r>
      <w:r w:rsidRPr="00A24BB7">
        <w:t>, 5</w:t>
      </w:r>
      <w:r w:rsidRPr="00A24BB7">
        <w:rPr>
          <w:vertAlign w:val="superscript"/>
        </w:rPr>
        <w:t>th</w:t>
      </w:r>
      <w:r w:rsidRPr="00A24BB7">
        <w:t xml:space="preserve"> and 6</w:t>
      </w:r>
      <w:r w:rsidRPr="00A24BB7">
        <w:rPr>
          <w:vertAlign w:val="superscript"/>
        </w:rPr>
        <w:t>th</w:t>
      </w:r>
      <w:r w:rsidRPr="00A24BB7">
        <w:t xml:space="preserve"> year post progression, respectively).</w:t>
      </w:r>
    </w:p>
    <w:p w14:paraId="185D4F33"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rPr>
        <w:t>The redacted values correspond to the following ranges:</w:t>
      </w:r>
    </w:p>
    <w:p w14:paraId="4EB415F1"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1 </w:t>
      </w:r>
      <w:r w:rsidRPr="007D0B57">
        <w:rPr>
          <w:rFonts w:ascii="Arial Narrow" w:hAnsi="Arial Narrow"/>
          <w:i/>
          <w:iCs/>
          <w:color w:val="333333"/>
          <w:sz w:val="18"/>
          <w:szCs w:val="18"/>
        </w:rPr>
        <w:t>$0 to &lt; $10 million</w:t>
      </w:r>
    </w:p>
    <w:p w14:paraId="6DBAA427"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2 </w:t>
      </w:r>
      <w:r w:rsidRPr="007D0B57">
        <w:rPr>
          <w:rFonts w:ascii="Arial Narrow" w:hAnsi="Arial Narrow"/>
          <w:i/>
          <w:iCs/>
          <w:color w:val="333333"/>
          <w:sz w:val="18"/>
          <w:szCs w:val="18"/>
        </w:rPr>
        <w:t>$10 million to &lt; $20 million</w:t>
      </w:r>
    </w:p>
    <w:p w14:paraId="2C3851B3"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3 </w:t>
      </w:r>
      <w:r w:rsidRPr="007D0B57">
        <w:rPr>
          <w:rFonts w:ascii="Arial Narrow" w:hAnsi="Arial Narrow"/>
          <w:i/>
          <w:iCs/>
          <w:color w:val="333333"/>
          <w:sz w:val="18"/>
          <w:szCs w:val="18"/>
        </w:rPr>
        <w:t>$20 million to &lt; $30 million</w:t>
      </w:r>
    </w:p>
    <w:p w14:paraId="07A2F84D"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4 </w:t>
      </w:r>
      <w:r w:rsidRPr="007D0B57">
        <w:rPr>
          <w:rFonts w:ascii="Arial Narrow" w:hAnsi="Arial Narrow"/>
          <w:i/>
          <w:iCs/>
          <w:color w:val="333333"/>
          <w:sz w:val="18"/>
          <w:szCs w:val="18"/>
        </w:rPr>
        <w:t>$30 million to &lt; $40 million</w:t>
      </w:r>
    </w:p>
    <w:p w14:paraId="121C6543"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5 </w:t>
      </w:r>
      <w:r w:rsidRPr="007D0B57">
        <w:rPr>
          <w:rFonts w:ascii="Arial Narrow" w:hAnsi="Arial Narrow"/>
          <w:i/>
          <w:iCs/>
          <w:color w:val="333333"/>
          <w:sz w:val="18"/>
          <w:szCs w:val="18"/>
        </w:rPr>
        <w:t>$40 million to &lt; $50 million</w:t>
      </w:r>
    </w:p>
    <w:p w14:paraId="66657329"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6 </w:t>
      </w:r>
      <w:r w:rsidRPr="007D0B57">
        <w:rPr>
          <w:rFonts w:ascii="Arial Narrow" w:hAnsi="Arial Narrow"/>
          <w:i/>
          <w:iCs/>
          <w:color w:val="333333"/>
          <w:sz w:val="18"/>
          <w:szCs w:val="18"/>
        </w:rPr>
        <w:t>$70 million to &lt; $80 million</w:t>
      </w:r>
    </w:p>
    <w:p w14:paraId="5CFFD218"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7 </w:t>
      </w:r>
      <w:r w:rsidRPr="007D0B57">
        <w:rPr>
          <w:rFonts w:ascii="Arial Narrow" w:hAnsi="Arial Narrow"/>
          <w:i/>
          <w:iCs/>
          <w:color w:val="333333"/>
          <w:sz w:val="18"/>
          <w:szCs w:val="18"/>
        </w:rPr>
        <w:t>$90 million to &lt; $100 million</w:t>
      </w:r>
    </w:p>
    <w:p w14:paraId="5D2BD9A1" w14:textId="77777777" w:rsidR="00A24BB7" w:rsidRPr="007D0B57" w:rsidRDefault="00A24BB7" w:rsidP="00A12328">
      <w:pPr>
        <w:ind w:right="150"/>
        <w:rPr>
          <w:rFonts w:ascii="Arial Narrow" w:hAnsi="Arial Narrow"/>
          <w:i/>
          <w:iCs/>
          <w:color w:val="333333"/>
          <w:sz w:val="18"/>
          <w:szCs w:val="18"/>
        </w:rPr>
      </w:pPr>
      <w:r w:rsidRPr="007D0B57">
        <w:rPr>
          <w:rFonts w:ascii="Arial Narrow" w:hAnsi="Arial Narrow"/>
          <w:i/>
          <w:iCs/>
          <w:color w:val="333333"/>
          <w:sz w:val="18"/>
          <w:szCs w:val="18"/>
          <w:vertAlign w:val="superscript"/>
        </w:rPr>
        <w:t xml:space="preserve">8 </w:t>
      </w:r>
      <w:r w:rsidRPr="007D0B57">
        <w:rPr>
          <w:rFonts w:ascii="Arial Narrow" w:hAnsi="Arial Narrow"/>
          <w:i/>
          <w:iCs/>
          <w:color w:val="333333"/>
          <w:sz w:val="18"/>
          <w:szCs w:val="18"/>
        </w:rPr>
        <w:t>$100 million to &lt; $200 million</w:t>
      </w:r>
    </w:p>
    <w:p w14:paraId="1011DD23" w14:textId="77777777" w:rsidR="00A24BB7" w:rsidRPr="00015190" w:rsidRDefault="00A24BB7" w:rsidP="00A12328">
      <w:pPr>
        <w:pStyle w:val="TableFigureFooter"/>
      </w:pPr>
    </w:p>
    <w:p w14:paraId="6B4BF21E" w14:textId="77777777" w:rsidR="009745EA" w:rsidRPr="00C9624D" w:rsidRDefault="009745EA" w:rsidP="00A12328">
      <w:pPr>
        <w:pStyle w:val="4-SubsectionHeading"/>
      </w:pPr>
      <w:bookmarkStart w:id="88" w:name="_Toc197514192"/>
      <w:bookmarkStart w:id="89" w:name="_Toc198720644"/>
      <w:r w:rsidRPr="00C9624D">
        <w:t>Financial Management – Risk Sharing Arrangements</w:t>
      </w:r>
      <w:bookmarkEnd w:id="88"/>
      <w:bookmarkEnd w:id="89"/>
    </w:p>
    <w:p w14:paraId="5B9449A1" w14:textId="57F56BE2" w:rsidR="009745EA" w:rsidRPr="00DD0ED3" w:rsidRDefault="00BF4888" w:rsidP="00A12328">
      <w:pPr>
        <w:pStyle w:val="3-BodyText"/>
      </w:pPr>
      <w:r w:rsidRPr="00DD0ED3">
        <w:t>N</w:t>
      </w:r>
      <w:r w:rsidR="009745EA" w:rsidRPr="00DD0ED3">
        <w:t xml:space="preserve">o </w:t>
      </w:r>
      <w:r w:rsidR="00D82877" w:rsidRPr="00DD0ED3">
        <w:t>specific</w:t>
      </w:r>
      <w:r w:rsidR="00C226E2" w:rsidRPr="00DD0ED3">
        <w:t xml:space="preserve"> RSA</w:t>
      </w:r>
      <w:r w:rsidR="009745EA" w:rsidRPr="00DD0ED3">
        <w:t xml:space="preserve"> w</w:t>
      </w:r>
      <w:r w:rsidR="00C226E2" w:rsidRPr="00DD0ED3">
        <w:t>as</w:t>
      </w:r>
      <w:r w:rsidR="009745EA" w:rsidRPr="00DD0ED3">
        <w:t xml:space="preserve"> proposed by the submission</w:t>
      </w:r>
      <w:r w:rsidR="001C5A10" w:rsidRPr="00DD0ED3">
        <w:t>,</w:t>
      </w:r>
      <w:r w:rsidR="009745EA" w:rsidRPr="00DD0ED3">
        <w:t xml:space="preserve"> </w:t>
      </w:r>
      <w:r w:rsidRPr="00DD0ED3">
        <w:t>although</w:t>
      </w:r>
      <w:r w:rsidR="009745EA" w:rsidRPr="00DD0ED3">
        <w:t xml:space="preserve"> </w:t>
      </w:r>
      <w:r w:rsidR="008C07A8" w:rsidRPr="00DD0ED3">
        <w:t xml:space="preserve">it was noted that </w:t>
      </w:r>
      <w:r w:rsidR="00DB75B1" w:rsidRPr="00DD0ED3">
        <w:t xml:space="preserve">the Sponsor was willing to </w:t>
      </w:r>
      <w:r w:rsidR="009745EA" w:rsidRPr="00DD0ED3">
        <w:t>share the risk of uncertainty in utilisation and budget impact</w:t>
      </w:r>
      <w:r w:rsidR="006B0AF5" w:rsidRPr="00DD0ED3">
        <w:t xml:space="preserve"> (noting that</w:t>
      </w:r>
      <w:r w:rsidR="004873A2" w:rsidRPr="00DD0ED3">
        <w:t xml:space="preserve"> use beyond progression</w:t>
      </w:r>
      <w:r w:rsidR="006B0AF5" w:rsidRPr="00DD0ED3">
        <w:t xml:space="preserve"> could be addressed through a</w:t>
      </w:r>
      <w:r w:rsidR="00B92ACB" w:rsidRPr="00DD0ED3">
        <w:t xml:space="preserve"> RSA</w:t>
      </w:r>
      <w:r w:rsidR="006B0AF5" w:rsidRPr="00DD0ED3">
        <w:t xml:space="preserve"> </w:t>
      </w:r>
      <w:r w:rsidR="006077F7" w:rsidRPr="00DD0ED3">
        <w:t>[</w:t>
      </w:r>
      <w:r w:rsidR="006B0AF5" w:rsidRPr="005F1731">
        <w:t xml:space="preserve">paragraph </w:t>
      </w:r>
      <w:r w:rsidR="006B0AF5" w:rsidRPr="005F1731">
        <w:fldChar w:fldCharType="begin"/>
      </w:r>
      <w:r w:rsidR="006B0AF5" w:rsidRPr="005F1731">
        <w:instrText xml:space="preserve"> REF _Ref200041910 \r \h </w:instrText>
      </w:r>
      <w:r w:rsidR="00DD0ED3" w:rsidRPr="005F1731">
        <w:instrText xml:space="preserve"> \* MERGEFORMAT </w:instrText>
      </w:r>
      <w:r w:rsidR="006B0AF5" w:rsidRPr="005F1731">
        <w:fldChar w:fldCharType="separate"/>
      </w:r>
      <w:r w:rsidR="009F3D59">
        <w:t>3.4</w:t>
      </w:r>
      <w:r w:rsidR="006B0AF5" w:rsidRPr="005F1731">
        <w:fldChar w:fldCharType="end"/>
      </w:r>
      <w:r w:rsidR="006077F7" w:rsidRPr="005F1731">
        <w:t>]</w:t>
      </w:r>
      <w:r w:rsidR="006B0AF5" w:rsidRPr="005F1731">
        <w:t>)</w:t>
      </w:r>
      <w:r w:rsidR="009745EA" w:rsidRPr="005F1731">
        <w:t>.</w:t>
      </w:r>
      <w:r w:rsidR="00557E33" w:rsidRPr="00DD0ED3">
        <w:t xml:space="preserve"> </w:t>
      </w:r>
      <w:r w:rsidR="00DB75B1" w:rsidRPr="00DD0ED3">
        <w:t xml:space="preserve">The ESC noted that the uncertainty regarding the treatment duration would not be managed if the </w:t>
      </w:r>
      <w:r w:rsidR="00775EBC" w:rsidRPr="00DD0ED3">
        <w:t xml:space="preserve">use in the unresectable locally advanced (Stage III) setting was overestimated or the </w:t>
      </w:r>
      <w:r w:rsidR="00870441" w:rsidRPr="00DD0ED3">
        <w:t xml:space="preserve">offsets for use in </w:t>
      </w:r>
      <w:r w:rsidR="002041C7" w:rsidRPr="00DD0ED3">
        <w:t xml:space="preserve">the metastatic setting were underestimated. </w:t>
      </w:r>
      <w:r w:rsidR="00610DF4" w:rsidRPr="00DD0ED3">
        <w:t xml:space="preserve">In this context, the ESC considered the </w:t>
      </w:r>
      <w:r w:rsidR="00C6110E" w:rsidRPr="00DD0ED3">
        <w:t xml:space="preserve">identified </w:t>
      </w:r>
      <w:r w:rsidR="00AE7E9F" w:rsidRPr="00DD0ED3">
        <w:t>risk</w:t>
      </w:r>
      <w:r w:rsidR="00C427D5" w:rsidRPr="00DD0ED3">
        <w:t xml:space="preserve"> would not be adequately </w:t>
      </w:r>
      <w:r w:rsidR="00FE703C" w:rsidRPr="00DD0ED3">
        <w:t>managed</w:t>
      </w:r>
      <w:r w:rsidR="00CE0A4F" w:rsidRPr="00DD0ED3">
        <w:t xml:space="preserve"> based on sensitivity analyses 1</w:t>
      </w:r>
      <w:r w:rsidR="00013D0C" w:rsidRPr="00DD0ED3">
        <w:rPr>
          <w:rFonts w:cstheme="minorHAnsi"/>
        </w:rPr>
        <w:t>−</w:t>
      </w:r>
      <w:r w:rsidR="00CE0A4F" w:rsidRPr="00DD0ED3">
        <w:t xml:space="preserve">4 in </w:t>
      </w:r>
      <w:r w:rsidR="00CE0A4F" w:rsidRPr="00DD0ED3">
        <w:fldChar w:fldCharType="begin"/>
      </w:r>
      <w:r w:rsidR="00CE0A4F" w:rsidRPr="00DD0ED3">
        <w:instrText xml:space="preserve"> REF _Ref201152498 \h </w:instrText>
      </w:r>
      <w:r w:rsidR="00674A4D" w:rsidRPr="00DD0ED3">
        <w:instrText xml:space="preserve"> \* MERGEFORMAT </w:instrText>
      </w:r>
      <w:r w:rsidR="00CE0A4F" w:rsidRPr="00DD0ED3">
        <w:fldChar w:fldCharType="separate"/>
      </w:r>
      <w:r w:rsidR="009F3D59">
        <w:t xml:space="preserve">Table </w:t>
      </w:r>
      <w:r w:rsidR="009F3D59">
        <w:rPr>
          <w:noProof/>
        </w:rPr>
        <w:t>20</w:t>
      </w:r>
      <w:r w:rsidR="00CE0A4F" w:rsidRPr="00DD0ED3">
        <w:fldChar w:fldCharType="end"/>
      </w:r>
      <w:r w:rsidR="004A6527" w:rsidRPr="00DD0ED3">
        <w:t xml:space="preserve"> (which individually suggested that the </w:t>
      </w:r>
      <w:r w:rsidR="004B767F" w:rsidRPr="00DD0ED3">
        <w:t xml:space="preserve">use of osimertinib </w:t>
      </w:r>
      <w:r w:rsidR="005A750C" w:rsidRPr="00DD0ED3">
        <w:t xml:space="preserve">in Stage III disease </w:t>
      </w:r>
      <w:r w:rsidR="004B767F" w:rsidRPr="00DD0ED3">
        <w:t>was substantially overestimated)</w:t>
      </w:r>
      <w:r w:rsidR="00AC225B" w:rsidRPr="00DD0ED3">
        <w:t xml:space="preserve">, </w:t>
      </w:r>
      <w:r w:rsidR="00845C1D" w:rsidRPr="00DD0ED3">
        <w:t>as well as</w:t>
      </w:r>
      <w:r w:rsidR="00BF6BA0" w:rsidRPr="00DD0ED3">
        <w:t xml:space="preserve"> the financial estimates not accounting for treatment </w:t>
      </w:r>
      <w:r w:rsidR="00217C76" w:rsidRPr="00DD0ED3">
        <w:t xml:space="preserve">interruptions and </w:t>
      </w:r>
      <w:r w:rsidR="00FE7702" w:rsidRPr="00DD0ED3">
        <w:t xml:space="preserve">the </w:t>
      </w:r>
      <w:r w:rsidR="007C1FB7" w:rsidRPr="00DD0ED3">
        <w:t xml:space="preserve">uptake </w:t>
      </w:r>
      <w:r w:rsidR="007B07BB" w:rsidRPr="00DD0ED3">
        <w:t xml:space="preserve">for </w:t>
      </w:r>
      <w:r w:rsidR="00CB4C44" w:rsidRPr="00DD0ED3">
        <w:t xml:space="preserve">the </w:t>
      </w:r>
      <w:r w:rsidR="004B0236" w:rsidRPr="00DD0ED3">
        <w:t>offsets</w:t>
      </w:r>
      <w:r w:rsidR="00CB4C44" w:rsidRPr="00DD0ED3">
        <w:t xml:space="preserve"> </w:t>
      </w:r>
      <w:r w:rsidR="0097566D" w:rsidRPr="00DD0ED3">
        <w:t>for</w:t>
      </w:r>
      <w:r w:rsidR="00CB4C44" w:rsidRPr="00DD0ED3">
        <w:t xml:space="preserve"> </w:t>
      </w:r>
      <w:r w:rsidR="00C73E44" w:rsidRPr="00DD0ED3">
        <w:t>o</w:t>
      </w:r>
      <w:r w:rsidR="007B07BB" w:rsidRPr="00DD0ED3">
        <w:t>simertinib in the metastatic setting being potentially underestimated</w:t>
      </w:r>
      <w:r w:rsidR="00CB4C44" w:rsidRPr="00DD0ED3">
        <w:t>.</w:t>
      </w:r>
    </w:p>
    <w:p w14:paraId="195FEA90" w14:textId="2AEBF534" w:rsidR="00C40A01" w:rsidRPr="00C81397" w:rsidRDefault="00196CE6" w:rsidP="00A12328">
      <w:pPr>
        <w:pStyle w:val="3-BodyText"/>
        <w:rPr>
          <w:iCs/>
        </w:rPr>
      </w:pPr>
      <w:r>
        <w:t xml:space="preserve">The submission stated that if recommended by the PBAC, the Sponsor will request to increase </w:t>
      </w:r>
      <w:r w:rsidR="009745EA">
        <w:t xml:space="preserve">the expenditure caps in the Deed to account for the new patients being treated and the longer duration of osimertinib treatment i.e., </w:t>
      </w:r>
      <w:r w:rsidR="00B50819" w:rsidRPr="002B736C">
        <w:rPr>
          <w:color w:val="000000"/>
          <w:w w:val="66"/>
          <w:shd w:val="solid" w:color="000000" w:fill="000000"/>
          <w:fitText w:val="475" w:id="-628958712"/>
          <w14:textFill>
            <w14:solidFill>
              <w14:srgbClr w14:val="000000">
                <w14:alpha w14:val="100000"/>
              </w14:srgbClr>
            </w14:solidFill>
          </w14:textFill>
        </w:rPr>
        <w:t>|||</w:t>
      </w:r>
      <w:r w:rsidR="002B736C" w:rsidRPr="002B736C">
        <w:rPr>
          <w:color w:val="000000"/>
          <w:w w:val="66"/>
          <w:shd w:val="solid" w:color="000000" w:fill="000000"/>
          <w:fitText w:val="475" w:id="-628958712"/>
          <w14:textFill>
            <w14:solidFill>
              <w14:srgbClr w14:val="000000">
                <w14:alpha w14:val="100000"/>
              </w14:srgbClr>
            </w14:solidFill>
          </w14:textFill>
        </w:rPr>
        <w:t xml:space="preserve"> </w:t>
      </w:r>
      <w:r w:rsidR="00B50819" w:rsidRPr="002B736C">
        <w:rPr>
          <w:color w:val="000000"/>
          <w:w w:val="66"/>
          <w:shd w:val="solid" w:color="000000" w:fill="000000"/>
          <w:fitText w:val="475" w:id="-628958712"/>
          <w14:textFill>
            <w14:solidFill>
              <w14:srgbClr w14:val="000000">
                <w14:alpha w14:val="100000"/>
              </w14:srgbClr>
            </w14:solidFill>
          </w14:textFill>
        </w:rPr>
        <w:t>||</w:t>
      </w:r>
      <w:r w:rsidR="00B50819" w:rsidRPr="002B736C">
        <w:rPr>
          <w:color w:val="000000"/>
          <w:spacing w:val="1"/>
          <w:w w:val="66"/>
          <w:shd w:val="solid" w:color="000000" w:fill="000000"/>
          <w:fitText w:val="475" w:id="-628958712"/>
          <w14:textFill>
            <w14:solidFill>
              <w14:srgbClr w14:val="000000">
                <w14:alpha w14:val="100000"/>
              </w14:srgbClr>
            </w14:solidFill>
          </w14:textFill>
        </w:rPr>
        <w:t>|</w:t>
      </w:r>
      <w:r w:rsidR="009745EA">
        <w:t xml:space="preserve"> packs.</w:t>
      </w:r>
      <w:r w:rsidR="003E130F">
        <w:t xml:space="preserve"> </w:t>
      </w:r>
    </w:p>
    <w:p w14:paraId="71BF8EF2" w14:textId="59F1FEF1" w:rsidR="00771578" w:rsidRPr="00C869A9" w:rsidRDefault="00C81397" w:rsidP="00A12328">
      <w:pPr>
        <w:pStyle w:val="3-BodyText"/>
        <w:numPr>
          <w:ilvl w:val="0"/>
          <w:numId w:val="0"/>
        </w:numPr>
        <w:ind w:left="720"/>
        <w:rPr>
          <w:iCs/>
        </w:rPr>
      </w:pPr>
      <w:r w:rsidRPr="00C33D30">
        <w:rPr>
          <w:i/>
        </w:rPr>
        <w:t>For more detail on PBAC’s view, see section 7 PBAC outcome.</w:t>
      </w:r>
    </w:p>
    <w:p w14:paraId="194E9F44" w14:textId="77777777" w:rsidR="003D07EB" w:rsidRPr="0090150D" w:rsidRDefault="003D07EB" w:rsidP="00A12328">
      <w:pPr>
        <w:pStyle w:val="2-SectionHeading"/>
        <w:numPr>
          <w:ilvl w:val="0"/>
          <w:numId w:val="1"/>
        </w:numPr>
      </w:pPr>
      <w:bookmarkStart w:id="90" w:name="_Hlk76381249"/>
      <w:bookmarkEnd w:id="81"/>
      <w:r w:rsidRPr="0090150D">
        <w:t>PBAC Outcome</w:t>
      </w:r>
    </w:p>
    <w:p w14:paraId="6FF4A351" w14:textId="73B2BD52" w:rsidR="003D07EB" w:rsidRPr="0089783D" w:rsidRDefault="00872C08" w:rsidP="00A12328">
      <w:pPr>
        <w:numPr>
          <w:ilvl w:val="1"/>
          <w:numId w:val="1"/>
        </w:numPr>
        <w:spacing w:after="120"/>
        <w:rPr>
          <w:rFonts w:asciiTheme="minorHAnsi" w:hAnsiTheme="minorHAnsi"/>
          <w:snapToGrid w:val="0"/>
          <w:lang w:val="en-GB"/>
        </w:rPr>
      </w:pPr>
      <w:r w:rsidRPr="007E7CA0">
        <w:t>The PBAC recommended the General Schedule Authority Required</w:t>
      </w:r>
      <w:r w:rsidR="00EE75D2">
        <w:t xml:space="preserve"> (Telephone/Online PBS Authorities System) </w:t>
      </w:r>
      <w:r w:rsidRPr="007E7CA0">
        <w:t xml:space="preserve">listing of </w:t>
      </w:r>
      <w:r w:rsidR="002F7AAC">
        <w:t>osimertinib</w:t>
      </w:r>
      <w:r w:rsidRPr="007E7CA0">
        <w:t xml:space="preserve"> </w:t>
      </w:r>
      <w:r w:rsidR="00F36E6A" w:rsidRPr="004E18E9">
        <w:t xml:space="preserve">for the treatment of </w:t>
      </w:r>
      <w:r w:rsidR="00F36E6A">
        <w:t xml:space="preserve">unresectable locally advanced (Stage III) epidermal growth factor receptor </w:t>
      </w:r>
      <w:r w:rsidR="00F36E6A" w:rsidRPr="007F667F">
        <w:rPr>
          <w:i/>
        </w:rPr>
        <w:t>(EGFR)</w:t>
      </w:r>
      <w:r w:rsidR="00F36E6A">
        <w:t xml:space="preserve"> pathogenic variant positive non-small cell lung cancer (NSCLC) patients whose disease has not progressed during or following platinum-based chemoradiation therapy (CRT)</w:t>
      </w:r>
      <w:r w:rsidRPr="007E7CA0">
        <w:t xml:space="preserve">. </w:t>
      </w:r>
      <w:r w:rsidRPr="00480EBC">
        <w:t xml:space="preserve">The PBAC considered the evidence presented in the submission demonstrated a meaningful difference in </w:t>
      </w:r>
      <w:r w:rsidR="000B72F9" w:rsidRPr="00480EBC">
        <w:t>progression free survival</w:t>
      </w:r>
      <w:r w:rsidRPr="00480EBC">
        <w:rPr>
          <w:color w:val="000000"/>
        </w:rPr>
        <w:t xml:space="preserve"> (</w:t>
      </w:r>
      <w:r w:rsidR="000B72F9" w:rsidRPr="00480EBC">
        <w:rPr>
          <w:color w:val="000000"/>
        </w:rPr>
        <w:t>PFS</w:t>
      </w:r>
      <w:r w:rsidRPr="00480EBC">
        <w:rPr>
          <w:color w:val="000000"/>
        </w:rPr>
        <w:t>) over the comparator (</w:t>
      </w:r>
      <w:r w:rsidR="00DB77D7" w:rsidRPr="00480EBC">
        <w:rPr>
          <w:color w:val="000000"/>
        </w:rPr>
        <w:t>placebo [</w:t>
      </w:r>
      <w:r w:rsidR="00821530">
        <w:rPr>
          <w:color w:val="000000"/>
        </w:rPr>
        <w:t>s</w:t>
      </w:r>
      <w:r w:rsidR="00DB77D7" w:rsidRPr="00480EBC">
        <w:rPr>
          <w:color w:val="000000"/>
        </w:rPr>
        <w:t xml:space="preserve">tandard of </w:t>
      </w:r>
      <w:r w:rsidR="00821530">
        <w:rPr>
          <w:color w:val="000000"/>
        </w:rPr>
        <w:t>c</w:t>
      </w:r>
      <w:r w:rsidR="00DB77D7" w:rsidRPr="00480EBC">
        <w:rPr>
          <w:color w:val="000000"/>
        </w:rPr>
        <w:t>are]</w:t>
      </w:r>
      <w:r w:rsidR="00EF0B41" w:rsidRPr="00480EBC">
        <w:rPr>
          <w:color w:val="000000"/>
        </w:rPr>
        <w:t>) but</w:t>
      </w:r>
      <w:r w:rsidRPr="00E4499E">
        <w:rPr>
          <w:color w:val="000000"/>
        </w:rPr>
        <w:t xml:space="preserve"> noted that a benefit in terms of overall survival</w:t>
      </w:r>
      <w:r w:rsidR="00BD3301">
        <w:rPr>
          <w:color w:val="000000"/>
        </w:rPr>
        <w:t xml:space="preserve"> (OS)</w:t>
      </w:r>
      <w:r w:rsidRPr="00E4499E">
        <w:rPr>
          <w:color w:val="000000"/>
        </w:rPr>
        <w:t xml:space="preserve"> had not been demonstrated in the clinical trial and therefore remained uncertain</w:t>
      </w:r>
      <w:r w:rsidRPr="00CC5AFE">
        <w:t xml:space="preserve">. </w:t>
      </w:r>
      <w:r w:rsidR="00E76D98" w:rsidRPr="0089783D">
        <w:t xml:space="preserve">The PBAC </w:t>
      </w:r>
      <w:r w:rsidR="00AF2278">
        <w:t>considered t</w:t>
      </w:r>
      <w:r w:rsidR="00A8761C">
        <w:t>he</w:t>
      </w:r>
      <w:r w:rsidR="008D5A37">
        <w:t xml:space="preserve"> structure of</w:t>
      </w:r>
      <w:r w:rsidR="00AF2278">
        <w:t xml:space="preserve"> t</w:t>
      </w:r>
      <w:r w:rsidR="00A8761C">
        <w:t xml:space="preserve">he economic model to be a reliable basis for decision making, however </w:t>
      </w:r>
      <w:r w:rsidR="00E16036">
        <w:t>considered that the incremental cost-effectiveness ratio (</w:t>
      </w:r>
      <w:r w:rsidR="008A374A">
        <w:t>ICER</w:t>
      </w:r>
      <w:r w:rsidR="00E16036">
        <w:t xml:space="preserve">) had been underestimated due to </w:t>
      </w:r>
      <w:r w:rsidR="00A17665">
        <w:t>the inclusion of</w:t>
      </w:r>
      <w:r w:rsidR="00634F66">
        <w:t xml:space="preserve"> a number of optimistic assumptions</w:t>
      </w:r>
      <w:r w:rsidR="00524319">
        <w:t>.</w:t>
      </w:r>
      <w:r w:rsidR="00E76D98" w:rsidRPr="0089783D">
        <w:t xml:space="preserve"> </w:t>
      </w:r>
      <w:r w:rsidR="00DE04AB">
        <w:t>The PBAC considered that amendment to</w:t>
      </w:r>
      <w:r w:rsidR="00E42A28">
        <w:t xml:space="preserve"> these</w:t>
      </w:r>
      <w:r w:rsidR="00DE04AB">
        <w:t xml:space="preserve"> </w:t>
      </w:r>
      <w:r w:rsidR="009B3A23">
        <w:t>inputs</w:t>
      </w:r>
      <w:r w:rsidR="00DE04AB">
        <w:t xml:space="preserve"> and a price reduction would be required to achieve a </w:t>
      </w:r>
      <w:r w:rsidR="00524319">
        <w:t xml:space="preserve">more </w:t>
      </w:r>
      <w:r w:rsidR="00DE04AB">
        <w:t xml:space="preserve">reliable and cost-effective ICER. </w:t>
      </w:r>
      <w:r w:rsidR="00F372EB">
        <w:t xml:space="preserve">The PBAC considered </w:t>
      </w:r>
      <w:r w:rsidR="001C7707">
        <w:t xml:space="preserve">that the financial estimates were </w:t>
      </w:r>
      <w:r w:rsidR="00CA1DEA">
        <w:t xml:space="preserve">uncertain, and likely </w:t>
      </w:r>
      <w:r w:rsidR="001C7707">
        <w:t>overestimated</w:t>
      </w:r>
      <w:r w:rsidR="00AA7DEC">
        <w:t xml:space="preserve">, and </w:t>
      </w:r>
      <w:r w:rsidR="00CA1DEA">
        <w:t xml:space="preserve">advised </w:t>
      </w:r>
      <w:r w:rsidR="00A24CA6">
        <w:t>tha</w:t>
      </w:r>
      <w:r w:rsidR="006C729E">
        <w:t xml:space="preserve">t </w:t>
      </w:r>
      <w:r w:rsidR="00AA7DEC">
        <w:t xml:space="preserve">the inputs used to calculate the eligible patient population required </w:t>
      </w:r>
      <w:r w:rsidR="00F320BE">
        <w:t xml:space="preserve">further </w:t>
      </w:r>
      <w:r w:rsidR="00AA7DEC">
        <w:t>revision</w:t>
      </w:r>
      <w:r w:rsidR="001C7707">
        <w:t xml:space="preserve">. </w:t>
      </w:r>
      <w:r w:rsidRPr="0089783D">
        <w:t xml:space="preserve">The PBAC </w:t>
      </w:r>
      <w:r w:rsidR="00E76D98" w:rsidRPr="0089783D">
        <w:t>recommended</w:t>
      </w:r>
      <w:r w:rsidRPr="0089783D">
        <w:t xml:space="preserve"> </w:t>
      </w:r>
      <w:r w:rsidR="0070304C">
        <w:t>the listing</w:t>
      </w:r>
      <w:r w:rsidR="0014471B">
        <w:t xml:space="preserve"> should</w:t>
      </w:r>
      <w:r w:rsidR="0070304C">
        <w:t xml:space="preserve"> </w:t>
      </w:r>
      <w:r w:rsidR="00B14B9C">
        <w:t>join the</w:t>
      </w:r>
      <w:r w:rsidR="00E928CC" w:rsidRPr="0089783D">
        <w:t xml:space="preserve"> </w:t>
      </w:r>
      <w:r w:rsidR="009D7795">
        <w:t>existing</w:t>
      </w:r>
      <w:r w:rsidR="00E928CC" w:rsidRPr="0089783D">
        <w:t xml:space="preserve"> combined</w:t>
      </w:r>
      <w:r w:rsidRPr="0089783D">
        <w:t xml:space="preserve"> </w:t>
      </w:r>
      <w:r w:rsidR="0086156F">
        <w:t>o</w:t>
      </w:r>
      <w:r w:rsidR="00B14B9C">
        <w:t>simertinib</w:t>
      </w:r>
      <w:r w:rsidRPr="0089783D">
        <w:t xml:space="preserve"> risk sharing arrangement</w:t>
      </w:r>
      <w:r w:rsidR="00846F7E" w:rsidRPr="0089783D">
        <w:t xml:space="preserve"> (RSA)</w:t>
      </w:r>
      <w:r w:rsidRPr="0089783D">
        <w:t>.</w:t>
      </w:r>
    </w:p>
    <w:p w14:paraId="26C74E39" w14:textId="073B8238" w:rsidR="001850C0" w:rsidRPr="00DC48AF" w:rsidRDefault="00224B1E" w:rsidP="00A12328">
      <w:pPr>
        <w:pStyle w:val="3-BodyText"/>
      </w:pPr>
      <w:r>
        <w:rPr>
          <w:lang w:val="en-GB"/>
        </w:rPr>
        <w:t xml:space="preserve">The </w:t>
      </w:r>
      <w:r w:rsidRPr="00EC72F8">
        <w:rPr>
          <w:lang w:val="en-GB"/>
        </w:rPr>
        <w:t xml:space="preserve">PBAC considered that </w:t>
      </w:r>
      <w:r w:rsidR="002F4D19">
        <w:rPr>
          <w:lang w:val="en-GB"/>
        </w:rPr>
        <w:t>an u</w:t>
      </w:r>
      <w:r w:rsidR="00476E35">
        <w:rPr>
          <w:lang w:val="en-GB"/>
        </w:rPr>
        <w:t>n</w:t>
      </w:r>
      <w:r w:rsidR="002F4D19">
        <w:rPr>
          <w:lang w:val="en-GB"/>
        </w:rPr>
        <w:t>met</w:t>
      </w:r>
      <w:r w:rsidR="002F4D19" w:rsidRPr="00EC72F8">
        <w:rPr>
          <w:lang w:val="en-GB"/>
        </w:rPr>
        <w:t xml:space="preserve"> </w:t>
      </w:r>
      <w:r w:rsidRPr="00EC72F8">
        <w:rPr>
          <w:lang w:val="en-GB"/>
        </w:rPr>
        <w:t xml:space="preserve">clinical need </w:t>
      </w:r>
      <w:r w:rsidR="002F4D19">
        <w:rPr>
          <w:lang w:val="en-GB"/>
        </w:rPr>
        <w:t xml:space="preserve">remains </w:t>
      </w:r>
      <w:r w:rsidRPr="00EC72F8">
        <w:rPr>
          <w:lang w:val="en-GB"/>
        </w:rPr>
        <w:t xml:space="preserve">for </w:t>
      </w:r>
      <w:r w:rsidR="002F4D19">
        <w:rPr>
          <w:lang w:val="en-GB"/>
        </w:rPr>
        <w:t xml:space="preserve">additional </w:t>
      </w:r>
      <w:r w:rsidRPr="00EC72F8">
        <w:rPr>
          <w:lang w:val="en-GB"/>
        </w:rPr>
        <w:t>treatments in the Stage III unresectable setting</w:t>
      </w:r>
      <w:r w:rsidR="00F76853">
        <w:rPr>
          <w:lang w:val="en-GB"/>
        </w:rPr>
        <w:t>,</w:t>
      </w:r>
      <w:r w:rsidRPr="00EC72F8">
        <w:rPr>
          <w:lang w:val="en-GB"/>
        </w:rPr>
        <w:t xml:space="preserve"> </w:t>
      </w:r>
      <w:r w:rsidR="00F76853">
        <w:rPr>
          <w:lang w:val="en-GB"/>
        </w:rPr>
        <w:t>noting that</w:t>
      </w:r>
      <w:r w:rsidR="003537E7">
        <w:rPr>
          <w:lang w:val="en-GB"/>
        </w:rPr>
        <w:t xml:space="preserve"> </w:t>
      </w:r>
      <w:r w:rsidR="0087343D" w:rsidRPr="004B687E">
        <w:t>there is no targeted treatment currently available</w:t>
      </w:r>
      <w:r w:rsidR="0087343D">
        <w:t xml:space="preserve"> for</w:t>
      </w:r>
      <w:r w:rsidR="0087343D" w:rsidRPr="00EC72F8">
        <w:rPr>
          <w:lang w:val="en-GB"/>
        </w:rPr>
        <w:t xml:space="preserve"> </w:t>
      </w:r>
      <w:r w:rsidR="0087343D" w:rsidRPr="00EC72F8">
        <w:rPr>
          <w:i/>
          <w:iCs/>
          <w:lang w:val="en-GB"/>
        </w:rPr>
        <w:t>EGFR</w:t>
      </w:r>
      <w:r w:rsidR="0087343D" w:rsidRPr="00EC72F8">
        <w:rPr>
          <w:lang w:val="en-GB"/>
        </w:rPr>
        <w:t xml:space="preserve"> positive patients</w:t>
      </w:r>
      <w:r w:rsidR="0087343D">
        <w:rPr>
          <w:lang w:val="en-GB"/>
        </w:rPr>
        <w:t xml:space="preserve"> and</w:t>
      </w:r>
      <w:r w:rsidRPr="00EC72F8">
        <w:rPr>
          <w:lang w:val="en-GB"/>
        </w:rPr>
        <w:t xml:space="preserve"> the benefit </w:t>
      </w:r>
      <w:r w:rsidR="009E4B1B">
        <w:rPr>
          <w:lang w:val="en-GB"/>
        </w:rPr>
        <w:t xml:space="preserve">of </w:t>
      </w:r>
      <w:r w:rsidRPr="00EC72F8">
        <w:rPr>
          <w:lang w:val="en-GB"/>
        </w:rPr>
        <w:t xml:space="preserve">consolidation treatment with </w:t>
      </w:r>
      <w:r w:rsidR="00C06694">
        <w:rPr>
          <w:lang w:val="en-GB"/>
        </w:rPr>
        <w:t>immunotherapy</w:t>
      </w:r>
      <w:r w:rsidR="00753A60">
        <w:rPr>
          <w:lang w:val="en-GB"/>
        </w:rPr>
        <w:t xml:space="preserve"> </w:t>
      </w:r>
      <w:r w:rsidR="00753A60" w:rsidRPr="00EC72F8">
        <w:rPr>
          <w:lang w:val="en-GB"/>
        </w:rPr>
        <w:t>following CRT</w:t>
      </w:r>
      <w:r w:rsidRPr="00EC72F8">
        <w:rPr>
          <w:lang w:val="en-GB"/>
        </w:rPr>
        <w:t xml:space="preserve"> is uncertain. </w:t>
      </w:r>
      <w:r w:rsidR="00963A79">
        <w:rPr>
          <w:lang w:val="en-GB"/>
        </w:rPr>
        <w:t xml:space="preserve">The PBAC also noted that the use of </w:t>
      </w:r>
      <w:r w:rsidR="00963A79" w:rsidRPr="001A4CDD">
        <w:t>osimertinib after definitive c</w:t>
      </w:r>
      <w:r w:rsidR="00106C1E">
        <w:t xml:space="preserve">oncurrent </w:t>
      </w:r>
      <w:r w:rsidR="00963A79" w:rsidRPr="001A4CDD">
        <w:t xml:space="preserve">CRT </w:t>
      </w:r>
      <w:r w:rsidR="007B07F5">
        <w:t>would be</w:t>
      </w:r>
      <w:r w:rsidR="00DC48AF">
        <w:t xml:space="preserve"> consistent with current clinical practice guidelines </w:t>
      </w:r>
      <w:r w:rsidR="00963A79" w:rsidRPr="001A4CDD">
        <w:t>(NCCN 2024</w:t>
      </w:r>
      <w:r w:rsidR="00504735">
        <w:rPr>
          <w:rStyle w:val="FootnoteReference"/>
        </w:rPr>
        <w:footnoteReference w:id="24"/>
      </w:r>
      <w:r w:rsidR="00963A79" w:rsidRPr="001A4CDD">
        <w:t>, Daly 2024</w:t>
      </w:r>
      <w:r w:rsidR="00963A79" w:rsidRPr="001A4CDD">
        <w:rPr>
          <w:rStyle w:val="FootnoteReference"/>
        </w:rPr>
        <w:footnoteReference w:id="25"/>
      </w:r>
      <w:r w:rsidR="00963A79" w:rsidRPr="001A4CDD">
        <w:t>).</w:t>
      </w:r>
    </w:p>
    <w:p w14:paraId="172A3B33" w14:textId="48B78BA1" w:rsidR="003D07EB" w:rsidRPr="00EC72F8" w:rsidRDefault="00224B1E" w:rsidP="00A12328">
      <w:pPr>
        <w:numPr>
          <w:ilvl w:val="1"/>
          <w:numId w:val="1"/>
        </w:numPr>
        <w:spacing w:after="120"/>
        <w:rPr>
          <w:rFonts w:asciiTheme="minorHAnsi" w:hAnsiTheme="minorHAnsi"/>
          <w:snapToGrid w:val="0"/>
          <w:lang w:val="en-GB"/>
        </w:rPr>
      </w:pPr>
      <w:r w:rsidRPr="009E4B1B">
        <w:rPr>
          <w:bCs/>
        </w:rPr>
        <w:t>The PBAC noted the consumer comments received for this submission from</w:t>
      </w:r>
      <w:r w:rsidR="004F2CF1">
        <w:rPr>
          <w:bCs/>
        </w:rPr>
        <w:t xml:space="preserve"> </w:t>
      </w:r>
      <w:r w:rsidR="0087424A">
        <w:rPr>
          <w:bCs/>
        </w:rPr>
        <w:t xml:space="preserve">one </w:t>
      </w:r>
      <w:r w:rsidR="004F2CF1">
        <w:rPr>
          <w:bCs/>
        </w:rPr>
        <w:t>individual and</w:t>
      </w:r>
      <w:r w:rsidRPr="009E4B1B">
        <w:rPr>
          <w:bCs/>
        </w:rPr>
        <w:t xml:space="preserve"> </w:t>
      </w:r>
      <w:r w:rsidR="003575BF" w:rsidRPr="009E4B1B">
        <w:rPr>
          <w:bCs/>
        </w:rPr>
        <w:t>medical organisations and consumer groups</w:t>
      </w:r>
      <w:r w:rsidR="00FF5514" w:rsidRPr="009E4B1B">
        <w:rPr>
          <w:bCs/>
        </w:rPr>
        <w:t xml:space="preserve"> (</w:t>
      </w:r>
      <w:r w:rsidR="00435F72" w:rsidRPr="00EC72F8">
        <w:t xml:space="preserve">Thoracic Oncology Group of Australasia, </w:t>
      </w:r>
      <w:r w:rsidR="00952A7A" w:rsidRPr="00EC72F8">
        <w:t>the Medical Oncology Group Australia</w:t>
      </w:r>
      <w:r w:rsidRPr="009E4B1B">
        <w:rPr>
          <w:bCs/>
        </w:rPr>
        <w:t>,</w:t>
      </w:r>
      <w:r w:rsidR="00952A7A" w:rsidRPr="009E4B1B">
        <w:rPr>
          <w:bCs/>
        </w:rPr>
        <w:t xml:space="preserve"> </w:t>
      </w:r>
      <w:r w:rsidR="00952A7A" w:rsidRPr="00EC72F8">
        <w:t>Lung Foundation Australia, and Rare Cancers Australia</w:t>
      </w:r>
      <w:r w:rsidR="00952A7A" w:rsidRPr="009E4B1B">
        <w:t>)</w:t>
      </w:r>
      <w:r w:rsidR="00521CBF" w:rsidRPr="009E4B1B">
        <w:rPr>
          <w:bCs/>
        </w:rPr>
        <w:t xml:space="preserve">, </w:t>
      </w:r>
      <w:r w:rsidRPr="009E4B1B">
        <w:t xml:space="preserve">all of which supported the proposed listing for </w:t>
      </w:r>
      <w:r w:rsidR="00521CBF" w:rsidRPr="009E4B1B">
        <w:t xml:space="preserve">osimertinib in </w:t>
      </w:r>
      <w:r w:rsidR="00753A60">
        <w:t>this population</w:t>
      </w:r>
      <w:r w:rsidRPr="009E4B1B">
        <w:t>.</w:t>
      </w:r>
      <w:r w:rsidR="00B56291">
        <w:t xml:space="preserve"> The</w:t>
      </w:r>
      <w:r w:rsidR="00FB28E7">
        <w:t xml:space="preserve"> PBAC noted the consumer comments outlining the clinical benefits associated with osimertinib, based on the results of</w:t>
      </w:r>
      <w:r w:rsidR="000835C6">
        <w:t xml:space="preserve"> the</w:t>
      </w:r>
      <w:r w:rsidR="00FB28E7">
        <w:t xml:space="preserve"> LAURA trial. </w:t>
      </w:r>
      <w:r w:rsidR="000F0438">
        <w:t xml:space="preserve">The PBAC </w:t>
      </w:r>
      <w:r w:rsidR="00C14964">
        <w:t xml:space="preserve">also </w:t>
      </w:r>
      <w:r w:rsidR="000F0438">
        <w:t>noted comments</w:t>
      </w:r>
      <w:r w:rsidR="00C14964" w:rsidRPr="00C14964">
        <w:t xml:space="preserve"> </w:t>
      </w:r>
      <w:r w:rsidR="00C14964">
        <w:t>emphasised the significant financial burden experienced by NSCLC patients and</w:t>
      </w:r>
      <w:r w:rsidR="000F0438">
        <w:t xml:space="preserve"> that the cost of </w:t>
      </w:r>
      <w:r w:rsidR="009C2BDF">
        <w:t>osimertinib</w:t>
      </w:r>
      <w:r w:rsidR="000F0438">
        <w:t xml:space="preserve"> remained a </w:t>
      </w:r>
      <w:r w:rsidR="00291EB4">
        <w:t xml:space="preserve">barrier to treatment and that a PBS listing would ensure equity of access. </w:t>
      </w:r>
    </w:p>
    <w:p w14:paraId="7A99190C" w14:textId="0FA81B1B" w:rsidR="00242B33" w:rsidRDefault="00242B33" w:rsidP="00A12328">
      <w:pPr>
        <w:numPr>
          <w:ilvl w:val="1"/>
          <w:numId w:val="1"/>
        </w:numPr>
        <w:spacing w:after="120"/>
        <w:rPr>
          <w:rFonts w:asciiTheme="minorHAnsi" w:hAnsiTheme="minorHAnsi"/>
          <w:snapToGrid w:val="0"/>
          <w:lang w:val="en-GB"/>
        </w:rPr>
      </w:pPr>
      <w:bookmarkStart w:id="91" w:name="_Ref194920907"/>
      <w:r>
        <w:rPr>
          <w:rFonts w:asciiTheme="minorHAnsi" w:hAnsiTheme="minorHAnsi"/>
          <w:snapToGrid w:val="0"/>
          <w:lang w:val="en-GB"/>
        </w:rPr>
        <w:t xml:space="preserve">The PBAC noted the following points regarding the restriction for </w:t>
      </w:r>
      <w:r w:rsidR="004D538E">
        <w:rPr>
          <w:rFonts w:asciiTheme="minorHAnsi" w:hAnsiTheme="minorHAnsi"/>
          <w:snapToGrid w:val="0"/>
          <w:lang w:val="en-GB"/>
        </w:rPr>
        <w:t xml:space="preserve">osimertinib in </w:t>
      </w:r>
      <w:r w:rsidR="001109FB">
        <w:rPr>
          <w:rFonts w:asciiTheme="minorHAnsi" w:hAnsiTheme="minorHAnsi"/>
          <w:snapToGrid w:val="0"/>
          <w:lang w:val="en-GB"/>
        </w:rPr>
        <w:t xml:space="preserve">unresectable </w:t>
      </w:r>
      <w:r w:rsidR="004D538E">
        <w:rPr>
          <w:rFonts w:asciiTheme="minorHAnsi" w:hAnsiTheme="minorHAnsi"/>
          <w:snapToGrid w:val="0"/>
          <w:lang w:val="en-GB"/>
        </w:rPr>
        <w:t>Stage</w:t>
      </w:r>
      <w:r w:rsidR="001109FB">
        <w:rPr>
          <w:rFonts w:asciiTheme="minorHAnsi" w:hAnsiTheme="minorHAnsi"/>
          <w:snapToGrid w:val="0"/>
          <w:lang w:val="en-GB"/>
        </w:rPr>
        <w:t> </w:t>
      </w:r>
      <w:r w:rsidR="004D538E">
        <w:rPr>
          <w:rFonts w:asciiTheme="minorHAnsi" w:hAnsiTheme="minorHAnsi"/>
          <w:snapToGrid w:val="0"/>
          <w:lang w:val="en-GB"/>
        </w:rPr>
        <w:t>III disease</w:t>
      </w:r>
      <w:r>
        <w:rPr>
          <w:rFonts w:asciiTheme="minorHAnsi" w:hAnsiTheme="minorHAnsi"/>
          <w:snapToGrid w:val="0"/>
          <w:lang w:val="en-GB"/>
        </w:rPr>
        <w:t xml:space="preserve">. The reasoning behind each point is discussed in </w:t>
      </w:r>
      <w:r w:rsidRPr="001F52BF">
        <w:rPr>
          <w:rFonts w:asciiTheme="minorHAnsi" w:hAnsiTheme="minorHAnsi"/>
          <w:snapToGrid w:val="0"/>
          <w:lang w:val="en-GB"/>
        </w:rPr>
        <w:t xml:space="preserve">paragraphs </w:t>
      </w:r>
      <w:r w:rsidR="008800F9" w:rsidRPr="001F52BF">
        <w:rPr>
          <w:rFonts w:asciiTheme="minorHAnsi" w:hAnsiTheme="minorHAnsi"/>
          <w:snapToGrid w:val="0"/>
          <w:lang w:val="en-GB"/>
        </w:rPr>
        <w:fldChar w:fldCharType="begin"/>
      </w:r>
      <w:r w:rsidR="008800F9" w:rsidRPr="001F52BF">
        <w:rPr>
          <w:rFonts w:asciiTheme="minorHAnsi" w:hAnsiTheme="minorHAnsi"/>
          <w:snapToGrid w:val="0"/>
          <w:lang w:val="en-GB"/>
        </w:rPr>
        <w:instrText xml:space="preserve"> REF _Ref202975473 \r \h  \* MERGEFORMAT </w:instrText>
      </w:r>
      <w:r w:rsidR="008800F9" w:rsidRPr="001F52BF">
        <w:rPr>
          <w:rFonts w:asciiTheme="minorHAnsi" w:hAnsiTheme="minorHAnsi"/>
          <w:snapToGrid w:val="0"/>
          <w:lang w:val="en-GB"/>
        </w:rPr>
      </w:r>
      <w:r w:rsidR="008800F9" w:rsidRPr="001F52BF">
        <w:rPr>
          <w:rFonts w:asciiTheme="minorHAnsi" w:hAnsiTheme="minorHAnsi"/>
          <w:snapToGrid w:val="0"/>
          <w:lang w:val="en-GB"/>
        </w:rPr>
        <w:fldChar w:fldCharType="separate"/>
      </w:r>
      <w:r w:rsidR="009F3D59">
        <w:rPr>
          <w:rFonts w:asciiTheme="minorHAnsi" w:hAnsiTheme="minorHAnsi"/>
          <w:snapToGrid w:val="0"/>
          <w:lang w:val="en-GB"/>
        </w:rPr>
        <w:t>3.3</w:t>
      </w:r>
      <w:r w:rsidR="008800F9" w:rsidRPr="001F52BF">
        <w:rPr>
          <w:rFonts w:asciiTheme="minorHAnsi" w:hAnsiTheme="minorHAnsi"/>
          <w:snapToGrid w:val="0"/>
          <w:lang w:val="en-GB"/>
        </w:rPr>
        <w:fldChar w:fldCharType="end"/>
      </w:r>
      <w:r w:rsidR="008800F9" w:rsidRPr="001F52BF">
        <w:rPr>
          <w:rFonts w:asciiTheme="minorHAnsi" w:hAnsiTheme="minorHAnsi"/>
          <w:snapToGrid w:val="0"/>
          <w:lang w:val="en-GB"/>
        </w:rPr>
        <w:t xml:space="preserve"> to</w:t>
      </w:r>
      <w:r w:rsidR="002E1944">
        <w:rPr>
          <w:rFonts w:asciiTheme="minorHAnsi" w:hAnsiTheme="minorHAnsi"/>
          <w:snapToGrid w:val="0"/>
          <w:lang w:val="en-GB"/>
        </w:rPr>
        <w:t xml:space="preserve"> </w:t>
      </w:r>
      <w:r w:rsidR="002E1944">
        <w:rPr>
          <w:rFonts w:asciiTheme="minorHAnsi" w:hAnsiTheme="minorHAnsi"/>
          <w:snapToGrid w:val="0"/>
          <w:lang w:val="en-GB"/>
        </w:rPr>
        <w:fldChar w:fldCharType="begin"/>
      </w:r>
      <w:r w:rsidR="002E1944">
        <w:rPr>
          <w:rFonts w:asciiTheme="minorHAnsi" w:hAnsiTheme="minorHAnsi"/>
          <w:snapToGrid w:val="0"/>
          <w:lang w:val="en-GB"/>
        </w:rPr>
        <w:instrText xml:space="preserve"> REF _Ref201135854 \r \h </w:instrText>
      </w:r>
      <w:r w:rsidR="002E1944">
        <w:rPr>
          <w:rFonts w:asciiTheme="minorHAnsi" w:hAnsiTheme="minorHAnsi"/>
          <w:snapToGrid w:val="0"/>
          <w:lang w:val="en-GB"/>
        </w:rPr>
      </w:r>
      <w:r w:rsidR="002E1944">
        <w:rPr>
          <w:rFonts w:asciiTheme="minorHAnsi" w:hAnsiTheme="minorHAnsi"/>
          <w:snapToGrid w:val="0"/>
          <w:lang w:val="en-GB"/>
        </w:rPr>
        <w:fldChar w:fldCharType="separate"/>
      </w:r>
      <w:r w:rsidR="009F3D59">
        <w:rPr>
          <w:rFonts w:asciiTheme="minorHAnsi" w:hAnsiTheme="minorHAnsi"/>
          <w:snapToGrid w:val="0"/>
          <w:lang w:val="en-GB"/>
        </w:rPr>
        <w:t>3.6</w:t>
      </w:r>
      <w:r w:rsidR="002E1944">
        <w:rPr>
          <w:rFonts w:asciiTheme="minorHAnsi" w:hAnsiTheme="minorHAnsi"/>
          <w:snapToGrid w:val="0"/>
          <w:lang w:val="en-GB"/>
        </w:rPr>
        <w:fldChar w:fldCharType="end"/>
      </w:r>
      <w:r w:rsidRPr="001F52BF">
        <w:rPr>
          <w:rFonts w:asciiTheme="minorHAnsi" w:hAnsiTheme="minorHAnsi"/>
          <w:snapToGrid w:val="0"/>
          <w:lang w:val="en-GB"/>
        </w:rPr>
        <w:t>.</w:t>
      </w:r>
      <w:bookmarkEnd w:id="91"/>
    </w:p>
    <w:p w14:paraId="3128CD78" w14:textId="789BBCCB" w:rsidR="007B0918" w:rsidRDefault="00985AAF" w:rsidP="00A12328">
      <w:pPr>
        <w:pStyle w:val="ListParagraph"/>
        <w:numPr>
          <w:ilvl w:val="0"/>
          <w:numId w:val="31"/>
        </w:numPr>
        <w:rPr>
          <w:lang w:val="en-GB"/>
        </w:rPr>
      </w:pPr>
      <w:r>
        <w:rPr>
          <w:lang w:val="en-GB"/>
        </w:rPr>
        <w:t xml:space="preserve">That it </w:t>
      </w:r>
      <w:r w:rsidR="0036371C">
        <w:rPr>
          <w:lang w:val="en-GB"/>
        </w:rPr>
        <w:t xml:space="preserve">would not be necessary or appropriate to </w:t>
      </w:r>
      <w:r w:rsidR="00AC7605">
        <w:rPr>
          <w:lang w:val="en-GB"/>
        </w:rPr>
        <w:t>require a specific timeframe</w:t>
      </w:r>
      <w:r w:rsidR="00FC23C0">
        <w:rPr>
          <w:lang w:val="en-GB"/>
        </w:rPr>
        <w:t xml:space="preserve"> </w:t>
      </w:r>
      <w:r w:rsidR="00AC7605">
        <w:rPr>
          <w:lang w:val="en-GB"/>
        </w:rPr>
        <w:t>between CRT and initiation of osimertinib</w:t>
      </w:r>
    </w:p>
    <w:p w14:paraId="7CB12D5C" w14:textId="09A6A55F" w:rsidR="0027797C" w:rsidRPr="00B46309" w:rsidRDefault="0027797C" w:rsidP="00A12328">
      <w:pPr>
        <w:pStyle w:val="ListParagraph"/>
        <w:numPr>
          <w:ilvl w:val="0"/>
          <w:numId w:val="31"/>
        </w:numPr>
        <w:rPr>
          <w:lang w:val="en-GB"/>
        </w:rPr>
      </w:pPr>
      <w:r w:rsidRPr="007B0918">
        <w:rPr>
          <w:lang w:val="en-GB"/>
        </w:rPr>
        <w:t>T</w:t>
      </w:r>
      <w:r w:rsidR="00600504" w:rsidRPr="007B0918">
        <w:rPr>
          <w:lang w:val="en-GB"/>
        </w:rPr>
        <w:t xml:space="preserve">hat the criterion proposed in the submission, that patients should cease treatment after disease progression, was </w:t>
      </w:r>
      <w:r w:rsidR="00355C33" w:rsidRPr="007B0918">
        <w:rPr>
          <w:lang w:val="en-GB"/>
        </w:rPr>
        <w:t>appropriate</w:t>
      </w:r>
    </w:p>
    <w:p w14:paraId="2E5B1AC7" w14:textId="5922D719" w:rsidR="004B713B" w:rsidRDefault="000420A7" w:rsidP="00A12328">
      <w:pPr>
        <w:pStyle w:val="ListParagraph"/>
        <w:numPr>
          <w:ilvl w:val="0"/>
          <w:numId w:val="31"/>
        </w:numPr>
        <w:ind w:left="1434" w:hanging="357"/>
        <w:rPr>
          <w:lang w:val="en-GB"/>
        </w:rPr>
      </w:pPr>
      <w:r>
        <w:rPr>
          <w:lang w:val="en-GB"/>
        </w:rPr>
        <w:t>That a</w:t>
      </w:r>
      <w:r w:rsidR="003C6E38">
        <w:rPr>
          <w:lang w:val="en-GB"/>
        </w:rPr>
        <w:t xml:space="preserve"> </w:t>
      </w:r>
      <w:r w:rsidR="00AC20FB">
        <w:rPr>
          <w:lang w:val="en-GB"/>
        </w:rPr>
        <w:t>limit</w:t>
      </w:r>
      <w:r w:rsidR="003C6E38">
        <w:rPr>
          <w:lang w:val="en-GB"/>
        </w:rPr>
        <w:t xml:space="preserve"> on the duration of continuing treatment in patients who do not develop </w:t>
      </w:r>
      <w:r w:rsidR="00AC20FB">
        <w:rPr>
          <w:lang w:val="en-GB"/>
        </w:rPr>
        <w:t xml:space="preserve">disease progression would not </w:t>
      </w:r>
      <w:r w:rsidR="00E53E9E">
        <w:rPr>
          <w:lang w:val="en-GB"/>
        </w:rPr>
        <w:t>be required</w:t>
      </w:r>
      <w:r w:rsidR="00625B03">
        <w:rPr>
          <w:lang w:val="en-GB"/>
        </w:rPr>
        <w:t xml:space="preserve"> </w:t>
      </w:r>
    </w:p>
    <w:p w14:paraId="0C3494E3" w14:textId="634232C8" w:rsidR="00625B03" w:rsidRPr="00625B03" w:rsidRDefault="0097186A" w:rsidP="00A12328">
      <w:pPr>
        <w:pStyle w:val="ListBullet"/>
        <w:tabs>
          <w:tab w:val="clear" w:pos="360"/>
          <w:tab w:val="num" w:pos="1440"/>
        </w:tabs>
        <w:spacing w:after="120"/>
        <w:ind w:left="1434" w:hanging="357"/>
        <w:contextualSpacing w:val="0"/>
        <w:rPr>
          <w:lang w:val="en-GB"/>
        </w:rPr>
      </w:pPr>
      <w:r>
        <w:rPr>
          <w:lang w:val="en-GB"/>
        </w:rPr>
        <w:t xml:space="preserve">That </w:t>
      </w:r>
      <w:r w:rsidRPr="0097186A">
        <w:rPr>
          <w:lang w:val="en-GB"/>
        </w:rPr>
        <w:t>it would be appropriate for the WHO performance status to be 2 or less for this osimertinib indication</w:t>
      </w:r>
      <w:r w:rsidR="00625B03">
        <w:rPr>
          <w:lang w:val="en-GB"/>
        </w:rPr>
        <w:t>.</w:t>
      </w:r>
    </w:p>
    <w:p w14:paraId="444BE07D" w14:textId="5CE56E2F" w:rsidR="003D07EB" w:rsidRPr="00DC0FDB" w:rsidRDefault="007600E4" w:rsidP="00A12328">
      <w:pPr>
        <w:spacing w:after="120"/>
        <w:ind w:left="720"/>
        <w:rPr>
          <w:rFonts w:asciiTheme="minorHAnsi" w:hAnsiTheme="minorHAnsi"/>
          <w:snapToGrid w:val="0"/>
          <w:lang w:val="en-GB"/>
        </w:rPr>
      </w:pPr>
      <w:r w:rsidRPr="007600E4">
        <w:t xml:space="preserve">The PBAC noted that it would be preferable to have a combined broad restriction for osimertinib covering all the </w:t>
      </w:r>
      <w:r w:rsidRPr="007600E4">
        <w:rPr>
          <w:i/>
          <w:iCs/>
        </w:rPr>
        <w:t>EGFR</w:t>
      </w:r>
      <w:r w:rsidRPr="007600E4">
        <w:t xml:space="preserve"> positive NSCLC patient populations: (1) adjuvant early stage resected; (2) unresectable locally advanced (Stage III); and (3) first- or </w:t>
      </w:r>
      <w:r w:rsidR="0088243D" w:rsidRPr="007600E4">
        <w:t>second line</w:t>
      </w:r>
      <w:r w:rsidRPr="007600E4">
        <w:t xml:space="preserve"> locally advanced or metastatic. The PBAC noted this would require a single weighted price across all indications. The PBAC considered it would be appropriate to consider a combined broad restriction as part of its reconsideration of osimertinib for the first line treatment of Stage IIIB (locally advanced) or Stage IV (metastatic) </w:t>
      </w:r>
      <w:r w:rsidRPr="007600E4">
        <w:rPr>
          <w:i/>
          <w:iCs/>
        </w:rPr>
        <w:t>EGFR</w:t>
      </w:r>
      <w:r w:rsidRPr="007600E4">
        <w:t xml:space="preserve"> positive NSCLC in combination with pemetrexed and platinum-based chemotherapy.</w:t>
      </w:r>
      <w:r w:rsidR="002B736C">
        <w:t xml:space="preserve"> </w:t>
      </w:r>
    </w:p>
    <w:p w14:paraId="693BCE72" w14:textId="7AB22D84" w:rsidR="003D07EB" w:rsidRPr="00CE42B4" w:rsidRDefault="00D87228" w:rsidP="00A12328">
      <w:pPr>
        <w:numPr>
          <w:ilvl w:val="1"/>
          <w:numId w:val="1"/>
        </w:numPr>
        <w:spacing w:after="120"/>
        <w:rPr>
          <w:rFonts w:asciiTheme="minorHAnsi" w:hAnsiTheme="minorHAnsi"/>
          <w:snapToGrid w:val="0"/>
          <w:lang w:val="en-GB"/>
        </w:rPr>
      </w:pPr>
      <w:r>
        <w:rPr>
          <w:rFonts w:asciiTheme="minorHAnsi" w:hAnsiTheme="minorHAnsi"/>
          <w:snapToGrid w:val="0"/>
          <w:lang w:val="en-GB"/>
        </w:rPr>
        <w:t>The PBAC accepted the nominated comparator</w:t>
      </w:r>
      <w:r w:rsidR="00E7606B">
        <w:rPr>
          <w:rFonts w:asciiTheme="minorHAnsi" w:hAnsiTheme="minorHAnsi"/>
          <w:snapToGrid w:val="0"/>
          <w:lang w:val="en-GB"/>
        </w:rPr>
        <w:t xml:space="preserve"> for osimertinib as being</w:t>
      </w:r>
      <w:r>
        <w:rPr>
          <w:rFonts w:asciiTheme="minorHAnsi" w:hAnsiTheme="minorHAnsi"/>
          <w:snapToGrid w:val="0"/>
          <w:lang w:val="en-GB"/>
        </w:rPr>
        <w:t xml:space="preserve"> </w:t>
      </w:r>
      <w:r w:rsidR="00821530">
        <w:rPr>
          <w:rFonts w:asciiTheme="minorHAnsi" w:hAnsiTheme="minorHAnsi"/>
          <w:snapToGrid w:val="0"/>
          <w:lang w:val="en-GB"/>
        </w:rPr>
        <w:t>standard of care (</w:t>
      </w:r>
      <w:r>
        <w:rPr>
          <w:rFonts w:asciiTheme="minorHAnsi" w:hAnsiTheme="minorHAnsi"/>
          <w:snapToGrid w:val="0"/>
          <w:lang w:val="en-GB"/>
        </w:rPr>
        <w:t>S</w:t>
      </w:r>
      <w:r w:rsidR="001C7084">
        <w:rPr>
          <w:rFonts w:asciiTheme="minorHAnsi" w:hAnsiTheme="minorHAnsi"/>
          <w:snapToGrid w:val="0"/>
          <w:lang w:val="en-GB"/>
        </w:rPr>
        <w:t>o</w:t>
      </w:r>
      <w:r>
        <w:rPr>
          <w:rFonts w:asciiTheme="minorHAnsi" w:hAnsiTheme="minorHAnsi"/>
          <w:snapToGrid w:val="0"/>
          <w:lang w:val="en-GB"/>
        </w:rPr>
        <w:t>C</w:t>
      </w:r>
      <w:r w:rsidR="00821530">
        <w:rPr>
          <w:rFonts w:asciiTheme="minorHAnsi" w:hAnsiTheme="minorHAnsi"/>
          <w:snapToGrid w:val="0"/>
          <w:lang w:val="en-GB"/>
        </w:rPr>
        <w:t>)</w:t>
      </w:r>
      <w:r>
        <w:rPr>
          <w:rFonts w:asciiTheme="minorHAnsi" w:hAnsiTheme="minorHAnsi"/>
          <w:snapToGrid w:val="0"/>
          <w:lang w:val="en-GB"/>
        </w:rPr>
        <w:t xml:space="preserve">, which is </w:t>
      </w:r>
      <w:r w:rsidR="00971C74" w:rsidRPr="00C61BA2">
        <w:t>active surveillance</w:t>
      </w:r>
      <w:r>
        <w:rPr>
          <w:rFonts w:asciiTheme="minorHAnsi" w:hAnsiTheme="minorHAnsi"/>
          <w:snapToGrid w:val="0"/>
          <w:lang w:val="en-GB"/>
        </w:rPr>
        <w:t>. The PBAC noted that</w:t>
      </w:r>
      <w:r w:rsidR="003A31E2">
        <w:rPr>
          <w:rFonts w:asciiTheme="minorHAnsi" w:hAnsiTheme="minorHAnsi"/>
          <w:snapToGrid w:val="0"/>
          <w:lang w:val="en-GB"/>
        </w:rPr>
        <w:t xml:space="preserve"> the use of CRT would remain unchanged and that</w:t>
      </w:r>
      <w:r>
        <w:rPr>
          <w:rFonts w:asciiTheme="minorHAnsi" w:hAnsiTheme="minorHAnsi"/>
          <w:snapToGrid w:val="0"/>
          <w:lang w:val="en-GB"/>
        </w:rPr>
        <w:t xml:space="preserve"> </w:t>
      </w:r>
      <w:r w:rsidR="00D54953">
        <w:rPr>
          <w:rFonts w:asciiTheme="minorHAnsi" w:hAnsiTheme="minorHAnsi"/>
          <w:snapToGrid w:val="0"/>
          <w:lang w:val="en-GB"/>
        </w:rPr>
        <w:t>osimertinib</w:t>
      </w:r>
      <w:r>
        <w:rPr>
          <w:rFonts w:asciiTheme="minorHAnsi" w:hAnsiTheme="minorHAnsi"/>
          <w:snapToGrid w:val="0"/>
          <w:lang w:val="en-GB"/>
        </w:rPr>
        <w:t xml:space="preserve"> would not replace any </w:t>
      </w:r>
      <w:r w:rsidR="003A31E2">
        <w:rPr>
          <w:rFonts w:asciiTheme="minorHAnsi" w:hAnsiTheme="minorHAnsi"/>
          <w:snapToGrid w:val="0"/>
          <w:lang w:val="en-GB"/>
        </w:rPr>
        <w:t>medicine</w:t>
      </w:r>
      <w:r w:rsidR="00571BB6">
        <w:rPr>
          <w:rFonts w:asciiTheme="minorHAnsi" w:hAnsiTheme="minorHAnsi"/>
          <w:snapToGrid w:val="0"/>
          <w:lang w:val="en-GB"/>
        </w:rPr>
        <w:t xml:space="preserve"> other than the use of osimertinib in the locally advanced/metastatic setting</w:t>
      </w:r>
      <w:r>
        <w:rPr>
          <w:rFonts w:asciiTheme="minorHAnsi" w:hAnsiTheme="minorHAnsi"/>
          <w:snapToGrid w:val="0"/>
          <w:lang w:val="en-GB"/>
        </w:rPr>
        <w:t>.</w:t>
      </w:r>
    </w:p>
    <w:p w14:paraId="4E8980C3" w14:textId="5A55F56D" w:rsidR="00D42564" w:rsidRPr="00D42564" w:rsidRDefault="00AF6836" w:rsidP="00A12328">
      <w:pPr>
        <w:numPr>
          <w:ilvl w:val="1"/>
          <w:numId w:val="1"/>
        </w:numPr>
        <w:spacing w:after="120"/>
        <w:rPr>
          <w:rFonts w:asciiTheme="minorHAnsi" w:hAnsiTheme="minorHAnsi"/>
          <w:snapToGrid w:val="0"/>
          <w:lang w:val="en-GB"/>
        </w:rPr>
      </w:pPr>
      <w:r w:rsidRPr="0074799D">
        <w:rPr>
          <w:rFonts w:asciiTheme="minorHAnsi" w:hAnsiTheme="minorHAnsi"/>
          <w:snapToGrid w:val="0"/>
          <w:lang w:val="en-GB"/>
        </w:rPr>
        <w:t xml:space="preserve">The PBAC noted that the </w:t>
      </w:r>
      <w:r w:rsidR="00A4507D" w:rsidRPr="0074799D">
        <w:rPr>
          <w:rFonts w:asciiTheme="minorHAnsi" w:hAnsiTheme="minorHAnsi"/>
          <w:snapToGrid w:val="0"/>
          <w:lang w:val="en-GB"/>
        </w:rPr>
        <w:t>clinical</w:t>
      </w:r>
      <w:r w:rsidRPr="0074799D">
        <w:rPr>
          <w:rFonts w:asciiTheme="minorHAnsi" w:hAnsiTheme="minorHAnsi"/>
          <w:snapToGrid w:val="0"/>
          <w:lang w:val="en-GB"/>
        </w:rPr>
        <w:t xml:space="preserve"> evidence presented in the submission was based on </w:t>
      </w:r>
      <w:r w:rsidR="00D84CA1" w:rsidRPr="0074799D">
        <w:rPr>
          <w:rFonts w:asciiTheme="minorHAnsi" w:hAnsiTheme="minorHAnsi"/>
          <w:snapToGrid w:val="0"/>
          <w:lang w:val="en-GB"/>
        </w:rPr>
        <w:t>the LAURA</w:t>
      </w:r>
      <w:r w:rsidRPr="0074799D">
        <w:rPr>
          <w:rFonts w:asciiTheme="minorHAnsi" w:hAnsiTheme="minorHAnsi"/>
          <w:snapToGrid w:val="0"/>
          <w:lang w:val="en-GB"/>
        </w:rPr>
        <w:t xml:space="preserve"> </w:t>
      </w:r>
      <w:r w:rsidR="002D733A">
        <w:rPr>
          <w:rFonts w:asciiTheme="minorHAnsi" w:hAnsiTheme="minorHAnsi"/>
          <w:snapToGrid w:val="0"/>
          <w:lang w:val="en-GB"/>
        </w:rPr>
        <w:t>randomised control trial (</w:t>
      </w:r>
      <w:r w:rsidR="00C51686" w:rsidRPr="0074799D">
        <w:rPr>
          <w:rFonts w:asciiTheme="minorHAnsi" w:hAnsiTheme="minorHAnsi"/>
          <w:snapToGrid w:val="0"/>
          <w:lang w:val="en-GB"/>
        </w:rPr>
        <w:t>RCT</w:t>
      </w:r>
      <w:r w:rsidR="002D733A">
        <w:rPr>
          <w:rFonts w:asciiTheme="minorHAnsi" w:hAnsiTheme="minorHAnsi"/>
          <w:snapToGrid w:val="0"/>
          <w:lang w:val="en-GB"/>
        </w:rPr>
        <w:t>)</w:t>
      </w:r>
      <w:r w:rsidR="00D84CA1" w:rsidRPr="0074799D">
        <w:rPr>
          <w:rFonts w:asciiTheme="minorHAnsi" w:hAnsiTheme="minorHAnsi"/>
          <w:snapToGrid w:val="0"/>
          <w:lang w:val="en-GB"/>
        </w:rPr>
        <w:t xml:space="preserve">, </w:t>
      </w:r>
      <w:r w:rsidR="00D84CA1" w:rsidRPr="0074799D">
        <w:t>comparing the eff</w:t>
      </w:r>
      <w:r w:rsidR="00204782" w:rsidRPr="0074799D">
        <w:t>ectiveness</w:t>
      </w:r>
      <w:r w:rsidR="00D84CA1" w:rsidRPr="0074799D">
        <w:t xml:space="preserve"> and safety of osimertinib to placebo</w:t>
      </w:r>
      <w:r w:rsidRPr="0074799D">
        <w:rPr>
          <w:rFonts w:asciiTheme="minorHAnsi" w:hAnsiTheme="minorHAnsi"/>
          <w:snapToGrid w:val="0"/>
          <w:lang w:val="en-GB"/>
        </w:rPr>
        <w:t>.</w:t>
      </w:r>
      <w:r w:rsidR="006F2B1E" w:rsidRPr="0074799D">
        <w:rPr>
          <w:rFonts w:asciiTheme="minorHAnsi" w:hAnsiTheme="minorHAnsi"/>
          <w:snapToGrid w:val="0"/>
          <w:lang w:val="en-GB"/>
        </w:rPr>
        <w:t xml:space="preserve"> The </w:t>
      </w:r>
      <w:r w:rsidR="00C93A4B" w:rsidRPr="0074799D">
        <w:rPr>
          <w:rFonts w:asciiTheme="minorHAnsi" w:hAnsiTheme="minorHAnsi"/>
          <w:snapToGrid w:val="0"/>
          <w:lang w:val="en-GB"/>
        </w:rPr>
        <w:t xml:space="preserve">PBAC </w:t>
      </w:r>
      <w:r w:rsidR="00734B50" w:rsidRPr="0074799D">
        <w:rPr>
          <w:rFonts w:asciiTheme="minorHAnsi" w:hAnsiTheme="minorHAnsi"/>
          <w:snapToGrid w:val="0"/>
          <w:lang w:val="en-GB"/>
        </w:rPr>
        <w:t xml:space="preserve">noted </w:t>
      </w:r>
      <w:r w:rsidR="00BC3705" w:rsidRPr="0074799D">
        <w:rPr>
          <w:rFonts w:asciiTheme="minorHAnsi" w:hAnsiTheme="minorHAnsi"/>
          <w:snapToGrid w:val="0"/>
          <w:lang w:val="en-GB"/>
        </w:rPr>
        <w:t xml:space="preserve">the </w:t>
      </w:r>
      <w:r w:rsidR="0053065B" w:rsidRPr="0074799D">
        <w:rPr>
          <w:rFonts w:asciiTheme="minorHAnsi" w:hAnsiTheme="minorHAnsi"/>
          <w:snapToGrid w:val="0"/>
          <w:lang w:val="en-GB"/>
        </w:rPr>
        <w:t>prolongation of</w:t>
      </w:r>
      <w:r w:rsidR="00BC3705" w:rsidRPr="0074799D">
        <w:rPr>
          <w:rFonts w:asciiTheme="minorHAnsi" w:hAnsiTheme="minorHAnsi"/>
          <w:snapToGrid w:val="0"/>
          <w:lang w:val="en-GB"/>
        </w:rPr>
        <w:t xml:space="preserve"> PFS</w:t>
      </w:r>
      <w:r w:rsidR="00734B50" w:rsidRPr="0074799D">
        <w:rPr>
          <w:rFonts w:asciiTheme="minorHAnsi" w:hAnsiTheme="minorHAnsi"/>
          <w:snapToGrid w:val="0"/>
          <w:lang w:val="en-GB"/>
        </w:rPr>
        <w:t xml:space="preserve"> with osimertinib</w:t>
      </w:r>
      <w:r w:rsidR="001F335C" w:rsidRPr="0074799D">
        <w:rPr>
          <w:rFonts w:asciiTheme="minorHAnsi" w:hAnsiTheme="minorHAnsi"/>
          <w:snapToGrid w:val="0"/>
          <w:lang w:val="en-GB"/>
        </w:rPr>
        <w:t xml:space="preserve">, as shown by the </w:t>
      </w:r>
      <w:r w:rsidR="001F335C" w:rsidRPr="0074799D">
        <w:rPr>
          <w:rFonts w:eastAsia="Calibri"/>
          <w:iCs/>
        </w:rPr>
        <w:t xml:space="preserve">separation of </w:t>
      </w:r>
      <w:r w:rsidR="00734B50" w:rsidRPr="0074799D">
        <w:rPr>
          <w:rFonts w:eastAsia="Calibri"/>
          <w:iCs/>
        </w:rPr>
        <w:t>the</w:t>
      </w:r>
      <w:r w:rsidR="001F335C" w:rsidRPr="0074799D">
        <w:rPr>
          <w:rFonts w:eastAsia="Calibri"/>
          <w:iCs/>
        </w:rPr>
        <w:t xml:space="preserve"> </w:t>
      </w:r>
      <w:r w:rsidR="00D96DC4">
        <w:rPr>
          <w:rFonts w:eastAsia="Calibri"/>
          <w:iCs/>
        </w:rPr>
        <w:t>Kaplan-Meier (</w:t>
      </w:r>
      <w:r w:rsidR="001F335C" w:rsidRPr="0074799D">
        <w:rPr>
          <w:rFonts w:eastAsia="Calibri"/>
          <w:iCs/>
        </w:rPr>
        <w:t>KM</w:t>
      </w:r>
      <w:r w:rsidR="00D96DC4">
        <w:rPr>
          <w:rFonts w:eastAsia="Calibri"/>
          <w:iCs/>
        </w:rPr>
        <w:t>)</w:t>
      </w:r>
      <w:r w:rsidR="001F335C" w:rsidRPr="0074799D">
        <w:rPr>
          <w:rFonts w:eastAsia="Calibri"/>
          <w:iCs/>
        </w:rPr>
        <w:t xml:space="preserve"> curves with an associated</w:t>
      </w:r>
      <w:r w:rsidR="00057A5C">
        <w:rPr>
          <w:rFonts w:eastAsia="Calibri"/>
          <w:iCs/>
        </w:rPr>
        <w:t xml:space="preserve"> hazard ratio</w:t>
      </w:r>
      <w:r w:rsidR="001F335C" w:rsidRPr="0074799D">
        <w:rPr>
          <w:rFonts w:eastAsia="Calibri"/>
          <w:iCs/>
        </w:rPr>
        <w:t xml:space="preserve"> </w:t>
      </w:r>
      <w:r w:rsidR="00057A5C">
        <w:rPr>
          <w:rFonts w:eastAsia="Calibri"/>
          <w:iCs/>
        </w:rPr>
        <w:t>(</w:t>
      </w:r>
      <w:r w:rsidR="001F335C" w:rsidRPr="0074799D">
        <w:rPr>
          <w:rFonts w:eastAsia="Calibri"/>
          <w:iCs/>
        </w:rPr>
        <w:t>HR</w:t>
      </w:r>
      <w:r w:rsidR="00057A5C">
        <w:rPr>
          <w:rFonts w:eastAsia="Calibri"/>
          <w:iCs/>
        </w:rPr>
        <w:t>)</w:t>
      </w:r>
      <w:r w:rsidR="001F335C" w:rsidRPr="0074799D">
        <w:rPr>
          <w:rFonts w:eastAsia="Calibri"/>
          <w:iCs/>
        </w:rPr>
        <w:t xml:space="preserve"> of 0.16 (95%</w:t>
      </w:r>
      <w:r w:rsidR="004F5123">
        <w:rPr>
          <w:rFonts w:eastAsia="Calibri"/>
          <w:iCs/>
        </w:rPr>
        <w:t xml:space="preserve"> confidence interval</w:t>
      </w:r>
      <w:r w:rsidR="001F335C" w:rsidRPr="0074799D">
        <w:rPr>
          <w:rFonts w:eastAsia="Calibri"/>
          <w:iCs/>
        </w:rPr>
        <w:t xml:space="preserve"> </w:t>
      </w:r>
      <w:r w:rsidR="004F5123">
        <w:rPr>
          <w:rFonts w:eastAsia="Calibri"/>
          <w:iCs/>
        </w:rPr>
        <w:t>[</w:t>
      </w:r>
      <w:r w:rsidR="001F335C" w:rsidRPr="0074799D">
        <w:rPr>
          <w:rFonts w:eastAsia="Calibri"/>
          <w:iCs/>
        </w:rPr>
        <w:t>CI</w:t>
      </w:r>
      <w:r w:rsidR="004F5123">
        <w:rPr>
          <w:rFonts w:eastAsia="Calibri"/>
          <w:iCs/>
        </w:rPr>
        <w:t>]</w:t>
      </w:r>
      <w:r w:rsidR="001F335C" w:rsidRPr="0074799D">
        <w:rPr>
          <w:rFonts w:eastAsia="Calibri"/>
          <w:iCs/>
        </w:rPr>
        <w:t xml:space="preserve"> 0.10, 0.24, p &lt;</w:t>
      </w:r>
      <w:r w:rsidR="004F1438">
        <w:rPr>
          <w:rFonts w:eastAsia="Calibri"/>
          <w:iCs/>
        </w:rPr>
        <w:t xml:space="preserve"> </w:t>
      </w:r>
      <w:r w:rsidR="001F335C" w:rsidRPr="0074799D">
        <w:rPr>
          <w:rFonts w:eastAsia="Calibri"/>
          <w:iCs/>
        </w:rPr>
        <w:t>0.001).</w:t>
      </w:r>
      <w:r w:rsidR="00BC3705" w:rsidRPr="0074799D">
        <w:rPr>
          <w:rFonts w:asciiTheme="minorHAnsi" w:hAnsiTheme="minorHAnsi"/>
          <w:snapToGrid w:val="0"/>
          <w:lang w:val="en-GB"/>
        </w:rPr>
        <w:t xml:space="preserve"> </w:t>
      </w:r>
      <w:r w:rsidR="0059701E" w:rsidRPr="0074799D">
        <w:rPr>
          <w:rFonts w:asciiTheme="minorHAnsi" w:hAnsiTheme="minorHAnsi"/>
          <w:snapToGrid w:val="0"/>
          <w:lang w:val="en-GB"/>
        </w:rPr>
        <w:t xml:space="preserve">The PBAC </w:t>
      </w:r>
      <w:r w:rsidR="002B0C79">
        <w:rPr>
          <w:rFonts w:asciiTheme="minorHAnsi" w:hAnsiTheme="minorHAnsi"/>
          <w:snapToGrid w:val="0"/>
          <w:lang w:val="en-GB"/>
        </w:rPr>
        <w:t>noted</w:t>
      </w:r>
      <w:r w:rsidR="0059701E" w:rsidRPr="0074799D">
        <w:rPr>
          <w:rFonts w:asciiTheme="minorHAnsi" w:hAnsiTheme="minorHAnsi"/>
          <w:snapToGrid w:val="0"/>
          <w:lang w:val="en-GB"/>
        </w:rPr>
        <w:t xml:space="preserve"> that</w:t>
      </w:r>
      <w:r w:rsidR="000F58F8" w:rsidRPr="0074799D">
        <w:rPr>
          <w:rFonts w:asciiTheme="minorHAnsi" w:hAnsiTheme="minorHAnsi"/>
          <w:snapToGrid w:val="0"/>
          <w:lang w:val="en-GB"/>
        </w:rPr>
        <w:t xml:space="preserve"> the OS data remained immature at the </w:t>
      </w:r>
      <w:r w:rsidR="002F53C2" w:rsidRPr="0074799D">
        <w:rPr>
          <w:rFonts w:asciiTheme="minorHAnsi" w:hAnsiTheme="minorHAnsi"/>
          <w:snapToGrid w:val="0"/>
          <w:lang w:val="en-GB"/>
        </w:rPr>
        <w:t>latest follow up and had not reached statistical significance (</w:t>
      </w:r>
      <w:r w:rsidR="004908B7" w:rsidRPr="0074799D">
        <w:rPr>
          <w:rFonts w:eastAsia="Calibri"/>
          <w:iCs/>
        </w:rPr>
        <w:t>HR 0.67, 95%CI 0.40, 1.14, p=0.140</w:t>
      </w:r>
      <w:r w:rsidR="002F53C2" w:rsidRPr="0074799D">
        <w:rPr>
          <w:rFonts w:asciiTheme="minorHAnsi" w:hAnsiTheme="minorHAnsi"/>
          <w:snapToGrid w:val="0"/>
          <w:lang w:val="en-GB"/>
        </w:rPr>
        <w:t>), and</w:t>
      </w:r>
      <w:r w:rsidR="00803080" w:rsidRPr="0074799D">
        <w:rPr>
          <w:rFonts w:asciiTheme="minorHAnsi" w:hAnsiTheme="minorHAnsi"/>
          <w:snapToGrid w:val="0"/>
          <w:lang w:val="en-GB"/>
        </w:rPr>
        <w:t xml:space="preserve"> that </w:t>
      </w:r>
      <w:r w:rsidR="00803080" w:rsidRPr="0074799D">
        <w:rPr>
          <w:iCs/>
        </w:rPr>
        <w:t>crossing of KM curves after Month 31 suggests a violation of the proportional hazards assumption</w:t>
      </w:r>
      <w:r w:rsidR="00AB1402">
        <w:rPr>
          <w:iCs/>
        </w:rPr>
        <w:t xml:space="preserve">. </w:t>
      </w:r>
      <w:r w:rsidR="00937BC0" w:rsidRPr="0074799D">
        <w:rPr>
          <w:iCs/>
        </w:rPr>
        <w:t xml:space="preserve">The PBAC </w:t>
      </w:r>
      <w:r w:rsidR="00B10CFC">
        <w:rPr>
          <w:iCs/>
        </w:rPr>
        <w:t xml:space="preserve">also </w:t>
      </w:r>
      <w:r w:rsidR="005151C1">
        <w:rPr>
          <w:iCs/>
        </w:rPr>
        <w:t>noted</w:t>
      </w:r>
      <w:r w:rsidR="00937BC0" w:rsidRPr="0074799D">
        <w:rPr>
          <w:iCs/>
        </w:rPr>
        <w:t xml:space="preserve"> the potential </w:t>
      </w:r>
      <w:r w:rsidR="00104E8C" w:rsidRPr="0074799D">
        <w:rPr>
          <w:iCs/>
        </w:rPr>
        <w:t xml:space="preserve">applicability issues </w:t>
      </w:r>
      <w:r w:rsidR="00575B02" w:rsidRPr="0074799D">
        <w:rPr>
          <w:iCs/>
        </w:rPr>
        <w:t>involving</w:t>
      </w:r>
      <w:r w:rsidR="0052171C" w:rsidRPr="0074799D">
        <w:rPr>
          <w:iCs/>
        </w:rPr>
        <w:t xml:space="preserve"> the trial results</w:t>
      </w:r>
      <w:r w:rsidR="00135B20">
        <w:rPr>
          <w:iCs/>
        </w:rPr>
        <w:t xml:space="preserve"> not</w:t>
      </w:r>
      <w:r w:rsidR="0052171C" w:rsidRPr="0074799D">
        <w:rPr>
          <w:iCs/>
        </w:rPr>
        <w:t xml:space="preserve"> being generalisable to the Australian population</w:t>
      </w:r>
      <w:r w:rsidR="000A1D5D">
        <w:rPr>
          <w:iCs/>
        </w:rPr>
        <w:t xml:space="preserve"> and that the comparator arm may have </w:t>
      </w:r>
      <w:r w:rsidR="006826D6">
        <w:rPr>
          <w:iCs/>
        </w:rPr>
        <w:t>performed more poorly than expected</w:t>
      </w:r>
      <w:r w:rsidR="0052171C" w:rsidRPr="0074799D">
        <w:rPr>
          <w:iCs/>
        </w:rPr>
        <w:t>,</w:t>
      </w:r>
      <w:r w:rsidR="000D7B41" w:rsidRPr="0074799D">
        <w:rPr>
          <w:iCs/>
        </w:rPr>
        <w:t xml:space="preserve"> noting</w:t>
      </w:r>
      <w:r w:rsidR="00411F2F" w:rsidRPr="0074799D">
        <w:rPr>
          <w:iCs/>
        </w:rPr>
        <w:t xml:space="preserve"> the high</w:t>
      </w:r>
      <w:r w:rsidR="00C17441" w:rsidRPr="0074799D">
        <w:rPr>
          <w:iCs/>
        </w:rPr>
        <w:t xml:space="preserve"> proportion of</w:t>
      </w:r>
      <w:r w:rsidR="00411F2F" w:rsidRPr="0074799D">
        <w:rPr>
          <w:iCs/>
        </w:rPr>
        <w:t xml:space="preserve"> patient</w:t>
      </w:r>
      <w:r w:rsidR="00C17441" w:rsidRPr="0074799D">
        <w:rPr>
          <w:iCs/>
        </w:rPr>
        <w:t>s</w:t>
      </w:r>
      <w:r w:rsidR="009E267B">
        <w:rPr>
          <w:iCs/>
        </w:rPr>
        <w:t xml:space="preserve"> from </w:t>
      </w:r>
      <w:r w:rsidR="00FD722B">
        <w:rPr>
          <w:iCs/>
        </w:rPr>
        <w:t xml:space="preserve">Asia and </w:t>
      </w:r>
      <w:r w:rsidR="009E267B">
        <w:rPr>
          <w:iCs/>
        </w:rPr>
        <w:t>low- to middle- income co</w:t>
      </w:r>
      <w:r w:rsidR="00FD722B">
        <w:rPr>
          <w:iCs/>
        </w:rPr>
        <w:t>untries</w:t>
      </w:r>
      <w:r w:rsidR="00A155BB" w:rsidRPr="0074799D">
        <w:rPr>
          <w:iCs/>
        </w:rPr>
        <w:t xml:space="preserve">. </w:t>
      </w:r>
      <w:r w:rsidR="004150CA">
        <w:rPr>
          <w:iCs/>
        </w:rPr>
        <w:t>However, the</w:t>
      </w:r>
      <w:r w:rsidR="008F004C">
        <w:rPr>
          <w:iCs/>
        </w:rPr>
        <w:t xml:space="preserve"> PBAC </w:t>
      </w:r>
      <w:r w:rsidR="004C3124">
        <w:rPr>
          <w:iCs/>
        </w:rPr>
        <w:t>noted</w:t>
      </w:r>
      <w:r w:rsidR="008F004C">
        <w:rPr>
          <w:iCs/>
        </w:rPr>
        <w:t xml:space="preserve"> that </w:t>
      </w:r>
      <w:r w:rsidR="008F004C" w:rsidRPr="00955EA2">
        <w:rPr>
          <w:rFonts w:eastAsia="Calibri"/>
          <w:iCs/>
        </w:rPr>
        <w:t xml:space="preserve">the high rate of post-progression </w:t>
      </w:r>
      <w:r w:rsidR="00C45A6D" w:rsidRPr="00C45A6D">
        <w:rPr>
          <w:rFonts w:eastAsia="Calibri"/>
          <w:i/>
          <w:iCs/>
        </w:rPr>
        <w:t>EGFR</w:t>
      </w:r>
      <w:r w:rsidR="008F004C" w:rsidRPr="00955EA2">
        <w:rPr>
          <w:rFonts w:eastAsia="Calibri"/>
          <w:iCs/>
        </w:rPr>
        <w:t>-</w:t>
      </w:r>
      <w:r w:rsidR="00865B72">
        <w:rPr>
          <w:rFonts w:eastAsia="Calibri"/>
          <w:iCs/>
        </w:rPr>
        <w:t>tyros</w:t>
      </w:r>
      <w:r w:rsidR="001D4502">
        <w:rPr>
          <w:rFonts w:eastAsia="Calibri"/>
          <w:iCs/>
        </w:rPr>
        <w:t>in</w:t>
      </w:r>
      <w:r w:rsidR="00865B72">
        <w:rPr>
          <w:rFonts w:eastAsia="Calibri"/>
          <w:iCs/>
        </w:rPr>
        <w:t>e kinase inhibitors (</w:t>
      </w:r>
      <w:r w:rsidR="008F004C" w:rsidRPr="00955EA2">
        <w:rPr>
          <w:rFonts w:eastAsia="Calibri"/>
          <w:iCs/>
        </w:rPr>
        <w:t>TKIs</w:t>
      </w:r>
      <w:r w:rsidR="00865B72">
        <w:rPr>
          <w:rFonts w:eastAsia="Calibri"/>
          <w:iCs/>
        </w:rPr>
        <w:t>)</w:t>
      </w:r>
      <w:r w:rsidR="008F004C" w:rsidRPr="00955EA2">
        <w:rPr>
          <w:rFonts w:eastAsia="Calibri"/>
          <w:iCs/>
        </w:rPr>
        <w:t xml:space="preserve"> (</w:t>
      </w:r>
      <w:r w:rsidR="008F004C">
        <w:rPr>
          <w:rFonts w:eastAsia="Calibri"/>
          <w:iCs/>
        </w:rPr>
        <w:t xml:space="preserve">85%, </w:t>
      </w:r>
      <w:r w:rsidR="008F004C" w:rsidRPr="00955EA2">
        <w:rPr>
          <w:rFonts w:eastAsia="Calibri"/>
          <w:iCs/>
        </w:rPr>
        <w:t xml:space="preserve">including osimertinib) used as subsequent treatment in the placebo arm </w:t>
      </w:r>
      <w:r w:rsidR="004150CA">
        <w:rPr>
          <w:rFonts w:eastAsia="Calibri"/>
          <w:iCs/>
        </w:rPr>
        <w:t>was consistent with SoC in Australia</w:t>
      </w:r>
      <w:r w:rsidR="007A7781">
        <w:rPr>
          <w:rFonts w:eastAsia="Calibri"/>
          <w:iCs/>
        </w:rPr>
        <w:t xml:space="preserve">. The PBAC </w:t>
      </w:r>
      <w:r w:rsidR="00C132E6">
        <w:rPr>
          <w:rFonts w:eastAsia="Calibri"/>
          <w:iCs/>
        </w:rPr>
        <w:t xml:space="preserve">considered that this </w:t>
      </w:r>
      <w:r w:rsidR="008F004C">
        <w:rPr>
          <w:rFonts w:eastAsia="Calibri"/>
          <w:iCs/>
        </w:rPr>
        <w:t xml:space="preserve">would </w:t>
      </w:r>
      <w:r w:rsidR="00125597">
        <w:rPr>
          <w:rFonts w:eastAsia="Calibri"/>
          <w:iCs/>
        </w:rPr>
        <w:t xml:space="preserve">likely </w:t>
      </w:r>
      <w:r w:rsidR="008E538D">
        <w:rPr>
          <w:rFonts w:eastAsia="Calibri"/>
          <w:iCs/>
        </w:rPr>
        <w:t>have contributed to an improvement in</w:t>
      </w:r>
      <w:r w:rsidR="00263C9A">
        <w:rPr>
          <w:rFonts w:eastAsia="Calibri"/>
          <w:iCs/>
        </w:rPr>
        <w:t xml:space="preserve"> the</w:t>
      </w:r>
      <w:r w:rsidR="008F004C">
        <w:rPr>
          <w:rFonts w:eastAsia="Calibri"/>
          <w:iCs/>
        </w:rPr>
        <w:t xml:space="preserve"> OS results</w:t>
      </w:r>
      <w:r w:rsidR="005E461C">
        <w:rPr>
          <w:rFonts w:eastAsia="Calibri"/>
          <w:iCs/>
        </w:rPr>
        <w:t>, generally</w:t>
      </w:r>
      <w:r w:rsidR="007B1BAD">
        <w:rPr>
          <w:rFonts w:eastAsia="Calibri"/>
          <w:iCs/>
        </w:rPr>
        <w:t xml:space="preserve"> comparable to</w:t>
      </w:r>
      <w:r w:rsidR="00B469F2">
        <w:rPr>
          <w:rFonts w:eastAsia="Calibri"/>
          <w:iCs/>
        </w:rPr>
        <w:t xml:space="preserve"> the Australian setting</w:t>
      </w:r>
      <w:r w:rsidR="008F004C">
        <w:rPr>
          <w:rFonts w:eastAsia="Calibri"/>
          <w:iCs/>
        </w:rPr>
        <w:t>, and noted the trend of improving OS over time with each data cut off.</w:t>
      </w:r>
      <w:r w:rsidR="008F004C" w:rsidRPr="0074799D">
        <w:rPr>
          <w:iCs/>
        </w:rPr>
        <w:t xml:space="preserve"> </w:t>
      </w:r>
      <w:r w:rsidR="008F004C">
        <w:rPr>
          <w:iCs/>
        </w:rPr>
        <w:t>Overall</w:t>
      </w:r>
      <w:r w:rsidR="00910696" w:rsidRPr="0074799D">
        <w:rPr>
          <w:iCs/>
        </w:rPr>
        <w:t xml:space="preserve">, </w:t>
      </w:r>
      <w:r w:rsidR="00204782" w:rsidRPr="0074799D">
        <w:rPr>
          <w:iCs/>
        </w:rPr>
        <w:t xml:space="preserve">the PBAC considered that the claim of </w:t>
      </w:r>
      <w:r w:rsidR="008A5630" w:rsidRPr="0074799D">
        <w:rPr>
          <w:iCs/>
        </w:rPr>
        <w:t xml:space="preserve">superior effectiveness </w:t>
      </w:r>
      <w:r w:rsidR="00A9254F">
        <w:rPr>
          <w:iCs/>
        </w:rPr>
        <w:t>was</w:t>
      </w:r>
      <w:r w:rsidR="008A5630" w:rsidRPr="0074799D">
        <w:rPr>
          <w:iCs/>
        </w:rPr>
        <w:t xml:space="preserve"> </w:t>
      </w:r>
      <w:r w:rsidR="00856F8A" w:rsidRPr="0074799D">
        <w:rPr>
          <w:iCs/>
        </w:rPr>
        <w:t>supported</w:t>
      </w:r>
      <w:r w:rsidR="003F4A72">
        <w:rPr>
          <w:iCs/>
        </w:rPr>
        <w:t>, primarily</w:t>
      </w:r>
      <w:r w:rsidR="00293CB7" w:rsidRPr="0074799D">
        <w:rPr>
          <w:iCs/>
        </w:rPr>
        <w:t xml:space="preserve"> based on the </w:t>
      </w:r>
      <w:r w:rsidR="004B1CB1" w:rsidRPr="0074799D">
        <w:rPr>
          <w:iCs/>
        </w:rPr>
        <w:t>strong PFS outcome.</w:t>
      </w:r>
      <w:r w:rsidR="00663669" w:rsidRPr="0074799D">
        <w:rPr>
          <w:iCs/>
        </w:rPr>
        <w:t xml:space="preserve"> </w:t>
      </w:r>
    </w:p>
    <w:p w14:paraId="24AEEFFD" w14:textId="6E7547E2" w:rsidR="00AF6836" w:rsidRPr="0074799D" w:rsidRDefault="00663669" w:rsidP="00A12328">
      <w:pPr>
        <w:numPr>
          <w:ilvl w:val="1"/>
          <w:numId w:val="1"/>
        </w:numPr>
        <w:spacing w:after="120"/>
        <w:rPr>
          <w:rFonts w:asciiTheme="minorHAnsi" w:hAnsiTheme="minorHAnsi"/>
          <w:snapToGrid w:val="0"/>
          <w:lang w:val="en-GB"/>
        </w:rPr>
      </w:pPr>
      <w:r w:rsidRPr="0074799D">
        <w:rPr>
          <w:iCs/>
        </w:rPr>
        <w:t>The PBAC considered</w:t>
      </w:r>
      <w:r w:rsidR="00E017B2">
        <w:rPr>
          <w:iCs/>
        </w:rPr>
        <w:t xml:space="preserve"> that osimertinib has in</w:t>
      </w:r>
      <w:r w:rsidRPr="0074799D">
        <w:rPr>
          <w:szCs w:val="20"/>
        </w:rPr>
        <w:t>ferior</w:t>
      </w:r>
      <w:r w:rsidR="00D42564">
        <w:rPr>
          <w:szCs w:val="20"/>
        </w:rPr>
        <w:t xml:space="preserve"> safety</w:t>
      </w:r>
      <w:r w:rsidR="00AC3EC3">
        <w:rPr>
          <w:szCs w:val="20"/>
        </w:rPr>
        <w:t xml:space="preserve"> to placebo</w:t>
      </w:r>
      <w:r w:rsidR="003E70AE" w:rsidRPr="0074799D">
        <w:rPr>
          <w:szCs w:val="20"/>
        </w:rPr>
        <w:t xml:space="preserve"> with no additional safety signals </w:t>
      </w:r>
      <w:r w:rsidR="003E70AE" w:rsidRPr="0074799D">
        <w:rPr>
          <w:rFonts w:eastAsia="Calibri"/>
          <w:iCs/>
        </w:rPr>
        <w:t xml:space="preserve">compared to the other settings/populations already </w:t>
      </w:r>
      <w:r w:rsidR="000E2515">
        <w:rPr>
          <w:rFonts w:eastAsia="Calibri"/>
          <w:iCs/>
        </w:rPr>
        <w:t>listed</w:t>
      </w:r>
      <w:r w:rsidR="003E70AE" w:rsidRPr="0074799D">
        <w:rPr>
          <w:rFonts w:eastAsia="Calibri"/>
          <w:iCs/>
        </w:rPr>
        <w:t xml:space="preserve"> for treatment with osimertinib on the PBS</w:t>
      </w:r>
      <w:r w:rsidR="007A2E76">
        <w:rPr>
          <w:rFonts w:eastAsia="Calibri"/>
          <w:iCs/>
        </w:rPr>
        <w:t>.</w:t>
      </w:r>
      <w:r w:rsidR="00296DB4">
        <w:rPr>
          <w:rFonts w:eastAsia="Calibri"/>
          <w:iCs/>
        </w:rPr>
        <w:t xml:space="preserve"> </w:t>
      </w:r>
    </w:p>
    <w:p w14:paraId="7EAC292E" w14:textId="158C39CF" w:rsidR="00883C6C" w:rsidRPr="00883C6C" w:rsidRDefault="008021D4" w:rsidP="00A12328">
      <w:pPr>
        <w:numPr>
          <w:ilvl w:val="1"/>
          <w:numId w:val="1"/>
        </w:numPr>
        <w:spacing w:after="120"/>
        <w:rPr>
          <w:lang w:val="en-GB"/>
        </w:rPr>
      </w:pPr>
      <w:r>
        <w:rPr>
          <w:rFonts w:cstheme="minorHAnsi"/>
        </w:rPr>
        <w:t>The PBAC considered the</w:t>
      </w:r>
      <w:r w:rsidR="00F10771">
        <w:rPr>
          <w:rFonts w:cstheme="minorHAnsi"/>
        </w:rPr>
        <w:t xml:space="preserve"> </w:t>
      </w:r>
      <w:r w:rsidR="00920E2F">
        <w:rPr>
          <w:rFonts w:cstheme="minorHAnsi"/>
        </w:rPr>
        <w:t>structure of</w:t>
      </w:r>
      <w:r>
        <w:rPr>
          <w:rFonts w:cstheme="minorHAnsi"/>
        </w:rPr>
        <w:t xml:space="preserve"> the</w:t>
      </w:r>
      <w:r w:rsidR="00F10771">
        <w:rPr>
          <w:rFonts w:cstheme="minorHAnsi"/>
        </w:rPr>
        <w:t xml:space="preserve"> </w:t>
      </w:r>
      <w:r w:rsidR="003B4D1D">
        <w:rPr>
          <w:rFonts w:cstheme="minorHAnsi"/>
        </w:rPr>
        <w:t>economic</w:t>
      </w:r>
      <w:r>
        <w:rPr>
          <w:rFonts w:cstheme="minorHAnsi"/>
        </w:rPr>
        <w:t xml:space="preserve"> model to be a reasonable basis for decision-making</w:t>
      </w:r>
      <w:r w:rsidR="00893DC5">
        <w:rPr>
          <w:rFonts w:cstheme="minorHAnsi"/>
        </w:rPr>
        <w:t xml:space="preserve">, noting an </w:t>
      </w:r>
      <w:r w:rsidR="00C204FD">
        <w:rPr>
          <w:rFonts w:cstheme="minorHAnsi"/>
        </w:rPr>
        <w:t>acceptable</w:t>
      </w:r>
      <w:r w:rsidR="00893DC5">
        <w:rPr>
          <w:rFonts w:cstheme="minorHAnsi"/>
        </w:rPr>
        <w:t xml:space="preserve"> 10</w:t>
      </w:r>
      <w:r w:rsidR="00392E40">
        <w:rPr>
          <w:rFonts w:cstheme="minorHAnsi"/>
        </w:rPr>
        <w:t>-</w:t>
      </w:r>
      <w:r w:rsidR="00893DC5">
        <w:rPr>
          <w:rFonts w:cstheme="minorHAnsi"/>
        </w:rPr>
        <w:t>year time horizon</w:t>
      </w:r>
      <w:r w:rsidR="00AD0806">
        <w:rPr>
          <w:rFonts w:cstheme="minorHAnsi"/>
        </w:rPr>
        <w:t>,</w:t>
      </w:r>
      <w:r w:rsidR="00392E40">
        <w:rPr>
          <w:rFonts w:cstheme="minorHAnsi"/>
        </w:rPr>
        <w:t xml:space="preserve"> </w:t>
      </w:r>
      <w:r w:rsidR="00247FBC">
        <w:rPr>
          <w:rFonts w:cstheme="minorHAnsi"/>
        </w:rPr>
        <w:t>with</w:t>
      </w:r>
      <w:r w:rsidR="0012612F">
        <w:rPr>
          <w:rFonts w:cstheme="minorHAnsi"/>
        </w:rPr>
        <w:t xml:space="preserve"> </w:t>
      </w:r>
      <w:r w:rsidR="00CF3F84">
        <w:rPr>
          <w:rFonts w:cstheme="minorHAnsi"/>
        </w:rPr>
        <w:t xml:space="preserve">health state </w:t>
      </w:r>
      <w:r w:rsidR="00B36854">
        <w:rPr>
          <w:rFonts w:cstheme="minorHAnsi"/>
        </w:rPr>
        <w:t>allocation based</w:t>
      </w:r>
      <w:r w:rsidR="00893DC5">
        <w:rPr>
          <w:rFonts w:cstheme="minorHAnsi"/>
        </w:rPr>
        <w:t xml:space="preserve"> on PFS and OS </w:t>
      </w:r>
      <w:r w:rsidR="00CF3F84">
        <w:rPr>
          <w:rFonts w:cstheme="minorHAnsi"/>
        </w:rPr>
        <w:t xml:space="preserve">data </w:t>
      </w:r>
      <w:r w:rsidR="00893DC5">
        <w:rPr>
          <w:rFonts w:cstheme="minorHAnsi"/>
        </w:rPr>
        <w:t>from the LAURA trial</w:t>
      </w:r>
      <w:r w:rsidR="00A639DF">
        <w:rPr>
          <w:rFonts w:cstheme="minorHAnsi"/>
        </w:rPr>
        <w:t>, and generally appropriate extrapolation techniques</w:t>
      </w:r>
      <w:r w:rsidR="00247FBC">
        <w:rPr>
          <w:rFonts w:cstheme="minorHAnsi"/>
        </w:rPr>
        <w:t>.</w:t>
      </w:r>
      <w:r w:rsidR="00A639DF">
        <w:rPr>
          <w:rFonts w:cstheme="minorHAnsi"/>
        </w:rPr>
        <w:t xml:space="preserve"> </w:t>
      </w:r>
      <w:r w:rsidR="00247FBC">
        <w:rPr>
          <w:rFonts w:cstheme="minorHAnsi"/>
        </w:rPr>
        <w:t xml:space="preserve">While the structure </w:t>
      </w:r>
      <w:r w:rsidR="00D74C23">
        <w:rPr>
          <w:rFonts w:cstheme="minorHAnsi"/>
        </w:rPr>
        <w:t>of the model</w:t>
      </w:r>
      <w:r w:rsidR="00332B4A">
        <w:rPr>
          <w:rFonts w:cstheme="minorHAnsi"/>
        </w:rPr>
        <w:t xml:space="preserve"> was </w:t>
      </w:r>
      <w:r w:rsidR="000017F3">
        <w:rPr>
          <w:rFonts w:cstheme="minorHAnsi"/>
        </w:rPr>
        <w:t>appropriate</w:t>
      </w:r>
      <w:r w:rsidR="00332B4A">
        <w:rPr>
          <w:rFonts w:cstheme="minorHAnsi"/>
        </w:rPr>
        <w:t>,</w:t>
      </w:r>
      <w:r w:rsidR="00732F07">
        <w:rPr>
          <w:rFonts w:cstheme="minorHAnsi"/>
        </w:rPr>
        <w:t xml:space="preserve"> the PBAC </w:t>
      </w:r>
      <w:r w:rsidR="00FC28A0">
        <w:rPr>
          <w:rFonts w:cstheme="minorHAnsi"/>
        </w:rPr>
        <w:t xml:space="preserve">considered that the ICER had been </w:t>
      </w:r>
      <w:r w:rsidR="00FC28A0">
        <w:t>underestimated due to the inclusion of a number of optimistic</w:t>
      </w:r>
      <w:r w:rsidR="00155A83">
        <w:t xml:space="preserve"> assumptions</w:t>
      </w:r>
      <w:r w:rsidR="00E5346D">
        <w:rPr>
          <w:rFonts w:cstheme="minorHAnsi"/>
        </w:rPr>
        <w:t>.</w:t>
      </w:r>
      <w:r w:rsidR="00883C6C">
        <w:rPr>
          <w:rFonts w:cstheme="minorHAnsi"/>
        </w:rPr>
        <w:t xml:space="preserve"> The PBAC noted that </w:t>
      </w:r>
      <w:r w:rsidR="00883C6C" w:rsidRPr="00F466A7">
        <w:t xml:space="preserve">the model did not consider that the proportion of patients in the osimertinib arm </w:t>
      </w:r>
      <w:r w:rsidR="00883C6C">
        <w:t xml:space="preserve">of the LAURA trial </w:t>
      </w:r>
      <w:r w:rsidR="00883C6C" w:rsidRPr="00F466A7">
        <w:t xml:space="preserve">who went on to subsequent </w:t>
      </w:r>
      <w:r w:rsidR="00883C6C" w:rsidRPr="00A456D4">
        <w:rPr>
          <w:i/>
          <w:iCs/>
        </w:rPr>
        <w:t>EGFR</w:t>
      </w:r>
      <w:r w:rsidR="00883C6C" w:rsidRPr="00F466A7">
        <w:t xml:space="preserve">-TKI in the trial would in practice, likely receive other effective therapies such as platinum doublet chemotherapy </w:t>
      </w:r>
      <w:r w:rsidR="0090050C">
        <w:t xml:space="preserve">with or without atezolizumab and/or bevacizumab </w:t>
      </w:r>
      <w:r w:rsidR="00883C6C" w:rsidRPr="00F466A7">
        <w:t>(ABCP).</w:t>
      </w:r>
      <w:r w:rsidR="00883C6C">
        <w:t xml:space="preserve"> </w:t>
      </w:r>
      <w:r w:rsidR="00883C6C" w:rsidRPr="00955EA2">
        <w:t>Instead, these patients were assumed to receive no other treatment.</w:t>
      </w:r>
      <w:r w:rsidR="00A456D4">
        <w:t xml:space="preserve"> O</w:t>
      </w:r>
      <w:r w:rsidR="00A456D4" w:rsidRPr="00F466A7">
        <w:t>nly those who received a subsequent VEGF inhibitor in</w:t>
      </w:r>
      <w:r w:rsidR="00A456D4">
        <w:t xml:space="preserve"> the</w:t>
      </w:r>
      <w:r w:rsidR="00A456D4" w:rsidRPr="00F466A7">
        <w:t xml:space="preserve"> LAURA</w:t>
      </w:r>
      <w:r w:rsidR="00A456D4">
        <w:t xml:space="preserve"> trial</w:t>
      </w:r>
      <w:r w:rsidR="00A456D4" w:rsidRPr="00F466A7">
        <w:t xml:space="preserve"> (8/143</w:t>
      </w:r>
      <w:r w:rsidR="00A456D4">
        <w:t xml:space="preserve"> [5.6%]</w:t>
      </w:r>
      <w:r w:rsidR="00A456D4" w:rsidRPr="00F466A7">
        <w:t xml:space="preserve"> patients in the </w:t>
      </w:r>
      <w:r w:rsidR="004D37DE">
        <w:t>o</w:t>
      </w:r>
      <w:r w:rsidR="001737E1">
        <w:t xml:space="preserve">simertinib arm of </w:t>
      </w:r>
      <w:r w:rsidR="00A456D4" w:rsidRPr="00F466A7">
        <w:t xml:space="preserve">the </w:t>
      </w:r>
      <w:r w:rsidR="008F0831">
        <w:t>full analysis set [</w:t>
      </w:r>
      <w:r w:rsidR="00A456D4" w:rsidRPr="00F466A7">
        <w:t>FAS</w:t>
      </w:r>
      <w:r w:rsidR="008F0831">
        <w:t>]</w:t>
      </w:r>
      <w:r w:rsidR="00A456D4" w:rsidRPr="00F466A7">
        <w:t xml:space="preserve"> or 8/63</w:t>
      </w:r>
      <w:r w:rsidR="00A456D4">
        <w:t xml:space="preserve"> [12.7%] of</w:t>
      </w:r>
      <w:r w:rsidR="00A456D4" w:rsidRPr="00F466A7">
        <w:t xml:space="preserve"> patients who discontinued treatment) were assumed to receive ABCP in the base case</w:t>
      </w:r>
      <w:r w:rsidR="00A456D4">
        <w:t>.</w:t>
      </w:r>
      <w:r w:rsidR="00E8731D">
        <w:t xml:space="preserve"> </w:t>
      </w:r>
      <w:r w:rsidR="00443451" w:rsidRPr="00955EA2">
        <w:t xml:space="preserve">The </w:t>
      </w:r>
      <w:r w:rsidR="00443451">
        <w:t xml:space="preserve">PBAC agreed with the </w:t>
      </w:r>
      <w:r w:rsidR="00443451" w:rsidRPr="00955EA2">
        <w:t>ESC</w:t>
      </w:r>
      <w:r w:rsidR="00443451">
        <w:t xml:space="preserve"> </w:t>
      </w:r>
      <w:r w:rsidR="00443451" w:rsidRPr="00955EA2">
        <w:t xml:space="preserve">that the percentage of patients who would </w:t>
      </w:r>
      <w:r w:rsidR="00806A81">
        <w:t xml:space="preserve">likely </w:t>
      </w:r>
      <w:r w:rsidR="00443451" w:rsidRPr="00955EA2">
        <w:t xml:space="preserve">receive subsequent ABCP post progression would </w:t>
      </w:r>
      <w:r w:rsidR="00443451">
        <w:t xml:space="preserve">be approximately </w:t>
      </w:r>
      <w:r w:rsidR="00443451" w:rsidRPr="00955EA2">
        <w:t>30</w:t>
      </w:r>
      <w:r w:rsidR="00443451" w:rsidRPr="00955EA2">
        <w:rPr>
          <w:rFonts w:cstheme="minorHAnsi"/>
        </w:rPr>
        <w:t>−</w:t>
      </w:r>
      <w:r w:rsidR="00443451" w:rsidRPr="00955EA2">
        <w:t>35%</w:t>
      </w:r>
      <w:r w:rsidR="00443451">
        <w:t xml:space="preserve">, which </w:t>
      </w:r>
      <w:r w:rsidR="008C6F69">
        <w:t xml:space="preserve">it noted </w:t>
      </w:r>
      <w:r w:rsidR="00443451">
        <w:t>increase</w:t>
      </w:r>
      <w:r w:rsidR="008C6F69">
        <w:t>d</w:t>
      </w:r>
      <w:r w:rsidR="00443451">
        <w:t xml:space="preserve"> the base case ICER from </w:t>
      </w:r>
      <w:r w:rsidR="008C6F69">
        <w:t>$</w:t>
      </w:r>
      <w:r w:rsidR="00C06EC7">
        <w:t>55,000 to &lt; $75,000</w:t>
      </w:r>
      <w:r w:rsidR="008C6F69" w:rsidRPr="008C6F69">
        <w:t xml:space="preserve"> </w:t>
      </w:r>
      <w:r w:rsidR="0062688A">
        <w:t xml:space="preserve">to </w:t>
      </w:r>
      <w:r w:rsidR="00443451" w:rsidRPr="00955EA2">
        <w:t>$</w:t>
      </w:r>
      <w:r w:rsidR="00C06EC7">
        <w:t>55,000 to &lt; $75,000</w:t>
      </w:r>
      <w:r w:rsidR="00443451">
        <w:rPr>
          <w:rFonts w:cstheme="minorHAnsi"/>
        </w:rPr>
        <w:t xml:space="preserve"> per quality adjusted life year (QALY) gained</w:t>
      </w:r>
      <w:r w:rsidR="00443451" w:rsidRPr="00955EA2">
        <w:t>.</w:t>
      </w:r>
    </w:p>
    <w:p w14:paraId="45BBDFBC" w14:textId="51AD6FF9" w:rsidR="000F08C9" w:rsidRDefault="00806A81" w:rsidP="00A12328">
      <w:pPr>
        <w:numPr>
          <w:ilvl w:val="1"/>
          <w:numId w:val="1"/>
        </w:numPr>
        <w:spacing w:after="120"/>
        <w:rPr>
          <w:lang w:val="en-GB"/>
        </w:rPr>
      </w:pPr>
      <w:r>
        <w:rPr>
          <w:lang w:val="en-GB"/>
        </w:rPr>
        <w:t xml:space="preserve">The PBAC also noted that </w:t>
      </w:r>
      <w:r w:rsidR="00CF31B0">
        <w:rPr>
          <w:lang w:val="en-GB"/>
        </w:rPr>
        <w:t>t</w:t>
      </w:r>
      <w:r w:rsidR="00CF31B0" w:rsidRPr="00CF31B0">
        <w:rPr>
          <w:lang w:val="en-GB"/>
        </w:rPr>
        <w:t>he base case analysis applied a HR approach</w:t>
      </w:r>
      <w:r w:rsidR="00DF1EDC">
        <w:rPr>
          <w:lang w:val="en-GB"/>
        </w:rPr>
        <w:t xml:space="preserve"> (with waning between 3 to 10 years)</w:t>
      </w:r>
      <w:r w:rsidR="00CF31B0" w:rsidRPr="00CF31B0">
        <w:rPr>
          <w:lang w:val="en-GB"/>
        </w:rPr>
        <w:t xml:space="preserve"> beyond truncation points to generate the osimertinib OS curve. </w:t>
      </w:r>
      <w:r w:rsidR="002857FC">
        <w:rPr>
          <w:lang w:val="en-GB"/>
        </w:rPr>
        <w:t>However, the</w:t>
      </w:r>
      <w:r w:rsidR="00CF31B0" w:rsidRPr="00CF31B0">
        <w:rPr>
          <w:lang w:val="en-GB"/>
        </w:rPr>
        <w:t xml:space="preserve"> OS HR for osimertinib versus placebo from </w:t>
      </w:r>
      <w:r w:rsidR="0045035E">
        <w:rPr>
          <w:lang w:val="en-GB"/>
        </w:rPr>
        <w:t xml:space="preserve">the </w:t>
      </w:r>
      <w:r w:rsidR="00CF31B0" w:rsidRPr="00CF31B0">
        <w:rPr>
          <w:lang w:val="en-GB"/>
        </w:rPr>
        <w:t xml:space="preserve">LAURA </w:t>
      </w:r>
      <w:r w:rsidR="0045035E">
        <w:rPr>
          <w:lang w:val="en-GB"/>
        </w:rPr>
        <w:t xml:space="preserve">trial </w:t>
      </w:r>
      <w:r w:rsidR="00CF31B0" w:rsidRPr="00CF31B0">
        <w:rPr>
          <w:lang w:val="en-GB"/>
        </w:rPr>
        <w:t>(</w:t>
      </w:r>
      <w:r w:rsidR="0045035E">
        <w:rPr>
          <w:lang w:val="en-GB"/>
        </w:rPr>
        <w:t>data cut off [</w:t>
      </w:r>
      <w:r w:rsidR="00CF31B0" w:rsidRPr="00CF31B0">
        <w:rPr>
          <w:lang w:val="en-GB"/>
        </w:rPr>
        <w:t>DCO</w:t>
      </w:r>
      <w:r w:rsidR="0045035E">
        <w:rPr>
          <w:lang w:val="en-GB"/>
        </w:rPr>
        <w:t xml:space="preserve">] </w:t>
      </w:r>
      <w:r w:rsidR="00CF31B0" w:rsidRPr="00CF31B0">
        <w:rPr>
          <w:lang w:val="en-GB"/>
        </w:rPr>
        <w:t>2) was not statistically significant: 0.67 (</w:t>
      </w:r>
      <w:r w:rsidR="001C533D">
        <w:rPr>
          <w:lang w:val="en-GB"/>
        </w:rPr>
        <w:t xml:space="preserve">95% CI: </w:t>
      </w:r>
      <w:r w:rsidR="00CF31B0" w:rsidRPr="00CF31B0">
        <w:rPr>
          <w:lang w:val="en-GB"/>
        </w:rPr>
        <w:t>0.40, 1.14</w:t>
      </w:r>
      <w:r w:rsidR="0045035E">
        <w:rPr>
          <w:lang w:val="en-GB"/>
        </w:rPr>
        <w:t>) and the OS</w:t>
      </w:r>
      <w:r w:rsidR="00CF31B0" w:rsidRPr="00CF31B0">
        <w:rPr>
          <w:lang w:val="en-GB"/>
        </w:rPr>
        <w:t xml:space="preserve"> data from </w:t>
      </w:r>
      <w:r w:rsidR="0045035E">
        <w:rPr>
          <w:lang w:val="en-GB"/>
        </w:rPr>
        <w:t>the trial</w:t>
      </w:r>
      <w:r w:rsidR="00CF31B0" w:rsidRPr="00CF31B0">
        <w:rPr>
          <w:lang w:val="en-GB"/>
        </w:rPr>
        <w:t xml:space="preserve"> were immature (31% maturity at DCO2).</w:t>
      </w:r>
      <w:r w:rsidR="002857FC">
        <w:rPr>
          <w:lang w:val="en-GB"/>
        </w:rPr>
        <w:t xml:space="preserve"> For these reasons</w:t>
      </w:r>
      <w:r w:rsidR="00EF1BCB">
        <w:rPr>
          <w:lang w:val="en-GB"/>
        </w:rPr>
        <w:t>,</w:t>
      </w:r>
      <w:r w:rsidR="002857FC">
        <w:rPr>
          <w:lang w:val="en-GB"/>
        </w:rPr>
        <w:t xml:space="preserve"> the PBAC considered </w:t>
      </w:r>
      <w:r w:rsidR="0045035E">
        <w:rPr>
          <w:lang w:val="en-GB"/>
        </w:rPr>
        <w:t xml:space="preserve">the long-term </w:t>
      </w:r>
      <w:r w:rsidR="00180AE7">
        <w:rPr>
          <w:lang w:val="en-GB"/>
        </w:rPr>
        <w:t xml:space="preserve">OS </w:t>
      </w:r>
      <w:r w:rsidR="0045035E">
        <w:rPr>
          <w:lang w:val="en-GB"/>
        </w:rPr>
        <w:t xml:space="preserve">projections </w:t>
      </w:r>
      <w:r w:rsidR="00180AE7">
        <w:rPr>
          <w:lang w:val="en-GB"/>
        </w:rPr>
        <w:t xml:space="preserve">were highly </w:t>
      </w:r>
      <w:r w:rsidR="0045035E" w:rsidRPr="00CF31B0">
        <w:rPr>
          <w:lang w:val="en-GB"/>
        </w:rPr>
        <w:t>uncertain.</w:t>
      </w:r>
      <w:r w:rsidR="00180AE7">
        <w:rPr>
          <w:lang w:val="en-GB"/>
        </w:rPr>
        <w:t xml:space="preserve"> The PBAC also noted that the</w:t>
      </w:r>
      <w:r w:rsidR="00180AE7" w:rsidRPr="00180AE7">
        <w:rPr>
          <w:lang w:val="en-GB"/>
        </w:rPr>
        <w:t xml:space="preserve"> crossing of KM curves suggest</w:t>
      </w:r>
      <w:r w:rsidR="00180AE7">
        <w:rPr>
          <w:lang w:val="en-GB"/>
        </w:rPr>
        <w:t>ed</w:t>
      </w:r>
      <w:r w:rsidR="00180AE7" w:rsidRPr="00180AE7">
        <w:rPr>
          <w:lang w:val="en-GB"/>
        </w:rPr>
        <w:t xml:space="preserve"> a violation of the proportional hazards assumption</w:t>
      </w:r>
      <w:r w:rsidR="00397F33">
        <w:rPr>
          <w:lang w:val="en-GB"/>
        </w:rPr>
        <w:t xml:space="preserve"> and </w:t>
      </w:r>
      <w:r w:rsidR="0018639F">
        <w:rPr>
          <w:lang w:val="en-GB"/>
        </w:rPr>
        <w:t xml:space="preserve">that </w:t>
      </w:r>
      <w:r w:rsidR="00EE3DA5">
        <w:rPr>
          <w:lang w:val="en-GB"/>
        </w:rPr>
        <w:t xml:space="preserve">OS in the osimertinib arm </w:t>
      </w:r>
      <w:r w:rsidR="004F567A">
        <w:rPr>
          <w:lang w:val="en-GB"/>
        </w:rPr>
        <w:t>was assumed to equal the OS of placebo</w:t>
      </w:r>
      <w:r w:rsidR="001C498D">
        <w:rPr>
          <w:lang w:val="en-GB"/>
        </w:rPr>
        <w:t xml:space="preserve"> arm</w:t>
      </w:r>
      <w:r w:rsidR="003F4EFB">
        <w:rPr>
          <w:lang w:val="en-GB"/>
        </w:rPr>
        <w:t xml:space="preserve"> until month 30</w:t>
      </w:r>
      <w:r w:rsidR="00EE3866">
        <w:rPr>
          <w:lang w:val="en-GB"/>
        </w:rPr>
        <w:t xml:space="preserve"> of the model</w:t>
      </w:r>
      <w:r w:rsidR="00B47ECA">
        <w:rPr>
          <w:lang w:val="en-GB"/>
        </w:rPr>
        <w:t>, despite there being more deaths in the osimertinib arm</w:t>
      </w:r>
      <w:r w:rsidR="00BF4096">
        <w:rPr>
          <w:lang w:val="en-GB"/>
        </w:rPr>
        <w:t xml:space="preserve">. Overall, the PBAC </w:t>
      </w:r>
      <w:r w:rsidR="003F31D3">
        <w:rPr>
          <w:lang w:val="en-GB"/>
        </w:rPr>
        <w:t>considered that given the strength of the PFS results</w:t>
      </w:r>
      <w:r w:rsidR="00EE3DA5">
        <w:rPr>
          <w:lang w:val="en-GB"/>
        </w:rPr>
        <w:t xml:space="preserve"> in the LAURA trial</w:t>
      </w:r>
      <w:r w:rsidR="003F31D3">
        <w:rPr>
          <w:lang w:val="en-GB"/>
        </w:rPr>
        <w:t xml:space="preserve">, it </w:t>
      </w:r>
      <w:r w:rsidR="00BE427D">
        <w:rPr>
          <w:lang w:val="en-GB"/>
        </w:rPr>
        <w:t>wa</w:t>
      </w:r>
      <w:r w:rsidR="003F31D3">
        <w:rPr>
          <w:lang w:val="en-GB"/>
        </w:rPr>
        <w:t xml:space="preserve">s likely reasonable to assume some degree of OS benefit; however, considered the magnitude to be less than assumed in the submission base case. </w:t>
      </w:r>
      <w:r w:rsidR="00BE427D">
        <w:rPr>
          <w:lang w:val="en-GB"/>
        </w:rPr>
        <w:t>The PBAC considered applying a hazard ratio of 0.84</w:t>
      </w:r>
      <w:r w:rsidR="004A3D01">
        <w:rPr>
          <w:lang w:val="en-GB"/>
        </w:rPr>
        <w:t xml:space="preserve"> (midpoint between a HR of 0.67</w:t>
      </w:r>
      <w:r w:rsidR="00622F25">
        <w:rPr>
          <w:lang w:val="en-GB"/>
        </w:rPr>
        <w:t xml:space="preserve"> and 1</w:t>
      </w:r>
      <w:r w:rsidR="004A3D01">
        <w:rPr>
          <w:lang w:val="en-GB"/>
        </w:rPr>
        <w:t>)</w:t>
      </w:r>
      <w:r w:rsidR="00AF6EF9">
        <w:rPr>
          <w:lang w:val="en-GB"/>
        </w:rPr>
        <w:t xml:space="preserve"> beyond truncation points</w:t>
      </w:r>
      <w:r w:rsidR="006A15C0">
        <w:rPr>
          <w:lang w:val="en-GB"/>
        </w:rPr>
        <w:t>,</w:t>
      </w:r>
      <w:r w:rsidR="006A15C0" w:rsidRPr="006A15C0">
        <w:rPr>
          <w:lang w:val="en-GB"/>
        </w:rPr>
        <w:t xml:space="preserve"> </w:t>
      </w:r>
      <w:r w:rsidR="006A15C0">
        <w:rPr>
          <w:lang w:val="en-GB"/>
        </w:rPr>
        <w:t>with waning applied between years</w:t>
      </w:r>
      <w:r w:rsidR="00B2120A">
        <w:rPr>
          <w:lang w:val="en-GB"/>
        </w:rPr>
        <w:t xml:space="preserve"> </w:t>
      </w:r>
      <w:r w:rsidR="006A15C0">
        <w:rPr>
          <w:lang w:val="en-GB"/>
        </w:rPr>
        <w:t>3</w:t>
      </w:r>
      <w:r w:rsidR="006A15C0">
        <w:rPr>
          <w:rFonts w:cs="Calibri"/>
          <w:lang w:val="en-GB"/>
        </w:rPr>
        <w:t>−</w:t>
      </w:r>
      <w:r w:rsidR="006A15C0">
        <w:rPr>
          <w:lang w:val="en-GB"/>
        </w:rPr>
        <w:t>10,</w:t>
      </w:r>
      <w:r w:rsidR="00AF6EF9">
        <w:rPr>
          <w:lang w:val="en-GB"/>
        </w:rPr>
        <w:t xml:space="preserve"> was likely reasonable.</w:t>
      </w:r>
    </w:p>
    <w:p w14:paraId="251AB748" w14:textId="4C07F8BF" w:rsidR="001D0274" w:rsidRDefault="004D0ECE" w:rsidP="00A12328">
      <w:pPr>
        <w:numPr>
          <w:ilvl w:val="1"/>
          <w:numId w:val="1"/>
        </w:numPr>
        <w:spacing w:after="120"/>
        <w:rPr>
          <w:lang w:val="en-GB"/>
        </w:rPr>
      </w:pPr>
      <w:bookmarkStart w:id="92" w:name="_Ref204603289"/>
      <w:r>
        <w:rPr>
          <w:lang w:val="en-GB"/>
        </w:rPr>
        <w:t xml:space="preserve">The PBAC </w:t>
      </w:r>
      <w:r w:rsidR="00D06701">
        <w:rPr>
          <w:lang w:val="en-GB"/>
        </w:rPr>
        <w:t xml:space="preserve">also </w:t>
      </w:r>
      <w:r>
        <w:rPr>
          <w:lang w:val="en-GB"/>
        </w:rPr>
        <w:t xml:space="preserve">noted the </w:t>
      </w:r>
      <w:r w:rsidR="00917985">
        <w:rPr>
          <w:lang w:val="en-GB"/>
        </w:rPr>
        <w:t>uncertainty</w:t>
      </w:r>
      <w:r w:rsidR="00996EF0">
        <w:rPr>
          <w:lang w:val="en-GB"/>
        </w:rPr>
        <w:t xml:space="preserve"> raised by the evaluation and ESC</w:t>
      </w:r>
      <w:r w:rsidR="00917985">
        <w:rPr>
          <w:lang w:val="en-GB"/>
        </w:rPr>
        <w:t xml:space="preserve"> related to the mean duration of </w:t>
      </w:r>
      <w:r w:rsidR="0018362F">
        <w:rPr>
          <w:lang w:val="en-GB"/>
        </w:rPr>
        <w:t xml:space="preserve">osimertinib </w:t>
      </w:r>
      <w:r w:rsidR="00917985">
        <w:rPr>
          <w:lang w:val="en-GB"/>
        </w:rPr>
        <w:t>treatment assumed in</w:t>
      </w:r>
      <w:r w:rsidR="00BA7EF9">
        <w:rPr>
          <w:lang w:val="en-GB"/>
        </w:rPr>
        <w:t xml:space="preserve"> the model (</w:t>
      </w:r>
      <w:r w:rsidR="00B50819" w:rsidRPr="002B736C">
        <w:rPr>
          <w:color w:val="000000"/>
          <w:spacing w:val="6"/>
          <w:w w:val="59"/>
          <w:shd w:val="solid" w:color="000000" w:fill="000000"/>
          <w:fitText w:val="460" w:id="-628958711"/>
          <w:lang w:val="en-GB"/>
          <w14:textFill>
            <w14:solidFill>
              <w14:srgbClr w14:val="000000">
                <w14:alpha w14:val="100000"/>
              </w14:srgbClr>
            </w14:solidFill>
          </w14:textFill>
        </w:rPr>
        <w:t>|||</w:t>
      </w:r>
      <w:r w:rsidR="002B736C" w:rsidRPr="002B736C">
        <w:rPr>
          <w:color w:val="000000"/>
          <w:spacing w:val="6"/>
          <w:w w:val="59"/>
          <w:shd w:val="solid" w:color="000000" w:fill="000000"/>
          <w:fitText w:val="460" w:id="-628958711"/>
          <w:lang w:val="en-GB"/>
          <w14:textFill>
            <w14:solidFill>
              <w14:srgbClr w14:val="000000">
                <w14:alpha w14:val="100000"/>
              </w14:srgbClr>
            </w14:solidFill>
          </w14:textFill>
        </w:rPr>
        <w:t xml:space="preserve"> </w:t>
      </w:r>
      <w:r w:rsidR="00B50819" w:rsidRPr="002B736C">
        <w:rPr>
          <w:color w:val="000000"/>
          <w:spacing w:val="6"/>
          <w:w w:val="59"/>
          <w:shd w:val="solid" w:color="000000" w:fill="000000"/>
          <w:fitText w:val="460" w:id="-628958711"/>
          <w:lang w:val="en-GB"/>
          <w14:textFill>
            <w14:solidFill>
              <w14:srgbClr w14:val="000000">
                <w14:alpha w14:val="100000"/>
              </w14:srgbClr>
            </w14:solidFill>
          </w14:textFill>
        </w:rPr>
        <w:t>||</w:t>
      </w:r>
      <w:r w:rsidR="00B50819" w:rsidRPr="002B736C">
        <w:rPr>
          <w:color w:val="000000"/>
          <w:spacing w:val="2"/>
          <w:w w:val="59"/>
          <w:shd w:val="solid" w:color="000000" w:fill="000000"/>
          <w:fitText w:val="460" w:id="-628958711"/>
          <w:lang w:val="en-GB"/>
          <w14:textFill>
            <w14:solidFill>
              <w14:srgbClr w14:val="000000">
                <w14:alpha w14:val="100000"/>
              </w14:srgbClr>
            </w14:solidFill>
          </w14:textFill>
        </w:rPr>
        <w:t>|</w:t>
      </w:r>
      <w:r w:rsidR="00BA7EF9">
        <w:rPr>
          <w:lang w:val="en-GB"/>
        </w:rPr>
        <w:t xml:space="preserve"> months, based on PFS). </w:t>
      </w:r>
      <w:r w:rsidR="009D6516">
        <w:rPr>
          <w:lang w:val="en-GB"/>
        </w:rPr>
        <w:t>However,</w:t>
      </w:r>
      <w:r w:rsidR="00AC623E">
        <w:rPr>
          <w:lang w:val="en-GB"/>
        </w:rPr>
        <w:t xml:space="preserve"> the PBAC</w:t>
      </w:r>
      <w:r w:rsidR="009D6516">
        <w:rPr>
          <w:lang w:val="en-GB"/>
        </w:rPr>
        <w:t xml:space="preserve"> </w:t>
      </w:r>
      <w:r w:rsidR="005A7453">
        <w:rPr>
          <w:lang w:val="en-GB"/>
        </w:rPr>
        <w:t xml:space="preserve">noted the </w:t>
      </w:r>
      <w:r w:rsidR="00CA01E2">
        <w:rPr>
          <w:lang w:val="en-GB"/>
        </w:rPr>
        <w:t xml:space="preserve">inclusion of the restriction criterion requiring </w:t>
      </w:r>
      <w:r w:rsidR="00CA01E2" w:rsidRPr="007B0918">
        <w:rPr>
          <w:lang w:val="en-GB"/>
        </w:rPr>
        <w:t xml:space="preserve">patients </w:t>
      </w:r>
      <w:r w:rsidR="00CA01E2">
        <w:rPr>
          <w:lang w:val="en-GB"/>
        </w:rPr>
        <w:t>to</w:t>
      </w:r>
      <w:r w:rsidR="00CA01E2" w:rsidRPr="007B0918">
        <w:rPr>
          <w:lang w:val="en-GB"/>
        </w:rPr>
        <w:t xml:space="preserve"> cease treatment after disease progression</w:t>
      </w:r>
      <w:r w:rsidR="008474D5">
        <w:rPr>
          <w:lang w:val="en-GB"/>
        </w:rPr>
        <w:t xml:space="preserve"> </w:t>
      </w:r>
      <w:r w:rsidR="00DA1044">
        <w:rPr>
          <w:lang w:val="en-GB"/>
        </w:rPr>
        <w:t>and</w:t>
      </w:r>
      <w:r w:rsidR="00CA01E2">
        <w:rPr>
          <w:lang w:val="en-GB"/>
        </w:rPr>
        <w:t xml:space="preserve"> considered that </w:t>
      </w:r>
      <w:r w:rsidR="00643E7D">
        <w:rPr>
          <w:lang w:val="en-GB"/>
        </w:rPr>
        <w:t xml:space="preserve">expenditure caps would be a reasonable mechanism to limit the </w:t>
      </w:r>
      <w:r w:rsidR="00B268C0">
        <w:rPr>
          <w:lang w:val="en-GB"/>
        </w:rPr>
        <w:t xml:space="preserve">financial </w:t>
      </w:r>
      <w:r w:rsidR="00643E7D">
        <w:rPr>
          <w:lang w:val="en-GB"/>
        </w:rPr>
        <w:t xml:space="preserve">risk associated with </w:t>
      </w:r>
      <w:r w:rsidR="00516394">
        <w:rPr>
          <w:lang w:val="en-GB"/>
        </w:rPr>
        <w:t>use post-progression.</w:t>
      </w:r>
      <w:r w:rsidR="00D76D67">
        <w:rPr>
          <w:lang w:val="en-GB"/>
        </w:rPr>
        <w:t xml:space="preserve"> </w:t>
      </w:r>
      <w:r w:rsidR="00863E38">
        <w:rPr>
          <w:lang w:val="en-GB"/>
        </w:rPr>
        <w:t xml:space="preserve">For this reason, the PBAC considered that the duration of </w:t>
      </w:r>
      <w:r w:rsidR="00B22020">
        <w:rPr>
          <w:lang w:val="en-GB"/>
        </w:rPr>
        <w:t xml:space="preserve">osimertinib </w:t>
      </w:r>
      <w:r w:rsidR="00863E38">
        <w:rPr>
          <w:lang w:val="en-GB"/>
        </w:rPr>
        <w:t xml:space="preserve">treatment assumed in the submission base case was likely reasonable. </w:t>
      </w:r>
    </w:p>
    <w:bookmarkEnd w:id="92"/>
    <w:p w14:paraId="4FBC9784" w14:textId="03BB55DB" w:rsidR="00861772" w:rsidRPr="009261D9" w:rsidRDefault="00861772" w:rsidP="00A12328">
      <w:pPr>
        <w:numPr>
          <w:ilvl w:val="1"/>
          <w:numId w:val="1"/>
        </w:numPr>
        <w:spacing w:after="120"/>
        <w:rPr>
          <w:lang w:val="en-GB"/>
        </w:rPr>
      </w:pPr>
      <w:r w:rsidRPr="00F33A59">
        <w:rPr>
          <w:lang w:val="en-GB"/>
        </w:rPr>
        <w:t>Overall</w:t>
      </w:r>
      <w:r>
        <w:rPr>
          <w:rFonts w:cstheme="minorHAnsi"/>
        </w:rPr>
        <w:t xml:space="preserve">, while noting the </w:t>
      </w:r>
      <w:r w:rsidRPr="00686AFE">
        <w:rPr>
          <w:lang w:val="en-GB"/>
        </w:rPr>
        <w:t>uncertainties</w:t>
      </w:r>
      <w:r>
        <w:rPr>
          <w:rFonts w:cstheme="minorHAnsi"/>
        </w:rPr>
        <w:t xml:space="preserve"> raised above, the PBAC considered that </w:t>
      </w:r>
      <w:r w:rsidR="00FB41A3">
        <w:rPr>
          <w:rFonts w:cstheme="minorHAnsi"/>
        </w:rPr>
        <w:t>the listing would be cost-effective with the following changes</w:t>
      </w:r>
      <w:r w:rsidR="00686AFE">
        <w:rPr>
          <w:rFonts w:cstheme="minorHAnsi"/>
        </w:rPr>
        <w:t xml:space="preserve"> to the </w:t>
      </w:r>
      <w:r w:rsidR="007B1DAC">
        <w:rPr>
          <w:rFonts w:cstheme="minorHAnsi"/>
        </w:rPr>
        <w:t xml:space="preserve">economic </w:t>
      </w:r>
      <w:r w:rsidR="00686AFE">
        <w:rPr>
          <w:rFonts w:cstheme="minorHAnsi"/>
        </w:rPr>
        <w:t>model</w:t>
      </w:r>
      <w:r w:rsidR="00C2009F">
        <w:rPr>
          <w:rFonts w:cstheme="minorHAnsi"/>
        </w:rPr>
        <w:t xml:space="preserve">, and noted that </w:t>
      </w:r>
      <w:r w:rsidR="0063088E">
        <w:rPr>
          <w:rFonts w:cstheme="minorHAnsi"/>
        </w:rPr>
        <w:t xml:space="preserve">a </w:t>
      </w:r>
      <w:r w:rsidR="00C2009F">
        <w:rPr>
          <w:rFonts w:cstheme="minorHAnsi"/>
        </w:rPr>
        <w:t>price reduction would be required to achieve this scenario</w:t>
      </w:r>
      <w:r w:rsidR="00FB41A3">
        <w:rPr>
          <w:rFonts w:cstheme="minorHAnsi"/>
        </w:rPr>
        <w:t>:</w:t>
      </w:r>
    </w:p>
    <w:p w14:paraId="4C6C2760" w14:textId="28A2ACA8" w:rsidR="00FB41A3" w:rsidRPr="009261D9" w:rsidRDefault="009F12F9" w:rsidP="00A12328">
      <w:pPr>
        <w:pStyle w:val="ListParagraph"/>
        <w:numPr>
          <w:ilvl w:val="0"/>
          <w:numId w:val="31"/>
        </w:numPr>
        <w:rPr>
          <w:lang w:val="en-GB"/>
        </w:rPr>
      </w:pPr>
      <w:r>
        <w:rPr>
          <w:lang w:val="en-GB"/>
        </w:rPr>
        <w:t>an ICER o</w:t>
      </w:r>
      <w:r w:rsidR="00686AFE">
        <w:rPr>
          <w:lang w:val="en-GB"/>
        </w:rPr>
        <w:t>f $</w:t>
      </w:r>
      <w:r w:rsidR="00D806A6">
        <w:rPr>
          <w:lang w:val="en-GB"/>
        </w:rPr>
        <w:t>45,000 to &lt; $55,000</w:t>
      </w:r>
      <w:r w:rsidR="00686AFE">
        <w:rPr>
          <w:lang w:val="en-GB"/>
        </w:rPr>
        <w:t xml:space="preserve"> per QALY gained, consistent with previously accepted ICERs for similar populations</w:t>
      </w:r>
    </w:p>
    <w:p w14:paraId="1C023DE8" w14:textId="03C662F4" w:rsidR="00686AFE" w:rsidRPr="00686AFE" w:rsidRDefault="0087614C" w:rsidP="00A12328">
      <w:pPr>
        <w:pStyle w:val="ListParagraph"/>
        <w:numPr>
          <w:ilvl w:val="0"/>
          <w:numId w:val="31"/>
        </w:numPr>
        <w:rPr>
          <w:lang w:val="en-GB"/>
        </w:rPr>
      </w:pPr>
      <w:r>
        <w:rPr>
          <w:lang w:val="en-GB"/>
        </w:rPr>
        <w:t xml:space="preserve">use of post-progression ABCP in 30% of </w:t>
      </w:r>
      <w:r w:rsidR="00664F11">
        <w:rPr>
          <w:lang w:val="en-GB"/>
        </w:rPr>
        <w:t>o</w:t>
      </w:r>
      <w:r>
        <w:rPr>
          <w:lang w:val="en-GB"/>
        </w:rPr>
        <w:t>simertinib patients</w:t>
      </w:r>
    </w:p>
    <w:p w14:paraId="3FD119BB" w14:textId="796E43E8" w:rsidR="0087614C" w:rsidRPr="0087614C" w:rsidRDefault="00A20898" w:rsidP="00A12328">
      <w:pPr>
        <w:pStyle w:val="ListParagraph"/>
        <w:numPr>
          <w:ilvl w:val="0"/>
          <w:numId w:val="31"/>
        </w:numPr>
        <w:rPr>
          <w:lang w:val="en-GB"/>
        </w:rPr>
      </w:pPr>
      <w:r>
        <w:rPr>
          <w:lang w:val="en-GB"/>
        </w:rPr>
        <w:t>an</w:t>
      </w:r>
      <w:r w:rsidR="00445045">
        <w:rPr>
          <w:lang w:val="en-GB"/>
        </w:rPr>
        <w:t xml:space="preserve"> OS HR = 0.84, with waning from 3</w:t>
      </w:r>
      <w:r w:rsidR="00445045">
        <w:t>–</w:t>
      </w:r>
      <w:r w:rsidR="00445045" w:rsidRPr="00F92EEA">
        <w:t>10</w:t>
      </w:r>
      <w:r w:rsidR="00445045">
        <w:t xml:space="preserve"> years</w:t>
      </w:r>
      <w:r w:rsidR="00DB7039">
        <w:t>.</w:t>
      </w:r>
    </w:p>
    <w:p w14:paraId="52C74388" w14:textId="0C716640" w:rsidR="006107A2" w:rsidRPr="003A33F2" w:rsidRDefault="00B218C7" w:rsidP="00A12328">
      <w:pPr>
        <w:numPr>
          <w:ilvl w:val="1"/>
          <w:numId w:val="1"/>
        </w:numPr>
        <w:spacing w:after="120"/>
      </w:pPr>
      <w:bookmarkStart w:id="93" w:name="_Ref203058130"/>
      <w:r w:rsidRPr="003A33F2">
        <w:rPr>
          <w:rFonts w:asciiTheme="minorHAnsi" w:hAnsiTheme="minorHAnsi"/>
          <w:snapToGrid w:val="0"/>
          <w:lang w:val="en-GB"/>
        </w:rPr>
        <w:t xml:space="preserve">The PBAC </w:t>
      </w:r>
      <w:r w:rsidR="00427B74" w:rsidRPr="003A33F2">
        <w:rPr>
          <w:rFonts w:asciiTheme="minorHAnsi" w:hAnsiTheme="minorHAnsi"/>
          <w:snapToGrid w:val="0"/>
          <w:lang w:val="en-GB"/>
        </w:rPr>
        <w:t xml:space="preserve">considered that the </w:t>
      </w:r>
      <w:r w:rsidR="004E4E86" w:rsidRPr="003A33F2">
        <w:rPr>
          <w:rFonts w:asciiTheme="minorHAnsi" w:hAnsiTheme="minorHAnsi"/>
          <w:snapToGrid w:val="0"/>
          <w:lang w:val="en-GB"/>
        </w:rPr>
        <w:t>financial estimates were uncertain</w:t>
      </w:r>
      <w:r w:rsidRPr="003A33F2">
        <w:rPr>
          <w:rFonts w:asciiTheme="minorHAnsi" w:hAnsiTheme="minorHAnsi"/>
          <w:snapToGrid w:val="0"/>
          <w:lang w:val="en-GB"/>
        </w:rPr>
        <w:t xml:space="preserve"> because</w:t>
      </w:r>
      <w:r w:rsidR="006107A2" w:rsidRPr="003A33F2">
        <w:rPr>
          <w:rFonts w:asciiTheme="minorHAnsi" w:hAnsiTheme="minorHAnsi"/>
          <w:snapToGrid w:val="0"/>
          <w:lang w:val="en-GB"/>
        </w:rPr>
        <w:t xml:space="preserve"> of th</w:t>
      </w:r>
      <w:r w:rsidR="00D12A94">
        <w:rPr>
          <w:rFonts w:asciiTheme="minorHAnsi" w:hAnsiTheme="minorHAnsi"/>
          <w:snapToGrid w:val="0"/>
          <w:lang w:val="en-GB"/>
        </w:rPr>
        <w:t>e</w:t>
      </w:r>
      <w:r w:rsidR="006107A2" w:rsidRPr="003A33F2">
        <w:rPr>
          <w:rFonts w:asciiTheme="minorHAnsi" w:hAnsiTheme="minorHAnsi"/>
          <w:snapToGrid w:val="0"/>
          <w:lang w:val="en-GB"/>
        </w:rPr>
        <w:t xml:space="preserve"> overestimate of several inputs</w:t>
      </w:r>
      <w:r w:rsidR="00DB2A51">
        <w:rPr>
          <w:rFonts w:asciiTheme="minorHAnsi" w:hAnsiTheme="minorHAnsi"/>
          <w:snapToGrid w:val="0"/>
          <w:lang w:val="en-GB"/>
        </w:rPr>
        <w:t xml:space="preserve"> and considered alternative </w:t>
      </w:r>
      <w:r w:rsidR="00A03C25">
        <w:rPr>
          <w:rFonts w:asciiTheme="minorHAnsi" w:hAnsiTheme="minorHAnsi"/>
          <w:snapToGrid w:val="0"/>
          <w:lang w:val="en-GB"/>
        </w:rPr>
        <w:t>inputs would be more appropriate</w:t>
      </w:r>
      <w:r w:rsidR="006107A2" w:rsidRPr="003A33F2">
        <w:rPr>
          <w:rFonts w:asciiTheme="minorHAnsi" w:hAnsiTheme="minorHAnsi"/>
          <w:snapToGrid w:val="0"/>
          <w:lang w:val="en-GB"/>
        </w:rPr>
        <w:t>:</w:t>
      </w:r>
      <w:bookmarkEnd w:id="93"/>
      <w:r w:rsidR="006107A2" w:rsidRPr="003A33F2">
        <w:rPr>
          <w:rFonts w:asciiTheme="minorHAnsi" w:hAnsiTheme="minorHAnsi"/>
          <w:snapToGrid w:val="0"/>
          <w:lang w:val="en-GB"/>
        </w:rPr>
        <w:t xml:space="preserve"> </w:t>
      </w:r>
    </w:p>
    <w:p w14:paraId="519CDC67" w14:textId="182C848C" w:rsidR="00B00B89" w:rsidRDefault="00B00B89" w:rsidP="00A12328">
      <w:pPr>
        <w:pStyle w:val="ListParagraph"/>
        <w:numPr>
          <w:ilvl w:val="0"/>
          <w:numId w:val="31"/>
        </w:numPr>
        <w:rPr>
          <w:snapToGrid/>
        </w:rPr>
      </w:pPr>
      <w:r w:rsidRPr="003A33F2">
        <w:rPr>
          <w:snapToGrid/>
        </w:rPr>
        <w:t>The proportion</w:t>
      </w:r>
      <w:r w:rsidR="000E579E" w:rsidRPr="003A33F2">
        <w:rPr>
          <w:snapToGrid/>
        </w:rPr>
        <w:t xml:space="preserve"> of </w:t>
      </w:r>
      <w:r w:rsidR="001A5464" w:rsidRPr="003A33F2">
        <w:rPr>
          <w:snapToGrid/>
        </w:rPr>
        <w:t xml:space="preserve">NSCLC </w:t>
      </w:r>
      <w:r w:rsidR="000E579E" w:rsidRPr="003A33F2">
        <w:rPr>
          <w:snapToGrid/>
        </w:rPr>
        <w:t xml:space="preserve">patients with Stage III </w:t>
      </w:r>
      <w:r w:rsidR="001A5464" w:rsidRPr="003A33F2">
        <w:rPr>
          <w:snapToGrid/>
        </w:rPr>
        <w:t xml:space="preserve">disease (submission </w:t>
      </w:r>
      <w:r w:rsidR="0077695A">
        <w:rPr>
          <w:snapToGrid/>
        </w:rPr>
        <w:t>percentage</w:t>
      </w:r>
      <w:r w:rsidR="008D2CCA">
        <w:rPr>
          <w:snapToGrid/>
        </w:rPr>
        <w:t xml:space="preserve"> of</w:t>
      </w:r>
      <w:r w:rsidR="003A33F2" w:rsidRPr="003A33F2">
        <w:rPr>
          <w:snapToGrid/>
        </w:rPr>
        <w:t xml:space="preserve"> 27.2%</w:t>
      </w:r>
      <w:r w:rsidR="00120013">
        <w:rPr>
          <w:snapToGrid/>
        </w:rPr>
        <w:t xml:space="preserve"> </w:t>
      </w:r>
      <w:r w:rsidR="0077695A">
        <w:rPr>
          <w:snapToGrid/>
        </w:rPr>
        <w:t>was sourced from</w:t>
      </w:r>
      <w:r w:rsidR="00566FDF">
        <w:rPr>
          <w:snapToGrid/>
        </w:rPr>
        <w:t xml:space="preserve"> </w:t>
      </w:r>
      <w:r w:rsidR="00211C82" w:rsidRPr="009520E0">
        <w:rPr>
          <w:szCs w:val="20"/>
        </w:rPr>
        <w:t>Wainer 2018</w:t>
      </w:r>
      <w:r w:rsidR="00A1601E">
        <w:rPr>
          <w:snapToGrid/>
        </w:rPr>
        <w:t xml:space="preserve"> compared to</w:t>
      </w:r>
      <w:r w:rsidR="00D321A3">
        <w:rPr>
          <w:snapToGrid/>
        </w:rPr>
        <w:t xml:space="preserve"> the</w:t>
      </w:r>
      <w:r w:rsidR="003A33F2" w:rsidRPr="003A33F2">
        <w:rPr>
          <w:snapToGrid/>
        </w:rPr>
        <w:t xml:space="preserve"> Victorian Lung Cancer </w:t>
      </w:r>
      <w:r w:rsidR="0098466A" w:rsidRPr="003A33F2">
        <w:rPr>
          <w:snapToGrid/>
        </w:rPr>
        <w:t>Registry</w:t>
      </w:r>
      <w:r w:rsidR="003A33F2" w:rsidRPr="003A33F2">
        <w:rPr>
          <w:snapToGrid/>
        </w:rPr>
        <w:t xml:space="preserve"> </w:t>
      </w:r>
      <w:r w:rsidR="0077695A">
        <w:rPr>
          <w:snapToGrid/>
        </w:rPr>
        <w:t>percentage</w:t>
      </w:r>
      <w:r w:rsidR="003A33F2" w:rsidRPr="003A33F2">
        <w:rPr>
          <w:snapToGrid/>
        </w:rPr>
        <w:t xml:space="preserve"> </w:t>
      </w:r>
      <w:r w:rsidR="008D2CCA">
        <w:rPr>
          <w:snapToGrid/>
        </w:rPr>
        <w:t>of</w:t>
      </w:r>
      <w:r w:rsidR="003A33F2" w:rsidRPr="003A33F2">
        <w:rPr>
          <w:snapToGrid/>
        </w:rPr>
        <w:t xml:space="preserve"> 15%)</w:t>
      </w:r>
      <w:r w:rsidR="00C7284D">
        <w:rPr>
          <w:snapToGrid/>
        </w:rPr>
        <w:t>.</w:t>
      </w:r>
    </w:p>
    <w:p w14:paraId="57E6D179" w14:textId="1997419C" w:rsidR="00D12A94" w:rsidRPr="00E50FBC" w:rsidRDefault="00722726" w:rsidP="00A12328">
      <w:pPr>
        <w:pStyle w:val="ListBullet"/>
        <w:tabs>
          <w:tab w:val="clear" w:pos="360"/>
          <w:tab w:val="num" w:pos="1440"/>
        </w:tabs>
        <w:spacing w:after="120"/>
        <w:ind w:left="1434" w:hanging="357"/>
        <w:contextualSpacing w:val="0"/>
      </w:pPr>
      <w:r>
        <w:t xml:space="preserve">The proportion of </w:t>
      </w:r>
      <w:r w:rsidRPr="00BA270A">
        <w:rPr>
          <w:i/>
          <w:iCs/>
        </w:rPr>
        <w:t>EGFR</w:t>
      </w:r>
      <w:r>
        <w:t xml:space="preserve"> positive Stage III</w:t>
      </w:r>
      <w:r w:rsidR="0098466A">
        <w:t xml:space="preserve"> NSCLC patients receiving </w:t>
      </w:r>
      <w:r w:rsidR="00A40785">
        <w:t xml:space="preserve">platinum-based CRT (submission </w:t>
      </w:r>
      <w:r w:rsidR="00BA270A">
        <w:t>percentage</w:t>
      </w:r>
      <w:r w:rsidR="008D2CCA">
        <w:t xml:space="preserve"> of 70%</w:t>
      </w:r>
      <w:r w:rsidR="00DD778A">
        <w:t xml:space="preserve"> </w:t>
      </w:r>
      <w:r w:rsidR="00BA270A">
        <w:t xml:space="preserve">was </w:t>
      </w:r>
      <w:r w:rsidR="00DD778A">
        <w:t xml:space="preserve">based on patients </w:t>
      </w:r>
      <w:r w:rsidR="00120013">
        <w:t>without</w:t>
      </w:r>
      <w:r w:rsidR="00DD778A">
        <w:t xml:space="preserve"> </w:t>
      </w:r>
      <w:r w:rsidR="00DD778A" w:rsidRPr="00BA270A">
        <w:rPr>
          <w:i/>
          <w:iCs/>
        </w:rPr>
        <w:t>EGFR</w:t>
      </w:r>
      <w:r w:rsidR="006222E5">
        <w:t xml:space="preserve"> pathogenic variant disease</w:t>
      </w:r>
      <w:r w:rsidR="00671067">
        <w:t xml:space="preserve"> from</w:t>
      </w:r>
      <w:r w:rsidR="0080569C">
        <w:t xml:space="preserve"> the</w:t>
      </w:r>
      <w:r w:rsidR="00671067">
        <w:t xml:space="preserve"> </w:t>
      </w:r>
      <w:r w:rsidR="00671067" w:rsidRPr="003F273D">
        <w:rPr>
          <w:iCs/>
          <w:szCs w:val="20"/>
        </w:rPr>
        <w:t xml:space="preserve">durvalumab </w:t>
      </w:r>
      <w:r w:rsidR="00BA270A">
        <w:rPr>
          <w:iCs/>
          <w:szCs w:val="20"/>
        </w:rPr>
        <w:t>public summary document [PSD]</w:t>
      </w:r>
      <w:r w:rsidR="00A1601E">
        <w:t xml:space="preserve"> compared to</w:t>
      </w:r>
      <w:r w:rsidR="00D321A3">
        <w:t xml:space="preserve"> the</w:t>
      </w:r>
      <w:r w:rsidR="008D2CCA">
        <w:t xml:space="preserve"> </w:t>
      </w:r>
      <w:r w:rsidR="008D2CCA" w:rsidRPr="003A33F2">
        <w:t xml:space="preserve">Victorian Lung Cancer Registry </w:t>
      </w:r>
      <w:r w:rsidR="00A63173">
        <w:t>percentage</w:t>
      </w:r>
      <w:r w:rsidR="008D2CCA" w:rsidRPr="003A33F2">
        <w:t xml:space="preserve"> </w:t>
      </w:r>
      <w:r w:rsidR="008D2CCA">
        <w:t>of</w:t>
      </w:r>
      <w:r w:rsidR="008D2CCA" w:rsidRPr="003A33F2">
        <w:t xml:space="preserve"> </w:t>
      </w:r>
      <w:r w:rsidR="00645DA4">
        <w:t>33</w:t>
      </w:r>
      <w:r w:rsidR="008D2CCA" w:rsidRPr="003A33F2">
        <w:t>%</w:t>
      </w:r>
      <w:r w:rsidR="00645DA4">
        <w:t xml:space="preserve">); while the PBAC agreed with the </w:t>
      </w:r>
      <w:r w:rsidR="00D92466">
        <w:t xml:space="preserve">PSCR and </w:t>
      </w:r>
      <w:r w:rsidR="005B4FA5">
        <w:t>pre-PBAC response</w:t>
      </w:r>
      <w:r w:rsidR="00645DA4">
        <w:t xml:space="preserve"> that </w:t>
      </w:r>
      <w:r w:rsidR="002D0DE9" w:rsidRPr="008569E4">
        <w:rPr>
          <w:iCs/>
          <w:szCs w:val="20"/>
        </w:rPr>
        <w:t xml:space="preserve">the proportion of patients eligible for </w:t>
      </w:r>
      <w:r w:rsidR="00760C29">
        <w:rPr>
          <w:iCs/>
          <w:szCs w:val="20"/>
        </w:rPr>
        <w:t xml:space="preserve">platinum </w:t>
      </w:r>
      <w:r w:rsidR="002D0DE9" w:rsidRPr="008569E4">
        <w:rPr>
          <w:iCs/>
          <w:szCs w:val="20"/>
        </w:rPr>
        <w:t>based CRT is unlikely to vary based on mutation status</w:t>
      </w:r>
      <w:r w:rsidR="002D0DE9">
        <w:rPr>
          <w:iCs/>
          <w:szCs w:val="20"/>
        </w:rPr>
        <w:t>, it</w:t>
      </w:r>
      <w:r w:rsidR="00566FDF">
        <w:rPr>
          <w:iCs/>
          <w:szCs w:val="20"/>
        </w:rPr>
        <w:t xml:space="preserve"> also</w:t>
      </w:r>
      <w:r w:rsidR="002D0DE9">
        <w:rPr>
          <w:iCs/>
          <w:szCs w:val="20"/>
        </w:rPr>
        <w:t xml:space="preserve"> noted the lower estimate</w:t>
      </w:r>
      <w:r w:rsidR="00C7284D">
        <w:rPr>
          <w:iCs/>
          <w:szCs w:val="20"/>
        </w:rPr>
        <w:t>.</w:t>
      </w:r>
    </w:p>
    <w:p w14:paraId="3DDC38FD" w14:textId="5486307F" w:rsidR="00E50FBC" w:rsidRPr="008C09BD" w:rsidRDefault="00E50FBC" w:rsidP="00A12328">
      <w:pPr>
        <w:pStyle w:val="ListBullet"/>
        <w:tabs>
          <w:tab w:val="clear" w:pos="360"/>
          <w:tab w:val="num" w:pos="1440"/>
        </w:tabs>
        <w:spacing w:after="120"/>
        <w:ind w:left="1434" w:hanging="357"/>
        <w:contextualSpacing w:val="0"/>
      </w:pPr>
      <w:r>
        <w:rPr>
          <w:iCs/>
          <w:szCs w:val="20"/>
        </w:rPr>
        <w:t>The proportion of patients who do not have progressive disease</w:t>
      </w:r>
      <w:r w:rsidR="00A07533">
        <w:rPr>
          <w:iCs/>
          <w:szCs w:val="20"/>
        </w:rPr>
        <w:t xml:space="preserve"> following CRT (submission </w:t>
      </w:r>
      <w:r w:rsidR="00C01207">
        <w:rPr>
          <w:iCs/>
          <w:szCs w:val="20"/>
        </w:rPr>
        <w:t>percentage</w:t>
      </w:r>
      <w:r w:rsidR="00A07533">
        <w:rPr>
          <w:iCs/>
          <w:szCs w:val="20"/>
        </w:rPr>
        <w:t xml:space="preserve"> of 95%</w:t>
      </w:r>
      <w:r w:rsidR="000C783E">
        <w:rPr>
          <w:iCs/>
          <w:szCs w:val="20"/>
        </w:rPr>
        <w:t xml:space="preserve"> from a chart audit</w:t>
      </w:r>
      <w:r w:rsidR="00A1601E">
        <w:rPr>
          <w:iCs/>
          <w:szCs w:val="20"/>
        </w:rPr>
        <w:t xml:space="preserve"> compared to </w:t>
      </w:r>
      <w:r w:rsidR="008A58E6">
        <w:rPr>
          <w:iCs/>
          <w:szCs w:val="20"/>
        </w:rPr>
        <w:t>64%</w:t>
      </w:r>
      <w:r w:rsidR="00257915">
        <w:rPr>
          <w:iCs/>
          <w:szCs w:val="20"/>
        </w:rPr>
        <w:t xml:space="preserve"> from</w:t>
      </w:r>
      <w:r w:rsidR="00F802A7">
        <w:rPr>
          <w:iCs/>
          <w:szCs w:val="20"/>
        </w:rPr>
        <w:t xml:space="preserve"> a</w:t>
      </w:r>
      <w:r w:rsidR="00257915">
        <w:rPr>
          <w:iCs/>
          <w:szCs w:val="20"/>
        </w:rPr>
        <w:t xml:space="preserve"> </w:t>
      </w:r>
      <w:r w:rsidR="0046225C">
        <w:rPr>
          <w:iCs/>
          <w:szCs w:val="20"/>
        </w:rPr>
        <w:t xml:space="preserve">systematic review </w:t>
      </w:r>
      <w:r w:rsidR="00F802A7">
        <w:rPr>
          <w:iCs/>
          <w:szCs w:val="20"/>
        </w:rPr>
        <w:t>[</w:t>
      </w:r>
      <w:r w:rsidR="0046225C">
        <w:rPr>
          <w:iCs/>
          <w:szCs w:val="20"/>
        </w:rPr>
        <w:t>Laing 2010</w:t>
      </w:r>
      <w:r w:rsidR="00F802A7">
        <w:rPr>
          <w:iCs/>
          <w:szCs w:val="20"/>
        </w:rPr>
        <w:t>]</w:t>
      </w:r>
      <w:r w:rsidR="0046225C">
        <w:rPr>
          <w:iCs/>
          <w:szCs w:val="20"/>
        </w:rPr>
        <w:t>)</w:t>
      </w:r>
      <w:r w:rsidR="00C7284D">
        <w:rPr>
          <w:iCs/>
          <w:szCs w:val="20"/>
        </w:rPr>
        <w:t>.</w:t>
      </w:r>
    </w:p>
    <w:p w14:paraId="11ED3061" w14:textId="3C39FDF8" w:rsidR="00FF48F9" w:rsidRDefault="00FF48F9" w:rsidP="00A12328">
      <w:pPr>
        <w:pStyle w:val="3-BodyText"/>
        <w:numPr>
          <w:ilvl w:val="0"/>
          <w:numId w:val="0"/>
        </w:numPr>
        <w:ind w:left="720"/>
      </w:pPr>
      <w:bookmarkStart w:id="94" w:name="_Ref203057760"/>
      <w:r>
        <w:t xml:space="preserve">The PBAC also </w:t>
      </w:r>
      <w:r w:rsidR="007F52AD">
        <w:t>considered that</w:t>
      </w:r>
      <w:r w:rsidR="001554A5">
        <w:t xml:space="preserve"> </w:t>
      </w:r>
      <w:r w:rsidR="00F75BAB">
        <w:t xml:space="preserve">the </w:t>
      </w:r>
      <w:r w:rsidR="007A6A8E">
        <w:t xml:space="preserve">financial estimates should account for </w:t>
      </w:r>
      <w:r w:rsidR="001554A5">
        <w:t>the use of post-progression ABCP in</w:t>
      </w:r>
      <w:r w:rsidR="004E6CEF">
        <w:t xml:space="preserve"> </w:t>
      </w:r>
      <w:r w:rsidR="00CF7B18">
        <w:t>30% of osimertinib patients</w:t>
      </w:r>
      <w:r w:rsidR="007A6A8E">
        <w:t xml:space="preserve">, </w:t>
      </w:r>
      <w:r w:rsidR="00850863">
        <w:t xml:space="preserve">the mean </w:t>
      </w:r>
      <w:r w:rsidR="00850863" w:rsidRPr="00650867">
        <w:t xml:space="preserve">duration of treatment of </w:t>
      </w:r>
      <w:r w:rsidR="00B50819" w:rsidRPr="002B736C">
        <w:rPr>
          <w:color w:val="000000"/>
          <w:spacing w:val="6"/>
          <w:w w:val="61"/>
          <w:shd w:val="solid" w:color="000000" w:fill="000000"/>
          <w:fitText w:val="475" w:id="-628958710"/>
          <w14:textFill>
            <w14:solidFill>
              <w14:srgbClr w14:val="000000">
                <w14:alpha w14:val="100000"/>
              </w14:srgbClr>
            </w14:solidFill>
          </w14:textFill>
        </w:rPr>
        <w:t>|||</w:t>
      </w:r>
      <w:r w:rsidR="002B736C" w:rsidRPr="002B736C">
        <w:rPr>
          <w:color w:val="000000"/>
          <w:spacing w:val="6"/>
          <w:w w:val="61"/>
          <w:shd w:val="solid" w:color="000000" w:fill="000000"/>
          <w:fitText w:val="475" w:id="-628958710"/>
          <w14:textFill>
            <w14:solidFill>
              <w14:srgbClr w14:val="000000">
                <w14:alpha w14:val="100000"/>
              </w14:srgbClr>
            </w14:solidFill>
          </w14:textFill>
        </w:rPr>
        <w:t xml:space="preserve"> </w:t>
      </w:r>
      <w:r w:rsidR="00B50819" w:rsidRPr="002B736C">
        <w:rPr>
          <w:color w:val="000000"/>
          <w:spacing w:val="6"/>
          <w:w w:val="61"/>
          <w:shd w:val="solid" w:color="000000" w:fill="000000"/>
          <w:fitText w:val="475" w:id="-628958710"/>
          <w14:textFill>
            <w14:solidFill>
              <w14:srgbClr w14:val="000000">
                <w14:alpha w14:val="100000"/>
              </w14:srgbClr>
            </w14:solidFill>
          </w14:textFill>
        </w:rPr>
        <w:t>|||</w:t>
      </w:r>
      <w:r w:rsidR="00850863" w:rsidRPr="00650867">
        <w:t xml:space="preserve"> months </w:t>
      </w:r>
      <w:r w:rsidR="00850863">
        <w:t xml:space="preserve">consistent with the </w:t>
      </w:r>
      <w:r w:rsidR="00850863" w:rsidRPr="00650867">
        <w:t xml:space="preserve">economic </w:t>
      </w:r>
      <w:r w:rsidR="00706883">
        <w:t>model</w:t>
      </w:r>
      <w:r w:rsidR="002A2E58">
        <w:t>, and the revised price as per paragraph 7.11</w:t>
      </w:r>
      <w:r w:rsidR="00927F64">
        <w:t>.</w:t>
      </w:r>
    </w:p>
    <w:p w14:paraId="056BE2CA" w14:textId="35509E06" w:rsidR="007B6966" w:rsidRDefault="007B6966" w:rsidP="00A12328">
      <w:pPr>
        <w:pStyle w:val="3-BodyText"/>
      </w:pPr>
      <w:r w:rsidRPr="00650867">
        <w:t xml:space="preserve">The PBAC </w:t>
      </w:r>
      <w:r>
        <w:t>advised</w:t>
      </w:r>
      <w:r w:rsidRPr="00650867">
        <w:t xml:space="preserve"> that </w:t>
      </w:r>
      <w:r>
        <w:t xml:space="preserve">osimertinib for </w:t>
      </w:r>
      <w:r w:rsidRPr="007600E4">
        <w:t>unresectable locally advanced (Stage III)</w:t>
      </w:r>
      <w:r>
        <w:t xml:space="preserve"> should join the existing </w:t>
      </w:r>
      <w:r w:rsidRPr="00650867">
        <w:t xml:space="preserve">combined </w:t>
      </w:r>
      <w:r>
        <w:t xml:space="preserve">osimertinib NSCLC </w:t>
      </w:r>
      <w:r w:rsidRPr="00650867">
        <w:t>RSA</w:t>
      </w:r>
      <w:r>
        <w:t xml:space="preserve"> to </w:t>
      </w:r>
      <w:r w:rsidR="00553E24">
        <w:t xml:space="preserve">help </w:t>
      </w:r>
      <w:r>
        <w:t xml:space="preserve">address </w:t>
      </w:r>
      <w:r w:rsidR="007E7FE6">
        <w:t>uncert</w:t>
      </w:r>
      <w:r w:rsidR="001D3D50">
        <w:t>ainties in the financial</w:t>
      </w:r>
      <w:r w:rsidR="00B266F6">
        <w:t xml:space="preserve"> model</w:t>
      </w:r>
      <w:r>
        <w:t>. The PBAC considered it would be appropriate to increase the existing caps consistent with the incremental cost to the PBS per the agreed financial estimates</w:t>
      </w:r>
      <w:r w:rsidRPr="00650867">
        <w:t xml:space="preserve">. </w:t>
      </w:r>
    </w:p>
    <w:bookmarkEnd w:id="94"/>
    <w:p w14:paraId="1E0C9815" w14:textId="77777777" w:rsidR="00C363C4" w:rsidRPr="00382FA8" w:rsidRDefault="00C363C4" w:rsidP="00A12328">
      <w:pPr>
        <w:pStyle w:val="3-BodyText"/>
        <w:rPr>
          <w:rFonts w:cstheme="minorHAnsi"/>
        </w:rPr>
      </w:pPr>
      <w:r w:rsidRPr="00553E24">
        <w:rPr>
          <w:rFonts w:cstheme="minorHAnsi"/>
          <w:lang w:val="en-GB"/>
        </w:rPr>
        <w:t xml:space="preserve">The PBAC found that the criteria prescribed by the </w:t>
      </w:r>
      <w:r w:rsidRPr="00382FA8">
        <w:rPr>
          <w:rFonts w:cstheme="minorHAnsi"/>
          <w:i/>
          <w:lang w:val="en-GB"/>
        </w:rPr>
        <w:t>National Health (Pharmaceuticals and Vaccines – Cost Recovery) Regulations 2022</w:t>
      </w:r>
      <w:r w:rsidRPr="00382FA8">
        <w:rPr>
          <w:rFonts w:cstheme="minorHAnsi"/>
          <w:lang w:val="en-GB"/>
        </w:rPr>
        <w:t xml:space="preserve"> for Pricing Pathway A were not met. Specifically</w:t>
      </w:r>
      <w:r>
        <w:rPr>
          <w:rFonts w:cstheme="minorHAnsi"/>
          <w:lang w:val="en-GB"/>
        </w:rPr>
        <w:t>,</w:t>
      </w:r>
      <w:r w:rsidRPr="00382FA8">
        <w:rPr>
          <w:rFonts w:cstheme="minorHAnsi"/>
          <w:lang w:val="en-GB"/>
        </w:rPr>
        <w:t xml:space="preserve"> the PBAC found that in the circumstances of its recommendation for </w:t>
      </w:r>
      <w:r>
        <w:rPr>
          <w:rFonts w:cstheme="minorHAnsi"/>
          <w:lang w:val="en-GB"/>
        </w:rPr>
        <w:t>osimertinib</w:t>
      </w:r>
      <w:r w:rsidRPr="00382FA8">
        <w:rPr>
          <w:rFonts w:cstheme="minorHAnsi"/>
          <w:lang w:val="en-GB"/>
        </w:rPr>
        <w:t>:</w:t>
      </w:r>
    </w:p>
    <w:p w14:paraId="64332662" w14:textId="6CCEEDC6" w:rsidR="00C363C4" w:rsidRPr="00763DFB" w:rsidRDefault="00C94209" w:rsidP="00A12328">
      <w:pPr>
        <w:numPr>
          <w:ilvl w:val="1"/>
          <w:numId w:val="30"/>
        </w:numPr>
        <w:spacing w:after="120"/>
        <w:ind w:left="1418" w:hanging="567"/>
        <w:rPr>
          <w:rFonts w:asciiTheme="minorHAnsi" w:hAnsiTheme="minorHAnsi" w:cstheme="minorHAnsi"/>
          <w:lang w:val="en-GB"/>
        </w:rPr>
      </w:pPr>
      <w:r w:rsidRPr="00C94209">
        <w:rPr>
          <w:rFonts w:asciiTheme="minorHAnsi" w:hAnsiTheme="minorHAnsi" w:cstheme="minorHAnsi"/>
          <w:lang w:val="en-GB"/>
        </w:rPr>
        <w:t xml:space="preserve">The treatment is not expected to provide a substantial and clinically relevant improvement in efficacy over </w:t>
      </w:r>
      <w:r w:rsidR="00FE0065" w:rsidRPr="00560531">
        <w:t>standard of care (active surveillance)</w:t>
      </w:r>
      <w:r w:rsidRPr="00C94209">
        <w:rPr>
          <w:rFonts w:asciiTheme="minorHAnsi" w:hAnsiTheme="minorHAnsi" w:cstheme="minorHAnsi"/>
          <w:lang w:val="en-GB"/>
        </w:rPr>
        <w:t xml:space="preserve">, </w:t>
      </w:r>
      <w:r w:rsidR="006103C3">
        <w:rPr>
          <w:rFonts w:asciiTheme="minorHAnsi" w:hAnsiTheme="minorHAnsi" w:cstheme="minorHAnsi"/>
          <w:lang w:val="en-GB"/>
        </w:rPr>
        <w:t xml:space="preserve">as </w:t>
      </w:r>
      <w:r w:rsidRPr="00C94209">
        <w:rPr>
          <w:rFonts w:asciiTheme="minorHAnsi" w:hAnsiTheme="minorHAnsi" w:cstheme="minorHAnsi"/>
          <w:lang w:val="en-GB"/>
        </w:rPr>
        <w:t xml:space="preserve">while clinically relevant improvements in </w:t>
      </w:r>
      <w:r w:rsidR="006103C3">
        <w:rPr>
          <w:rFonts w:asciiTheme="minorHAnsi" w:hAnsiTheme="minorHAnsi" w:cstheme="minorHAnsi"/>
          <w:lang w:val="en-GB"/>
        </w:rPr>
        <w:t>PFS</w:t>
      </w:r>
      <w:r w:rsidRPr="00C94209">
        <w:rPr>
          <w:rFonts w:asciiTheme="minorHAnsi" w:hAnsiTheme="minorHAnsi" w:cstheme="minorHAnsi"/>
          <w:lang w:val="en-GB"/>
        </w:rPr>
        <w:t xml:space="preserve"> were evident there was no statistically significant difference in overall survival</w:t>
      </w:r>
    </w:p>
    <w:p w14:paraId="2C86896C" w14:textId="5984BB8A" w:rsidR="002E580C" w:rsidRDefault="00C363C4" w:rsidP="00A12328">
      <w:pPr>
        <w:numPr>
          <w:ilvl w:val="1"/>
          <w:numId w:val="30"/>
        </w:numPr>
        <w:spacing w:after="120"/>
        <w:ind w:left="1418" w:hanging="567"/>
        <w:rPr>
          <w:rFonts w:asciiTheme="minorHAnsi" w:hAnsiTheme="minorHAnsi" w:cstheme="minorHAnsi"/>
          <w:lang w:val="en-GB"/>
        </w:rPr>
      </w:pPr>
      <w:r w:rsidRPr="00763DFB">
        <w:rPr>
          <w:rFonts w:asciiTheme="minorHAnsi" w:hAnsiTheme="minorHAnsi" w:cstheme="minorHAnsi"/>
          <w:lang w:val="en-GB"/>
        </w:rPr>
        <w:t>The treatment is not expected to address a high and urgent unmet clinical need</w:t>
      </w:r>
    </w:p>
    <w:p w14:paraId="5F0B329E" w14:textId="0A3EF696" w:rsidR="003D07EB" w:rsidRPr="00C363C4" w:rsidRDefault="00C363C4" w:rsidP="00A12328">
      <w:pPr>
        <w:numPr>
          <w:ilvl w:val="1"/>
          <w:numId w:val="30"/>
        </w:numPr>
        <w:spacing w:after="120"/>
        <w:ind w:left="1418" w:hanging="567"/>
        <w:rPr>
          <w:rFonts w:asciiTheme="minorHAnsi" w:hAnsiTheme="minorHAnsi" w:cstheme="minorHAnsi"/>
          <w:lang w:val="en-GB"/>
        </w:rPr>
      </w:pPr>
      <w:r w:rsidRPr="00C363C4">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069A55D9" w14:textId="384C6AC3" w:rsidR="003D07EB" w:rsidRPr="00994A71" w:rsidRDefault="000C28D8" w:rsidP="00A12328">
      <w:pPr>
        <w:numPr>
          <w:ilvl w:val="1"/>
          <w:numId w:val="1"/>
        </w:numPr>
        <w:spacing w:after="120"/>
        <w:rPr>
          <w:rFonts w:asciiTheme="minorHAnsi" w:hAnsiTheme="minorHAnsi"/>
          <w:bCs/>
          <w:snapToGrid w:val="0"/>
          <w:lang w:val="en-GB"/>
        </w:rPr>
      </w:pPr>
      <w:r w:rsidRPr="000C28D8">
        <w:rPr>
          <w:rFonts w:asciiTheme="minorHAnsi" w:hAnsiTheme="minorHAnsi"/>
          <w:bCs/>
          <w:snapToGrid w:val="0"/>
          <w:lang w:val="en-GB"/>
        </w:rPr>
        <w:t>The PBAC noted that this submission is not eligible for an Independent Review as it received a positive recommendation.</w:t>
      </w:r>
    </w:p>
    <w:p w14:paraId="69DC1273" w14:textId="77777777" w:rsidR="003D07EB" w:rsidRPr="00525B39" w:rsidRDefault="003D07EB" w:rsidP="00A1232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ABCB934" w14:textId="3B9AE47B" w:rsidR="003D07EB" w:rsidRPr="00525B39" w:rsidRDefault="00753E7B" w:rsidP="00A12328">
      <w:pPr>
        <w:rPr>
          <w:rFonts w:asciiTheme="minorHAnsi" w:hAnsiTheme="minorHAnsi"/>
          <w:bCs/>
          <w:snapToGrid w:val="0"/>
          <w:lang w:val="en-GB"/>
        </w:rPr>
      </w:pPr>
      <w:r w:rsidRPr="00525B39">
        <w:rPr>
          <w:rFonts w:asciiTheme="minorHAnsi" w:hAnsiTheme="minorHAnsi"/>
          <w:bCs/>
          <w:snapToGrid w:val="0"/>
          <w:lang w:val="en-GB"/>
        </w:rPr>
        <w:t>Recommended</w:t>
      </w:r>
    </w:p>
    <w:p w14:paraId="7519E5F1" w14:textId="77777777" w:rsidR="003D07EB" w:rsidRPr="00525B39" w:rsidRDefault="003D07EB" w:rsidP="00A12328">
      <w:pPr>
        <w:rPr>
          <w:rFonts w:asciiTheme="minorHAnsi" w:hAnsiTheme="minorHAnsi"/>
          <w:b/>
          <w:bCs/>
          <w:snapToGrid w:val="0"/>
        </w:rPr>
      </w:pPr>
    </w:p>
    <w:bookmarkEnd w:id="90"/>
    <w:p w14:paraId="08FD9393" w14:textId="77777777" w:rsidR="003D07EB" w:rsidRPr="00907671" w:rsidRDefault="003D07EB" w:rsidP="00A12328">
      <w:pPr>
        <w:pStyle w:val="2-SectionHeading"/>
        <w:keepLines/>
        <w:numPr>
          <w:ilvl w:val="0"/>
          <w:numId w:val="1"/>
        </w:numPr>
      </w:pPr>
      <w:r w:rsidRPr="00907671">
        <w:t>Recommended listing</w:t>
      </w:r>
    </w:p>
    <w:p w14:paraId="5AD169D3" w14:textId="3A738E6C" w:rsidR="00D757B4" w:rsidRPr="0015266A" w:rsidRDefault="003F082E" w:rsidP="00A12328">
      <w:r>
        <w:t xml:space="preserve"> </w:t>
      </w:r>
      <w:r w:rsidR="0015266A" w:rsidRPr="0015266A">
        <w:t>8.1 Add new listing as follows:</w:t>
      </w:r>
    </w:p>
    <w:p w14:paraId="1DD2AB95" w14:textId="77777777" w:rsidR="0015266A" w:rsidRPr="007E143F" w:rsidRDefault="0015266A" w:rsidP="00A12328">
      <w:pPr>
        <w:rPr>
          <w:b/>
          <w:bCs/>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940"/>
        <w:gridCol w:w="811"/>
        <w:gridCol w:w="812"/>
        <w:gridCol w:w="811"/>
        <w:gridCol w:w="812"/>
        <w:gridCol w:w="1881"/>
      </w:tblGrid>
      <w:tr w:rsidR="00D757B4" w:rsidRPr="00471D80" w14:paraId="41A4F434" w14:textId="77777777" w:rsidTr="0035199C">
        <w:trPr>
          <w:cantSplit/>
          <w:trHeight w:val="20"/>
        </w:trPr>
        <w:tc>
          <w:tcPr>
            <w:tcW w:w="3940" w:type="dxa"/>
            <w:vAlign w:val="center"/>
          </w:tcPr>
          <w:p w14:paraId="2ED5A6A2" w14:textId="77777777" w:rsidR="00D757B4" w:rsidRPr="00471D80" w:rsidRDefault="00D757B4" w:rsidP="00A12328">
            <w:pPr>
              <w:keepLines/>
              <w:rPr>
                <w:rFonts w:ascii="Arial Narrow" w:hAnsi="Arial Narrow"/>
                <w:b/>
                <w:bCs/>
                <w:sz w:val="20"/>
                <w:szCs w:val="20"/>
              </w:rPr>
            </w:pPr>
            <w:r w:rsidRPr="00471D80">
              <w:rPr>
                <w:rFonts w:ascii="Arial Narrow" w:hAnsi="Arial Narrow"/>
                <w:b/>
                <w:bCs/>
                <w:sz w:val="20"/>
                <w:szCs w:val="20"/>
              </w:rPr>
              <w:t>MEDICINAL PRODUCT</w:t>
            </w:r>
          </w:p>
          <w:p w14:paraId="55666CAB" w14:textId="77777777" w:rsidR="00D757B4" w:rsidRPr="00471D80" w:rsidRDefault="00D757B4" w:rsidP="00A12328">
            <w:pPr>
              <w:keepLines/>
              <w:rPr>
                <w:rFonts w:ascii="Arial Narrow" w:hAnsi="Arial Narrow"/>
                <w:b/>
                <w:sz w:val="20"/>
                <w:szCs w:val="20"/>
              </w:rPr>
            </w:pPr>
            <w:r w:rsidRPr="00471D80">
              <w:rPr>
                <w:rFonts w:ascii="Arial Narrow" w:hAnsi="Arial Narrow"/>
                <w:b/>
                <w:bCs/>
                <w:sz w:val="20"/>
                <w:szCs w:val="20"/>
              </w:rPr>
              <w:t>medicinal product pack</w:t>
            </w:r>
          </w:p>
        </w:tc>
        <w:tc>
          <w:tcPr>
            <w:tcW w:w="811" w:type="dxa"/>
            <w:vAlign w:val="center"/>
          </w:tcPr>
          <w:p w14:paraId="5563B177"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PBS item code</w:t>
            </w:r>
          </w:p>
        </w:tc>
        <w:tc>
          <w:tcPr>
            <w:tcW w:w="812" w:type="dxa"/>
            <w:vAlign w:val="center"/>
          </w:tcPr>
          <w:p w14:paraId="6C9BF7CC"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Max. qty packs</w:t>
            </w:r>
          </w:p>
        </w:tc>
        <w:tc>
          <w:tcPr>
            <w:tcW w:w="811" w:type="dxa"/>
            <w:vAlign w:val="center"/>
          </w:tcPr>
          <w:p w14:paraId="367E3795"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Max. qty units</w:t>
            </w:r>
          </w:p>
        </w:tc>
        <w:tc>
          <w:tcPr>
            <w:tcW w:w="812" w:type="dxa"/>
            <w:vAlign w:val="center"/>
          </w:tcPr>
          <w:p w14:paraId="23272D51"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№.of</w:t>
            </w:r>
          </w:p>
          <w:p w14:paraId="31023C44"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Rpts</w:t>
            </w:r>
          </w:p>
        </w:tc>
        <w:tc>
          <w:tcPr>
            <w:tcW w:w="1881" w:type="dxa"/>
            <w:vAlign w:val="center"/>
          </w:tcPr>
          <w:p w14:paraId="3DCECD40" w14:textId="77777777" w:rsidR="00D757B4" w:rsidRPr="00471D80" w:rsidRDefault="00D757B4" w:rsidP="00A12328">
            <w:pPr>
              <w:keepLines/>
              <w:rPr>
                <w:rFonts w:ascii="Arial Narrow" w:hAnsi="Arial Narrow"/>
                <w:b/>
                <w:sz w:val="20"/>
                <w:szCs w:val="20"/>
                <w:lang w:val="fr-FR"/>
              </w:rPr>
            </w:pPr>
            <w:r w:rsidRPr="00471D80">
              <w:rPr>
                <w:rFonts w:ascii="Arial Narrow" w:hAnsi="Arial Narrow"/>
                <w:b/>
                <w:sz w:val="20"/>
                <w:szCs w:val="20"/>
              </w:rPr>
              <w:t>Available brands</w:t>
            </w:r>
          </w:p>
        </w:tc>
      </w:tr>
      <w:tr w:rsidR="00D757B4" w:rsidRPr="00471D80" w14:paraId="626E2B2C" w14:textId="77777777" w:rsidTr="0035199C">
        <w:trPr>
          <w:cantSplit/>
          <w:trHeight w:val="20"/>
        </w:trPr>
        <w:tc>
          <w:tcPr>
            <w:tcW w:w="9067" w:type="dxa"/>
            <w:gridSpan w:val="6"/>
            <w:vAlign w:val="center"/>
          </w:tcPr>
          <w:p w14:paraId="70395491" w14:textId="77777777" w:rsidR="00D757B4" w:rsidRPr="00471D80" w:rsidRDefault="00D757B4" w:rsidP="00A12328">
            <w:pPr>
              <w:keepLines/>
              <w:rPr>
                <w:rFonts w:ascii="Arial Narrow" w:hAnsi="Arial Narrow"/>
                <w:sz w:val="20"/>
                <w:szCs w:val="20"/>
              </w:rPr>
            </w:pPr>
            <w:r w:rsidRPr="00471D80">
              <w:rPr>
                <w:rFonts w:ascii="Arial Narrow" w:hAnsi="Arial Narrow"/>
                <w:sz w:val="20"/>
                <w:szCs w:val="20"/>
              </w:rPr>
              <w:t>OSIMERTINIB</w:t>
            </w:r>
          </w:p>
        </w:tc>
      </w:tr>
      <w:tr w:rsidR="00D757B4" w:rsidRPr="00471D80" w14:paraId="4ECAFE08" w14:textId="77777777" w:rsidTr="0035199C">
        <w:trPr>
          <w:cantSplit/>
          <w:trHeight w:val="20"/>
        </w:trPr>
        <w:tc>
          <w:tcPr>
            <w:tcW w:w="3940" w:type="dxa"/>
            <w:vAlign w:val="center"/>
          </w:tcPr>
          <w:p w14:paraId="377B116C" w14:textId="77777777" w:rsidR="00D757B4" w:rsidRPr="00471D80" w:rsidRDefault="00D757B4" w:rsidP="00A12328">
            <w:pPr>
              <w:keepLines/>
              <w:rPr>
                <w:rFonts w:ascii="Arial Narrow" w:hAnsi="Arial Narrow"/>
                <w:sz w:val="20"/>
                <w:szCs w:val="20"/>
              </w:rPr>
            </w:pPr>
            <w:r w:rsidRPr="00471D80">
              <w:rPr>
                <w:rFonts w:ascii="Arial Narrow" w:hAnsi="Arial Narrow"/>
                <w:sz w:val="20"/>
                <w:szCs w:val="20"/>
              </w:rPr>
              <w:t xml:space="preserve">osimertinib </w:t>
            </w:r>
            <w:r>
              <w:rPr>
                <w:rFonts w:ascii="Arial Narrow" w:hAnsi="Arial Narrow"/>
                <w:sz w:val="20"/>
                <w:szCs w:val="20"/>
              </w:rPr>
              <w:t>8</w:t>
            </w:r>
            <w:r w:rsidRPr="00471D80">
              <w:rPr>
                <w:rFonts w:ascii="Arial Narrow" w:hAnsi="Arial Narrow"/>
                <w:sz w:val="20"/>
                <w:szCs w:val="20"/>
              </w:rPr>
              <w:t xml:space="preserve">0 mg tablet, 30 </w:t>
            </w:r>
          </w:p>
        </w:tc>
        <w:tc>
          <w:tcPr>
            <w:tcW w:w="811" w:type="dxa"/>
            <w:vAlign w:val="center"/>
          </w:tcPr>
          <w:p w14:paraId="07583F4B" w14:textId="77777777" w:rsidR="00D757B4" w:rsidRPr="00471D80" w:rsidRDefault="00D757B4" w:rsidP="00A12328">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5F80D8AA"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6D04E957"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7078AAE9"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5</w:t>
            </w:r>
          </w:p>
        </w:tc>
        <w:tc>
          <w:tcPr>
            <w:tcW w:w="1881" w:type="dxa"/>
            <w:vAlign w:val="center"/>
          </w:tcPr>
          <w:p w14:paraId="604193AB"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Tagrisso</w:t>
            </w:r>
          </w:p>
        </w:tc>
      </w:tr>
      <w:tr w:rsidR="00D757B4" w:rsidRPr="00471D80" w14:paraId="4377499A"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5C805CDC" w14:textId="77777777" w:rsidR="00D757B4" w:rsidRPr="00471D80" w:rsidRDefault="00D757B4" w:rsidP="00A12328">
            <w:pPr>
              <w:rPr>
                <w:rFonts w:ascii="Arial Narrow" w:hAnsi="Arial Narrow"/>
                <w:sz w:val="20"/>
                <w:szCs w:val="20"/>
              </w:rPr>
            </w:pPr>
          </w:p>
        </w:tc>
      </w:tr>
      <w:tr w:rsidR="0035199C" w:rsidRPr="00471D80" w14:paraId="27AC1C33"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4944872" w14:textId="77777777" w:rsidR="0035199C" w:rsidRPr="00471D80" w:rsidRDefault="0035199C" w:rsidP="00A12328">
            <w:pPr>
              <w:keepLines/>
              <w:rPr>
                <w:rFonts w:ascii="Arial Narrow" w:hAnsi="Arial Narrow"/>
                <w:sz w:val="20"/>
                <w:szCs w:val="20"/>
              </w:rPr>
            </w:pPr>
            <w:r w:rsidRPr="00471D80">
              <w:rPr>
                <w:rFonts w:ascii="Arial Narrow" w:hAnsi="Arial Narrow"/>
                <w:b/>
                <w:sz w:val="20"/>
                <w:szCs w:val="20"/>
              </w:rPr>
              <w:t>Category / Program:</w:t>
            </w:r>
            <w:r w:rsidRPr="00471D80">
              <w:rPr>
                <w:rFonts w:ascii="Arial Narrow" w:hAnsi="Arial Narrow"/>
                <w:sz w:val="20"/>
                <w:szCs w:val="20"/>
              </w:rPr>
              <w:t xml:space="preserv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GENERAL - General Schedule (Code GE)</w:t>
            </w:r>
          </w:p>
        </w:tc>
      </w:tr>
      <w:tr w:rsidR="0035199C" w:rsidRPr="00471D80" w14:paraId="1EF42541"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5C418B2" w14:textId="77777777" w:rsidR="0035199C" w:rsidRPr="00471D80" w:rsidRDefault="0035199C" w:rsidP="00A12328">
            <w:pPr>
              <w:keepLines/>
              <w:rPr>
                <w:rFonts w:ascii="Arial Narrow" w:hAnsi="Arial Narrow"/>
                <w:b/>
                <w:sz w:val="20"/>
                <w:szCs w:val="20"/>
              </w:rPr>
            </w:pPr>
            <w:r w:rsidRPr="00471D80">
              <w:rPr>
                <w:rFonts w:ascii="Arial Narrow" w:hAnsi="Arial Narrow"/>
                <w:b/>
                <w:sz w:val="20"/>
                <w:szCs w:val="20"/>
              </w:rPr>
              <w:t xml:space="preserve">Prescriber type: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Medical Practitioners </w:t>
            </w:r>
          </w:p>
        </w:tc>
      </w:tr>
      <w:tr w:rsidR="0035199C" w:rsidRPr="00471D80" w14:paraId="7AA4A7C9"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724C7801" w14:textId="676C9FAD" w:rsidR="0035199C" w:rsidRPr="00471D80" w:rsidRDefault="0035199C" w:rsidP="00A12328">
            <w:pPr>
              <w:keepLines/>
              <w:rPr>
                <w:rFonts w:ascii="Arial Narrow" w:eastAsia="Calibri" w:hAnsi="Arial Narrow"/>
                <w:sz w:val="20"/>
                <w:szCs w:val="20"/>
              </w:rPr>
            </w:pPr>
            <w:r w:rsidRPr="00471D80">
              <w:rPr>
                <w:rFonts w:ascii="Arial Narrow" w:hAnsi="Arial Narrow"/>
                <w:b/>
                <w:sz w:val="20"/>
                <w:szCs w:val="20"/>
              </w:rPr>
              <w:t>Benefit type:</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35199C" w:rsidRPr="00471D80" w14:paraId="5173488D"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1735AE8"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 xml:space="preserve">Prescribing rule level: </w:t>
            </w:r>
          </w:p>
        </w:tc>
      </w:tr>
      <w:tr w:rsidR="0035199C" w:rsidRPr="00471D80" w14:paraId="62A038BC"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4BDE9142"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34775FBA" w14:textId="77777777" w:rsidR="0035199C" w:rsidRPr="00471D80" w:rsidRDefault="0035199C" w:rsidP="00A12328">
            <w:pPr>
              <w:rPr>
                <w:rFonts w:ascii="Arial Narrow" w:hAnsi="Arial Narrow"/>
                <w:bCs/>
                <w:sz w:val="20"/>
                <w:szCs w:val="20"/>
              </w:rPr>
            </w:pPr>
            <w:r w:rsidRPr="00471D80">
              <w:rPr>
                <w:rFonts w:ascii="Arial Narrow" w:hAnsi="Arial Narrow"/>
                <w:bCs/>
                <w:sz w:val="20"/>
                <w:szCs w:val="20"/>
              </w:rPr>
              <w:t>No increase in the maximum quantity or number of units may be authorised.</w:t>
            </w:r>
          </w:p>
        </w:tc>
      </w:tr>
      <w:tr w:rsidR="0035199C" w:rsidRPr="00471D80" w14:paraId="724AA656"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61A3BAD"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077017B8" w14:textId="77777777" w:rsidR="0035199C" w:rsidRPr="00471D80" w:rsidRDefault="0035199C" w:rsidP="00A12328">
            <w:pPr>
              <w:rPr>
                <w:rFonts w:ascii="Arial Narrow" w:hAnsi="Arial Narrow"/>
                <w:bCs/>
                <w:sz w:val="20"/>
                <w:szCs w:val="20"/>
              </w:rPr>
            </w:pPr>
            <w:r w:rsidRPr="00471D80">
              <w:rPr>
                <w:rFonts w:ascii="Arial Narrow" w:hAnsi="Arial Narrow"/>
                <w:bCs/>
                <w:sz w:val="20"/>
                <w:szCs w:val="20"/>
              </w:rPr>
              <w:t>No increase in the maximum number of repeats may be authorised.</w:t>
            </w:r>
          </w:p>
        </w:tc>
      </w:tr>
      <w:tr w:rsidR="0035199C" w:rsidRPr="00471D80" w14:paraId="23C8C842"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7E227701"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0B3C4FA9" w14:textId="77777777" w:rsidR="0035199C" w:rsidRPr="00471D80" w:rsidRDefault="0035199C" w:rsidP="00A12328">
            <w:pPr>
              <w:rPr>
                <w:rFonts w:ascii="Arial Narrow" w:hAnsi="Arial Narrow"/>
                <w:bCs/>
                <w:sz w:val="20"/>
                <w:szCs w:val="20"/>
              </w:rPr>
            </w:pPr>
            <w:r w:rsidRPr="00471D80">
              <w:rPr>
                <w:rFonts w:ascii="Arial Narrow" w:hAnsi="Arial Narrow"/>
                <w:bCs/>
                <w:sz w:val="20"/>
                <w:szCs w:val="20"/>
              </w:rPr>
              <w:t>Special Pricing Arrangements apply.</w:t>
            </w:r>
          </w:p>
        </w:tc>
      </w:tr>
      <w:tr w:rsidR="0035199C" w:rsidRPr="00471D80" w14:paraId="25FE4D9B"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CD88AF8"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7A583BE2" w14:textId="77777777" w:rsidR="0035199C" w:rsidRPr="00471D80" w:rsidRDefault="0035199C" w:rsidP="00A12328">
            <w:pPr>
              <w:rPr>
                <w:rFonts w:ascii="Arial Narrow" w:hAnsi="Arial Narrow"/>
                <w:b/>
                <w:sz w:val="20"/>
                <w:szCs w:val="20"/>
              </w:rPr>
            </w:pPr>
            <w:r w:rsidRPr="00471D80">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5199C" w:rsidRPr="00471D80" w14:paraId="1B4B58D4"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5E05C8C" w14:textId="77777777" w:rsidR="0035199C" w:rsidRPr="00471D80" w:rsidRDefault="0035199C" w:rsidP="00A12328">
            <w:pPr>
              <w:keepLines/>
              <w:rPr>
                <w:rFonts w:ascii="Arial Narrow" w:hAnsi="Arial Narrow"/>
                <w:b/>
                <w:bCs/>
                <w:color w:val="333333"/>
                <w:sz w:val="20"/>
                <w:szCs w:val="20"/>
              </w:rPr>
            </w:pPr>
            <w:r w:rsidRPr="00471D80">
              <w:rPr>
                <w:rFonts w:ascii="Arial Narrow" w:hAnsi="Arial Narrow"/>
                <w:b/>
                <w:sz w:val="20"/>
                <w:szCs w:val="20"/>
              </w:rPr>
              <w:t>Restriction Summary [new1] / Treatment of Concept: [new1A]</w:t>
            </w:r>
          </w:p>
        </w:tc>
      </w:tr>
      <w:tr w:rsidR="0035199C" w:rsidRPr="00471D80" w14:paraId="06B73864" w14:textId="77777777" w:rsidTr="0035199C">
        <w:tblPrEx>
          <w:tblCellMar>
            <w:top w:w="15" w:type="dxa"/>
            <w:bottom w:w="15" w:type="dxa"/>
          </w:tblCellMar>
          <w:tblLook w:val="04A0" w:firstRow="1" w:lastRow="0" w:firstColumn="1" w:lastColumn="0" w:noHBand="0" w:noVBand="1"/>
        </w:tblPrEx>
        <w:trPr>
          <w:cantSplit/>
          <w:trHeight w:val="78"/>
        </w:trPr>
        <w:tc>
          <w:tcPr>
            <w:tcW w:w="9067" w:type="dxa"/>
            <w:gridSpan w:val="6"/>
            <w:vAlign w:val="center"/>
            <w:hideMark/>
          </w:tcPr>
          <w:p w14:paraId="4BCCB136" w14:textId="77777777" w:rsidR="0035199C" w:rsidRPr="00471D80" w:rsidRDefault="0035199C" w:rsidP="00A12328">
            <w:pPr>
              <w:keepLines/>
              <w:rPr>
                <w:rFonts w:ascii="Arial Narrow" w:hAnsi="Arial Narrow"/>
                <w:sz w:val="20"/>
                <w:szCs w:val="20"/>
              </w:rPr>
            </w:pPr>
            <w:r w:rsidRPr="00471D80">
              <w:rPr>
                <w:rFonts w:ascii="Arial Narrow" w:hAnsi="Arial Narrow"/>
                <w:b/>
                <w:bCs/>
                <w:sz w:val="20"/>
                <w:szCs w:val="20"/>
              </w:rPr>
              <w:t>Indication:</w:t>
            </w:r>
            <w:r w:rsidRPr="00471D80">
              <w:rPr>
                <w:rFonts w:ascii="Arial Narrow" w:hAnsi="Arial Narrow"/>
                <w:sz w:val="20"/>
                <w:szCs w:val="20"/>
              </w:rPr>
              <w:t xml:space="preserve"> </w:t>
            </w:r>
            <w:r w:rsidRPr="004440FA">
              <w:rPr>
                <w:rFonts w:ascii="Arial Narrow" w:hAnsi="Arial Narrow"/>
                <w:sz w:val="20"/>
                <w:szCs w:val="20"/>
              </w:rPr>
              <w:t>Unresectable Stage III non-small cell lung cancer</w:t>
            </w:r>
          </w:p>
        </w:tc>
      </w:tr>
      <w:tr w:rsidR="0035199C" w:rsidRPr="00471D80" w14:paraId="0BD67B77" w14:textId="77777777" w:rsidTr="0035199C">
        <w:tblPrEx>
          <w:tblCellMar>
            <w:top w:w="15" w:type="dxa"/>
            <w:bottom w:w="15" w:type="dxa"/>
          </w:tblCellMar>
          <w:tblLook w:val="04A0" w:firstRow="1" w:lastRow="0" w:firstColumn="1" w:lastColumn="0" w:noHBand="0" w:noVBand="1"/>
        </w:tblPrEx>
        <w:trPr>
          <w:cantSplit/>
          <w:trHeight w:val="78"/>
        </w:trPr>
        <w:tc>
          <w:tcPr>
            <w:tcW w:w="9067" w:type="dxa"/>
            <w:gridSpan w:val="6"/>
            <w:vAlign w:val="center"/>
          </w:tcPr>
          <w:p w14:paraId="62D47697" w14:textId="77777777" w:rsidR="0035199C" w:rsidRPr="00471D80" w:rsidRDefault="0035199C" w:rsidP="00A12328">
            <w:pPr>
              <w:keepLines/>
              <w:rPr>
                <w:rFonts w:ascii="Arial Narrow" w:hAnsi="Arial Narrow"/>
                <w:b/>
                <w:bCs/>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Initial treatment</w:t>
            </w:r>
          </w:p>
        </w:tc>
      </w:tr>
      <w:tr w:rsidR="0035199C" w:rsidRPr="00471D80" w14:paraId="73AF6528"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70987E6" w14:textId="77777777" w:rsidR="0035199C" w:rsidRPr="00FA707A" w:rsidRDefault="0035199C" w:rsidP="00A12328">
            <w:pPr>
              <w:rPr>
                <w:rFonts w:ascii="Arial Narrow" w:hAnsi="Arial Narrow"/>
                <w:b/>
                <w:bCs/>
                <w:sz w:val="20"/>
                <w:szCs w:val="20"/>
              </w:rPr>
            </w:pPr>
            <w:r w:rsidRPr="00471D80">
              <w:rPr>
                <w:rFonts w:ascii="Arial Narrow" w:hAnsi="Arial Narrow"/>
                <w:b/>
                <w:bCs/>
                <w:color w:val="333333"/>
                <w:sz w:val="20"/>
                <w:szCs w:val="20"/>
              </w:rPr>
              <w:t xml:space="preserve">Clinical criteria: </w:t>
            </w:r>
          </w:p>
        </w:tc>
      </w:tr>
      <w:tr w:rsidR="0035199C" w:rsidRPr="00471D80" w14:paraId="7DEB792A"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0440E74" w14:textId="77777777" w:rsidR="0035199C" w:rsidRPr="00CE450B" w:rsidRDefault="0035199C" w:rsidP="00A12328">
            <w:pPr>
              <w:rPr>
                <w:rFonts w:ascii="Arial Narrow" w:hAnsi="Arial Narrow"/>
                <w:sz w:val="20"/>
                <w:szCs w:val="20"/>
              </w:rPr>
            </w:pPr>
            <w:r w:rsidRPr="00471D80">
              <w:rPr>
                <w:rFonts w:ascii="Arial Narrow" w:hAnsi="Arial Narrow"/>
                <w:sz w:val="20"/>
                <w:szCs w:val="20"/>
                <w:lang w:bidi="en-US"/>
              </w:rPr>
              <w:t>Patient must have received platinum based chemoradiation therapy</w:t>
            </w:r>
            <w:r w:rsidRPr="00471D80">
              <w:rPr>
                <w:rFonts w:ascii="Arial Narrow" w:hAnsi="Arial Narrow"/>
                <w:strike/>
                <w:sz w:val="20"/>
                <w:szCs w:val="20"/>
                <w:lang w:bidi="en-US"/>
              </w:rPr>
              <w:t xml:space="preserve"> </w:t>
            </w:r>
          </w:p>
        </w:tc>
      </w:tr>
      <w:tr w:rsidR="0035199C" w:rsidRPr="00471D80" w14:paraId="132A7B34"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A434E95" w14:textId="77777777" w:rsidR="0035199C" w:rsidRPr="00566B72" w:rsidRDefault="0035199C" w:rsidP="00A12328">
            <w:pPr>
              <w:rPr>
                <w:rFonts w:ascii="Arial Narrow" w:hAnsi="Arial Narrow"/>
                <w:sz w:val="20"/>
                <w:szCs w:val="20"/>
              </w:rPr>
            </w:pPr>
            <w:r w:rsidRPr="00C722AD">
              <w:rPr>
                <w:rFonts w:ascii="Arial Narrow" w:hAnsi="Arial Narrow"/>
                <w:b/>
                <w:bCs/>
                <w:sz w:val="20"/>
              </w:rPr>
              <w:t>AND</w:t>
            </w:r>
          </w:p>
        </w:tc>
      </w:tr>
      <w:tr w:rsidR="0035199C" w:rsidRPr="00471D80" w14:paraId="50A2E7B8"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D7DDD63" w14:textId="77777777" w:rsidR="0035199C" w:rsidRPr="00566B72" w:rsidRDefault="0035199C" w:rsidP="00A12328">
            <w:pPr>
              <w:rPr>
                <w:rFonts w:ascii="Arial Narrow" w:hAnsi="Arial Narrow"/>
                <w:sz w:val="20"/>
                <w:szCs w:val="20"/>
              </w:rPr>
            </w:pPr>
            <w:r w:rsidRPr="00471D80">
              <w:rPr>
                <w:rFonts w:ascii="Arial Narrow" w:hAnsi="Arial Narrow"/>
                <w:b/>
                <w:bCs/>
                <w:color w:val="333333"/>
                <w:sz w:val="20"/>
                <w:szCs w:val="20"/>
              </w:rPr>
              <w:t>Clinical criteria:</w:t>
            </w:r>
          </w:p>
        </w:tc>
      </w:tr>
      <w:tr w:rsidR="0035199C" w:rsidRPr="00471D80" w14:paraId="058F9966"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875AD8B" w14:textId="77777777" w:rsidR="0035199C" w:rsidRPr="00566B72" w:rsidRDefault="0035199C" w:rsidP="00A12328">
            <w:pPr>
              <w:rPr>
                <w:rFonts w:ascii="Arial Narrow" w:hAnsi="Arial Narrow"/>
                <w:sz w:val="20"/>
                <w:szCs w:val="20"/>
              </w:rPr>
            </w:pPr>
            <w:r w:rsidRPr="00471D80">
              <w:rPr>
                <w:rFonts w:ascii="Arial Narrow" w:hAnsi="Arial Narrow"/>
                <w:sz w:val="20"/>
                <w:szCs w:val="20"/>
                <w:lang w:bidi="en-US"/>
              </w:rPr>
              <w:t>The condition must not have progressed during or following platinum based</w:t>
            </w:r>
            <w:r>
              <w:rPr>
                <w:rFonts w:ascii="Arial Narrow" w:hAnsi="Arial Narrow"/>
                <w:sz w:val="20"/>
                <w:szCs w:val="20"/>
                <w:lang w:bidi="en-US"/>
              </w:rPr>
              <w:t xml:space="preserve"> </w:t>
            </w:r>
            <w:r w:rsidRPr="00E77B52">
              <w:rPr>
                <w:rFonts w:ascii="Arial Narrow" w:hAnsi="Arial Narrow"/>
                <w:sz w:val="20"/>
                <w:szCs w:val="20"/>
                <w:lang w:bidi="en-US"/>
              </w:rPr>
              <w:t>chemoradiation therapy</w:t>
            </w:r>
          </w:p>
        </w:tc>
      </w:tr>
      <w:tr w:rsidR="0035199C" w:rsidRPr="00471D80" w14:paraId="426F914C"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1E3FD0D" w14:textId="77777777" w:rsidR="0035199C" w:rsidRPr="00471D80" w:rsidRDefault="0035199C" w:rsidP="00A12328">
            <w:pPr>
              <w:rPr>
                <w:rFonts w:ascii="Arial Narrow" w:hAnsi="Arial Narrow"/>
                <w:b/>
                <w:bCs/>
                <w:sz w:val="20"/>
                <w:szCs w:val="20"/>
              </w:rPr>
            </w:pPr>
            <w:r w:rsidRPr="00471D80">
              <w:rPr>
                <w:rFonts w:ascii="Arial Narrow" w:hAnsi="Arial Narrow"/>
                <w:b/>
                <w:bCs/>
                <w:sz w:val="20"/>
              </w:rPr>
              <w:t>AND</w:t>
            </w:r>
          </w:p>
        </w:tc>
      </w:tr>
      <w:tr w:rsidR="0035199C" w:rsidRPr="00471D80" w14:paraId="119CA547"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1E537DB" w14:textId="77777777" w:rsidR="0035199C" w:rsidRPr="00471D80" w:rsidRDefault="0035199C" w:rsidP="00A12328">
            <w:pPr>
              <w:rPr>
                <w:rFonts w:ascii="Arial Narrow" w:hAnsi="Arial Narrow"/>
                <w:b/>
                <w:bCs/>
                <w:sz w:val="20"/>
                <w:szCs w:val="20"/>
              </w:rPr>
            </w:pPr>
            <w:r w:rsidRPr="00471D80">
              <w:rPr>
                <w:rFonts w:ascii="Arial Narrow" w:hAnsi="Arial Narrow"/>
                <w:b/>
                <w:bCs/>
                <w:color w:val="333333"/>
                <w:sz w:val="20"/>
                <w:szCs w:val="20"/>
              </w:rPr>
              <w:t>Clinical criteria:</w:t>
            </w:r>
          </w:p>
        </w:tc>
      </w:tr>
      <w:tr w:rsidR="0035199C" w:rsidRPr="00471D80" w14:paraId="4CD5788D"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EA64C99" w14:textId="77777777" w:rsidR="0035199C" w:rsidRPr="00471D80" w:rsidRDefault="0035199C" w:rsidP="00A12328">
            <w:pPr>
              <w:rPr>
                <w:rFonts w:ascii="Arial Narrow" w:hAnsi="Arial Narrow"/>
                <w:b/>
                <w:bCs/>
                <w:sz w:val="20"/>
                <w:szCs w:val="20"/>
              </w:rPr>
            </w:pPr>
            <w:r w:rsidRPr="00471D80">
              <w:rPr>
                <w:rFonts w:ascii="Arial Narrow" w:hAnsi="Arial Narrow"/>
                <w:sz w:val="20"/>
                <w:szCs w:val="20"/>
                <w:lang w:bidi="en-US"/>
              </w:rPr>
              <w:t>Patient must have a WHO performance status of 2 or less</w:t>
            </w:r>
          </w:p>
        </w:tc>
      </w:tr>
      <w:tr w:rsidR="0035199C" w:rsidRPr="00471D80" w14:paraId="1E5F4FC8"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6EDDDB5" w14:textId="77777777" w:rsidR="0035199C" w:rsidRPr="00471D80" w:rsidRDefault="0035199C" w:rsidP="00A12328">
            <w:pPr>
              <w:rPr>
                <w:rFonts w:ascii="Arial Narrow" w:hAnsi="Arial Narrow"/>
                <w:b/>
                <w:bCs/>
                <w:sz w:val="20"/>
                <w:szCs w:val="20"/>
              </w:rPr>
            </w:pPr>
            <w:r w:rsidRPr="00471D80">
              <w:rPr>
                <w:rFonts w:ascii="Arial Narrow" w:hAnsi="Arial Narrow"/>
                <w:b/>
                <w:bCs/>
                <w:sz w:val="20"/>
              </w:rPr>
              <w:t>AND</w:t>
            </w:r>
          </w:p>
        </w:tc>
      </w:tr>
      <w:tr w:rsidR="0035199C" w:rsidRPr="00471D80" w14:paraId="1015D626"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A9DBAD7" w14:textId="77777777" w:rsidR="0035199C" w:rsidRPr="00471D80" w:rsidRDefault="0035199C" w:rsidP="00A12328">
            <w:pPr>
              <w:rPr>
                <w:rFonts w:ascii="Arial Narrow" w:hAnsi="Arial Narrow"/>
                <w:b/>
                <w:bCs/>
                <w:sz w:val="20"/>
                <w:szCs w:val="20"/>
              </w:rPr>
            </w:pPr>
            <w:r w:rsidRPr="00471D80">
              <w:rPr>
                <w:rFonts w:ascii="Arial Narrow" w:hAnsi="Arial Narrow"/>
                <w:b/>
                <w:bCs/>
                <w:color w:val="333333"/>
                <w:sz w:val="20"/>
                <w:szCs w:val="20"/>
              </w:rPr>
              <w:t>Clinical criteria:</w:t>
            </w:r>
          </w:p>
        </w:tc>
      </w:tr>
      <w:tr w:rsidR="0035199C" w:rsidRPr="00471D80" w14:paraId="1724D113"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8B5F280" w14:textId="77777777" w:rsidR="0035199C" w:rsidRPr="00471D80" w:rsidRDefault="0035199C" w:rsidP="00A12328">
            <w:pPr>
              <w:rPr>
                <w:rFonts w:ascii="Arial Narrow" w:hAnsi="Arial Narrow"/>
                <w:b/>
                <w:bCs/>
                <w:sz w:val="20"/>
                <w:szCs w:val="20"/>
              </w:rPr>
            </w:pPr>
            <w:r w:rsidRPr="00471D80">
              <w:rPr>
                <w:rFonts w:ascii="Arial Narrow" w:hAnsi="Arial Narrow"/>
                <w:sz w:val="20"/>
                <w:szCs w:val="20"/>
                <w:lang w:bidi="en-US"/>
              </w:rPr>
              <w:t>Patient must not have previously received PBS-subsidised treatment with this drug for this condition,</w:t>
            </w:r>
          </w:p>
        </w:tc>
      </w:tr>
      <w:tr w:rsidR="0035199C" w:rsidRPr="00471D80" w14:paraId="4093D559"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88A66BB" w14:textId="77777777" w:rsidR="0035199C" w:rsidRPr="00471D80" w:rsidRDefault="0035199C" w:rsidP="00A12328">
            <w:pPr>
              <w:rPr>
                <w:rFonts w:ascii="Arial Narrow" w:hAnsi="Arial Narrow"/>
                <w:sz w:val="20"/>
                <w:szCs w:val="20"/>
                <w:lang w:bidi="en-US"/>
              </w:rPr>
            </w:pPr>
            <w:r>
              <w:rPr>
                <w:rFonts w:ascii="Arial Narrow" w:hAnsi="Arial Narrow"/>
                <w:b/>
                <w:bCs/>
                <w:sz w:val="20"/>
              </w:rPr>
              <w:t>AND</w:t>
            </w:r>
          </w:p>
        </w:tc>
      </w:tr>
      <w:tr w:rsidR="0035199C" w:rsidRPr="00471D80" w14:paraId="39D76E5E"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79492FB" w14:textId="77777777" w:rsidR="0035199C" w:rsidRPr="00471D80" w:rsidRDefault="0035199C" w:rsidP="00A12328">
            <w:pPr>
              <w:rPr>
                <w:rFonts w:ascii="Arial Narrow" w:hAnsi="Arial Narrow"/>
                <w:sz w:val="20"/>
                <w:szCs w:val="20"/>
                <w:lang w:bidi="en-US"/>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35199C" w:rsidRPr="00471D80" w14:paraId="7D586AA9"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CB9C21A" w14:textId="77777777" w:rsidR="0035199C" w:rsidRPr="00471D80" w:rsidRDefault="0035199C" w:rsidP="00A12328">
            <w:pPr>
              <w:rPr>
                <w:rFonts w:ascii="Arial Narrow" w:hAnsi="Arial Narrow"/>
                <w:sz w:val="20"/>
                <w:szCs w:val="20"/>
                <w:lang w:bidi="en-US"/>
              </w:rPr>
            </w:pPr>
            <w:r w:rsidRPr="00342B74">
              <w:rPr>
                <w:rFonts w:ascii="Arial Narrow" w:eastAsiaTheme="majorEastAsia" w:hAnsi="Arial Narrow"/>
                <w:sz w:val="20"/>
                <w:szCs w:val="20"/>
                <w:lang w:bidi="en-US"/>
              </w:rPr>
              <w:t>The treatment must be the sole PBS-subsidised systemic anti-cancer therapy for this condition.</w:t>
            </w:r>
          </w:p>
        </w:tc>
      </w:tr>
      <w:tr w:rsidR="0035199C" w:rsidRPr="00471D80" w14:paraId="32D48B4D"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C23C1F3" w14:textId="77777777" w:rsidR="0035199C" w:rsidRPr="00471D80" w:rsidRDefault="0035199C" w:rsidP="00A12328">
            <w:pPr>
              <w:rPr>
                <w:rFonts w:ascii="Arial Narrow" w:hAnsi="Arial Narrow"/>
                <w:sz w:val="20"/>
                <w:szCs w:val="20"/>
                <w:lang w:bidi="en-US"/>
              </w:rPr>
            </w:pPr>
            <w:r w:rsidRPr="00471D80">
              <w:rPr>
                <w:rFonts w:ascii="Arial Narrow" w:hAnsi="Arial Narrow"/>
                <w:b/>
                <w:bCs/>
                <w:color w:val="333333"/>
                <w:sz w:val="20"/>
                <w:szCs w:val="20"/>
              </w:rPr>
              <w:t>Population criteria:</w:t>
            </w:r>
          </w:p>
        </w:tc>
      </w:tr>
      <w:tr w:rsidR="0035199C" w:rsidRPr="00471D80" w14:paraId="514DC720"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A8A939E" w14:textId="02859942" w:rsidR="0035199C" w:rsidRPr="00471D80" w:rsidRDefault="0035199C" w:rsidP="00A12328">
            <w:pPr>
              <w:rPr>
                <w:rFonts w:ascii="Arial Narrow" w:hAnsi="Arial Narrow"/>
                <w:sz w:val="20"/>
                <w:szCs w:val="20"/>
                <w:lang w:bidi="en-US"/>
              </w:rPr>
            </w:pPr>
            <w:r w:rsidRPr="00471D80">
              <w:rPr>
                <w:rFonts w:ascii="Arial Narrow" w:hAnsi="Arial Narrow"/>
                <w:sz w:val="20"/>
                <w:szCs w:val="20"/>
                <w:lang w:bidi="en-US"/>
              </w:rPr>
              <w:t>Patient must have evidence in tumour material of an activating epidermal growth factor receptor (EGFR) gene mutation known to confer sensitivity to treatment with EGFR tyrosine kinase inhibitors.</w:t>
            </w:r>
          </w:p>
        </w:tc>
      </w:tr>
      <w:tr w:rsidR="0035199C" w:rsidRPr="00471D80" w14:paraId="75F732E1"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9D6B8D8" w14:textId="77777777" w:rsidR="0035199C" w:rsidRPr="00471D80" w:rsidRDefault="0035199C" w:rsidP="00A12328">
            <w:pPr>
              <w:rPr>
                <w:rFonts w:ascii="Arial Narrow" w:hAnsi="Arial Narrow"/>
                <w:b/>
                <w:bCs/>
                <w:sz w:val="20"/>
                <w:szCs w:val="20"/>
                <w:lang w:bidi="en-US"/>
              </w:rPr>
            </w:pPr>
            <w:r w:rsidRPr="00471D80">
              <w:rPr>
                <w:rFonts w:ascii="Arial Narrow" w:hAnsi="Arial Narrow"/>
                <w:b/>
                <w:bCs/>
                <w:sz w:val="20"/>
                <w:szCs w:val="20"/>
                <w:lang w:bidi="en-US"/>
              </w:rPr>
              <w:t>Prescribing Instruction:</w:t>
            </w:r>
          </w:p>
          <w:p w14:paraId="4D7E00F2" w14:textId="77777777" w:rsidR="0035199C" w:rsidRPr="00471D80" w:rsidRDefault="0035199C" w:rsidP="00A12328">
            <w:pPr>
              <w:rPr>
                <w:rFonts w:ascii="Arial Narrow" w:hAnsi="Arial Narrow"/>
                <w:sz w:val="20"/>
                <w:szCs w:val="20"/>
                <w:lang w:bidi="en-US"/>
              </w:rPr>
            </w:pPr>
            <w:r w:rsidRPr="00471D80">
              <w:rPr>
                <w:rFonts w:ascii="Arial Narrow" w:hAnsi="Arial Narrow"/>
                <w:sz w:val="20"/>
                <w:szCs w:val="20"/>
                <w:lang w:bidi="en-US"/>
              </w:rPr>
              <w:t>PBS-subsidised treatment with this drug is restricted to</w:t>
            </w:r>
            <w:r>
              <w:rPr>
                <w:rFonts w:ascii="Arial Narrow" w:hAnsi="Arial Narrow"/>
                <w:sz w:val="20"/>
                <w:szCs w:val="20"/>
                <w:lang w:bidi="en-US"/>
              </w:rPr>
              <w:t xml:space="preserve"> one </w:t>
            </w:r>
            <w:r w:rsidRPr="00707855">
              <w:rPr>
                <w:rFonts w:ascii="Arial Narrow" w:eastAsiaTheme="majorEastAsia" w:hAnsi="Arial Narrow"/>
                <w:sz w:val="20"/>
                <w:szCs w:val="20"/>
                <w:lang w:bidi="en-US"/>
              </w:rPr>
              <w:t>line of therapy</w:t>
            </w:r>
            <w:r w:rsidRPr="00C722AD">
              <w:rPr>
                <w:rFonts w:ascii="Arial Narrow" w:eastAsiaTheme="majorEastAsia" w:hAnsi="Arial Narrow"/>
                <w:sz w:val="20"/>
                <w:szCs w:val="20"/>
                <w:lang w:bidi="en-US"/>
              </w:rPr>
              <w:t xml:space="preserve"> </w:t>
            </w:r>
            <w:r w:rsidRPr="00471D80">
              <w:rPr>
                <w:rFonts w:ascii="Arial Narrow" w:hAnsi="Arial Narrow"/>
                <w:sz w:val="20"/>
                <w:szCs w:val="20"/>
                <w:lang w:bidi="en-US"/>
              </w:rPr>
              <w:t>at any disease staging for NSCLC (i.e. if therapy has been prescribed for early disease, subsidy under locally advanced or metastatic disease is no longer available).</w:t>
            </w:r>
            <w:r>
              <w:rPr>
                <w:rFonts w:ascii="Arial Narrow" w:hAnsi="Arial Narrow"/>
                <w:sz w:val="20"/>
                <w:szCs w:val="20"/>
                <w:lang w:bidi="en-US"/>
              </w:rPr>
              <w:t xml:space="preserve"> </w:t>
            </w:r>
          </w:p>
        </w:tc>
      </w:tr>
    </w:tbl>
    <w:p w14:paraId="2767E251" w14:textId="77777777" w:rsidR="00D757B4" w:rsidRDefault="00D757B4" w:rsidP="00A12328"/>
    <w:p w14:paraId="57620B93" w14:textId="6F9B33D7" w:rsidR="00D757B4" w:rsidRDefault="00D757B4" w:rsidP="00A12328">
      <w:pPr>
        <w:rPr>
          <w:b/>
          <w:bCs/>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940"/>
        <w:gridCol w:w="811"/>
        <w:gridCol w:w="812"/>
        <w:gridCol w:w="811"/>
        <w:gridCol w:w="812"/>
        <w:gridCol w:w="1881"/>
      </w:tblGrid>
      <w:tr w:rsidR="00D757B4" w:rsidRPr="00471D80" w14:paraId="53CF76B7" w14:textId="77777777" w:rsidTr="0035199C">
        <w:trPr>
          <w:cantSplit/>
          <w:trHeight w:val="20"/>
        </w:trPr>
        <w:tc>
          <w:tcPr>
            <w:tcW w:w="3940" w:type="dxa"/>
            <w:vAlign w:val="center"/>
          </w:tcPr>
          <w:p w14:paraId="6762F18C" w14:textId="77777777" w:rsidR="00D757B4" w:rsidRPr="00471D80" w:rsidRDefault="00D757B4" w:rsidP="00A12328">
            <w:pPr>
              <w:keepLines/>
              <w:rPr>
                <w:rFonts w:ascii="Arial Narrow" w:hAnsi="Arial Narrow"/>
                <w:b/>
                <w:bCs/>
                <w:sz w:val="20"/>
                <w:szCs w:val="20"/>
              </w:rPr>
            </w:pPr>
            <w:r w:rsidRPr="00471D80">
              <w:rPr>
                <w:rFonts w:ascii="Arial Narrow" w:hAnsi="Arial Narrow"/>
                <w:b/>
                <w:bCs/>
                <w:sz w:val="20"/>
                <w:szCs w:val="20"/>
              </w:rPr>
              <w:t>MEDICINAL PRODUCT</w:t>
            </w:r>
          </w:p>
          <w:p w14:paraId="59D97E52" w14:textId="77777777" w:rsidR="00D757B4" w:rsidRPr="00471D80" w:rsidRDefault="00D757B4" w:rsidP="00A12328">
            <w:pPr>
              <w:keepLines/>
              <w:rPr>
                <w:rFonts w:ascii="Arial Narrow" w:hAnsi="Arial Narrow"/>
                <w:b/>
                <w:sz w:val="20"/>
                <w:szCs w:val="20"/>
              </w:rPr>
            </w:pPr>
            <w:r w:rsidRPr="00471D80">
              <w:rPr>
                <w:rFonts w:ascii="Arial Narrow" w:hAnsi="Arial Narrow"/>
                <w:b/>
                <w:bCs/>
                <w:sz w:val="20"/>
                <w:szCs w:val="20"/>
              </w:rPr>
              <w:t>medicinal product pack</w:t>
            </w:r>
          </w:p>
        </w:tc>
        <w:tc>
          <w:tcPr>
            <w:tcW w:w="811" w:type="dxa"/>
            <w:vAlign w:val="center"/>
          </w:tcPr>
          <w:p w14:paraId="07CFF04D"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PBS item code</w:t>
            </w:r>
          </w:p>
        </w:tc>
        <w:tc>
          <w:tcPr>
            <w:tcW w:w="812" w:type="dxa"/>
            <w:vAlign w:val="center"/>
          </w:tcPr>
          <w:p w14:paraId="4F426BA6"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Max. qty packs</w:t>
            </w:r>
          </w:p>
        </w:tc>
        <w:tc>
          <w:tcPr>
            <w:tcW w:w="811" w:type="dxa"/>
            <w:vAlign w:val="center"/>
          </w:tcPr>
          <w:p w14:paraId="4228A98E"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Max. qty units</w:t>
            </w:r>
          </w:p>
        </w:tc>
        <w:tc>
          <w:tcPr>
            <w:tcW w:w="812" w:type="dxa"/>
            <w:vAlign w:val="center"/>
          </w:tcPr>
          <w:p w14:paraId="2CFD75CB"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№.of</w:t>
            </w:r>
          </w:p>
          <w:p w14:paraId="129CB1FC" w14:textId="77777777" w:rsidR="00D757B4" w:rsidRPr="00471D80" w:rsidRDefault="00D757B4" w:rsidP="00A12328">
            <w:pPr>
              <w:keepLines/>
              <w:jc w:val="center"/>
              <w:rPr>
                <w:rFonts w:ascii="Arial Narrow" w:hAnsi="Arial Narrow"/>
                <w:b/>
                <w:sz w:val="20"/>
                <w:szCs w:val="20"/>
              </w:rPr>
            </w:pPr>
            <w:r w:rsidRPr="00471D80">
              <w:rPr>
                <w:rFonts w:ascii="Arial Narrow" w:hAnsi="Arial Narrow"/>
                <w:b/>
                <w:sz w:val="20"/>
                <w:szCs w:val="20"/>
              </w:rPr>
              <w:t>Rpts</w:t>
            </w:r>
          </w:p>
        </w:tc>
        <w:tc>
          <w:tcPr>
            <w:tcW w:w="1881" w:type="dxa"/>
            <w:vAlign w:val="center"/>
          </w:tcPr>
          <w:p w14:paraId="2064BDBB" w14:textId="77777777" w:rsidR="00D757B4" w:rsidRPr="00471D80" w:rsidRDefault="00D757B4" w:rsidP="00A12328">
            <w:pPr>
              <w:keepLines/>
              <w:rPr>
                <w:rFonts w:ascii="Arial Narrow" w:hAnsi="Arial Narrow"/>
                <w:b/>
                <w:sz w:val="20"/>
                <w:szCs w:val="20"/>
                <w:lang w:val="fr-FR"/>
              </w:rPr>
            </w:pPr>
            <w:r w:rsidRPr="00471D80">
              <w:rPr>
                <w:rFonts w:ascii="Arial Narrow" w:hAnsi="Arial Narrow"/>
                <w:b/>
                <w:sz w:val="20"/>
                <w:szCs w:val="20"/>
              </w:rPr>
              <w:t>Available brands</w:t>
            </w:r>
          </w:p>
        </w:tc>
      </w:tr>
      <w:tr w:rsidR="00D757B4" w:rsidRPr="00471D80" w14:paraId="75316EAF" w14:textId="77777777" w:rsidTr="0035199C">
        <w:trPr>
          <w:cantSplit/>
          <w:trHeight w:val="20"/>
        </w:trPr>
        <w:tc>
          <w:tcPr>
            <w:tcW w:w="9067" w:type="dxa"/>
            <w:gridSpan w:val="6"/>
            <w:vAlign w:val="center"/>
          </w:tcPr>
          <w:p w14:paraId="590A24C5" w14:textId="77777777" w:rsidR="00D757B4" w:rsidRPr="00471D80" w:rsidRDefault="00D757B4" w:rsidP="00A12328">
            <w:pPr>
              <w:keepLines/>
              <w:rPr>
                <w:rFonts w:ascii="Arial Narrow" w:hAnsi="Arial Narrow"/>
                <w:sz w:val="20"/>
                <w:szCs w:val="20"/>
              </w:rPr>
            </w:pPr>
            <w:r w:rsidRPr="00471D80">
              <w:rPr>
                <w:rFonts w:ascii="Arial Narrow" w:hAnsi="Arial Narrow"/>
                <w:sz w:val="20"/>
                <w:szCs w:val="20"/>
              </w:rPr>
              <w:t>OSIMERTINIB</w:t>
            </w:r>
          </w:p>
        </w:tc>
      </w:tr>
      <w:tr w:rsidR="00D757B4" w:rsidRPr="00471D80" w14:paraId="536CDB94" w14:textId="77777777" w:rsidTr="0035199C">
        <w:trPr>
          <w:cantSplit/>
          <w:trHeight w:val="20"/>
        </w:trPr>
        <w:tc>
          <w:tcPr>
            <w:tcW w:w="3940" w:type="dxa"/>
            <w:vAlign w:val="center"/>
          </w:tcPr>
          <w:p w14:paraId="0470169B" w14:textId="77777777" w:rsidR="00D757B4" w:rsidRPr="00471D80" w:rsidRDefault="00D757B4" w:rsidP="00A12328">
            <w:pPr>
              <w:keepLines/>
              <w:rPr>
                <w:rFonts w:ascii="Arial Narrow" w:hAnsi="Arial Narrow"/>
                <w:sz w:val="20"/>
                <w:szCs w:val="20"/>
              </w:rPr>
            </w:pPr>
            <w:r w:rsidRPr="00471D80">
              <w:rPr>
                <w:rFonts w:ascii="Arial Narrow" w:hAnsi="Arial Narrow"/>
                <w:sz w:val="20"/>
                <w:szCs w:val="20"/>
              </w:rPr>
              <w:t xml:space="preserve">osimertinib </w:t>
            </w:r>
            <w:r>
              <w:rPr>
                <w:rFonts w:ascii="Arial Narrow" w:hAnsi="Arial Narrow"/>
                <w:sz w:val="20"/>
                <w:szCs w:val="20"/>
              </w:rPr>
              <w:t>8</w:t>
            </w:r>
            <w:r w:rsidRPr="00471D80">
              <w:rPr>
                <w:rFonts w:ascii="Arial Narrow" w:hAnsi="Arial Narrow"/>
                <w:sz w:val="20"/>
                <w:szCs w:val="20"/>
              </w:rPr>
              <w:t xml:space="preserve">0 mg tablet, 30 </w:t>
            </w:r>
          </w:p>
        </w:tc>
        <w:tc>
          <w:tcPr>
            <w:tcW w:w="811" w:type="dxa"/>
            <w:vAlign w:val="center"/>
          </w:tcPr>
          <w:p w14:paraId="5B1FE27E" w14:textId="77777777" w:rsidR="00D757B4" w:rsidRPr="00471D80" w:rsidRDefault="00D757B4" w:rsidP="00A12328">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7140DFBA"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60D3C83F"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37B60575"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5</w:t>
            </w:r>
          </w:p>
        </w:tc>
        <w:tc>
          <w:tcPr>
            <w:tcW w:w="1881" w:type="dxa"/>
            <w:vMerge w:val="restart"/>
            <w:vAlign w:val="center"/>
          </w:tcPr>
          <w:p w14:paraId="5CFC3AE9"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Tagrisso</w:t>
            </w:r>
          </w:p>
        </w:tc>
      </w:tr>
      <w:tr w:rsidR="00D757B4" w:rsidRPr="00471D80" w14:paraId="4081421C" w14:textId="77777777" w:rsidTr="0035199C">
        <w:trPr>
          <w:cantSplit/>
          <w:trHeight w:val="20"/>
        </w:trPr>
        <w:tc>
          <w:tcPr>
            <w:tcW w:w="3940" w:type="dxa"/>
            <w:vAlign w:val="center"/>
          </w:tcPr>
          <w:p w14:paraId="12309BED" w14:textId="0D8F5C3C" w:rsidR="00D757B4" w:rsidRPr="00471D80" w:rsidRDefault="00D757B4" w:rsidP="00A12328">
            <w:pPr>
              <w:keepLines/>
              <w:rPr>
                <w:rFonts w:ascii="Arial Narrow" w:hAnsi="Arial Narrow"/>
                <w:sz w:val="20"/>
                <w:szCs w:val="20"/>
              </w:rPr>
            </w:pPr>
            <w:r w:rsidRPr="00471D80">
              <w:rPr>
                <w:rFonts w:ascii="Arial Narrow" w:hAnsi="Arial Narrow"/>
                <w:sz w:val="20"/>
                <w:szCs w:val="20"/>
              </w:rPr>
              <w:t xml:space="preserve">osimertinib </w:t>
            </w:r>
            <w:r w:rsidRPr="008B5C46">
              <w:rPr>
                <w:rFonts w:ascii="Arial Narrow" w:hAnsi="Arial Narrow"/>
                <w:sz w:val="20"/>
                <w:szCs w:val="20"/>
              </w:rPr>
              <w:t>4</w:t>
            </w:r>
            <w:r w:rsidRPr="00471D80">
              <w:rPr>
                <w:rFonts w:ascii="Arial Narrow" w:hAnsi="Arial Narrow"/>
                <w:sz w:val="20"/>
                <w:szCs w:val="20"/>
              </w:rPr>
              <w:t xml:space="preserve">0 mg tablet, 30 </w:t>
            </w:r>
          </w:p>
        </w:tc>
        <w:tc>
          <w:tcPr>
            <w:tcW w:w="811" w:type="dxa"/>
            <w:vAlign w:val="center"/>
          </w:tcPr>
          <w:p w14:paraId="6DDAA0CC" w14:textId="77777777" w:rsidR="00D757B4" w:rsidRDefault="00D757B4" w:rsidP="00A12328">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775799CF"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1</w:t>
            </w:r>
          </w:p>
        </w:tc>
        <w:tc>
          <w:tcPr>
            <w:tcW w:w="811" w:type="dxa"/>
            <w:vAlign w:val="center"/>
          </w:tcPr>
          <w:p w14:paraId="76B48305"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30</w:t>
            </w:r>
          </w:p>
        </w:tc>
        <w:tc>
          <w:tcPr>
            <w:tcW w:w="812" w:type="dxa"/>
            <w:vAlign w:val="center"/>
          </w:tcPr>
          <w:p w14:paraId="06135B85" w14:textId="77777777" w:rsidR="00D757B4" w:rsidRPr="00471D80" w:rsidRDefault="00D757B4" w:rsidP="00A12328">
            <w:pPr>
              <w:keepLines/>
              <w:jc w:val="center"/>
              <w:rPr>
                <w:rFonts w:ascii="Arial Narrow" w:hAnsi="Arial Narrow"/>
                <w:sz w:val="20"/>
                <w:szCs w:val="20"/>
              </w:rPr>
            </w:pPr>
            <w:r w:rsidRPr="00471D80">
              <w:rPr>
                <w:rFonts w:ascii="Arial Narrow" w:hAnsi="Arial Narrow"/>
                <w:sz w:val="20"/>
                <w:szCs w:val="20"/>
              </w:rPr>
              <w:t>5</w:t>
            </w:r>
          </w:p>
        </w:tc>
        <w:tc>
          <w:tcPr>
            <w:tcW w:w="1881" w:type="dxa"/>
            <w:vMerge/>
            <w:vAlign w:val="center"/>
          </w:tcPr>
          <w:p w14:paraId="2FAAA4CE" w14:textId="77777777" w:rsidR="00D757B4" w:rsidRPr="00471D80" w:rsidRDefault="00D757B4" w:rsidP="00A12328">
            <w:pPr>
              <w:keepLines/>
              <w:jc w:val="center"/>
              <w:rPr>
                <w:rFonts w:ascii="Arial Narrow" w:hAnsi="Arial Narrow"/>
                <w:sz w:val="20"/>
                <w:szCs w:val="20"/>
              </w:rPr>
            </w:pPr>
          </w:p>
        </w:tc>
      </w:tr>
      <w:tr w:rsidR="00D757B4" w:rsidRPr="00471D80" w14:paraId="4A40271F"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39D20CC1" w14:textId="77777777" w:rsidR="00D757B4" w:rsidRPr="00471D80" w:rsidRDefault="00D757B4" w:rsidP="00A12328">
            <w:pPr>
              <w:rPr>
                <w:rFonts w:ascii="Arial Narrow" w:hAnsi="Arial Narrow"/>
                <w:sz w:val="20"/>
                <w:szCs w:val="20"/>
              </w:rPr>
            </w:pPr>
          </w:p>
        </w:tc>
      </w:tr>
      <w:tr w:rsidR="0035199C" w:rsidRPr="00471D80" w14:paraId="6E333F5C"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3A2235C" w14:textId="77777777" w:rsidR="0035199C" w:rsidRPr="00471D80" w:rsidRDefault="0035199C" w:rsidP="00A12328">
            <w:pPr>
              <w:keepLines/>
              <w:rPr>
                <w:rFonts w:ascii="Arial Narrow" w:hAnsi="Arial Narrow"/>
                <w:sz w:val="20"/>
                <w:szCs w:val="20"/>
              </w:rPr>
            </w:pPr>
            <w:r w:rsidRPr="00471D80">
              <w:rPr>
                <w:rFonts w:ascii="Arial Narrow" w:hAnsi="Arial Narrow"/>
                <w:b/>
                <w:sz w:val="20"/>
                <w:szCs w:val="20"/>
              </w:rPr>
              <w:t>Category / Program:</w:t>
            </w:r>
            <w:r w:rsidRPr="00471D80">
              <w:rPr>
                <w:rFonts w:ascii="Arial Narrow" w:hAnsi="Arial Narrow"/>
                <w:sz w:val="20"/>
                <w:szCs w:val="20"/>
              </w:rPr>
              <w:t xml:space="preserv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GENERAL - General Schedule (Code GE)</w:t>
            </w:r>
          </w:p>
        </w:tc>
      </w:tr>
      <w:tr w:rsidR="0035199C" w:rsidRPr="00471D80" w14:paraId="04E9BDFD"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480863CE" w14:textId="77777777" w:rsidR="0035199C" w:rsidRPr="00471D80" w:rsidRDefault="0035199C" w:rsidP="00A12328">
            <w:pPr>
              <w:keepLines/>
              <w:rPr>
                <w:rFonts w:ascii="Arial Narrow" w:hAnsi="Arial Narrow"/>
                <w:b/>
                <w:sz w:val="20"/>
                <w:szCs w:val="20"/>
              </w:rPr>
            </w:pPr>
            <w:r w:rsidRPr="00471D80">
              <w:rPr>
                <w:rFonts w:ascii="Arial Narrow" w:hAnsi="Arial Narrow"/>
                <w:b/>
                <w:sz w:val="20"/>
                <w:szCs w:val="20"/>
              </w:rPr>
              <w:t xml:space="preserve">Prescriber type: </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Medical Practitioners </w:t>
            </w:r>
          </w:p>
        </w:tc>
      </w:tr>
      <w:tr w:rsidR="0035199C" w:rsidRPr="00471D80" w14:paraId="5D83A8B5"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719E35D2" w14:textId="435DBEC4" w:rsidR="0035199C" w:rsidRPr="00471D80" w:rsidRDefault="0035199C" w:rsidP="00A12328">
            <w:pPr>
              <w:keepLines/>
              <w:rPr>
                <w:rFonts w:ascii="Arial Narrow" w:eastAsia="Calibri" w:hAnsi="Arial Narrow"/>
                <w:sz w:val="20"/>
                <w:szCs w:val="20"/>
              </w:rPr>
            </w:pPr>
            <w:r w:rsidRPr="00471D80">
              <w:rPr>
                <w:rFonts w:ascii="Arial Narrow" w:hAnsi="Arial Narrow"/>
                <w:b/>
                <w:sz w:val="20"/>
                <w:szCs w:val="20"/>
              </w:rPr>
              <w:t>Benefit type:</w:t>
            </w:r>
            <w:r w:rsidRPr="00471D80">
              <w:rPr>
                <w:rFonts w:ascii="Arial Narrow" w:hAnsi="Arial Narrow"/>
                <w:sz w:val="20"/>
                <w:szCs w:val="20"/>
              </w:rPr>
              <w:fldChar w:fldCharType="begin">
                <w:ffData>
                  <w:name w:val=""/>
                  <w:enabled/>
                  <w:calcOnExit w:val="0"/>
                  <w:checkBox>
                    <w:sizeAuto/>
                    <w:default w:val="1"/>
                  </w:checkBox>
                </w:ffData>
              </w:fldChar>
            </w:r>
            <w:r w:rsidRPr="00471D80">
              <w:rPr>
                <w:rFonts w:ascii="Arial Narrow" w:hAnsi="Arial Narrow"/>
                <w:sz w:val="20"/>
                <w:szCs w:val="20"/>
              </w:rPr>
              <w:instrText xml:space="preserve"> FORMCHECKBOX </w:instrText>
            </w:r>
            <w:r w:rsidRPr="00471D80">
              <w:rPr>
                <w:rFonts w:ascii="Arial Narrow" w:hAnsi="Arial Narrow"/>
                <w:sz w:val="20"/>
                <w:szCs w:val="20"/>
              </w:rPr>
            </w:r>
            <w:r w:rsidRPr="00471D80">
              <w:rPr>
                <w:rFonts w:ascii="Arial Narrow" w:hAnsi="Arial Narrow"/>
                <w:sz w:val="20"/>
                <w:szCs w:val="20"/>
              </w:rPr>
              <w:fldChar w:fldCharType="separate"/>
            </w:r>
            <w:r w:rsidRPr="00471D80">
              <w:rPr>
                <w:rFonts w:ascii="Arial Narrow" w:hAnsi="Arial Narrow"/>
                <w:sz w:val="20"/>
                <w:szCs w:val="20"/>
              </w:rPr>
              <w:fldChar w:fldCharType="end"/>
            </w:r>
            <w:r w:rsidRPr="00471D80">
              <w:rPr>
                <w:rFonts w:ascii="Arial Narrow" w:hAnsi="Arial Narrow"/>
                <w:sz w:val="20"/>
                <w:szCs w:val="20"/>
              </w:rPr>
              <w:t xml:space="preserve"> </w:t>
            </w:r>
            <w:r w:rsidRPr="00471D80">
              <w:rPr>
                <w:rFonts w:ascii="Arial Narrow" w:eastAsia="Calibri" w:hAnsi="Arial Narrow"/>
                <w:sz w:val="20"/>
                <w:szCs w:val="20"/>
              </w:rPr>
              <w:t>Authority Required (</w:t>
            </w:r>
            <w:r>
              <w:rPr>
                <w:rFonts w:ascii="Arial Narrow" w:eastAsia="Calibri" w:hAnsi="Arial Narrow"/>
                <w:sz w:val="20"/>
                <w:szCs w:val="20"/>
              </w:rPr>
              <w:t xml:space="preserve">Telephone/Online PBS Authorities System) </w:t>
            </w:r>
          </w:p>
        </w:tc>
      </w:tr>
      <w:tr w:rsidR="0035199C" w:rsidRPr="00471D80" w14:paraId="69048788"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F9B6F2A"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 xml:space="preserve">Prescribing rule level: </w:t>
            </w:r>
          </w:p>
        </w:tc>
      </w:tr>
      <w:tr w:rsidR="0035199C" w:rsidRPr="00471D80" w14:paraId="665C9811"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B5182FA"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311AA5EF" w14:textId="77777777" w:rsidR="0035199C" w:rsidRPr="00471D80" w:rsidRDefault="0035199C" w:rsidP="00A12328">
            <w:pPr>
              <w:rPr>
                <w:rFonts w:ascii="Arial Narrow" w:hAnsi="Arial Narrow"/>
                <w:bCs/>
                <w:sz w:val="20"/>
                <w:szCs w:val="20"/>
              </w:rPr>
            </w:pPr>
            <w:r w:rsidRPr="00471D80">
              <w:rPr>
                <w:rFonts w:ascii="Arial Narrow" w:hAnsi="Arial Narrow"/>
                <w:bCs/>
                <w:sz w:val="20"/>
                <w:szCs w:val="20"/>
              </w:rPr>
              <w:t>No increase in the maximum quantity or number of units may be authorised.</w:t>
            </w:r>
          </w:p>
        </w:tc>
      </w:tr>
      <w:tr w:rsidR="0035199C" w:rsidRPr="00471D80" w14:paraId="70A868C6"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5C196C99"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56680C30" w14:textId="77777777" w:rsidR="0035199C" w:rsidRPr="00471D80" w:rsidRDefault="0035199C" w:rsidP="00A12328">
            <w:pPr>
              <w:rPr>
                <w:rFonts w:ascii="Arial Narrow" w:hAnsi="Arial Narrow"/>
                <w:bCs/>
                <w:sz w:val="20"/>
                <w:szCs w:val="20"/>
              </w:rPr>
            </w:pPr>
            <w:r w:rsidRPr="00471D80">
              <w:rPr>
                <w:rFonts w:ascii="Arial Narrow" w:hAnsi="Arial Narrow"/>
                <w:bCs/>
                <w:sz w:val="20"/>
                <w:szCs w:val="20"/>
              </w:rPr>
              <w:t>No increase in the maximum number of repeats may be authorised.</w:t>
            </w:r>
          </w:p>
        </w:tc>
      </w:tr>
      <w:tr w:rsidR="0035199C" w:rsidRPr="00471D80" w14:paraId="70DBD7D2"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2CC65496"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4FA7BBC8" w14:textId="77777777" w:rsidR="0035199C" w:rsidRPr="00471D80" w:rsidRDefault="0035199C" w:rsidP="00A12328">
            <w:pPr>
              <w:rPr>
                <w:rFonts w:ascii="Arial Narrow" w:hAnsi="Arial Narrow"/>
                <w:bCs/>
                <w:sz w:val="20"/>
                <w:szCs w:val="20"/>
              </w:rPr>
            </w:pPr>
            <w:r w:rsidRPr="00471D80">
              <w:rPr>
                <w:rFonts w:ascii="Arial Narrow" w:hAnsi="Arial Narrow"/>
                <w:bCs/>
                <w:sz w:val="20"/>
                <w:szCs w:val="20"/>
              </w:rPr>
              <w:t>Special Pricing Arrangements apply.</w:t>
            </w:r>
          </w:p>
        </w:tc>
      </w:tr>
      <w:tr w:rsidR="0035199C" w:rsidRPr="00471D80" w14:paraId="3D321458" w14:textId="77777777" w:rsidTr="0035199C">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6F28001" w14:textId="77777777" w:rsidR="0035199C" w:rsidRPr="00471D80" w:rsidRDefault="0035199C" w:rsidP="00A12328">
            <w:pPr>
              <w:rPr>
                <w:rFonts w:ascii="Arial Narrow" w:hAnsi="Arial Narrow"/>
                <w:b/>
                <w:sz w:val="20"/>
                <w:szCs w:val="20"/>
              </w:rPr>
            </w:pPr>
            <w:r w:rsidRPr="00471D80">
              <w:rPr>
                <w:rFonts w:ascii="Arial Narrow" w:hAnsi="Arial Narrow"/>
                <w:b/>
                <w:sz w:val="20"/>
                <w:szCs w:val="20"/>
              </w:rPr>
              <w:t>Administrative advice:</w:t>
            </w:r>
          </w:p>
          <w:p w14:paraId="00259782" w14:textId="77777777" w:rsidR="0035199C" w:rsidRPr="00471D80" w:rsidRDefault="0035199C" w:rsidP="00A12328">
            <w:pPr>
              <w:rPr>
                <w:rFonts w:ascii="Arial Narrow" w:hAnsi="Arial Narrow"/>
                <w:b/>
                <w:sz w:val="20"/>
                <w:szCs w:val="20"/>
              </w:rPr>
            </w:pPr>
            <w:r w:rsidRPr="00471D80">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5199C" w:rsidRPr="00471D80" w14:paraId="65947013" w14:textId="77777777" w:rsidTr="0035199C">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3FA2DA10" w14:textId="77777777" w:rsidR="0035199C" w:rsidRPr="00471D80" w:rsidRDefault="0035199C" w:rsidP="00A12328">
            <w:pPr>
              <w:keepLines/>
              <w:rPr>
                <w:rFonts w:ascii="Arial Narrow" w:hAnsi="Arial Narrow"/>
                <w:b/>
                <w:bCs/>
                <w:color w:val="333333"/>
                <w:sz w:val="20"/>
                <w:szCs w:val="20"/>
              </w:rPr>
            </w:pPr>
            <w:r w:rsidRPr="00471D80">
              <w:rPr>
                <w:rFonts w:ascii="Arial Narrow" w:hAnsi="Arial Narrow"/>
                <w:b/>
                <w:sz w:val="20"/>
                <w:szCs w:val="20"/>
              </w:rPr>
              <w:t>Restriction Summary [new</w:t>
            </w:r>
            <w:r>
              <w:rPr>
                <w:rFonts w:ascii="Arial Narrow" w:hAnsi="Arial Narrow"/>
                <w:b/>
                <w:sz w:val="20"/>
                <w:szCs w:val="20"/>
              </w:rPr>
              <w:t>2</w:t>
            </w:r>
            <w:r w:rsidRPr="00471D80">
              <w:rPr>
                <w:rFonts w:ascii="Arial Narrow" w:hAnsi="Arial Narrow"/>
                <w:b/>
                <w:sz w:val="20"/>
                <w:szCs w:val="20"/>
              </w:rPr>
              <w:t>] / Treatment of Concept: [new</w:t>
            </w:r>
            <w:r>
              <w:rPr>
                <w:rFonts w:ascii="Arial Narrow" w:hAnsi="Arial Narrow"/>
                <w:b/>
                <w:sz w:val="20"/>
                <w:szCs w:val="20"/>
              </w:rPr>
              <w:t>2</w:t>
            </w:r>
            <w:r w:rsidRPr="00471D80">
              <w:rPr>
                <w:rFonts w:ascii="Arial Narrow" w:hAnsi="Arial Narrow"/>
                <w:b/>
                <w:sz w:val="20"/>
                <w:szCs w:val="20"/>
              </w:rPr>
              <w:t>A]</w:t>
            </w:r>
          </w:p>
        </w:tc>
      </w:tr>
      <w:tr w:rsidR="0035199C" w:rsidRPr="00471D80" w14:paraId="0640579C" w14:textId="77777777" w:rsidTr="0035199C">
        <w:tblPrEx>
          <w:tblCellMar>
            <w:top w:w="15" w:type="dxa"/>
            <w:bottom w:w="15" w:type="dxa"/>
          </w:tblCellMar>
          <w:tblLook w:val="04A0" w:firstRow="1" w:lastRow="0" w:firstColumn="1" w:lastColumn="0" w:noHBand="0" w:noVBand="1"/>
        </w:tblPrEx>
        <w:trPr>
          <w:cantSplit/>
          <w:trHeight w:val="78"/>
        </w:trPr>
        <w:tc>
          <w:tcPr>
            <w:tcW w:w="9067" w:type="dxa"/>
            <w:gridSpan w:val="6"/>
            <w:vAlign w:val="center"/>
            <w:hideMark/>
          </w:tcPr>
          <w:p w14:paraId="321C644B" w14:textId="77777777" w:rsidR="0035199C" w:rsidRPr="00471D80" w:rsidRDefault="0035199C" w:rsidP="00A12328">
            <w:pPr>
              <w:keepLines/>
              <w:rPr>
                <w:rFonts w:ascii="Arial Narrow" w:hAnsi="Arial Narrow"/>
                <w:sz w:val="20"/>
                <w:szCs w:val="20"/>
              </w:rPr>
            </w:pPr>
            <w:r w:rsidRPr="00471D80">
              <w:rPr>
                <w:rFonts w:ascii="Arial Narrow" w:hAnsi="Arial Narrow"/>
                <w:b/>
                <w:bCs/>
                <w:sz w:val="20"/>
                <w:szCs w:val="20"/>
              </w:rPr>
              <w:t>Indication:</w:t>
            </w:r>
            <w:r w:rsidRPr="00471D80">
              <w:rPr>
                <w:rFonts w:ascii="Arial Narrow" w:hAnsi="Arial Narrow"/>
                <w:sz w:val="20"/>
                <w:szCs w:val="20"/>
              </w:rPr>
              <w:t xml:space="preserve"> </w:t>
            </w:r>
            <w:r w:rsidRPr="004440FA">
              <w:rPr>
                <w:rFonts w:ascii="Arial Narrow" w:hAnsi="Arial Narrow"/>
                <w:sz w:val="20"/>
                <w:szCs w:val="20"/>
              </w:rPr>
              <w:t>Unresectable Stage III non-small cell lung cancer</w:t>
            </w:r>
          </w:p>
        </w:tc>
      </w:tr>
      <w:tr w:rsidR="0035199C" w:rsidRPr="00471D80" w14:paraId="3AB90E63" w14:textId="77777777" w:rsidTr="0035199C">
        <w:tblPrEx>
          <w:tblCellMar>
            <w:top w:w="15" w:type="dxa"/>
            <w:bottom w:w="15" w:type="dxa"/>
          </w:tblCellMar>
          <w:tblLook w:val="04A0" w:firstRow="1" w:lastRow="0" w:firstColumn="1" w:lastColumn="0" w:noHBand="0" w:noVBand="1"/>
        </w:tblPrEx>
        <w:trPr>
          <w:cantSplit/>
          <w:trHeight w:val="78"/>
        </w:trPr>
        <w:tc>
          <w:tcPr>
            <w:tcW w:w="9067" w:type="dxa"/>
            <w:gridSpan w:val="6"/>
            <w:vAlign w:val="center"/>
          </w:tcPr>
          <w:p w14:paraId="215E5394" w14:textId="77777777" w:rsidR="0035199C" w:rsidRPr="00471D80" w:rsidRDefault="0035199C" w:rsidP="00A12328">
            <w:pPr>
              <w:keepLines/>
              <w:rPr>
                <w:rFonts w:ascii="Arial Narrow" w:hAnsi="Arial Narrow"/>
                <w:b/>
                <w:bCs/>
                <w:sz w:val="20"/>
                <w:szCs w:val="20"/>
              </w:rPr>
            </w:pPr>
            <w:r>
              <w:rPr>
                <w:rFonts w:ascii="Arial Narrow" w:hAnsi="Arial Narrow"/>
                <w:b/>
                <w:bCs/>
                <w:color w:val="333333"/>
                <w:sz w:val="20"/>
                <w:szCs w:val="20"/>
              </w:rPr>
              <w:t xml:space="preserve">Treatment phase: </w:t>
            </w:r>
            <w:r>
              <w:rPr>
                <w:rFonts w:ascii="Arial Narrow" w:hAnsi="Arial Narrow"/>
                <w:sz w:val="20"/>
                <w:szCs w:val="20"/>
              </w:rPr>
              <w:t>Continuing treatment</w:t>
            </w:r>
          </w:p>
        </w:tc>
      </w:tr>
      <w:tr w:rsidR="0035199C" w:rsidRPr="00471D80" w14:paraId="4BC68570"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B01B697" w14:textId="77777777" w:rsidR="0035199C" w:rsidRPr="00FA707A" w:rsidRDefault="0035199C" w:rsidP="00A12328">
            <w:pPr>
              <w:rPr>
                <w:rFonts w:ascii="Arial Narrow" w:hAnsi="Arial Narrow"/>
                <w:b/>
                <w:bCs/>
                <w:sz w:val="20"/>
                <w:szCs w:val="20"/>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35199C" w:rsidRPr="00471D80" w14:paraId="5B72C2F7"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59B8CBC" w14:textId="77777777" w:rsidR="0035199C" w:rsidRPr="00CE450B" w:rsidRDefault="0035199C" w:rsidP="00A12328">
            <w:pPr>
              <w:rPr>
                <w:rFonts w:ascii="Arial Narrow" w:hAnsi="Arial Narrow"/>
                <w:sz w:val="20"/>
                <w:szCs w:val="20"/>
              </w:rPr>
            </w:pPr>
            <w:r w:rsidRPr="001B6CA9">
              <w:rPr>
                <w:rFonts w:ascii="Arial Narrow" w:eastAsiaTheme="majorEastAsia" w:hAnsi="Arial Narrow"/>
                <w:sz w:val="20"/>
                <w:szCs w:val="20"/>
                <w:lang w:bidi="en-US"/>
              </w:rPr>
              <w:t>Patient must have previously received PBS-subsidised treatment with this drug for this condition,</w:t>
            </w:r>
          </w:p>
        </w:tc>
      </w:tr>
      <w:tr w:rsidR="0035199C" w:rsidRPr="00471D80" w14:paraId="0AEDA9F0"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8ACDED7" w14:textId="77777777" w:rsidR="0035199C" w:rsidRPr="00566B72" w:rsidRDefault="0035199C" w:rsidP="00A12328">
            <w:pPr>
              <w:rPr>
                <w:rFonts w:ascii="Arial Narrow" w:hAnsi="Arial Narrow"/>
                <w:sz w:val="20"/>
                <w:szCs w:val="20"/>
              </w:rPr>
            </w:pPr>
            <w:r w:rsidRPr="00C722AD">
              <w:rPr>
                <w:rFonts w:ascii="Arial Narrow" w:hAnsi="Arial Narrow"/>
                <w:b/>
                <w:bCs/>
                <w:sz w:val="20"/>
              </w:rPr>
              <w:t>AND</w:t>
            </w:r>
          </w:p>
        </w:tc>
      </w:tr>
      <w:tr w:rsidR="0035199C" w:rsidRPr="00471D80" w14:paraId="503E4D69"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5664A54" w14:textId="77777777" w:rsidR="0035199C" w:rsidRPr="00566B72" w:rsidRDefault="0035199C" w:rsidP="00A12328">
            <w:pPr>
              <w:rPr>
                <w:rFonts w:ascii="Arial Narrow" w:hAnsi="Arial Narrow"/>
                <w:sz w:val="20"/>
                <w:szCs w:val="20"/>
              </w:rPr>
            </w:pPr>
            <w:r w:rsidRPr="00446E53">
              <w:rPr>
                <w:rFonts w:ascii="Arial Narrow" w:hAnsi="Arial Narrow"/>
                <w:b/>
                <w:bCs/>
                <w:color w:val="333333"/>
                <w:sz w:val="20"/>
                <w:szCs w:val="20"/>
              </w:rPr>
              <w:t>Clinical criteria:</w:t>
            </w:r>
          </w:p>
        </w:tc>
      </w:tr>
      <w:tr w:rsidR="0035199C" w:rsidRPr="00471D80" w14:paraId="631041FF"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44E188B" w14:textId="77777777" w:rsidR="0035199C" w:rsidRPr="00566B72" w:rsidRDefault="0035199C" w:rsidP="00A12328">
            <w:pPr>
              <w:rPr>
                <w:rFonts w:ascii="Arial Narrow" w:hAnsi="Arial Narrow"/>
                <w:sz w:val="20"/>
                <w:szCs w:val="20"/>
              </w:rPr>
            </w:pPr>
            <w:r w:rsidRPr="006B44BE">
              <w:rPr>
                <w:rFonts w:ascii="Arial Narrow" w:eastAsiaTheme="majorEastAsia" w:hAnsi="Arial Narrow"/>
                <w:sz w:val="20"/>
                <w:szCs w:val="20"/>
                <w:lang w:bidi="en-US"/>
              </w:rPr>
              <w:t xml:space="preserve">Patient must not have developed disease progression while </w:t>
            </w:r>
            <w:r w:rsidRPr="00A73F06">
              <w:rPr>
                <w:rFonts w:ascii="Arial Narrow" w:eastAsiaTheme="majorEastAsia" w:hAnsi="Arial Narrow"/>
                <w:sz w:val="20"/>
                <w:szCs w:val="20"/>
                <w:lang w:bidi="en-US"/>
              </w:rPr>
              <w:t>receiving treatment</w:t>
            </w:r>
            <w:r>
              <w:rPr>
                <w:rFonts w:ascii="Arial Narrow" w:eastAsiaTheme="majorEastAsia" w:hAnsi="Arial Narrow"/>
                <w:i/>
                <w:iCs/>
                <w:sz w:val="20"/>
                <w:szCs w:val="20"/>
                <w:lang w:bidi="en-US"/>
              </w:rPr>
              <w:t xml:space="preserve"> </w:t>
            </w:r>
            <w:r w:rsidRPr="006B44BE">
              <w:rPr>
                <w:rFonts w:ascii="Arial Narrow" w:eastAsiaTheme="majorEastAsia" w:hAnsi="Arial Narrow"/>
                <w:sz w:val="20"/>
                <w:szCs w:val="20"/>
                <w:lang w:bidi="en-US"/>
              </w:rPr>
              <w:t>with this drug for this condition,</w:t>
            </w:r>
          </w:p>
        </w:tc>
      </w:tr>
      <w:tr w:rsidR="0035199C" w:rsidRPr="00471D80" w14:paraId="55FA6717"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7BF039C" w14:textId="77777777" w:rsidR="0035199C" w:rsidRPr="00471D80" w:rsidRDefault="0035199C" w:rsidP="00A12328">
            <w:pPr>
              <w:rPr>
                <w:rFonts w:ascii="Arial Narrow" w:hAnsi="Arial Narrow"/>
                <w:sz w:val="20"/>
                <w:szCs w:val="20"/>
                <w:lang w:bidi="en-US"/>
              </w:rPr>
            </w:pPr>
            <w:r>
              <w:rPr>
                <w:rFonts w:ascii="Arial Narrow" w:hAnsi="Arial Narrow"/>
                <w:b/>
                <w:bCs/>
                <w:sz w:val="20"/>
              </w:rPr>
              <w:t>AND</w:t>
            </w:r>
          </w:p>
        </w:tc>
      </w:tr>
      <w:tr w:rsidR="0035199C" w:rsidRPr="00471D80" w14:paraId="5B0361FD"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7F2DC8A" w14:textId="77777777" w:rsidR="0035199C" w:rsidRPr="00471D80" w:rsidRDefault="0035199C" w:rsidP="00A12328">
            <w:pPr>
              <w:rPr>
                <w:rFonts w:ascii="Arial Narrow" w:hAnsi="Arial Narrow"/>
                <w:sz w:val="20"/>
                <w:szCs w:val="20"/>
                <w:lang w:bidi="en-US"/>
              </w:rPr>
            </w:pPr>
            <w:r>
              <w:rPr>
                <w:rFonts w:ascii="Arial Narrow" w:hAnsi="Arial Narrow"/>
                <w:b/>
                <w:bCs/>
                <w:color w:val="333333"/>
                <w:sz w:val="20"/>
                <w:szCs w:val="20"/>
              </w:rPr>
              <w:t>Clinical</w:t>
            </w:r>
            <w:r w:rsidRPr="00446E53">
              <w:rPr>
                <w:rFonts w:ascii="Arial Narrow" w:hAnsi="Arial Narrow"/>
                <w:b/>
                <w:bCs/>
                <w:color w:val="333333"/>
                <w:sz w:val="20"/>
                <w:szCs w:val="20"/>
              </w:rPr>
              <w:t xml:space="preserve"> criteria:</w:t>
            </w:r>
          </w:p>
        </w:tc>
      </w:tr>
      <w:tr w:rsidR="0035199C" w:rsidRPr="00471D80" w14:paraId="38F9D33C"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D5FA2EA" w14:textId="77777777" w:rsidR="0035199C" w:rsidRPr="00471D80" w:rsidRDefault="0035199C" w:rsidP="00A12328">
            <w:pPr>
              <w:rPr>
                <w:rFonts w:ascii="Arial Narrow" w:hAnsi="Arial Narrow"/>
                <w:sz w:val="20"/>
                <w:szCs w:val="20"/>
                <w:lang w:bidi="en-US"/>
              </w:rPr>
            </w:pPr>
            <w:r w:rsidRPr="00342B74">
              <w:rPr>
                <w:rFonts w:ascii="Arial Narrow" w:eastAsiaTheme="majorEastAsia" w:hAnsi="Arial Narrow"/>
                <w:sz w:val="20"/>
                <w:szCs w:val="20"/>
                <w:lang w:bidi="en-US"/>
              </w:rPr>
              <w:t>The treatment must be the sole PBS-subsidised systemic anti-cancer therapy for this condition.</w:t>
            </w:r>
          </w:p>
        </w:tc>
      </w:tr>
      <w:tr w:rsidR="0035199C" w:rsidRPr="00471D80" w14:paraId="78EEC2C4"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7FABB43" w14:textId="77777777" w:rsidR="0035199C" w:rsidRPr="00471D80" w:rsidRDefault="0035199C" w:rsidP="00A12328">
            <w:pPr>
              <w:rPr>
                <w:rFonts w:ascii="Arial Narrow" w:hAnsi="Arial Narrow"/>
                <w:sz w:val="20"/>
                <w:szCs w:val="20"/>
                <w:lang w:bidi="en-US"/>
              </w:rPr>
            </w:pPr>
            <w:r w:rsidRPr="00471D80">
              <w:rPr>
                <w:rFonts w:ascii="Arial Narrow" w:hAnsi="Arial Narrow"/>
                <w:b/>
                <w:bCs/>
                <w:color w:val="333333"/>
                <w:sz w:val="20"/>
                <w:szCs w:val="20"/>
              </w:rPr>
              <w:t>Population criteria:</w:t>
            </w:r>
          </w:p>
        </w:tc>
      </w:tr>
      <w:tr w:rsidR="0035199C" w:rsidRPr="00471D80" w14:paraId="2C778F0A"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A56BC03" w14:textId="77777777" w:rsidR="0035199C" w:rsidRPr="00471D80" w:rsidRDefault="0035199C" w:rsidP="00A12328">
            <w:pPr>
              <w:rPr>
                <w:rFonts w:ascii="Arial Narrow" w:hAnsi="Arial Narrow"/>
                <w:sz w:val="20"/>
                <w:szCs w:val="20"/>
                <w:lang w:bidi="en-US"/>
              </w:rPr>
            </w:pPr>
            <w:r w:rsidRPr="00471D80">
              <w:rPr>
                <w:rFonts w:ascii="Arial Narrow" w:hAnsi="Arial Narrow"/>
                <w:sz w:val="20"/>
                <w:szCs w:val="20"/>
                <w:lang w:bidi="en-US"/>
              </w:rPr>
              <w:t>Patient must have evidence in tumour material of an activating epidermal growth factor receptor (EGFR) gene mutation known to confer sensitivity to treatment with EGFR tyrosine kinase inhibitors.</w:t>
            </w:r>
          </w:p>
        </w:tc>
      </w:tr>
      <w:tr w:rsidR="0035199C" w:rsidRPr="00471D80" w14:paraId="0650F560" w14:textId="77777777" w:rsidTr="0035199C">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EE6BC2C" w14:textId="77777777" w:rsidR="0035199C" w:rsidRPr="00471D80" w:rsidRDefault="0035199C" w:rsidP="00A12328">
            <w:pPr>
              <w:rPr>
                <w:rFonts w:ascii="Arial Narrow" w:hAnsi="Arial Narrow"/>
                <w:b/>
                <w:bCs/>
                <w:sz w:val="20"/>
                <w:szCs w:val="20"/>
                <w:lang w:bidi="en-US"/>
              </w:rPr>
            </w:pPr>
            <w:r w:rsidRPr="00471D80">
              <w:rPr>
                <w:rFonts w:ascii="Arial Narrow" w:hAnsi="Arial Narrow"/>
                <w:b/>
                <w:bCs/>
                <w:sz w:val="20"/>
                <w:szCs w:val="20"/>
                <w:lang w:bidi="en-US"/>
              </w:rPr>
              <w:t>Prescribing Instruction:</w:t>
            </w:r>
          </w:p>
          <w:p w14:paraId="24CDCD7D" w14:textId="77777777" w:rsidR="0035199C" w:rsidRPr="00471D80" w:rsidRDefault="0035199C" w:rsidP="00A12328">
            <w:pPr>
              <w:rPr>
                <w:rFonts w:ascii="Arial Narrow" w:hAnsi="Arial Narrow"/>
                <w:sz w:val="20"/>
                <w:szCs w:val="20"/>
                <w:lang w:bidi="en-US"/>
              </w:rPr>
            </w:pPr>
            <w:r w:rsidRPr="00471D80">
              <w:rPr>
                <w:rFonts w:ascii="Arial Narrow" w:hAnsi="Arial Narrow"/>
                <w:sz w:val="20"/>
                <w:szCs w:val="20"/>
                <w:lang w:bidi="en-US"/>
              </w:rPr>
              <w:t xml:space="preserve">PBS-subsidised treatment with this drug is restricted to </w:t>
            </w:r>
            <w:r w:rsidRPr="00707855">
              <w:rPr>
                <w:rFonts w:ascii="Arial Narrow" w:eastAsiaTheme="majorEastAsia" w:hAnsi="Arial Narrow"/>
                <w:sz w:val="20"/>
                <w:szCs w:val="20"/>
                <w:lang w:bidi="en-US"/>
              </w:rPr>
              <w:t>one line of therapy</w:t>
            </w:r>
            <w:r w:rsidRPr="00C722AD">
              <w:rPr>
                <w:rFonts w:ascii="Arial Narrow" w:eastAsiaTheme="majorEastAsia" w:hAnsi="Arial Narrow"/>
                <w:sz w:val="20"/>
                <w:szCs w:val="20"/>
                <w:lang w:bidi="en-US"/>
              </w:rPr>
              <w:t xml:space="preserve"> </w:t>
            </w:r>
            <w:r w:rsidRPr="00471D80">
              <w:rPr>
                <w:rFonts w:ascii="Arial Narrow" w:hAnsi="Arial Narrow"/>
                <w:sz w:val="20"/>
                <w:szCs w:val="20"/>
                <w:lang w:bidi="en-US"/>
              </w:rPr>
              <w:t>at any disease staging for NSCLC (i.e. if therapy has been prescribed for early disease, subsidy under locally advanced or metastatic disease is no longer available).</w:t>
            </w:r>
            <w:r>
              <w:rPr>
                <w:rFonts w:ascii="Arial Narrow" w:hAnsi="Arial Narrow"/>
                <w:sz w:val="20"/>
                <w:szCs w:val="20"/>
                <w:lang w:bidi="en-US"/>
              </w:rPr>
              <w:t xml:space="preserve"> </w:t>
            </w:r>
          </w:p>
        </w:tc>
      </w:tr>
    </w:tbl>
    <w:p w14:paraId="5AAEE55A" w14:textId="77777777" w:rsidR="0084522E" w:rsidRDefault="0084522E" w:rsidP="00A12328">
      <w:pPr>
        <w:pStyle w:val="3-BodyText"/>
        <w:numPr>
          <w:ilvl w:val="0"/>
          <w:numId w:val="0"/>
        </w:numPr>
      </w:pPr>
    </w:p>
    <w:p w14:paraId="17C5551E" w14:textId="1CB54188" w:rsidR="001247F8" w:rsidRPr="001D3273" w:rsidRDefault="00AF3751" w:rsidP="00A12328">
      <w:pPr>
        <w:jc w:val="left"/>
        <w:rPr>
          <w:rFonts w:asciiTheme="minorHAnsi" w:hAnsiTheme="minorHAnsi"/>
          <w:sz w:val="22"/>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085F316D" w14:textId="77777777" w:rsidR="001247F8" w:rsidRDefault="001247F8" w:rsidP="00A12328">
      <w:pPr>
        <w:pStyle w:val="COMH1numbered"/>
        <w:numPr>
          <w:ilvl w:val="0"/>
          <w:numId w:val="0"/>
        </w:numPr>
        <w:ind w:left="720" w:hanging="720"/>
        <w:rPr>
          <w:bCs/>
          <w:lang w:val="en-GB"/>
        </w:rPr>
      </w:pPr>
      <w:r w:rsidRPr="00C07617">
        <w:t>9</w:t>
      </w:r>
      <w:r w:rsidRPr="00C07617">
        <w:tab/>
        <w:t>Context for Decision</w:t>
      </w:r>
    </w:p>
    <w:p w14:paraId="46F7C7B0" w14:textId="77777777" w:rsidR="001247F8" w:rsidRPr="00311EEF" w:rsidRDefault="001247F8" w:rsidP="00A12328">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B48168" w14:textId="77777777" w:rsidR="001247F8" w:rsidRPr="00311EEF" w:rsidRDefault="001247F8" w:rsidP="00A12328">
      <w:pPr>
        <w:pStyle w:val="COMH1numbered"/>
        <w:numPr>
          <w:ilvl w:val="0"/>
          <w:numId w:val="0"/>
        </w:numPr>
        <w:ind w:left="720" w:hanging="720"/>
      </w:pPr>
      <w:r w:rsidRPr="00311EEF">
        <w:t>10</w:t>
      </w:r>
      <w:r>
        <w:tab/>
      </w:r>
      <w:r w:rsidRPr="00311EEF">
        <w:t>Sponsor’s Comment</w:t>
      </w:r>
    </w:p>
    <w:p w14:paraId="34B01B0B" w14:textId="77777777" w:rsidR="001247F8" w:rsidRDefault="001247F8" w:rsidP="00A12328">
      <w:pPr>
        <w:spacing w:after="120"/>
        <w:ind w:left="720"/>
        <w:rPr>
          <w:rFonts w:asciiTheme="minorHAnsi" w:hAnsiTheme="minorHAnsi"/>
          <w:bCs/>
        </w:rPr>
      </w:pPr>
      <w:r w:rsidRPr="00C07617">
        <w:rPr>
          <w:rFonts w:asciiTheme="minorHAnsi" w:hAnsiTheme="minorHAnsi"/>
          <w:bCs/>
        </w:rPr>
        <w:t>The sponsor had no comment.</w:t>
      </w:r>
    </w:p>
    <w:p w14:paraId="630A325C" w14:textId="77777777" w:rsidR="001247F8" w:rsidRPr="001179AC" w:rsidRDefault="001247F8" w:rsidP="00A12328">
      <w:pPr>
        <w:spacing w:after="120"/>
        <w:ind w:left="720"/>
        <w:rPr>
          <w:rFonts w:asciiTheme="minorHAnsi" w:hAnsiTheme="minorHAnsi"/>
          <w:bCs/>
        </w:rPr>
      </w:pPr>
    </w:p>
    <w:p w14:paraId="6187FC6A" w14:textId="4E7A09F4" w:rsidR="00913F25" w:rsidRDefault="00913F25" w:rsidP="00A12328">
      <w:pPr>
        <w:jc w:val="left"/>
        <w:rPr>
          <w:rFonts w:asciiTheme="minorHAnsi" w:hAnsiTheme="minorHAnsi" w:cstheme="minorHAnsi"/>
        </w:rPr>
      </w:pPr>
    </w:p>
    <w:sectPr w:rsidR="00913F25" w:rsidSect="00B0713E">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527F" w14:textId="77777777" w:rsidR="001F49DD" w:rsidRDefault="001F49DD" w:rsidP="00124A51">
      <w:r>
        <w:separator/>
      </w:r>
    </w:p>
    <w:p w14:paraId="73DE8C21" w14:textId="77777777" w:rsidR="001F49DD" w:rsidRDefault="001F49DD"/>
  </w:endnote>
  <w:endnote w:type="continuationSeparator" w:id="0">
    <w:p w14:paraId="53415AB5" w14:textId="77777777" w:rsidR="001F49DD" w:rsidRDefault="001F49DD" w:rsidP="00124A51">
      <w:r>
        <w:continuationSeparator/>
      </w:r>
    </w:p>
    <w:p w14:paraId="0D41A12E" w14:textId="77777777" w:rsidR="001F49DD" w:rsidRDefault="001F49DD"/>
  </w:endnote>
  <w:endnote w:type="continuationNotice" w:id="1">
    <w:p w14:paraId="5840006A" w14:textId="77777777" w:rsidR="001F49DD" w:rsidRDefault="001F4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2AED" w14:textId="40B6AB1E" w:rsidR="00456C45" w:rsidRDefault="00456C45">
    <w:pPr>
      <w:pStyle w:val="Footer"/>
    </w:pPr>
    <w:r>
      <w:rPr>
        <w:noProof/>
      </w:rPr>
      <mc:AlternateContent>
        <mc:Choice Requires="wps">
          <w:drawing>
            <wp:anchor distT="0" distB="0" distL="0" distR="0" simplePos="0" relativeHeight="251659264" behindDoc="0" locked="0" layoutInCell="1" allowOverlap="1" wp14:anchorId="3ACF672E" wp14:editId="646F8122">
              <wp:simplePos x="635" y="635"/>
              <wp:positionH relativeFrom="page">
                <wp:align>center</wp:align>
              </wp:positionH>
              <wp:positionV relativeFrom="page">
                <wp:align>bottom</wp:align>
              </wp:positionV>
              <wp:extent cx="551815" cy="376555"/>
              <wp:effectExtent l="0" t="0" r="635" b="0"/>
              <wp:wrapNone/>
              <wp:docPr id="16577055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ABFD7B" w14:textId="72282E73" w:rsidR="00456C45" w:rsidRPr="00456C45" w:rsidRDefault="00456C45" w:rsidP="00456C45">
                          <w:pPr>
                            <w:rPr>
                              <w:rFonts w:eastAsia="Calibri" w:cs="Calibri"/>
                              <w:noProof/>
                              <w:color w:val="FF0000"/>
                            </w:rPr>
                          </w:pPr>
                          <w:r w:rsidRPr="00456C4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F672E"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45ABFD7B" w14:textId="72282E73" w:rsidR="00456C45" w:rsidRPr="00456C45" w:rsidRDefault="00456C45" w:rsidP="00456C45">
                    <w:pPr>
                      <w:rPr>
                        <w:rFonts w:eastAsia="Calibri" w:cs="Calibri"/>
                        <w:noProof/>
                        <w:color w:val="FF0000"/>
                      </w:rPr>
                    </w:pPr>
                    <w:r w:rsidRPr="00456C45">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19C8B61" w:rsidR="00FE3176" w:rsidRDefault="00456C45" w:rsidP="00753B29">
    <w:pPr>
      <w:pStyle w:val="Footer"/>
      <w:jc w:val="center"/>
    </w:pPr>
    <w:r>
      <w:rPr>
        <w:noProof/>
      </w:rPr>
      <mc:AlternateContent>
        <mc:Choice Requires="wps">
          <w:drawing>
            <wp:anchor distT="0" distB="0" distL="0" distR="0" simplePos="0" relativeHeight="251660288" behindDoc="0" locked="0" layoutInCell="1" allowOverlap="1" wp14:anchorId="5D9BE79F" wp14:editId="24B9E8BE">
              <wp:simplePos x="635" y="635"/>
              <wp:positionH relativeFrom="page">
                <wp:align>center</wp:align>
              </wp:positionH>
              <wp:positionV relativeFrom="page">
                <wp:align>bottom</wp:align>
              </wp:positionV>
              <wp:extent cx="551815" cy="376555"/>
              <wp:effectExtent l="0" t="0" r="635" b="0"/>
              <wp:wrapNone/>
              <wp:docPr id="6266391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6374FF" w14:textId="5B8C2E55" w:rsidR="00456C45" w:rsidRPr="00456C45" w:rsidRDefault="00456C45" w:rsidP="00456C45">
                          <w:pPr>
                            <w:rPr>
                              <w:rFonts w:eastAsia="Calibri" w:cs="Calibri"/>
                              <w:noProof/>
                              <w:color w:val="FF0000"/>
                            </w:rPr>
                          </w:pPr>
                          <w:r w:rsidRPr="00456C4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9BE79F"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D6374FF" w14:textId="5B8C2E55" w:rsidR="00456C45" w:rsidRPr="00456C45" w:rsidRDefault="00456C45" w:rsidP="00456C45">
                    <w:pPr>
                      <w:rPr>
                        <w:rFonts w:eastAsia="Calibri" w:cs="Calibri"/>
                        <w:noProof/>
                        <w:color w:val="FF0000"/>
                      </w:rPr>
                    </w:pPr>
                    <w:r w:rsidRPr="00456C45">
                      <w:rPr>
                        <w:rFonts w:eastAsia="Calibri" w:cs="Calibri"/>
                        <w:noProof/>
                        <w:color w:val="FF0000"/>
                      </w:rPr>
                      <w:t>OFFICIAL</w:t>
                    </w:r>
                  </w:p>
                </w:txbxContent>
              </v:textbox>
              <w10:wrap anchorx="page" anchory="page"/>
            </v:shape>
          </w:pict>
        </mc:Fallback>
      </mc:AlternateContent>
    </w:r>
  </w:p>
  <w:p w14:paraId="37484CD3" w14:textId="18DFEDAD" w:rsidR="00FE3176" w:rsidRPr="00FE67C6" w:rsidRDefault="009F3D59"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FE3176" w:rsidRPr="00FE67C6">
          <w:rPr>
            <w:b/>
            <w:bCs/>
          </w:rPr>
          <w:fldChar w:fldCharType="begin"/>
        </w:r>
        <w:r w:rsidR="00FE3176" w:rsidRPr="00FE67C6">
          <w:rPr>
            <w:b/>
            <w:bCs/>
          </w:rPr>
          <w:instrText xml:space="preserve"> PAGE   \* MERGEFORMAT </w:instrText>
        </w:r>
        <w:r w:rsidR="00FE3176" w:rsidRPr="00FE67C6">
          <w:rPr>
            <w:b/>
            <w:bCs/>
          </w:rPr>
          <w:fldChar w:fldCharType="separate"/>
        </w:r>
        <w:r w:rsidR="00FE3176" w:rsidRPr="00FE67C6">
          <w:rPr>
            <w:b/>
            <w:bCs/>
            <w:noProof/>
          </w:rPr>
          <w:t>2</w:t>
        </w:r>
        <w:r w:rsidR="00FE3176" w:rsidRPr="00FE67C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FBFA" w14:textId="1EEFC913" w:rsidR="00456C45" w:rsidRDefault="00456C45">
    <w:pPr>
      <w:pStyle w:val="Footer"/>
    </w:pPr>
    <w:r>
      <w:rPr>
        <w:noProof/>
      </w:rPr>
      <mc:AlternateContent>
        <mc:Choice Requires="wps">
          <w:drawing>
            <wp:anchor distT="0" distB="0" distL="0" distR="0" simplePos="0" relativeHeight="251658240" behindDoc="0" locked="0" layoutInCell="1" allowOverlap="1" wp14:anchorId="700194F9" wp14:editId="0F7A5DDC">
              <wp:simplePos x="635" y="635"/>
              <wp:positionH relativeFrom="page">
                <wp:align>center</wp:align>
              </wp:positionH>
              <wp:positionV relativeFrom="page">
                <wp:align>bottom</wp:align>
              </wp:positionV>
              <wp:extent cx="551815" cy="376555"/>
              <wp:effectExtent l="0" t="0" r="635" b="0"/>
              <wp:wrapNone/>
              <wp:docPr id="10671462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10A3F8" w14:textId="426F3B88" w:rsidR="00456C45" w:rsidRPr="00456C45" w:rsidRDefault="00456C45" w:rsidP="00456C45">
                          <w:pPr>
                            <w:rPr>
                              <w:rFonts w:eastAsia="Calibri" w:cs="Calibri"/>
                              <w:noProof/>
                              <w:color w:val="FF0000"/>
                            </w:rPr>
                          </w:pPr>
                          <w:r w:rsidRPr="00456C4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0194F9"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D10A3F8" w14:textId="426F3B88" w:rsidR="00456C45" w:rsidRPr="00456C45" w:rsidRDefault="00456C45" w:rsidP="00456C45">
                    <w:pPr>
                      <w:rPr>
                        <w:rFonts w:eastAsia="Calibri" w:cs="Calibri"/>
                        <w:noProof/>
                        <w:color w:val="FF0000"/>
                      </w:rPr>
                    </w:pPr>
                    <w:r w:rsidRPr="00456C45">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50736" w14:textId="77777777" w:rsidR="001F49DD" w:rsidRDefault="001F49DD" w:rsidP="00124A51">
      <w:r>
        <w:separator/>
      </w:r>
    </w:p>
    <w:p w14:paraId="1ED29C74" w14:textId="77777777" w:rsidR="001F49DD" w:rsidRDefault="001F49DD"/>
  </w:footnote>
  <w:footnote w:type="continuationSeparator" w:id="0">
    <w:p w14:paraId="02B8450E" w14:textId="77777777" w:rsidR="001F49DD" w:rsidRDefault="001F49DD" w:rsidP="00124A51">
      <w:r>
        <w:continuationSeparator/>
      </w:r>
    </w:p>
    <w:p w14:paraId="723DD877" w14:textId="77777777" w:rsidR="001F49DD" w:rsidRDefault="001F49DD"/>
  </w:footnote>
  <w:footnote w:type="continuationNotice" w:id="1">
    <w:p w14:paraId="08B6C974" w14:textId="77777777" w:rsidR="001F49DD" w:rsidRDefault="001F49DD"/>
  </w:footnote>
  <w:footnote w:id="2">
    <w:p w14:paraId="5715DD0D" w14:textId="6E68DDC2" w:rsidR="008504B9" w:rsidRDefault="008504B9">
      <w:pPr>
        <w:pStyle w:val="FootnoteText"/>
      </w:pPr>
      <w:r>
        <w:rPr>
          <w:rStyle w:val="FootnoteReference"/>
        </w:rPr>
        <w:footnoteRef/>
      </w:r>
      <w:r>
        <w:t xml:space="preserve"> </w:t>
      </w:r>
      <w:r w:rsidRPr="008504B9">
        <w:t>https://www.pbs.gov.au/industry/listing/elements/pbac-meetings/pbac-outcomes/2025-05/pbac-web-outcomes-05-2025.pdf</w:t>
      </w:r>
    </w:p>
  </w:footnote>
  <w:footnote w:id="3">
    <w:p w14:paraId="5712B405" w14:textId="77777777" w:rsidR="00FE3176" w:rsidRPr="00C011A6" w:rsidRDefault="00FE3176" w:rsidP="00B13BF5">
      <w:pPr>
        <w:pStyle w:val="FootnoteText"/>
      </w:pPr>
      <w:r>
        <w:rPr>
          <w:rStyle w:val="FootnoteReference"/>
        </w:rPr>
        <w:footnoteRef/>
      </w:r>
      <w:r>
        <w:t xml:space="preserve"> Nozaki K, Watanabe S, and Kikuchi T. Review on LAURA: Is it a game changer for unresectable stage III </w:t>
      </w:r>
      <w:r w:rsidRPr="006209EA">
        <w:rPr>
          <w:i/>
          <w:iCs/>
        </w:rPr>
        <w:t>EGFR</w:t>
      </w:r>
      <w:r>
        <w:t xml:space="preserve">-mutated non-small-cell lung cancer? </w:t>
      </w:r>
      <w:r w:rsidRPr="00C011A6">
        <w:rPr>
          <w:i/>
          <w:iCs/>
        </w:rPr>
        <w:t>AME Clin Trials Rev</w:t>
      </w:r>
      <w:r w:rsidRPr="00C011A6">
        <w:t xml:space="preserve"> 2024; 2: 94.</w:t>
      </w:r>
    </w:p>
  </w:footnote>
  <w:footnote w:id="4">
    <w:p w14:paraId="0FF00C22" w14:textId="4C9E4F11" w:rsidR="00FE3176" w:rsidRDefault="00FE3176" w:rsidP="00327047">
      <w:pPr>
        <w:pStyle w:val="FootnoteText"/>
      </w:pPr>
      <w:r>
        <w:rPr>
          <w:rStyle w:val="FootnoteReference"/>
        </w:rPr>
        <w:footnoteRef/>
      </w:r>
      <w:r>
        <w:t xml:space="preserve"> AIHW 2024. Lung cancer in Australia statistics. Available at</w:t>
      </w:r>
      <w:r w:rsidR="001667B9">
        <w:t>:</w:t>
      </w:r>
      <w:r>
        <w:t xml:space="preserve"> </w:t>
      </w:r>
      <w:r w:rsidR="001667B9" w:rsidRPr="001667B9">
        <w:t>https://www.canceraustralia.gov.au/cancer-types/lung-cancer/lung-cancer-australia-statistics</w:t>
      </w:r>
    </w:p>
  </w:footnote>
  <w:footnote w:id="5">
    <w:p w14:paraId="070E2DC0" w14:textId="77777777" w:rsidR="00FE3176" w:rsidRDefault="00FE3176" w:rsidP="00327047">
      <w:pPr>
        <w:pStyle w:val="FootnoteText"/>
      </w:pPr>
      <w:r>
        <w:rPr>
          <w:rStyle w:val="FootnoteReference"/>
        </w:rPr>
        <w:footnoteRef/>
      </w:r>
      <w:r>
        <w:t xml:space="preserve"> </w:t>
      </w:r>
      <w:r w:rsidRPr="00730718">
        <w:t>Seung SJ, et al. Cost-of-illness study for non-small-cell lung cancer using real-world data. Curr Oncol. 2019 Apr;26(2):102-107. doi: 10.3747/co.26.4555.</w:t>
      </w:r>
    </w:p>
  </w:footnote>
  <w:footnote w:id="6">
    <w:p w14:paraId="45FDD778" w14:textId="77777777" w:rsidR="00FE3176" w:rsidRDefault="00FE3176" w:rsidP="00327047">
      <w:pPr>
        <w:pStyle w:val="FootnoteText"/>
      </w:pPr>
      <w:r>
        <w:rPr>
          <w:rStyle w:val="FootnoteReference"/>
        </w:rPr>
        <w:footnoteRef/>
      </w:r>
      <w:r>
        <w:t xml:space="preserve"> </w:t>
      </w:r>
      <w:r w:rsidRPr="0063756B">
        <w:t xml:space="preserve">Casal-Mouriño A, </w:t>
      </w:r>
      <w:r>
        <w:t>et al</w:t>
      </w:r>
      <w:r w:rsidRPr="0063756B">
        <w:t>. Epidemiology of stage III lung cancer: frequency, diagnostic characteristics, and survival. Transl Lung Cancer Res. 2021 Jan;10(1):506-518. doi: 10.21037/tlcr.2020.03.40.</w:t>
      </w:r>
    </w:p>
  </w:footnote>
  <w:footnote w:id="7">
    <w:p w14:paraId="364003B1" w14:textId="77777777" w:rsidR="00FE3176" w:rsidRDefault="00FE3176" w:rsidP="00327047">
      <w:pPr>
        <w:pStyle w:val="TableFigureFooter"/>
      </w:pPr>
      <w:r>
        <w:rPr>
          <w:rStyle w:val="FootnoteReference"/>
        </w:rPr>
        <w:footnoteRef/>
      </w:r>
      <w:r>
        <w:t xml:space="preserve"> </w:t>
      </w:r>
      <w:r w:rsidRPr="00692713">
        <w:rPr>
          <w:rFonts w:asciiTheme="minorHAnsi" w:hAnsiTheme="minorHAnsi" w:cstheme="minorHAnsi"/>
          <w:sz w:val="20"/>
          <w:szCs w:val="20"/>
        </w:rPr>
        <w:t>Rybarczyk-Kasiuchnicz A. (2021). Treatment of Brain Metastases of Non-Small Cell Lung Carcinoma. Int J Mol Sci 2021;22.</w:t>
      </w:r>
    </w:p>
  </w:footnote>
  <w:footnote w:id="8">
    <w:p w14:paraId="50DA62C2" w14:textId="77777777" w:rsidR="00FE3176" w:rsidRPr="00692713" w:rsidRDefault="00FE3176" w:rsidP="00327047">
      <w:pPr>
        <w:pStyle w:val="TableFigureFooter"/>
        <w:spacing w:after="0"/>
        <w:rPr>
          <w:rFonts w:asciiTheme="minorHAnsi" w:hAnsiTheme="minorHAnsi" w:cstheme="minorHAnsi"/>
          <w:sz w:val="20"/>
          <w:szCs w:val="20"/>
        </w:rPr>
      </w:pPr>
      <w:r w:rsidRPr="00692713">
        <w:rPr>
          <w:rStyle w:val="FootnoteReference"/>
          <w:rFonts w:asciiTheme="minorHAnsi" w:hAnsiTheme="minorHAnsi" w:cstheme="minorHAnsi"/>
          <w:sz w:val="20"/>
          <w:szCs w:val="20"/>
        </w:rPr>
        <w:footnoteRef/>
      </w:r>
      <w:r w:rsidRPr="00692713">
        <w:rPr>
          <w:rFonts w:asciiTheme="minorHAnsi" w:hAnsiTheme="minorHAnsi" w:cstheme="minorHAnsi"/>
          <w:sz w:val="20"/>
          <w:szCs w:val="20"/>
        </w:rPr>
        <w:t xml:space="preserve"> </w:t>
      </w:r>
      <w:r w:rsidRPr="00692713">
        <w:rPr>
          <w:rFonts w:asciiTheme="minorHAnsi" w:hAnsiTheme="minorHAnsi" w:cstheme="minorHAnsi"/>
          <w:color w:val="212121"/>
          <w:sz w:val="20"/>
          <w:szCs w:val="20"/>
          <w:shd w:val="clear" w:color="auto" w:fill="FFFFFF"/>
        </w:rPr>
        <w:t xml:space="preserve">Yoon HY, </w:t>
      </w:r>
      <w:r>
        <w:rPr>
          <w:rFonts w:asciiTheme="minorHAnsi" w:hAnsiTheme="minorHAnsi" w:cstheme="minorHAnsi"/>
          <w:color w:val="212121"/>
          <w:sz w:val="20"/>
          <w:szCs w:val="20"/>
          <w:shd w:val="clear" w:color="auto" w:fill="FFFFFF"/>
        </w:rPr>
        <w:t>et al</w:t>
      </w:r>
      <w:r w:rsidRPr="00692713">
        <w:rPr>
          <w:rFonts w:asciiTheme="minorHAnsi" w:hAnsiTheme="minorHAnsi" w:cstheme="minorHAnsi"/>
          <w:color w:val="212121"/>
          <w:sz w:val="20"/>
          <w:szCs w:val="20"/>
          <w:shd w:val="clear" w:color="auto" w:fill="FFFFFF"/>
        </w:rPr>
        <w:t>. Clinical significance of EGFR mutation types in lung adenocarcinoma: A multi-centre Korean study. PLoS One. 2020 Feb 13;15(2):e0228925. doi: 10.1371/journal.pone.0228925.</w:t>
      </w:r>
    </w:p>
  </w:footnote>
  <w:footnote w:id="9">
    <w:p w14:paraId="05D2C422" w14:textId="77777777" w:rsidR="00E113F0" w:rsidRDefault="00E113F0" w:rsidP="00E113F0">
      <w:pPr>
        <w:pStyle w:val="TableFigureFooter"/>
        <w:spacing w:after="0"/>
      </w:pPr>
      <w:r>
        <w:rPr>
          <w:rStyle w:val="FootnoteReference"/>
        </w:rPr>
        <w:footnoteRef/>
      </w:r>
      <w:r>
        <w:t xml:space="preserve"> </w:t>
      </w:r>
      <w:r w:rsidRPr="00692713">
        <w:rPr>
          <w:rFonts w:asciiTheme="minorHAnsi" w:hAnsiTheme="minorHAnsi" w:cstheme="minorHAnsi"/>
          <w:sz w:val="20"/>
          <w:szCs w:val="20"/>
        </w:rPr>
        <w:t>Tan L. (2018). Survival difference according to mutation status in a prospective cohort study of Australian patients with metastatic non-small-cell lung carcinoma. Intern Med J. 2018 Jan;48(1):37-44.</w:t>
      </w:r>
    </w:p>
  </w:footnote>
  <w:footnote w:id="10">
    <w:p w14:paraId="085D29E2" w14:textId="77777777" w:rsidR="00FE3176" w:rsidRPr="00F60AEC" w:rsidRDefault="00FE3176" w:rsidP="00327047">
      <w:pPr>
        <w:pStyle w:val="FootnoteText"/>
        <w:rPr>
          <w:rFonts w:asciiTheme="minorHAnsi" w:hAnsiTheme="minorHAnsi" w:cstheme="minorHAnsi"/>
          <w:sz w:val="18"/>
          <w:szCs w:val="18"/>
        </w:rPr>
      </w:pPr>
      <w:r w:rsidRPr="00F60AEC">
        <w:rPr>
          <w:rStyle w:val="FootnoteReference"/>
          <w:rFonts w:asciiTheme="minorHAnsi" w:hAnsiTheme="minorHAnsi" w:cstheme="minorHAnsi"/>
          <w:sz w:val="18"/>
          <w:szCs w:val="18"/>
        </w:rPr>
        <w:footnoteRef/>
      </w:r>
      <w:r w:rsidRPr="00F60AEC">
        <w:rPr>
          <w:rFonts w:asciiTheme="minorHAnsi" w:hAnsiTheme="minorHAnsi" w:cstheme="minorHAnsi"/>
          <w:sz w:val="18"/>
          <w:szCs w:val="18"/>
        </w:rPr>
        <w:t xml:space="preserve"> NCCN clinical practice guidelines in Oncology. Non-small cell lung cancer. Version 6.2024.</w:t>
      </w:r>
    </w:p>
  </w:footnote>
  <w:footnote w:id="11">
    <w:p w14:paraId="791C7826" w14:textId="77777777" w:rsidR="00FE3176" w:rsidRPr="00F60AEC" w:rsidRDefault="00FE3176" w:rsidP="00327047">
      <w:pPr>
        <w:pStyle w:val="FootnoteText"/>
        <w:rPr>
          <w:rFonts w:asciiTheme="minorHAnsi" w:hAnsiTheme="minorHAnsi" w:cstheme="minorHAnsi"/>
          <w:sz w:val="18"/>
          <w:szCs w:val="18"/>
        </w:rPr>
      </w:pPr>
      <w:r w:rsidRPr="00F60AEC">
        <w:rPr>
          <w:rStyle w:val="FootnoteReference"/>
          <w:rFonts w:asciiTheme="minorHAnsi" w:hAnsiTheme="minorHAnsi" w:cstheme="minorHAnsi"/>
          <w:sz w:val="18"/>
          <w:szCs w:val="18"/>
        </w:rPr>
        <w:footnoteRef/>
      </w:r>
      <w:r w:rsidRPr="00F60AEC">
        <w:rPr>
          <w:rFonts w:asciiTheme="minorHAnsi" w:hAnsiTheme="minorHAnsi" w:cstheme="minorHAnsi"/>
          <w:sz w:val="18"/>
          <w:szCs w:val="18"/>
        </w:rPr>
        <w:t xml:space="preserve"> </w:t>
      </w:r>
      <w:r w:rsidRPr="00F60AEC">
        <w:rPr>
          <w:rStyle w:val="TableFigureFooterChar"/>
          <w:rFonts w:asciiTheme="minorHAnsi" w:hAnsiTheme="minorHAnsi" w:cstheme="minorHAnsi"/>
          <w:szCs w:val="18"/>
        </w:rPr>
        <w:t>Antonia SJ, Villegas A, Daniel D, et al; PACIFIC Investigators. Durvalumab after Chemoradiotherapy in Stage III Non-Small-Cell Lung Cancer. N Engl J Med. 2017 Nov 16;377(20):1919-1929. doi: 10.1056/NEJMoa1709937.</w:t>
      </w:r>
    </w:p>
  </w:footnote>
  <w:footnote w:id="12">
    <w:p w14:paraId="543A3AB9" w14:textId="77777777" w:rsidR="00FE3176" w:rsidRPr="00F60AEC" w:rsidRDefault="00FE3176" w:rsidP="00327047">
      <w:pPr>
        <w:pStyle w:val="FootnoteText"/>
        <w:rPr>
          <w:rFonts w:asciiTheme="minorHAnsi" w:hAnsiTheme="minorHAnsi" w:cstheme="minorHAnsi"/>
          <w:sz w:val="18"/>
          <w:szCs w:val="18"/>
        </w:rPr>
      </w:pPr>
      <w:r w:rsidRPr="00F60AEC">
        <w:rPr>
          <w:rStyle w:val="FootnoteReference"/>
          <w:rFonts w:asciiTheme="minorHAnsi" w:hAnsiTheme="minorHAnsi" w:cstheme="minorHAnsi"/>
          <w:sz w:val="18"/>
          <w:szCs w:val="18"/>
        </w:rPr>
        <w:footnoteRef/>
      </w:r>
      <w:r w:rsidRPr="00F60AEC">
        <w:rPr>
          <w:rFonts w:asciiTheme="minorHAnsi" w:hAnsiTheme="minorHAnsi" w:cstheme="minorHAnsi"/>
          <w:sz w:val="18"/>
          <w:szCs w:val="18"/>
        </w:rPr>
        <w:t xml:space="preserve"> Passaro, A. et al. ESMO expert consensus statements on the management of EGFR mutant non-small-cell lung cancer. Annals of Oncology, Volume 33, Issue 5, 466 - 487</w:t>
      </w:r>
    </w:p>
  </w:footnote>
  <w:footnote w:id="13">
    <w:p w14:paraId="58EB9ADB" w14:textId="77777777" w:rsidR="00FE3176" w:rsidRPr="00F60AEC" w:rsidRDefault="00FE3176" w:rsidP="00327047">
      <w:pPr>
        <w:pStyle w:val="TableFigureFooter"/>
        <w:rPr>
          <w:rFonts w:asciiTheme="minorHAnsi" w:hAnsiTheme="minorHAnsi" w:cstheme="minorHAnsi"/>
          <w:szCs w:val="18"/>
        </w:rPr>
      </w:pPr>
      <w:r w:rsidRPr="00F60AEC">
        <w:rPr>
          <w:rStyle w:val="FootnoteReference"/>
          <w:rFonts w:asciiTheme="minorHAnsi" w:hAnsiTheme="minorHAnsi" w:cstheme="minorHAnsi"/>
          <w:szCs w:val="18"/>
        </w:rPr>
        <w:footnoteRef/>
      </w:r>
      <w:r w:rsidRPr="00F60AEC">
        <w:rPr>
          <w:rFonts w:asciiTheme="minorHAnsi" w:hAnsiTheme="minorHAnsi" w:cstheme="minorHAnsi"/>
          <w:szCs w:val="18"/>
        </w:rPr>
        <w:t xml:space="preserve"> Nassar, Amin H. et al. Consolidation Osimertinib Versus Durvalumab Versus Observation After Concurrent Chemoradiation in Unresectable EGFR-Mutant NSCLC: A Multicenter Retrospective Cohort Study</w:t>
      </w:r>
    </w:p>
    <w:p w14:paraId="61A0A09E" w14:textId="77777777" w:rsidR="00FE3176" w:rsidRPr="00F60AEC" w:rsidRDefault="00FE3176" w:rsidP="00327047">
      <w:pPr>
        <w:pStyle w:val="TableFigureFooter"/>
        <w:rPr>
          <w:rFonts w:asciiTheme="minorHAnsi" w:hAnsiTheme="minorHAnsi" w:cstheme="minorHAnsi"/>
          <w:szCs w:val="18"/>
        </w:rPr>
      </w:pPr>
      <w:r w:rsidRPr="00F60AEC">
        <w:rPr>
          <w:rFonts w:asciiTheme="minorHAnsi" w:hAnsiTheme="minorHAnsi" w:cstheme="minorHAnsi"/>
          <w:szCs w:val="18"/>
        </w:rPr>
        <w:t>J Thorac Oncol, Volume 19, Issue 6, 928 - 940</w:t>
      </w:r>
    </w:p>
  </w:footnote>
  <w:footnote w:id="14">
    <w:p w14:paraId="04123943" w14:textId="58513240" w:rsidR="00FE3176" w:rsidRDefault="00FE3176" w:rsidP="009209EC">
      <w:pPr>
        <w:pStyle w:val="TableFigureFooter"/>
      </w:pPr>
      <w:r w:rsidRPr="00F60AEC">
        <w:rPr>
          <w:rFonts w:asciiTheme="minorHAnsi" w:hAnsiTheme="minorHAnsi" w:cstheme="minorHAnsi"/>
          <w:szCs w:val="18"/>
          <w:vertAlign w:val="superscript"/>
        </w:rPr>
        <w:footnoteRef/>
      </w:r>
      <w:r w:rsidRPr="00F60AEC">
        <w:rPr>
          <w:rFonts w:asciiTheme="minorHAnsi" w:hAnsiTheme="minorHAnsi" w:cstheme="minorHAnsi"/>
          <w:szCs w:val="18"/>
        </w:rPr>
        <w:t xml:space="preserve"> Daly</w:t>
      </w:r>
      <w:r w:rsidR="00515A85">
        <w:rPr>
          <w:rFonts w:asciiTheme="minorHAnsi" w:hAnsiTheme="minorHAnsi" w:cstheme="minorHAnsi"/>
          <w:szCs w:val="18"/>
        </w:rPr>
        <w:t>, M.</w:t>
      </w:r>
      <w:r w:rsidRPr="00F60AEC">
        <w:rPr>
          <w:rFonts w:asciiTheme="minorHAnsi" w:hAnsiTheme="minorHAnsi" w:cstheme="minorHAnsi"/>
          <w:szCs w:val="18"/>
        </w:rPr>
        <w:t xml:space="preserve"> et al. Management of Stage III Non–Small-Cell Lung Cancer: ASCO Guideline. JCO 40, 1356-1384(2022). DOI:10.1200/JCO.21.02528</w:t>
      </w:r>
    </w:p>
  </w:footnote>
  <w:footnote w:id="15">
    <w:p w14:paraId="34F39D41" w14:textId="17269F98" w:rsidR="00FE3176" w:rsidRDefault="00FE3176" w:rsidP="000A7CD1">
      <w:pPr>
        <w:pStyle w:val="FootnoteText"/>
      </w:pPr>
      <w:r>
        <w:rPr>
          <w:rStyle w:val="FootnoteReference"/>
        </w:rPr>
        <w:footnoteRef/>
      </w:r>
      <w:r>
        <w:t xml:space="preserve"> Naidoo, Jarushka et al. 2023. Brief Report: Durvalumab After Chemoradiotherapy in Unresectable Stage III EGFR-Mutant NSCLC: A Post Hoc Subgroup Analysis From PACIFIC. Journal of Thoracic Oncology, Volume 18, Issue 5, 657 - 663</w:t>
      </w:r>
    </w:p>
  </w:footnote>
  <w:footnote w:id="16">
    <w:p w14:paraId="749D58F4" w14:textId="4C99BFAA" w:rsidR="00FE3176" w:rsidRPr="00E31FF0" w:rsidRDefault="00FE3176">
      <w:pPr>
        <w:pStyle w:val="FootnoteText"/>
        <w:rPr>
          <w:b/>
          <w:lang w:val="fr-FR"/>
        </w:rPr>
      </w:pPr>
      <w:r>
        <w:rPr>
          <w:rStyle w:val="FootnoteReference"/>
        </w:rPr>
        <w:footnoteRef/>
      </w:r>
      <w:r w:rsidRPr="00516010">
        <w:t xml:space="preserve"> </w:t>
      </w:r>
      <w:r w:rsidRPr="00516010">
        <w:rPr>
          <w:rFonts w:asciiTheme="minorHAnsi" w:hAnsiTheme="minorHAnsi" w:cstheme="minorHAnsi"/>
        </w:rPr>
        <w:t xml:space="preserve">Spigel DR, Faivre-Finn C, Gray JE, et al. </w:t>
      </w:r>
      <w:r w:rsidRPr="004D1AB4">
        <w:rPr>
          <w:rFonts w:asciiTheme="minorHAnsi" w:hAnsiTheme="minorHAnsi" w:cstheme="minorHAnsi"/>
        </w:rPr>
        <w:t xml:space="preserve">Five-Year Survival Outcomes From the PACIFIC Trial: Durvalumab After Chemoradiotherapy in Stage III Non-Small-Cell Lung Cancer [published correction appears in J Clin Oncol. </w:t>
      </w:r>
      <w:r w:rsidRPr="00C5230C">
        <w:rPr>
          <w:rFonts w:asciiTheme="minorHAnsi" w:hAnsiTheme="minorHAnsi" w:cstheme="minorHAnsi"/>
          <w:lang w:val="fr-FR"/>
        </w:rPr>
        <w:t xml:space="preserve">2022 Jun 10;40(17):1965. </w:t>
      </w:r>
    </w:p>
  </w:footnote>
  <w:footnote w:id="17">
    <w:p w14:paraId="13EF7D2F" w14:textId="5FD163E0" w:rsidR="002E5709" w:rsidRDefault="002E5709">
      <w:pPr>
        <w:pStyle w:val="FootnoteText"/>
      </w:pPr>
      <w:r>
        <w:rPr>
          <w:rStyle w:val="FootnoteReference"/>
        </w:rPr>
        <w:footnoteRef/>
      </w:r>
      <w:r>
        <w:t xml:space="preserve"> </w:t>
      </w:r>
      <w:r w:rsidRPr="002E5709">
        <w:t>Cherny NI, Dafni U, Bogaerts J, et al: ESMO-Magnitude of Clinical Benefit Scale version 1.1. Annals of Oncology 28:2340-2366, 2017</w:t>
      </w:r>
    </w:p>
  </w:footnote>
  <w:footnote w:id="18">
    <w:p w14:paraId="51D739C6" w14:textId="77777777" w:rsidR="00FE3176" w:rsidRPr="000C6578" w:rsidRDefault="00FE3176" w:rsidP="00327047">
      <w:pPr>
        <w:pStyle w:val="FootnoteText"/>
      </w:pPr>
      <w:r>
        <w:rPr>
          <w:rStyle w:val="FootnoteReference"/>
        </w:rPr>
        <w:footnoteRef/>
      </w:r>
      <w:r w:rsidRPr="00E31FF0">
        <w:rPr>
          <w:lang w:val="fr-FR"/>
        </w:rPr>
        <w:t xml:space="preserve"> Lu S, et al. </w:t>
      </w:r>
      <w:r w:rsidRPr="00032B6A">
        <w:t xml:space="preserve">Osimertinib after definitive chemoradiotherapy in unresectable stage III epidermal growth factor receptor-mutated non-small-cell lung cancer: analyses of central nervous system efficacy and distant progression from the phase III LAURA study. </w:t>
      </w:r>
      <w:r w:rsidRPr="000C6578">
        <w:t>Ann Oncol. 2024 Dec;35(12):1116-1125. doi: 10.1016/j.annonc.2024.08.2243.</w:t>
      </w:r>
    </w:p>
    <w:p w14:paraId="48D051D9" w14:textId="77777777" w:rsidR="00FE3176" w:rsidRPr="000C6578" w:rsidRDefault="00FE3176" w:rsidP="00327047">
      <w:pPr>
        <w:pStyle w:val="FootnoteText"/>
      </w:pPr>
    </w:p>
  </w:footnote>
  <w:footnote w:id="19">
    <w:p w14:paraId="5974E6BE" w14:textId="2987FDF4" w:rsidR="00FE3176" w:rsidRPr="00516010" w:rsidRDefault="00FE3176" w:rsidP="00162AD5">
      <w:pPr>
        <w:pStyle w:val="FootnoteText"/>
        <w:rPr>
          <w:lang w:val="fr-FR"/>
        </w:rPr>
      </w:pPr>
      <w:r>
        <w:rPr>
          <w:rStyle w:val="FootnoteReference"/>
        </w:rPr>
        <w:footnoteRef/>
      </w:r>
      <w:r>
        <w:t xml:space="preserve"> Nozaki, K., Watanabe, S., &amp; Kikuchi, T. (2024). Review on LAURA: is it a game changer for unresectable stage III EGFR-mutated non-small-cell lung cancer? </w:t>
      </w:r>
      <w:r w:rsidR="00325296" w:rsidRPr="00B06BF7">
        <w:t>AME Clin Trials Rev</w:t>
      </w:r>
      <w:r w:rsidR="00325296" w:rsidRPr="00C011A6">
        <w:t xml:space="preserve"> 2024; 2: 94.</w:t>
      </w:r>
    </w:p>
  </w:footnote>
  <w:footnote w:id="20">
    <w:p w14:paraId="2B92F0E6" w14:textId="77777777" w:rsidR="00FE3176" w:rsidRPr="00C011A6" w:rsidRDefault="00FE3176" w:rsidP="00B27C69">
      <w:pPr>
        <w:pStyle w:val="FootnoteText"/>
      </w:pPr>
      <w:r>
        <w:rPr>
          <w:rStyle w:val="FootnoteReference"/>
        </w:rPr>
        <w:footnoteRef/>
      </w:r>
      <w:r>
        <w:t xml:space="preserve"> Nozaki K, Watanabe S, and Kikuchi T. Review on LAURA: Is it a game changer for unresectable stage III </w:t>
      </w:r>
      <w:r w:rsidRPr="006209EA">
        <w:rPr>
          <w:i/>
          <w:iCs/>
        </w:rPr>
        <w:t>EGFR</w:t>
      </w:r>
      <w:r>
        <w:t xml:space="preserve">-mutated non-small-cell lung cancer? </w:t>
      </w:r>
      <w:r w:rsidRPr="00C011A6">
        <w:rPr>
          <w:i/>
          <w:iCs/>
        </w:rPr>
        <w:t>AME Clin Trials Rev</w:t>
      </w:r>
      <w:r w:rsidRPr="00C011A6">
        <w:t xml:space="preserve"> 2024; 2: 94.</w:t>
      </w:r>
    </w:p>
  </w:footnote>
  <w:footnote w:id="21">
    <w:p w14:paraId="35BB7999" w14:textId="77777777" w:rsidR="00FE3176" w:rsidRPr="003C137E" w:rsidRDefault="00FE3176" w:rsidP="009745EA">
      <w:pPr>
        <w:pStyle w:val="CommentText"/>
        <w:rPr>
          <w:rFonts w:asciiTheme="minorHAnsi" w:hAnsiTheme="minorHAnsi" w:cstheme="minorHAnsi"/>
        </w:rPr>
      </w:pPr>
      <w:r w:rsidRPr="003C137E">
        <w:rPr>
          <w:rStyle w:val="FootnoteReference"/>
          <w:rFonts w:asciiTheme="minorHAnsi" w:hAnsiTheme="minorHAnsi" w:cstheme="minorHAnsi"/>
        </w:rPr>
        <w:footnoteRef/>
      </w:r>
      <w:r w:rsidRPr="003C137E">
        <w:rPr>
          <w:rFonts w:asciiTheme="minorHAnsi" w:hAnsiTheme="minorHAnsi" w:cstheme="minorHAnsi"/>
        </w:rPr>
        <w:t xml:space="preserve"> https://vlcr.org.au/wp-content/uploads/2018/05/VLCR-Annual-Report-2023.pdf</w:t>
      </w:r>
    </w:p>
  </w:footnote>
  <w:footnote w:id="22">
    <w:p w14:paraId="7434AB09" w14:textId="77777777" w:rsidR="00FE3176" w:rsidRPr="00572187" w:rsidRDefault="00FE3176" w:rsidP="009745EA">
      <w:pPr>
        <w:pStyle w:val="FootnoteText"/>
        <w:rPr>
          <w:lang w:val="it-IT"/>
        </w:rPr>
      </w:pPr>
      <w:r>
        <w:rPr>
          <w:rStyle w:val="FootnoteReference"/>
        </w:rPr>
        <w:footnoteRef/>
      </w:r>
      <w:r>
        <w:t xml:space="preserve"> Agulnik J, Kasymjanova G, Pepe C et al. Understanding clinical practice and survival outcomes in patients with unresectable stage III NSCLC in a single centre in Quebec. </w:t>
      </w:r>
      <w:r w:rsidRPr="00572187">
        <w:rPr>
          <w:i/>
          <w:iCs/>
          <w:lang w:val="it-IT"/>
        </w:rPr>
        <w:t>Curr Oncol</w:t>
      </w:r>
      <w:r w:rsidRPr="00572187">
        <w:rPr>
          <w:lang w:val="it-IT"/>
        </w:rPr>
        <w:t xml:space="preserve"> 2020; 27(5): e459-466.</w:t>
      </w:r>
    </w:p>
  </w:footnote>
  <w:footnote w:id="23">
    <w:p w14:paraId="23926AE9" w14:textId="77777777" w:rsidR="00FE3176" w:rsidRPr="009520E0" w:rsidRDefault="00FE3176" w:rsidP="009745EA">
      <w:pPr>
        <w:pStyle w:val="FootnoteText"/>
        <w:rPr>
          <w:rFonts w:asciiTheme="minorHAnsi" w:hAnsiTheme="minorHAnsi" w:cstheme="minorHAnsi"/>
        </w:rPr>
      </w:pPr>
      <w:r w:rsidRPr="009520E0">
        <w:rPr>
          <w:rStyle w:val="FootnoteReference"/>
          <w:rFonts w:asciiTheme="minorHAnsi" w:hAnsiTheme="minorHAnsi" w:cstheme="minorHAnsi"/>
        </w:rPr>
        <w:footnoteRef/>
      </w:r>
      <w:r w:rsidRPr="009520E0">
        <w:rPr>
          <w:rFonts w:asciiTheme="minorHAnsi" w:hAnsiTheme="minorHAnsi" w:cstheme="minorHAnsi"/>
          <w:lang w:val="it-IT"/>
        </w:rPr>
        <w:t xml:space="preserve"> Liang H-Y, Zhou H, Li X-L et al. </w:t>
      </w:r>
      <w:r w:rsidRPr="009520E0">
        <w:rPr>
          <w:rFonts w:asciiTheme="minorHAnsi" w:hAnsiTheme="minorHAnsi" w:cstheme="minorHAnsi"/>
        </w:rPr>
        <w:t xml:space="preserve">Chemo-radiotherapy for advanced non-small cell lung cancer: concurrent or sequential? It’s no longer the question: a systematic review. </w:t>
      </w:r>
      <w:r w:rsidRPr="009520E0">
        <w:rPr>
          <w:rFonts w:asciiTheme="minorHAnsi" w:hAnsiTheme="minorHAnsi" w:cstheme="minorHAnsi"/>
          <w:i/>
          <w:iCs/>
        </w:rPr>
        <w:t>Int J Cancer</w:t>
      </w:r>
      <w:r w:rsidRPr="009520E0">
        <w:rPr>
          <w:rFonts w:asciiTheme="minorHAnsi" w:hAnsiTheme="minorHAnsi" w:cstheme="minorHAnsi"/>
        </w:rPr>
        <w:t xml:space="preserve"> 2010; 127: 718-728.</w:t>
      </w:r>
    </w:p>
  </w:footnote>
  <w:footnote w:id="24">
    <w:p w14:paraId="3277DE18" w14:textId="727E926C" w:rsidR="00504735" w:rsidRDefault="00504735">
      <w:pPr>
        <w:pStyle w:val="FootnoteText"/>
      </w:pPr>
      <w:r>
        <w:rPr>
          <w:rStyle w:val="FootnoteReference"/>
        </w:rPr>
        <w:footnoteRef/>
      </w:r>
      <w:r>
        <w:t xml:space="preserve"> </w:t>
      </w:r>
      <w:r w:rsidRPr="00504735">
        <w:t>NCCN clinical practice guidelines in Oncology. Non-small cell lung cancer. Version 6.2024.</w:t>
      </w:r>
    </w:p>
  </w:footnote>
  <w:footnote w:id="25">
    <w:p w14:paraId="7D0C7966" w14:textId="2F732B8B" w:rsidR="00963A79" w:rsidRPr="00954F2A" w:rsidRDefault="00963A79" w:rsidP="00963A79">
      <w:pPr>
        <w:pStyle w:val="TableFigureFooter"/>
        <w:rPr>
          <w:rFonts w:asciiTheme="minorHAnsi" w:hAnsiTheme="minorHAnsi" w:cstheme="minorHAnsi"/>
          <w:b/>
          <w:bCs/>
          <w:szCs w:val="18"/>
        </w:rPr>
      </w:pPr>
      <w:r w:rsidRPr="00F60AEC">
        <w:rPr>
          <w:rFonts w:asciiTheme="minorHAnsi" w:hAnsiTheme="minorHAnsi" w:cstheme="minorHAnsi"/>
          <w:szCs w:val="18"/>
          <w:vertAlign w:val="superscript"/>
        </w:rPr>
        <w:footnoteRef/>
      </w:r>
      <w:r w:rsidRPr="00F60AEC">
        <w:rPr>
          <w:rFonts w:asciiTheme="minorHAnsi" w:hAnsiTheme="minorHAnsi" w:cstheme="minorHAnsi"/>
          <w:szCs w:val="18"/>
        </w:rPr>
        <w:t xml:space="preserve"> </w:t>
      </w:r>
      <w:r w:rsidR="00F97E0C" w:rsidRPr="00F97E0C">
        <w:rPr>
          <w:rFonts w:asciiTheme="minorHAnsi" w:hAnsiTheme="minorHAnsi" w:cstheme="minorHAnsi"/>
          <w:szCs w:val="18"/>
        </w:rPr>
        <w:t>Daly ME, Singh N, Ismaila N</w:t>
      </w:r>
      <w:r w:rsidR="001F2A23">
        <w:rPr>
          <w:rFonts w:asciiTheme="minorHAnsi" w:hAnsiTheme="minorHAnsi" w:cstheme="minorHAnsi"/>
          <w:szCs w:val="18"/>
        </w:rPr>
        <w:t>.</w:t>
      </w:r>
      <w:r w:rsidR="00F97E0C" w:rsidRPr="00F97E0C">
        <w:rPr>
          <w:rFonts w:asciiTheme="minorHAnsi" w:hAnsiTheme="minorHAnsi" w:cstheme="minorHAnsi"/>
          <w:szCs w:val="18"/>
        </w:rPr>
        <w:t xml:space="preserve"> </w:t>
      </w:r>
      <w:r w:rsidR="00954F2A" w:rsidRPr="004A39B4">
        <w:rPr>
          <w:rFonts w:asciiTheme="minorHAnsi" w:hAnsiTheme="minorHAnsi" w:cstheme="minorHAnsi"/>
          <w:szCs w:val="18"/>
        </w:rPr>
        <w:t>Management of Stage III Non</w:t>
      </w:r>
      <w:r w:rsidR="00B77A50">
        <w:rPr>
          <w:rFonts w:asciiTheme="minorHAnsi" w:hAnsiTheme="minorHAnsi" w:cstheme="minorHAnsi"/>
          <w:szCs w:val="18"/>
        </w:rPr>
        <w:t>-</w:t>
      </w:r>
      <w:r w:rsidR="00954F2A" w:rsidRPr="004A39B4">
        <w:rPr>
          <w:rFonts w:asciiTheme="minorHAnsi" w:hAnsiTheme="minorHAnsi" w:cstheme="minorHAnsi"/>
          <w:szCs w:val="18"/>
        </w:rPr>
        <w:t>Small Cell Lung Cancer: ASCO Guideline Rapid Recommendation Update</w:t>
      </w:r>
      <w:r w:rsidR="00F97E0C" w:rsidRPr="00F97E0C">
        <w:rPr>
          <w:rFonts w:asciiTheme="minorHAnsi" w:hAnsiTheme="minorHAnsi" w:cstheme="minorHAnsi"/>
          <w:szCs w:val="18"/>
        </w:rPr>
        <w:t>. J Clin Oncol. 2024</w:t>
      </w:r>
      <w:r w:rsidR="009247DC">
        <w:rPr>
          <w:rFonts w:asciiTheme="minorHAnsi" w:hAnsiTheme="minorHAnsi" w:cstheme="minorHAnsi"/>
          <w:szCs w:val="18"/>
        </w:rPr>
        <w:t xml:space="preserve">; </w:t>
      </w:r>
      <w:r w:rsidR="00F97E0C" w:rsidRPr="00F97E0C">
        <w:rPr>
          <w:rFonts w:asciiTheme="minorHAnsi" w:hAnsiTheme="minorHAnsi" w:cstheme="minorHAnsi"/>
          <w:szCs w:val="18"/>
        </w:rPr>
        <w:t>42(25)</w:t>
      </w:r>
      <w:r w:rsidR="009247DC">
        <w:rPr>
          <w:rFonts w:asciiTheme="minorHAnsi" w:hAnsiTheme="minorHAnsi" w:cstheme="minorHAnsi"/>
          <w:szCs w:val="18"/>
        </w:rPr>
        <w:t xml:space="preserve"> </w:t>
      </w:r>
      <w:hyperlink r:id="rId1" w:history="1">
        <w:r w:rsidR="009247DC" w:rsidRPr="009247DC">
          <w:rPr>
            <w:rStyle w:val="Hyperlink"/>
            <w:rFonts w:asciiTheme="minorHAnsi" w:hAnsiTheme="minorHAnsi" w:cstheme="minorHAnsi"/>
            <w:szCs w:val="18"/>
          </w:rPr>
          <w:t>https://doi.org/10.1200/JCO-24-01324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5FAF" w14:textId="26CF4D44" w:rsidR="00456C45" w:rsidRDefault="00456C45">
    <w:pPr>
      <w:pStyle w:val="Header"/>
    </w:pPr>
    <w:r>
      <w:rPr>
        <w:noProof/>
      </w:rPr>
      <mc:AlternateContent>
        <mc:Choice Requires="wps">
          <w:drawing>
            <wp:anchor distT="0" distB="0" distL="0" distR="0" simplePos="0" relativeHeight="251657216" behindDoc="0" locked="0" layoutInCell="1" allowOverlap="1" wp14:anchorId="79D3DF20" wp14:editId="7AD66F57">
              <wp:simplePos x="635" y="635"/>
              <wp:positionH relativeFrom="page">
                <wp:align>center</wp:align>
              </wp:positionH>
              <wp:positionV relativeFrom="page">
                <wp:align>top</wp:align>
              </wp:positionV>
              <wp:extent cx="551815" cy="376555"/>
              <wp:effectExtent l="0" t="0" r="635" b="4445"/>
              <wp:wrapNone/>
              <wp:docPr id="177593585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C6A2C6" w14:textId="0D5F42DA" w:rsidR="00456C45" w:rsidRPr="00456C45" w:rsidRDefault="00456C45" w:rsidP="00456C45">
                          <w:pPr>
                            <w:rPr>
                              <w:rFonts w:eastAsia="Calibri" w:cs="Calibri"/>
                              <w:noProof/>
                              <w:color w:val="FF0000"/>
                            </w:rPr>
                          </w:pPr>
                          <w:r w:rsidRPr="00456C4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D3DF2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6C6A2C6" w14:textId="0D5F42DA" w:rsidR="00456C45" w:rsidRPr="00456C45" w:rsidRDefault="00456C45" w:rsidP="00456C45">
                    <w:pPr>
                      <w:rPr>
                        <w:rFonts w:eastAsia="Calibri" w:cs="Calibri"/>
                        <w:noProof/>
                        <w:color w:val="FF0000"/>
                      </w:rPr>
                    </w:pPr>
                    <w:r w:rsidRPr="00456C45">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18CDD05" w:rsidR="00FE3176" w:rsidRPr="00195452" w:rsidRDefault="00456C45" w:rsidP="003F64EB">
    <w:pPr>
      <w:pStyle w:val="Head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56192" behindDoc="0" locked="0" layoutInCell="1" allowOverlap="1" wp14:anchorId="1359C05D" wp14:editId="50843447">
              <wp:simplePos x="635" y="635"/>
              <wp:positionH relativeFrom="page">
                <wp:align>center</wp:align>
              </wp:positionH>
              <wp:positionV relativeFrom="page">
                <wp:align>top</wp:align>
              </wp:positionV>
              <wp:extent cx="551815" cy="376555"/>
              <wp:effectExtent l="0" t="0" r="635" b="4445"/>
              <wp:wrapNone/>
              <wp:docPr id="159129485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03DC61" w14:textId="422A336E" w:rsidR="00456C45" w:rsidRPr="00456C45" w:rsidRDefault="00456C45" w:rsidP="00456C45">
                          <w:pPr>
                            <w:rPr>
                              <w:rFonts w:eastAsia="Calibri" w:cs="Calibri"/>
                              <w:noProof/>
                              <w:color w:val="FF0000"/>
                            </w:rPr>
                          </w:pPr>
                          <w:r w:rsidRPr="00456C4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59C05D"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2F03DC61" w14:textId="422A336E" w:rsidR="00456C45" w:rsidRPr="00456C45" w:rsidRDefault="00456C45" w:rsidP="00456C45">
                    <w:pPr>
                      <w:rPr>
                        <w:rFonts w:eastAsia="Calibri" w:cs="Calibri"/>
                        <w:noProof/>
                        <w:color w:val="FF0000"/>
                      </w:rPr>
                    </w:pPr>
                    <w:r w:rsidRPr="00456C45">
                      <w:rPr>
                        <w:rFonts w:eastAsia="Calibri" w:cs="Calibri"/>
                        <w:noProof/>
                        <w:color w:val="FF0000"/>
                      </w:rPr>
                      <w:t>OFFICIAL</w:t>
                    </w:r>
                  </w:p>
                </w:txbxContent>
              </v:textbox>
              <w10:wrap anchorx="page" anchory="page"/>
            </v:shape>
          </w:pict>
        </mc:Fallback>
      </mc:AlternateContent>
    </w:r>
    <w:r w:rsidR="003F64EB">
      <w:rPr>
        <w:rFonts w:asciiTheme="minorHAnsi" w:hAnsiTheme="minorHAnsi"/>
        <w:i/>
        <w:color w:val="808080"/>
      </w:rPr>
      <w:t>Public Summary Document</w:t>
    </w:r>
    <w:r w:rsidR="00011DBF" w:rsidRPr="00056684">
      <w:rPr>
        <w:rFonts w:asciiTheme="minorHAnsi" w:hAnsiTheme="minorHAnsi"/>
        <w:i/>
        <w:color w:val="808080"/>
      </w:rPr>
      <w:t xml:space="preserve"> – </w:t>
    </w:r>
    <w:r w:rsidR="00011DBF">
      <w:rPr>
        <w:rFonts w:asciiTheme="minorHAnsi" w:hAnsiTheme="minorHAnsi"/>
        <w:i/>
        <w:color w:val="808080"/>
      </w:rPr>
      <w:t>July 2025</w:t>
    </w:r>
    <w:r w:rsidR="00011DBF" w:rsidRPr="00056684">
      <w:rPr>
        <w:rFonts w:asciiTheme="minorHAnsi" w:hAnsiTheme="minorHAnsi"/>
        <w:i/>
        <w:color w:val="808080"/>
      </w:rPr>
      <w:t xml:space="preserve"> PBAC Meeting</w:t>
    </w:r>
  </w:p>
  <w:p w14:paraId="03AF943B" w14:textId="77777777" w:rsidR="00FE3176" w:rsidRPr="008C7ECB" w:rsidRDefault="00FE31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86E0" w14:textId="6619317A" w:rsidR="00456C45" w:rsidRDefault="00456C45">
    <w:pPr>
      <w:pStyle w:val="Header"/>
    </w:pPr>
    <w:r>
      <w:rPr>
        <w:noProof/>
      </w:rPr>
      <mc:AlternateContent>
        <mc:Choice Requires="wps">
          <w:drawing>
            <wp:anchor distT="0" distB="0" distL="0" distR="0" simplePos="0" relativeHeight="251655168" behindDoc="0" locked="0" layoutInCell="1" allowOverlap="1" wp14:anchorId="6F8C1179" wp14:editId="1C930DC6">
              <wp:simplePos x="635" y="635"/>
              <wp:positionH relativeFrom="page">
                <wp:align>center</wp:align>
              </wp:positionH>
              <wp:positionV relativeFrom="page">
                <wp:align>top</wp:align>
              </wp:positionV>
              <wp:extent cx="551815" cy="376555"/>
              <wp:effectExtent l="0" t="0" r="635" b="4445"/>
              <wp:wrapNone/>
              <wp:docPr id="8705059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136C58" w14:textId="2C303D0B" w:rsidR="00456C45" w:rsidRPr="00456C45" w:rsidRDefault="00456C45" w:rsidP="00456C45">
                          <w:pPr>
                            <w:rPr>
                              <w:rFonts w:eastAsia="Calibri" w:cs="Calibri"/>
                              <w:noProof/>
                              <w:color w:val="FF0000"/>
                            </w:rPr>
                          </w:pPr>
                          <w:r w:rsidRPr="00456C4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C117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48136C58" w14:textId="2C303D0B" w:rsidR="00456C45" w:rsidRPr="00456C45" w:rsidRDefault="00456C45" w:rsidP="00456C45">
                    <w:pPr>
                      <w:rPr>
                        <w:rFonts w:eastAsia="Calibri" w:cs="Calibri"/>
                        <w:noProof/>
                        <w:color w:val="FF0000"/>
                      </w:rPr>
                    </w:pPr>
                    <w:r w:rsidRPr="00456C45">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83223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D32317"/>
    <w:multiLevelType w:val="hybridMultilevel"/>
    <w:tmpl w:val="C192733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2660E7"/>
    <w:multiLevelType w:val="hybridMultilevel"/>
    <w:tmpl w:val="9A86B6B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8B633E3"/>
    <w:multiLevelType w:val="hybridMultilevel"/>
    <w:tmpl w:val="1B1EA3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F62F5F"/>
    <w:multiLevelType w:val="hybridMultilevel"/>
    <w:tmpl w:val="0164D3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F2229A12"/>
    <w:lvl w:ilvl="0" w:tplc="6B701EC8">
      <w:start w:val="1"/>
      <w:numFmt w:val="decimal"/>
      <w:lvlText w:val="%1."/>
      <w:lvlJc w:val="left"/>
      <w:pPr>
        <w:ind w:left="1778" w:hanging="360"/>
      </w:pPr>
      <w:rPr>
        <w:rFonts w:hint="default"/>
        <w:b w:val="0"/>
        <w:bCs w:val="0"/>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1D553E"/>
    <w:multiLevelType w:val="hybridMultilevel"/>
    <w:tmpl w:val="EE548CE6"/>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B64C50"/>
    <w:multiLevelType w:val="hybridMultilevel"/>
    <w:tmpl w:val="D908B63A"/>
    <w:lvl w:ilvl="0" w:tplc="FFFFFFFF">
      <w:start w:val="1"/>
      <w:numFmt w:val="bullet"/>
      <w:lvlText w:val=""/>
      <w:lvlJc w:val="left"/>
      <w:pPr>
        <w:ind w:left="530" w:hanging="360"/>
      </w:pPr>
      <w:rPr>
        <w:rFonts w:ascii="Symbol" w:hAnsi="Symbol" w:hint="default"/>
        <w:sz w:val="18"/>
        <w:szCs w:val="18"/>
      </w:rPr>
    </w:lvl>
    <w:lvl w:ilvl="1" w:tplc="0C090001">
      <w:start w:val="1"/>
      <w:numFmt w:val="bullet"/>
      <w:lvlText w:val=""/>
      <w:lvlJc w:val="left"/>
      <w:pPr>
        <w:ind w:left="1327" w:hanging="360"/>
      </w:pPr>
      <w:rPr>
        <w:rFonts w:ascii="Symbol" w:hAnsi="Symbol" w:hint="default"/>
      </w:rPr>
    </w:lvl>
    <w:lvl w:ilvl="2" w:tplc="FFFFFFFF">
      <w:start w:val="1"/>
      <w:numFmt w:val="bullet"/>
      <w:lvlText w:val=""/>
      <w:lvlJc w:val="left"/>
      <w:pPr>
        <w:ind w:left="2047" w:hanging="360"/>
      </w:pPr>
      <w:rPr>
        <w:rFonts w:ascii="Wingdings" w:hAnsi="Wingdings" w:hint="default"/>
      </w:rPr>
    </w:lvl>
    <w:lvl w:ilvl="3" w:tplc="FFFFFFFF" w:tentative="1">
      <w:start w:val="1"/>
      <w:numFmt w:val="bullet"/>
      <w:lvlText w:val=""/>
      <w:lvlJc w:val="left"/>
      <w:pPr>
        <w:ind w:left="2767" w:hanging="360"/>
      </w:pPr>
      <w:rPr>
        <w:rFonts w:ascii="Symbol" w:hAnsi="Symbol" w:hint="default"/>
      </w:rPr>
    </w:lvl>
    <w:lvl w:ilvl="4" w:tplc="FFFFFFFF" w:tentative="1">
      <w:start w:val="1"/>
      <w:numFmt w:val="bullet"/>
      <w:lvlText w:val="o"/>
      <w:lvlJc w:val="left"/>
      <w:pPr>
        <w:ind w:left="3487" w:hanging="360"/>
      </w:pPr>
      <w:rPr>
        <w:rFonts w:ascii="Courier New" w:hAnsi="Courier New" w:hint="default"/>
      </w:rPr>
    </w:lvl>
    <w:lvl w:ilvl="5" w:tplc="FFFFFFFF" w:tentative="1">
      <w:start w:val="1"/>
      <w:numFmt w:val="bullet"/>
      <w:lvlText w:val=""/>
      <w:lvlJc w:val="left"/>
      <w:pPr>
        <w:ind w:left="4207" w:hanging="360"/>
      </w:pPr>
      <w:rPr>
        <w:rFonts w:ascii="Wingdings" w:hAnsi="Wingdings" w:hint="default"/>
      </w:rPr>
    </w:lvl>
    <w:lvl w:ilvl="6" w:tplc="FFFFFFFF" w:tentative="1">
      <w:start w:val="1"/>
      <w:numFmt w:val="bullet"/>
      <w:lvlText w:val=""/>
      <w:lvlJc w:val="left"/>
      <w:pPr>
        <w:ind w:left="4927" w:hanging="360"/>
      </w:pPr>
      <w:rPr>
        <w:rFonts w:ascii="Symbol" w:hAnsi="Symbol" w:hint="default"/>
      </w:rPr>
    </w:lvl>
    <w:lvl w:ilvl="7" w:tplc="FFFFFFFF" w:tentative="1">
      <w:start w:val="1"/>
      <w:numFmt w:val="bullet"/>
      <w:lvlText w:val="o"/>
      <w:lvlJc w:val="left"/>
      <w:pPr>
        <w:ind w:left="5647" w:hanging="360"/>
      </w:pPr>
      <w:rPr>
        <w:rFonts w:ascii="Courier New" w:hAnsi="Courier New" w:hint="default"/>
      </w:rPr>
    </w:lvl>
    <w:lvl w:ilvl="8" w:tplc="FFFFFFFF" w:tentative="1">
      <w:start w:val="1"/>
      <w:numFmt w:val="bullet"/>
      <w:lvlText w:val=""/>
      <w:lvlJc w:val="left"/>
      <w:pPr>
        <w:ind w:left="6367" w:hanging="360"/>
      </w:pPr>
      <w:rPr>
        <w:rFonts w:ascii="Wingdings" w:hAnsi="Wingdings" w:hint="default"/>
      </w:rPr>
    </w:lvl>
  </w:abstractNum>
  <w:abstractNum w:abstractNumId="15" w15:restartNumberingAfterBreak="0">
    <w:nsid w:val="38474035"/>
    <w:multiLevelType w:val="multilevel"/>
    <w:tmpl w:val="90CA01A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o"/>
      <w:lvlJc w:val="left"/>
      <w:pPr>
        <w:ind w:left="360" w:hanging="36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9F2A18"/>
    <w:multiLevelType w:val="hybridMultilevel"/>
    <w:tmpl w:val="C5F006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8C144300"/>
    <w:lvl w:ilvl="0" w:tplc="3A0094C4">
      <w:start w:val="1"/>
      <w:numFmt w:val="bullet"/>
      <w:pStyle w:val="ListParagraph"/>
      <w:lvlText w:val=""/>
      <w:lvlJc w:val="left"/>
      <w:pPr>
        <w:ind w:left="530" w:hanging="360"/>
      </w:pPr>
      <w:rPr>
        <w:rFonts w:ascii="Symbol" w:hAnsi="Symbol" w:hint="default"/>
        <w:sz w:val="18"/>
        <w:szCs w:val="18"/>
      </w:rPr>
    </w:lvl>
    <w:lvl w:ilvl="1" w:tplc="04090003">
      <w:start w:val="1"/>
      <w:numFmt w:val="bullet"/>
      <w:lvlText w:val="o"/>
      <w:lvlJc w:val="left"/>
      <w:pPr>
        <w:ind w:left="1327" w:hanging="360"/>
      </w:pPr>
      <w:rPr>
        <w:rFonts w:ascii="Courier New" w:hAnsi="Courier New" w:hint="default"/>
      </w:rPr>
    </w:lvl>
    <w:lvl w:ilvl="2" w:tplc="04090005">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19" w15:restartNumberingAfterBreak="0">
    <w:nsid w:val="4B507E4A"/>
    <w:multiLevelType w:val="hybridMultilevel"/>
    <w:tmpl w:val="4C04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254E88"/>
    <w:multiLevelType w:val="hybridMultilevel"/>
    <w:tmpl w:val="EA4057BE"/>
    <w:lvl w:ilvl="0" w:tplc="F618AF6C">
      <w:start w:val="4"/>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F1793F"/>
    <w:multiLevelType w:val="hybridMultilevel"/>
    <w:tmpl w:val="1F927906"/>
    <w:lvl w:ilvl="0" w:tplc="89CAAFFE">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6575A44"/>
    <w:multiLevelType w:val="hybridMultilevel"/>
    <w:tmpl w:val="64A80B64"/>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BC6B0C"/>
    <w:multiLevelType w:val="hybridMultilevel"/>
    <w:tmpl w:val="12FA7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FD6755"/>
    <w:multiLevelType w:val="hybridMultilevel"/>
    <w:tmpl w:val="CC162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AA20251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11000879">
    <w:abstractNumId w:val="31"/>
  </w:num>
  <w:num w:numId="2" w16cid:durableId="466512786">
    <w:abstractNumId w:val="17"/>
  </w:num>
  <w:num w:numId="3" w16cid:durableId="1575048731">
    <w:abstractNumId w:val="18"/>
  </w:num>
  <w:num w:numId="4" w16cid:durableId="1618676273">
    <w:abstractNumId w:val="0"/>
  </w:num>
  <w:num w:numId="5" w16cid:durableId="1854765110">
    <w:abstractNumId w:val="31"/>
  </w:num>
  <w:num w:numId="6" w16cid:durableId="2054037739">
    <w:abstractNumId w:val="25"/>
  </w:num>
  <w:num w:numId="7" w16cid:durableId="803079354">
    <w:abstractNumId w:val="8"/>
  </w:num>
  <w:num w:numId="8" w16cid:durableId="1312171685">
    <w:abstractNumId w:val="30"/>
  </w:num>
  <w:num w:numId="9" w16cid:durableId="200636149">
    <w:abstractNumId w:val="2"/>
  </w:num>
  <w:num w:numId="10" w16cid:durableId="1116026012">
    <w:abstractNumId w:val="20"/>
  </w:num>
  <w:num w:numId="11" w16cid:durableId="652948318">
    <w:abstractNumId w:val="29"/>
  </w:num>
  <w:num w:numId="12" w16cid:durableId="1900478829">
    <w:abstractNumId w:val="10"/>
  </w:num>
  <w:num w:numId="13" w16cid:durableId="1742947819">
    <w:abstractNumId w:val="15"/>
  </w:num>
  <w:num w:numId="14" w16cid:durableId="1906259693">
    <w:abstractNumId w:val="21"/>
  </w:num>
  <w:num w:numId="15" w16cid:durableId="1855682155">
    <w:abstractNumId w:val="23"/>
  </w:num>
  <w:num w:numId="16" w16cid:durableId="126240624">
    <w:abstractNumId w:val="27"/>
  </w:num>
  <w:num w:numId="17" w16cid:durableId="1790274930">
    <w:abstractNumId w:val="14"/>
  </w:num>
  <w:num w:numId="18" w16cid:durableId="1145774572">
    <w:abstractNumId w:val="5"/>
  </w:num>
  <w:num w:numId="19" w16cid:durableId="240220482">
    <w:abstractNumId w:val="12"/>
  </w:num>
  <w:num w:numId="20" w16cid:durableId="1145901667">
    <w:abstractNumId w:val="7"/>
  </w:num>
  <w:num w:numId="21" w16cid:durableId="1660116426">
    <w:abstractNumId w:val="3"/>
  </w:num>
  <w:num w:numId="22" w16cid:durableId="895973174">
    <w:abstractNumId w:val="26"/>
  </w:num>
  <w:num w:numId="23" w16cid:durableId="408699874">
    <w:abstractNumId w:val="22"/>
  </w:num>
  <w:num w:numId="24" w16cid:durableId="1569418770">
    <w:abstractNumId w:val="4"/>
  </w:num>
  <w:num w:numId="25" w16cid:durableId="705176722">
    <w:abstractNumId w:val="1"/>
  </w:num>
  <w:num w:numId="26" w16cid:durableId="1926569401">
    <w:abstractNumId w:val="11"/>
  </w:num>
  <w:num w:numId="27" w16cid:durableId="1979457665">
    <w:abstractNumId w:val="13"/>
  </w:num>
  <w:num w:numId="28" w16cid:durableId="2038313566">
    <w:abstractNumId w:val="9"/>
  </w:num>
  <w:num w:numId="29"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997201">
    <w:abstractNumId w:val="28"/>
  </w:num>
  <w:num w:numId="31" w16cid:durableId="755832320">
    <w:abstractNumId w:val="16"/>
  </w:num>
  <w:num w:numId="32" w16cid:durableId="1641768397">
    <w:abstractNumId w:val="19"/>
  </w:num>
  <w:num w:numId="33" w16cid:durableId="97527549">
    <w:abstractNumId w:val="0"/>
  </w:num>
  <w:num w:numId="34" w16cid:durableId="948321232">
    <w:abstractNumId w:val="18"/>
  </w:num>
  <w:num w:numId="35" w16cid:durableId="180507611">
    <w:abstractNumId w:val="18"/>
  </w:num>
  <w:num w:numId="36" w16cid:durableId="34158739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78"/>
    <w:rsid w:val="00000790"/>
    <w:rsid w:val="0000093B"/>
    <w:rsid w:val="00000CA0"/>
    <w:rsid w:val="00000E45"/>
    <w:rsid w:val="0000110B"/>
    <w:rsid w:val="000011F1"/>
    <w:rsid w:val="0000126E"/>
    <w:rsid w:val="00001387"/>
    <w:rsid w:val="000017F3"/>
    <w:rsid w:val="0000217B"/>
    <w:rsid w:val="000022B2"/>
    <w:rsid w:val="000029A7"/>
    <w:rsid w:val="000029D1"/>
    <w:rsid w:val="00002A4B"/>
    <w:rsid w:val="00002ECF"/>
    <w:rsid w:val="00003499"/>
    <w:rsid w:val="000039B7"/>
    <w:rsid w:val="00003B0E"/>
    <w:rsid w:val="000041CF"/>
    <w:rsid w:val="000046C0"/>
    <w:rsid w:val="00004AA7"/>
    <w:rsid w:val="00004B08"/>
    <w:rsid w:val="00004B64"/>
    <w:rsid w:val="00004DAE"/>
    <w:rsid w:val="000056B9"/>
    <w:rsid w:val="0000588B"/>
    <w:rsid w:val="00005923"/>
    <w:rsid w:val="00005A1C"/>
    <w:rsid w:val="000060E9"/>
    <w:rsid w:val="0000639A"/>
    <w:rsid w:val="000067D8"/>
    <w:rsid w:val="00006DAC"/>
    <w:rsid w:val="00006F41"/>
    <w:rsid w:val="0000738B"/>
    <w:rsid w:val="000076D5"/>
    <w:rsid w:val="00010663"/>
    <w:rsid w:val="000107BF"/>
    <w:rsid w:val="00010B33"/>
    <w:rsid w:val="00010B3E"/>
    <w:rsid w:val="00010E7C"/>
    <w:rsid w:val="00010E9D"/>
    <w:rsid w:val="00010FBB"/>
    <w:rsid w:val="00011DBF"/>
    <w:rsid w:val="00012569"/>
    <w:rsid w:val="0001262E"/>
    <w:rsid w:val="0001291A"/>
    <w:rsid w:val="00012B11"/>
    <w:rsid w:val="00012BDE"/>
    <w:rsid w:val="00013247"/>
    <w:rsid w:val="000139E3"/>
    <w:rsid w:val="00013D0C"/>
    <w:rsid w:val="00013D8B"/>
    <w:rsid w:val="00013DE1"/>
    <w:rsid w:val="00014387"/>
    <w:rsid w:val="000144EF"/>
    <w:rsid w:val="00014825"/>
    <w:rsid w:val="00014A4D"/>
    <w:rsid w:val="00015190"/>
    <w:rsid w:val="00015886"/>
    <w:rsid w:val="00015B6C"/>
    <w:rsid w:val="00015E6F"/>
    <w:rsid w:val="000162EF"/>
    <w:rsid w:val="000167A0"/>
    <w:rsid w:val="00016C82"/>
    <w:rsid w:val="00016D20"/>
    <w:rsid w:val="000173BD"/>
    <w:rsid w:val="0001784D"/>
    <w:rsid w:val="00017DCC"/>
    <w:rsid w:val="000200A8"/>
    <w:rsid w:val="00020257"/>
    <w:rsid w:val="000207C9"/>
    <w:rsid w:val="000208E4"/>
    <w:rsid w:val="00020DB0"/>
    <w:rsid w:val="000213CF"/>
    <w:rsid w:val="000220FB"/>
    <w:rsid w:val="00022119"/>
    <w:rsid w:val="00022241"/>
    <w:rsid w:val="0002225F"/>
    <w:rsid w:val="00022842"/>
    <w:rsid w:val="00022E2F"/>
    <w:rsid w:val="00022E35"/>
    <w:rsid w:val="00022FC8"/>
    <w:rsid w:val="000234D7"/>
    <w:rsid w:val="00023763"/>
    <w:rsid w:val="00023A88"/>
    <w:rsid w:val="00023E73"/>
    <w:rsid w:val="00024BFE"/>
    <w:rsid w:val="00024EB5"/>
    <w:rsid w:val="0002576E"/>
    <w:rsid w:val="00025AA2"/>
    <w:rsid w:val="00025F8B"/>
    <w:rsid w:val="000265FC"/>
    <w:rsid w:val="0002670A"/>
    <w:rsid w:val="0002723F"/>
    <w:rsid w:val="000274B8"/>
    <w:rsid w:val="00027671"/>
    <w:rsid w:val="000277A4"/>
    <w:rsid w:val="000277EA"/>
    <w:rsid w:val="00027A20"/>
    <w:rsid w:val="00027F5C"/>
    <w:rsid w:val="00030176"/>
    <w:rsid w:val="0003023C"/>
    <w:rsid w:val="000302AA"/>
    <w:rsid w:val="00031265"/>
    <w:rsid w:val="00031DCF"/>
    <w:rsid w:val="0003210E"/>
    <w:rsid w:val="0003214F"/>
    <w:rsid w:val="0003237A"/>
    <w:rsid w:val="00032D25"/>
    <w:rsid w:val="00032D27"/>
    <w:rsid w:val="00032D8A"/>
    <w:rsid w:val="00032F36"/>
    <w:rsid w:val="000337B5"/>
    <w:rsid w:val="00033863"/>
    <w:rsid w:val="0003435C"/>
    <w:rsid w:val="000344E9"/>
    <w:rsid w:val="000349C5"/>
    <w:rsid w:val="00034C09"/>
    <w:rsid w:val="00034C44"/>
    <w:rsid w:val="00035625"/>
    <w:rsid w:val="000358CE"/>
    <w:rsid w:val="00035B62"/>
    <w:rsid w:val="00035B79"/>
    <w:rsid w:val="00035C12"/>
    <w:rsid w:val="00035D62"/>
    <w:rsid w:val="00035DC0"/>
    <w:rsid w:val="00036829"/>
    <w:rsid w:val="00036853"/>
    <w:rsid w:val="000368B5"/>
    <w:rsid w:val="00037055"/>
    <w:rsid w:val="00037074"/>
    <w:rsid w:val="000373BC"/>
    <w:rsid w:val="00040416"/>
    <w:rsid w:val="0004045D"/>
    <w:rsid w:val="00040683"/>
    <w:rsid w:val="00040895"/>
    <w:rsid w:val="00040E2C"/>
    <w:rsid w:val="00040E75"/>
    <w:rsid w:val="000410A0"/>
    <w:rsid w:val="00041623"/>
    <w:rsid w:val="00041B7F"/>
    <w:rsid w:val="000420A7"/>
    <w:rsid w:val="000420AE"/>
    <w:rsid w:val="00042143"/>
    <w:rsid w:val="00042488"/>
    <w:rsid w:val="000425D3"/>
    <w:rsid w:val="000427F3"/>
    <w:rsid w:val="000431F9"/>
    <w:rsid w:val="000435EE"/>
    <w:rsid w:val="00043C37"/>
    <w:rsid w:val="0004424F"/>
    <w:rsid w:val="00044997"/>
    <w:rsid w:val="00045017"/>
    <w:rsid w:val="00045251"/>
    <w:rsid w:val="000455F2"/>
    <w:rsid w:val="00045685"/>
    <w:rsid w:val="000456C6"/>
    <w:rsid w:val="00045981"/>
    <w:rsid w:val="000459C2"/>
    <w:rsid w:val="000459EF"/>
    <w:rsid w:val="00045A2B"/>
    <w:rsid w:val="00045AD0"/>
    <w:rsid w:val="00045F9C"/>
    <w:rsid w:val="0004611D"/>
    <w:rsid w:val="000467B2"/>
    <w:rsid w:val="0004698F"/>
    <w:rsid w:val="00046D64"/>
    <w:rsid w:val="00046E1D"/>
    <w:rsid w:val="00047081"/>
    <w:rsid w:val="00047232"/>
    <w:rsid w:val="000475D9"/>
    <w:rsid w:val="00047A92"/>
    <w:rsid w:val="000508C2"/>
    <w:rsid w:val="00050A17"/>
    <w:rsid w:val="00050AAA"/>
    <w:rsid w:val="00050C8A"/>
    <w:rsid w:val="00050F21"/>
    <w:rsid w:val="00052567"/>
    <w:rsid w:val="00052833"/>
    <w:rsid w:val="0005296C"/>
    <w:rsid w:val="00052CF6"/>
    <w:rsid w:val="00053103"/>
    <w:rsid w:val="00053197"/>
    <w:rsid w:val="0005331B"/>
    <w:rsid w:val="00053327"/>
    <w:rsid w:val="000539D0"/>
    <w:rsid w:val="00053C5E"/>
    <w:rsid w:val="000544E2"/>
    <w:rsid w:val="00054621"/>
    <w:rsid w:val="000546D7"/>
    <w:rsid w:val="00054A8D"/>
    <w:rsid w:val="00054FEE"/>
    <w:rsid w:val="00055101"/>
    <w:rsid w:val="000553CD"/>
    <w:rsid w:val="00055636"/>
    <w:rsid w:val="00055C2A"/>
    <w:rsid w:val="000560FF"/>
    <w:rsid w:val="00056120"/>
    <w:rsid w:val="00056AD4"/>
    <w:rsid w:val="00056ECF"/>
    <w:rsid w:val="00056F98"/>
    <w:rsid w:val="000578BE"/>
    <w:rsid w:val="00057A5C"/>
    <w:rsid w:val="00057C3E"/>
    <w:rsid w:val="00057C66"/>
    <w:rsid w:val="0006030D"/>
    <w:rsid w:val="000604DF"/>
    <w:rsid w:val="000606AD"/>
    <w:rsid w:val="00060A1F"/>
    <w:rsid w:val="00060AF0"/>
    <w:rsid w:val="0006175C"/>
    <w:rsid w:val="000622F6"/>
    <w:rsid w:val="00063317"/>
    <w:rsid w:val="00063C66"/>
    <w:rsid w:val="00063DEC"/>
    <w:rsid w:val="0006405D"/>
    <w:rsid w:val="00064D64"/>
    <w:rsid w:val="000653B5"/>
    <w:rsid w:val="00065ADF"/>
    <w:rsid w:val="00065F71"/>
    <w:rsid w:val="00066360"/>
    <w:rsid w:val="000664BD"/>
    <w:rsid w:val="00066729"/>
    <w:rsid w:val="000667FB"/>
    <w:rsid w:val="00066AF8"/>
    <w:rsid w:val="00066C26"/>
    <w:rsid w:val="00066ED5"/>
    <w:rsid w:val="0006704A"/>
    <w:rsid w:val="0006711B"/>
    <w:rsid w:val="00067207"/>
    <w:rsid w:val="00067316"/>
    <w:rsid w:val="00067494"/>
    <w:rsid w:val="000678FF"/>
    <w:rsid w:val="00067F17"/>
    <w:rsid w:val="000701AD"/>
    <w:rsid w:val="000706AB"/>
    <w:rsid w:val="0007099E"/>
    <w:rsid w:val="000710A9"/>
    <w:rsid w:val="00071248"/>
    <w:rsid w:val="000718CB"/>
    <w:rsid w:val="000720B9"/>
    <w:rsid w:val="00072454"/>
    <w:rsid w:val="000727DA"/>
    <w:rsid w:val="00072D20"/>
    <w:rsid w:val="000737A8"/>
    <w:rsid w:val="000737F7"/>
    <w:rsid w:val="000739AC"/>
    <w:rsid w:val="00073C5C"/>
    <w:rsid w:val="0007426C"/>
    <w:rsid w:val="0007470C"/>
    <w:rsid w:val="00074CD2"/>
    <w:rsid w:val="000750E5"/>
    <w:rsid w:val="000766A9"/>
    <w:rsid w:val="0007672F"/>
    <w:rsid w:val="00076B54"/>
    <w:rsid w:val="00076C5B"/>
    <w:rsid w:val="000774F0"/>
    <w:rsid w:val="00077742"/>
    <w:rsid w:val="000778EC"/>
    <w:rsid w:val="00077D53"/>
    <w:rsid w:val="00077DDE"/>
    <w:rsid w:val="00077F26"/>
    <w:rsid w:val="00080129"/>
    <w:rsid w:val="0008012E"/>
    <w:rsid w:val="00080314"/>
    <w:rsid w:val="00080909"/>
    <w:rsid w:val="00080D44"/>
    <w:rsid w:val="000812CA"/>
    <w:rsid w:val="000817C8"/>
    <w:rsid w:val="00081E63"/>
    <w:rsid w:val="00082060"/>
    <w:rsid w:val="0008258D"/>
    <w:rsid w:val="000826DD"/>
    <w:rsid w:val="000835C6"/>
    <w:rsid w:val="00083C69"/>
    <w:rsid w:val="00083E99"/>
    <w:rsid w:val="00083F0E"/>
    <w:rsid w:val="00084233"/>
    <w:rsid w:val="00084FA8"/>
    <w:rsid w:val="000850EA"/>
    <w:rsid w:val="000856C5"/>
    <w:rsid w:val="0008577E"/>
    <w:rsid w:val="00085A99"/>
    <w:rsid w:val="00085C31"/>
    <w:rsid w:val="00085D0E"/>
    <w:rsid w:val="000862D7"/>
    <w:rsid w:val="000878FA"/>
    <w:rsid w:val="000879D4"/>
    <w:rsid w:val="000900C7"/>
    <w:rsid w:val="00090282"/>
    <w:rsid w:val="000902D9"/>
    <w:rsid w:val="0009083D"/>
    <w:rsid w:val="00090C7E"/>
    <w:rsid w:val="00090D1B"/>
    <w:rsid w:val="00090F78"/>
    <w:rsid w:val="000911AC"/>
    <w:rsid w:val="00091549"/>
    <w:rsid w:val="00092344"/>
    <w:rsid w:val="000923D8"/>
    <w:rsid w:val="00092600"/>
    <w:rsid w:val="0009262B"/>
    <w:rsid w:val="00092C41"/>
    <w:rsid w:val="00093310"/>
    <w:rsid w:val="00093785"/>
    <w:rsid w:val="00093817"/>
    <w:rsid w:val="00093B43"/>
    <w:rsid w:val="00093B82"/>
    <w:rsid w:val="00093E39"/>
    <w:rsid w:val="00094152"/>
    <w:rsid w:val="0009445C"/>
    <w:rsid w:val="000945A9"/>
    <w:rsid w:val="00095141"/>
    <w:rsid w:val="00095200"/>
    <w:rsid w:val="00095540"/>
    <w:rsid w:val="00095779"/>
    <w:rsid w:val="00095CCB"/>
    <w:rsid w:val="00095FE5"/>
    <w:rsid w:val="00096284"/>
    <w:rsid w:val="000966AD"/>
    <w:rsid w:val="000969BF"/>
    <w:rsid w:val="000970AE"/>
    <w:rsid w:val="000977F9"/>
    <w:rsid w:val="0009787F"/>
    <w:rsid w:val="00097908"/>
    <w:rsid w:val="000A01D7"/>
    <w:rsid w:val="000A04E2"/>
    <w:rsid w:val="000A05C8"/>
    <w:rsid w:val="000A0E45"/>
    <w:rsid w:val="000A138F"/>
    <w:rsid w:val="000A1BC0"/>
    <w:rsid w:val="000A1D5D"/>
    <w:rsid w:val="000A2030"/>
    <w:rsid w:val="000A219B"/>
    <w:rsid w:val="000A26C1"/>
    <w:rsid w:val="000A2756"/>
    <w:rsid w:val="000A2A57"/>
    <w:rsid w:val="000A2DF6"/>
    <w:rsid w:val="000A2F9E"/>
    <w:rsid w:val="000A3BC4"/>
    <w:rsid w:val="000A3E47"/>
    <w:rsid w:val="000A44F8"/>
    <w:rsid w:val="000A4804"/>
    <w:rsid w:val="000A4A48"/>
    <w:rsid w:val="000A4CBB"/>
    <w:rsid w:val="000A513B"/>
    <w:rsid w:val="000A519D"/>
    <w:rsid w:val="000A522B"/>
    <w:rsid w:val="000A52AE"/>
    <w:rsid w:val="000A6039"/>
    <w:rsid w:val="000A6163"/>
    <w:rsid w:val="000A63A8"/>
    <w:rsid w:val="000A67B9"/>
    <w:rsid w:val="000A6E32"/>
    <w:rsid w:val="000A6E40"/>
    <w:rsid w:val="000A70AD"/>
    <w:rsid w:val="000A736B"/>
    <w:rsid w:val="000A7448"/>
    <w:rsid w:val="000A7453"/>
    <w:rsid w:val="000A79DA"/>
    <w:rsid w:val="000A7BA1"/>
    <w:rsid w:val="000A7CD1"/>
    <w:rsid w:val="000A7CF4"/>
    <w:rsid w:val="000A7D08"/>
    <w:rsid w:val="000B0121"/>
    <w:rsid w:val="000B0478"/>
    <w:rsid w:val="000B04BC"/>
    <w:rsid w:val="000B04FF"/>
    <w:rsid w:val="000B0670"/>
    <w:rsid w:val="000B0E75"/>
    <w:rsid w:val="000B149B"/>
    <w:rsid w:val="000B1DE5"/>
    <w:rsid w:val="000B2BBD"/>
    <w:rsid w:val="000B2DCB"/>
    <w:rsid w:val="000B2E7B"/>
    <w:rsid w:val="000B3E78"/>
    <w:rsid w:val="000B4787"/>
    <w:rsid w:val="000B4878"/>
    <w:rsid w:val="000B4EE7"/>
    <w:rsid w:val="000B5096"/>
    <w:rsid w:val="000B533B"/>
    <w:rsid w:val="000B5769"/>
    <w:rsid w:val="000B5CE0"/>
    <w:rsid w:val="000B5FA5"/>
    <w:rsid w:val="000B67C6"/>
    <w:rsid w:val="000B68FA"/>
    <w:rsid w:val="000B6CAC"/>
    <w:rsid w:val="000B6DC5"/>
    <w:rsid w:val="000B6E93"/>
    <w:rsid w:val="000B6F89"/>
    <w:rsid w:val="000B6F9D"/>
    <w:rsid w:val="000B72F9"/>
    <w:rsid w:val="000B7612"/>
    <w:rsid w:val="000B78AE"/>
    <w:rsid w:val="000B7E00"/>
    <w:rsid w:val="000B7E8F"/>
    <w:rsid w:val="000C02BB"/>
    <w:rsid w:val="000C066D"/>
    <w:rsid w:val="000C0B9C"/>
    <w:rsid w:val="000C1889"/>
    <w:rsid w:val="000C18B8"/>
    <w:rsid w:val="000C1946"/>
    <w:rsid w:val="000C1A71"/>
    <w:rsid w:val="000C1DAB"/>
    <w:rsid w:val="000C1F05"/>
    <w:rsid w:val="000C1F8B"/>
    <w:rsid w:val="000C22AF"/>
    <w:rsid w:val="000C25E3"/>
    <w:rsid w:val="000C28D8"/>
    <w:rsid w:val="000C3260"/>
    <w:rsid w:val="000C359C"/>
    <w:rsid w:val="000C3DF9"/>
    <w:rsid w:val="000C3E56"/>
    <w:rsid w:val="000C463D"/>
    <w:rsid w:val="000C46F6"/>
    <w:rsid w:val="000C48E1"/>
    <w:rsid w:val="000C4AA5"/>
    <w:rsid w:val="000C4CF2"/>
    <w:rsid w:val="000C4F84"/>
    <w:rsid w:val="000C5080"/>
    <w:rsid w:val="000C5158"/>
    <w:rsid w:val="000C566A"/>
    <w:rsid w:val="000C5E85"/>
    <w:rsid w:val="000C6578"/>
    <w:rsid w:val="000C65E8"/>
    <w:rsid w:val="000C6676"/>
    <w:rsid w:val="000C6692"/>
    <w:rsid w:val="000C6713"/>
    <w:rsid w:val="000C6911"/>
    <w:rsid w:val="000C6A62"/>
    <w:rsid w:val="000C7301"/>
    <w:rsid w:val="000C765D"/>
    <w:rsid w:val="000C77A5"/>
    <w:rsid w:val="000C783E"/>
    <w:rsid w:val="000C7F0C"/>
    <w:rsid w:val="000D0249"/>
    <w:rsid w:val="000D041F"/>
    <w:rsid w:val="000D04C9"/>
    <w:rsid w:val="000D072D"/>
    <w:rsid w:val="000D099A"/>
    <w:rsid w:val="000D0FDB"/>
    <w:rsid w:val="000D12C5"/>
    <w:rsid w:val="000D1908"/>
    <w:rsid w:val="000D1BFC"/>
    <w:rsid w:val="000D1CC3"/>
    <w:rsid w:val="000D1D5D"/>
    <w:rsid w:val="000D2708"/>
    <w:rsid w:val="000D281A"/>
    <w:rsid w:val="000D2848"/>
    <w:rsid w:val="000D28DD"/>
    <w:rsid w:val="000D2A17"/>
    <w:rsid w:val="000D30EA"/>
    <w:rsid w:val="000D326A"/>
    <w:rsid w:val="000D3536"/>
    <w:rsid w:val="000D3AFF"/>
    <w:rsid w:val="000D419E"/>
    <w:rsid w:val="000D44D4"/>
    <w:rsid w:val="000D482B"/>
    <w:rsid w:val="000D49EF"/>
    <w:rsid w:val="000D51FB"/>
    <w:rsid w:val="000D5290"/>
    <w:rsid w:val="000D529D"/>
    <w:rsid w:val="000D52FB"/>
    <w:rsid w:val="000D5454"/>
    <w:rsid w:val="000D5D80"/>
    <w:rsid w:val="000D5E50"/>
    <w:rsid w:val="000D66EA"/>
    <w:rsid w:val="000D68E8"/>
    <w:rsid w:val="000D6E82"/>
    <w:rsid w:val="000D701A"/>
    <w:rsid w:val="000D755D"/>
    <w:rsid w:val="000D78CD"/>
    <w:rsid w:val="000D7944"/>
    <w:rsid w:val="000D7B41"/>
    <w:rsid w:val="000D7E4D"/>
    <w:rsid w:val="000D7E80"/>
    <w:rsid w:val="000D7FF2"/>
    <w:rsid w:val="000E0318"/>
    <w:rsid w:val="000E0353"/>
    <w:rsid w:val="000E048F"/>
    <w:rsid w:val="000E051B"/>
    <w:rsid w:val="000E0640"/>
    <w:rsid w:val="000E06AB"/>
    <w:rsid w:val="000E0762"/>
    <w:rsid w:val="000E086F"/>
    <w:rsid w:val="000E0D78"/>
    <w:rsid w:val="000E1232"/>
    <w:rsid w:val="000E135D"/>
    <w:rsid w:val="000E1FE5"/>
    <w:rsid w:val="000E228E"/>
    <w:rsid w:val="000E2515"/>
    <w:rsid w:val="000E2792"/>
    <w:rsid w:val="000E2A16"/>
    <w:rsid w:val="000E2BBB"/>
    <w:rsid w:val="000E2F3A"/>
    <w:rsid w:val="000E31CD"/>
    <w:rsid w:val="000E397D"/>
    <w:rsid w:val="000E3FF3"/>
    <w:rsid w:val="000E43F3"/>
    <w:rsid w:val="000E442D"/>
    <w:rsid w:val="000E4CE7"/>
    <w:rsid w:val="000E4D4C"/>
    <w:rsid w:val="000E53B9"/>
    <w:rsid w:val="000E54A2"/>
    <w:rsid w:val="000E576D"/>
    <w:rsid w:val="000E579E"/>
    <w:rsid w:val="000E6748"/>
    <w:rsid w:val="000E68E9"/>
    <w:rsid w:val="000E6D7D"/>
    <w:rsid w:val="000E7361"/>
    <w:rsid w:val="000E7A67"/>
    <w:rsid w:val="000E7C14"/>
    <w:rsid w:val="000E7DEF"/>
    <w:rsid w:val="000E7E52"/>
    <w:rsid w:val="000E7FA1"/>
    <w:rsid w:val="000F00BA"/>
    <w:rsid w:val="000F0438"/>
    <w:rsid w:val="000F08C9"/>
    <w:rsid w:val="000F0AE1"/>
    <w:rsid w:val="000F1649"/>
    <w:rsid w:val="000F189E"/>
    <w:rsid w:val="000F194A"/>
    <w:rsid w:val="000F239E"/>
    <w:rsid w:val="000F316A"/>
    <w:rsid w:val="000F3C74"/>
    <w:rsid w:val="000F4AAA"/>
    <w:rsid w:val="000F4BB8"/>
    <w:rsid w:val="000F4FA9"/>
    <w:rsid w:val="000F5046"/>
    <w:rsid w:val="000F53FB"/>
    <w:rsid w:val="000F57AE"/>
    <w:rsid w:val="000F58F8"/>
    <w:rsid w:val="000F5C52"/>
    <w:rsid w:val="000F62B9"/>
    <w:rsid w:val="000F6581"/>
    <w:rsid w:val="000F6921"/>
    <w:rsid w:val="000F7026"/>
    <w:rsid w:val="000F7127"/>
    <w:rsid w:val="000F7273"/>
    <w:rsid w:val="000F730D"/>
    <w:rsid w:val="000F763A"/>
    <w:rsid w:val="000F7B54"/>
    <w:rsid w:val="000F7F9B"/>
    <w:rsid w:val="001000B3"/>
    <w:rsid w:val="001001DF"/>
    <w:rsid w:val="0010021D"/>
    <w:rsid w:val="00100675"/>
    <w:rsid w:val="00100BF1"/>
    <w:rsid w:val="00100F8A"/>
    <w:rsid w:val="0010104E"/>
    <w:rsid w:val="001013E6"/>
    <w:rsid w:val="001022F2"/>
    <w:rsid w:val="00102361"/>
    <w:rsid w:val="00102572"/>
    <w:rsid w:val="00102664"/>
    <w:rsid w:val="0010452E"/>
    <w:rsid w:val="00104E8C"/>
    <w:rsid w:val="0010546B"/>
    <w:rsid w:val="001059D1"/>
    <w:rsid w:val="00105AE2"/>
    <w:rsid w:val="00105D0B"/>
    <w:rsid w:val="00105E04"/>
    <w:rsid w:val="001060C6"/>
    <w:rsid w:val="00106B6C"/>
    <w:rsid w:val="00106B80"/>
    <w:rsid w:val="00106C1E"/>
    <w:rsid w:val="00107100"/>
    <w:rsid w:val="00107338"/>
    <w:rsid w:val="0010736B"/>
    <w:rsid w:val="001073AE"/>
    <w:rsid w:val="00107583"/>
    <w:rsid w:val="00110241"/>
    <w:rsid w:val="00110314"/>
    <w:rsid w:val="0011032E"/>
    <w:rsid w:val="001109FB"/>
    <w:rsid w:val="00110A24"/>
    <w:rsid w:val="00110CC5"/>
    <w:rsid w:val="00110E17"/>
    <w:rsid w:val="001112C1"/>
    <w:rsid w:val="00111420"/>
    <w:rsid w:val="00111A42"/>
    <w:rsid w:val="00111FA1"/>
    <w:rsid w:val="001121BA"/>
    <w:rsid w:val="0011220E"/>
    <w:rsid w:val="001127AD"/>
    <w:rsid w:val="0011348B"/>
    <w:rsid w:val="00113670"/>
    <w:rsid w:val="00114138"/>
    <w:rsid w:val="00114266"/>
    <w:rsid w:val="0011534E"/>
    <w:rsid w:val="00115434"/>
    <w:rsid w:val="0011550D"/>
    <w:rsid w:val="00115935"/>
    <w:rsid w:val="00115982"/>
    <w:rsid w:val="001160EA"/>
    <w:rsid w:val="001165B9"/>
    <w:rsid w:val="00116663"/>
    <w:rsid w:val="001167D6"/>
    <w:rsid w:val="0011682C"/>
    <w:rsid w:val="00116C53"/>
    <w:rsid w:val="00116FDD"/>
    <w:rsid w:val="00117351"/>
    <w:rsid w:val="00117A5C"/>
    <w:rsid w:val="00117D65"/>
    <w:rsid w:val="00120013"/>
    <w:rsid w:val="0012013A"/>
    <w:rsid w:val="001201F6"/>
    <w:rsid w:val="001204B0"/>
    <w:rsid w:val="00120C94"/>
    <w:rsid w:val="00121752"/>
    <w:rsid w:val="00121799"/>
    <w:rsid w:val="00121D32"/>
    <w:rsid w:val="00121F28"/>
    <w:rsid w:val="00122012"/>
    <w:rsid w:val="001222FC"/>
    <w:rsid w:val="00122362"/>
    <w:rsid w:val="00122516"/>
    <w:rsid w:val="00122785"/>
    <w:rsid w:val="0012283C"/>
    <w:rsid w:val="00122D3A"/>
    <w:rsid w:val="00122DF7"/>
    <w:rsid w:val="00123902"/>
    <w:rsid w:val="00123D85"/>
    <w:rsid w:val="00123F62"/>
    <w:rsid w:val="00124088"/>
    <w:rsid w:val="0012417E"/>
    <w:rsid w:val="001247F8"/>
    <w:rsid w:val="00124A51"/>
    <w:rsid w:val="00124E09"/>
    <w:rsid w:val="001254B3"/>
    <w:rsid w:val="00125597"/>
    <w:rsid w:val="00125D1C"/>
    <w:rsid w:val="00125E67"/>
    <w:rsid w:val="0012612F"/>
    <w:rsid w:val="00126467"/>
    <w:rsid w:val="00126621"/>
    <w:rsid w:val="00126B1D"/>
    <w:rsid w:val="001273DB"/>
    <w:rsid w:val="001275D2"/>
    <w:rsid w:val="00127EB8"/>
    <w:rsid w:val="001301E9"/>
    <w:rsid w:val="00130397"/>
    <w:rsid w:val="00130597"/>
    <w:rsid w:val="0013153E"/>
    <w:rsid w:val="0013174D"/>
    <w:rsid w:val="0013186D"/>
    <w:rsid w:val="00131C99"/>
    <w:rsid w:val="00131D82"/>
    <w:rsid w:val="00132A7E"/>
    <w:rsid w:val="00132B22"/>
    <w:rsid w:val="00132C82"/>
    <w:rsid w:val="00132DA5"/>
    <w:rsid w:val="0013302B"/>
    <w:rsid w:val="00133AFB"/>
    <w:rsid w:val="00133C28"/>
    <w:rsid w:val="00133D36"/>
    <w:rsid w:val="00135B20"/>
    <w:rsid w:val="00135DF5"/>
    <w:rsid w:val="00135EED"/>
    <w:rsid w:val="001362DB"/>
    <w:rsid w:val="0013641A"/>
    <w:rsid w:val="00136A37"/>
    <w:rsid w:val="00137645"/>
    <w:rsid w:val="00137797"/>
    <w:rsid w:val="001378D5"/>
    <w:rsid w:val="00137A90"/>
    <w:rsid w:val="0014015A"/>
    <w:rsid w:val="00140E99"/>
    <w:rsid w:val="00141C00"/>
    <w:rsid w:val="0014210B"/>
    <w:rsid w:val="00142482"/>
    <w:rsid w:val="001427A1"/>
    <w:rsid w:val="001436E2"/>
    <w:rsid w:val="0014375A"/>
    <w:rsid w:val="00143DD2"/>
    <w:rsid w:val="00143F67"/>
    <w:rsid w:val="00144018"/>
    <w:rsid w:val="001442F9"/>
    <w:rsid w:val="00144398"/>
    <w:rsid w:val="0014471B"/>
    <w:rsid w:val="00144AC4"/>
    <w:rsid w:val="00144CA1"/>
    <w:rsid w:val="00144CF4"/>
    <w:rsid w:val="00144E35"/>
    <w:rsid w:val="00145234"/>
    <w:rsid w:val="001453F7"/>
    <w:rsid w:val="00145540"/>
    <w:rsid w:val="001456B0"/>
    <w:rsid w:val="00145BC2"/>
    <w:rsid w:val="00146044"/>
    <w:rsid w:val="00146805"/>
    <w:rsid w:val="0014688E"/>
    <w:rsid w:val="00146B22"/>
    <w:rsid w:val="001472EF"/>
    <w:rsid w:val="00147832"/>
    <w:rsid w:val="00147A05"/>
    <w:rsid w:val="00147C23"/>
    <w:rsid w:val="00147C88"/>
    <w:rsid w:val="00147E1E"/>
    <w:rsid w:val="00147E6D"/>
    <w:rsid w:val="001500DA"/>
    <w:rsid w:val="00150573"/>
    <w:rsid w:val="00150F20"/>
    <w:rsid w:val="001511F6"/>
    <w:rsid w:val="00151378"/>
    <w:rsid w:val="001520C9"/>
    <w:rsid w:val="0015244B"/>
    <w:rsid w:val="00152603"/>
    <w:rsid w:val="0015266A"/>
    <w:rsid w:val="0015272F"/>
    <w:rsid w:val="00152757"/>
    <w:rsid w:val="00152D8B"/>
    <w:rsid w:val="00152DA7"/>
    <w:rsid w:val="00152E90"/>
    <w:rsid w:val="0015306F"/>
    <w:rsid w:val="0015356B"/>
    <w:rsid w:val="0015359E"/>
    <w:rsid w:val="00154246"/>
    <w:rsid w:val="0015434C"/>
    <w:rsid w:val="001543C2"/>
    <w:rsid w:val="001544BC"/>
    <w:rsid w:val="001547AB"/>
    <w:rsid w:val="00154859"/>
    <w:rsid w:val="00154D41"/>
    <w:rsid w:val="00154FD5"/>
    <w:rsid w:val="00155063"/>
    <w:rsid w:val="0015520C"/>
    <w:rsid w:val="00155417"/>
    <w:rsid w:val="001554A5"/>
    <w:rsid w:val="001554A7"/>
    <w:rsid w:val="00155950"/>
    <w:rsid w:val="00155A83"/>
    <w:rsid w:val="00156887"/>
    <w:rsid w:val="001569AB"/>
    <w:rsid w:val="00156F8F"/>
    <w:rsid w:val="00157130"/>
    <w:rsid w:val="00157199"/>
    <w:rsid w:val="001576B1"/>
    <w:rsid w:val="0015783F"/>
    <w:rsid w:val="00157E06"/>
    <w:rsid w:val="0016014E"/>
    <w:rsid w:val="001601C4"/>
    <w:rsid w:val="0016023E"/>
    <w:rsid w:val="0016047B"/>
    <w:rsid w:val="001609C5"/>
    <w:rsid w:val="00160A4C"/>
    <w:rsid w:val="00160B36"/>
    <w:rsid w:val="00160C7C"/>
    <w:rsid w:val="001614C7"/>
    <w:rsid w:val="001616C4"/>
    <w:rsid w:val="00161FBF"/>
    <w:rsid w:val="00162072"/>
    <w:rsid w:val="0016242B"/>
    <w:rsid w:val="0016252B"/>
    <w:rsid w:val="00162913"/>
    <w:rsid w:val="00162AD5"/>
    <w:rsid w:val="00163C32"/>
    <w:rsid w:val="00163EFF"/>
    <w:rsid w:val="00163F66"/>
    <w:rsid w:val="001640AE"/>
    <w:rsid w:val="001642B7"/>
    <w:rsid w:val="0016478E"/>
    <w:rsid w:val="00164D5E"/>
    <w:rsid w:val="00164DEA"/>
    <w:rsid w:val="0016509F"/>
    <w:rsid w:val="001653C6"/>
    <w:rsid w:val="001655BA"/>
    <w:rsid w:val="00165AB2"/>
    <w:rsid w:val="00165BBA"/>
    <w:rsid w:val="00165E65"/>
    <w:rsid w:val="00165EC4"/>
    <w:rsid w:val="00166128"/>
    <w:rsid w:val="001661C4"/>
    <w:rsid w:val="001661FB"/>
    <w:rsid w:val="0016656A"/>
    <w:rsid w:val="00166633"/>
    <w:rsid w:val="001667B9"/>
    <w:rsid w:val="00166A0C"/>
    <w:rsid w:val="00166B7F"/>
    <w:rsid w:val="00167187"/>
    <w:rsid w:val="001671A0"/>
    <w:rsid w:val="0016767F"/>
    <w:rsid w:val="00167685"/>
    <w:rsid w:val="00167AEB"/>
    <w:rsid w:val="0017136D"/>
    <w:rsid w:val="00171833"/>
    <w:rsid w:val="001718C8"/>
    <w:rsid w:val="00171A1E"/>
    <w:rsid w:val="00173562"/>
    <w:rsid w:val="00173565"/>
    <w:rsid w:val="0017372A"/>
    <w:rsid w:val="001737E1"/>
    <w:rsid w:val="00173B07"/>
    <w:rsid w:val="00173FF7"/>
    <w:rsid w:val="001742F1"/>
    <w:rsid w:val="00174C57"/>
    <w:rsid w:val="00174EBF"/>
    <w:rsid w:val="001751FA"/>
    <w:rsid w:val="001752DD"/>
    <w:rsid w:val="001754ED"/>
    <w:rsid w:val="0017572D"/>
    <w:rsid w:val="00175B88"/>
    <w:rsid w:val="00175CD2"/>
    <w:rsid w:val="00175EEB"/>
    <w:rsid w:val="00176072"/>
    <w:rsid w:val="0017644D"/>
    <w:rsid w:val="001768F0"/>
    <w:rsid w:val="00177073"/>
    <w:rsid w:val="001770A3"/>
    <w:rsid w:val="00177698"/>
    <w:rsid w:val="001778AE"/>
    <w:rsid w:val="00177BB7"/>
    <w:rsid w:val="00180104"/>
    <w:rsid w:val="00180AE7"/>
    <w:rsid w:val="00180D3A"/>
    <w:rsid w:val="00180DA3"/>
    <w:rsid w:val="00180E6D"/>
    <w:rsid w:val="0018106F"/>
    <w:rsid w:val="00181417"/>
    <w:rsid w:val="00181456"/>
    <w:rsid w:val="00181880"/>
    <w:rsid w:val="00181C10"/>
    <w:rsid w:val="00181D9C"/>
    <w:rsid w:val="00181DA3"/>
    <w:rsid w:val="00182EA7"/>
    <w:rsid w:val="0018362F"/>
    <w:rsid w:val="001837FF"/>
    <w:rsid w:val="00183980"/>
    <w:rsid w:val="00183C09"/>
    <w:rsid w:val="00184301"/>
    <w:rsid w:val="00184359"/>
    <w:rsid w:val="00184379"/>
    <w:rsid w:val="0018443B"/>
    <w:rsid w:val="0018478A"/>
    <w:rsid w:val="00184A28"/>
    <w:rsid w:val="00184B0E"/>
    <w:rsid w:val="001850C0"/>
    <w:rsid w:val="00185693"/>
    <w:rsid w:val="00185CBE"/>
    <w:rsid w:val="00185E4B"/>
    <w:rsid w:val="00186271"/>
    <w:rsid w:val="0018639F"/>
    <w:rsid w:val="0018675A"/>
    <w:rsid w:val="0018752F"/>
    <w:rsid w:val="00187585"/>
    <w:rsid w:val="00187835"/>
    <w:rsid w:val="001879A4"/>
    <w:rsid w:val="00187BE7"/>
    <w:rsid w:val="00187E6A"/>
    <w:rsid w:val="0019044D"/>
    <w:rsid w:val="00190696"/>
    <w:rsid w:val="00190736"/>
    <w:rsid w:val="00190795"/>
    <w:rsid w:val="00190A4D"/>
    <w:rsid w:val="00190F18"/>
    <w:rsid w:val="0019181D"/>
    <w:rsid w:val="001918FF"/>
    <w:rsid w:val="00191B9F"/>
    <w:rsid w:val="00192425"/>
    <w:rsid w:val="001925BA"/>
    <w:rsid w:val="0019262A"/>
    <w:rsid w:val="00192970"/>
    <w:rsid w:val="00192CB0"/>
    <w:rsid w:val="00193838"/>
    <w:rsid w:val="001938ED"/>
    <w:rsid w:val="00193A07"/>
    <w:rsid w:val="00193B02"/>
    <w:rsid w:val="00193B5A"/>
    <w:rsid w:val="00193C98"/>
    <w:rsid w:val="00194AD8"/>
    <w:rsid w:val="0019508A"/>
    <w:rsid w:val="00195222"/>
    <w:rsid w:val="00195452"/>
    <w:rsid w:val="00195490"/>
    <w:rsid w:val="00196ADB"/>
    <w:rsid w:val="00196CE6"/>
    <w:rsid w:val="001975D8"/>
    <w:rsid w:val="0019773B"/>
    <w:rsid w:val="00197B86"/>
    <w:rsid w:val="00197C04"/>
    <w:rsid w:val="001A01D6"/>
    <w:rsid w:val="001A0391"/>
    <w:rsid w:val="001A08BA"/>
    <w:rsid w:val="001A0AD8"/>
    <w:rsid w:val="001A0B3B"/>
    <w:rsid w:val="001A0D81"/>
    <w:rsid w:val="001A178E"/>
    <w:rsid w:val="001A1D63"/>
    <w:rsid w:val="001A2205"/>
    <w:rsid w:val="001A2AEC"/>
    <w:rsid w:val="001A2BA3"/>
    <w:rsid w:val="001A2D4A"/>
    <w:rsid w:val="001A309A"/>
    <w:rsid w:val="001A3129"/>
    <w:rsid w:val="001A341B"/>
    <w:rsid w:val="001A3F1E"/>
    <w:rsid w:val="001A43FA"/>
    <w:rsid w:val="001A47C5"/>
    <w:rsid w:val="001A4C5F"/>
    <w:rsid w:val="001A4C9D"/>
    <w:rsid w:val="001A4CDD"/>
    <w:rsid w:val="001A4ECF"/>
    <w:rsid w:val="001A5371"/>
    <w:rsid w:val="001A53C0"/>
    <w:rsid w:val="001A5464"/>
    <w:rsid w:val="001A556E"/>
    <w:rsid w:val="001A55B9"/>
    <w:rsid w:val="001A5735"/>
    <w:rsid w:val="001A57E5"/>
    <w:rsid w:val="001A59FB"/>
    <w:rsid w:val="001A5BBE"/>
    <w:rsid w:val="001A5E9E"/>
    <w:rsid w:val="001A5F69"/>
    <w:rsid w:val="001A6354"/>
    <w:rsid w:val="001A6366"/>
    <w:rsid w:val="001A68CD"/>
    <w:rsid w:val="001A6E20"/>
    <w:rsid w:val="001A74D1"/>
    <w:rsid w:val="001A7778"/>
    <w:rsid w:val="001A7AE8"/>
    <w:rsid w:val="001B062B"/>
    <w:rsid w:val="001B09D2"/>
    <w:rsid w:val="001B0AF2"/>
    <w:rsid w:val="001B0B8E"/>
    <w:rsid w:val="001B0E72"/>
    <w:rsid w:val="001B1B58"/>
    <w:rsid w:val="001B1BC7"/>
    <w:rsid w:val="001B1F12"/>
    <w:rsid w:val="001B204E"/>
    <w:rsid w:val="001B2146"/>
    <w:rsid w:val="001B2372"/>
    <w:rsid w:val="001B295C"/>
    <w:rsid w:val="001B29BD"/>
    <w:rsid w:val="001B29E5"/>
    <w:rsid w:val="001B2C53"/>
    <w:rsid w:val="001B2C86"/>
    <w:rsid w:val="001B2CB1"/>
    <w:rsid w:val="001B2D94"/>
    <w:rsid w:val="001B2F29"/>
    <w:rsid w:val="001B330E"/>
    <w:rsid w:val="001B3443"/>
    <w:rsid w:val="001B36CC"/>
    <w:rsid w:val="001B372D"/>
    <w:rsid w:val="001B3C6B"/>
    <w:rsid w:val="001B3DE2"/>
    <w:rsid w:val="001B3EF3"/>
    <w:rsid w:val="001B47E5"/>
    <w:rsid w:val="001B4D20"/>
    <w:rsid w:val="001B545C"/>
    <w:rsid w:val="001B572C"/>
    <w:rsid w:val="001B58F7"/>
    <w:rsid w:val="001B5AEB"/>
    <w:rsid w:val="001B69A9"/>
    <w:rsid w:val="001B6FEB"/>
    <w:rsid w:val="001B7463"/>
    <w:rsid w:val="001B77BA"/>
    <w:rsid w:val="001B7A65"/>
    <w:rsid w:val="001B7F84"/>
    <w:rsid w:val="001B7FB7"/>
    <w:rsid w:val="001C0119"/>
    <w:rsid w:val="001C097D"/>
    <w:rsid w:val="001C18AF"/>
    <w:rsid w:val="001C1B67"/>
    <w:rsid w:val="001C2171"/>
    <w:rsid w:val="001C2457"/>
    <w:rsid w:val="001C2A9B"/>
    <w:rsid w:val="001C2EC2"/>
    <w:rsid w:val="001C3052"/>
    <w:rsid w:val="001C36D3"/>
    <w:rsid w:val="001C36E1"/>
    <w:rsid w:val="001C3DD6"/>
    <w:rsid w:val="001C3EE8"/>
    <w:rsid w:val="001C4121"/>
    <w:rsid w:val="001C4299"/>
    <w:rsid w:val="001C4874"/>
    <w:rsid w:val="001C498D"/>
    <w:rsid w:val="001C4D30"/>
    <w:rsid w:val="001C533D"/>
    <w:rsid w:val="001C54D9"/>
    <w:rsid w:val="001C5A10"/>
    <w:rsid w:val="001C5EAE"/>
    <w:rsid w:val="001C5EE8"/>
    <w:rsid w:val="001C5F94"/>
    <w:rsid w:val="001C6161"/>
    <w:rsid w:val="001C644D"/>
    <w:rsid w:val="001C69DE"/>
    <w:rsid w:val="001C6A48"/>
    <w:rsid w:val="001C6CF8"/>
    <w:rsid w:val="001C6E66"/>
    <w:rsid w:val="001C7084"/>
    <w:rsid w:val="001C7707"/>
    <w:rsid w:val="001C7A11"/>
    <w:rsid w:val="001C7E88"/>
    <w:rsid w:val="001D023D"/>
    <w:rsid w:val="001D0274"/>
    <w:rsid w:val="001D0563"/>
    <w:rsid w:val="001D0724"/>
    <w:rsid w:val="001D09AC"/>
    <w:rsid w:val="001D0AA2"/>
    <w:rsid w:val="001D1100"/>
    <w:rsid w:val="001D1391"/>
    <w:rsid w:val="001D145D"/>
    <w:rsid w:val="001D14E7"/>
    <w:rsid w:val="001D181B"/>
    <w:rsid w:val="001D19DF"/>
    <w:rsid w:val="001D1B4F"/>
    <w:rsid w:val="001D214D"/>
    <w:rsid w:val="001D227F"/>
    <w:rsid w:val="001D22E3"/>
    <w:rsid w:val="001D24AE"/>
    <w:rsid w:val="001D25D7"/>
    <w:rsid w:val="001D2980"/>
    <w:rsid w:val="001D2A1B"/>
    <w:rsid w:val="001D2DA2"/>
    <w:rsid w:val="001D3060"/>
    <w:rsid w:val="001D349A"/>
    <w:rsid w:val="001D3D50"/>
    <w:rsid w:val="001D420F"/>
    <w:rsid w:val="001D423B"/>
    <w:rsid w:val="001D4502"/>
    <w:rsid w:val="001D4B05"/>
    <w:rsid w:val="001D4B96"/>
    <w:rsid w:val="001D50B2"/>
    <w:rsid w:val="001D51FD"/>
    <w:rsid w:val="001D5D37"/>
    <w:rsid w:val="001D604F"/>
    <w:rsid w:val="001D65F5"/>
    <w:rsid w:val="001D6EA6"/>
    <w:rsid w:val="001D71F4"/>
    <w:rsid w:val="001D74F5"/>
    <w:rsid w:val="001D7645"/>
    <w:rsid w:val="001E0207"/>
    <w:rsid w:val="001E0737"/>
    <w:rsid w:val="001E0FFE"/>
    <w:rsid w:val="001E10AD"/>
    <w:rsid w:val="001E1667"/>
    <w:rsid w:val="001E1E86"/>
    <w:rsid w:val="001E1F7D"/>
    <w:rsid w:val="001E238E"/>
    <w:rsid w:val="001E2483"/>
    <w:rsid w:val="001E2540"/>
    <w:rsid w:val="001E26B7"/>
    <w:rsid w:val="001E27D5"/>
    <w:rsid w:val="001E2B1E"/>
    <w:rsid w:val="001E2CBC"/>
    <w:rsid w:val="001E2CFF"/>
    <w:rsid w:val="001E2F24"/>
    <w:rsid w:val="001E305E"/>
    <w:rsid w:val="001E3081"/>
    <w:rsid w:val="001E30CF"/>
    <w:rsid w:val="001E30D4"/>
    <w:rsid w:val="001E3243"/>
    <w:rsid w:val="001E34DF"/>
    <w:rsid w:val="001E4263"/>
    <w:rsid w:val="001E4E47"/>
    <w:rsid w:val="001E52EB"/>
    <w:rsid w:val="001E5889"/>
    <w:rsid w:val="001E5C4F"/>
    <w:rsid w:val="001E5FD1"/>
    <w:rsid w:val="001E61D2"/>
    <w:rsid w:val="001E65EF"/>
    <w:rsid w:val="001E66AA"/>
    <w:rsid w:val="001E6788"/>
    <w:rsid w:val="001E6AFE"/>
    <w:rsid w:val="001E710E"/>
    <w:rsid w:val="001E72EF"/>
    <w:rsid w:val="001E740C"/>
    <w:rsid w:val="001E7420"/>
    <w:rsid w:val="001E77C2"/>
    <w:rsid w:val="001E7E15"/>
    <w:rsid w:val="001E7F10"/>
    <w:rsid w:val="001E7F2E"/>
    <w:rsid w:val="001F06C6"/>
    <w:rsid w:val="001F0D30"/>
    <w:rsid w:val="001F1194"/>
    <w:rsid w:val="001F1235"/>
    <w:rsid w:val="001F1CB3"/>
    <w:rsid w:val="001F2038"/>
    <w:rsid w:val="001F2A23"/>
    <w:rsid w:val="001F2D2D"/>
    <w:rsid w:val="001F2E71"/>
    <w:rsid w:val="001F335C"/>
    <w:rsid w:val="001F3716"/>
    <w:rsid w:val="001F38B5"/>
    <w:rsid w:val="001F3CC0"/>
    <w:rsid w:val="001F4081"/>
    <w:rsid w:val="001F4874"/>
    <w:rsid w:val="001F49DD"/>
    <w:rsid w:val="001F52BF"/>
    <w:rsid w:val="001F545F"/>
    <w:rsid w:val="001F5B91"/>
    <w:rsid w:val="001F5ED3"/>
    <w:rsid w:val="001F65D2"/>
    <w:rsid w:val="001F6ABC"/>
    <w:rsid w:val="001F7058"/>
    <w:rsid w:val="001F7361"/>
    <w:rsid w:val="001F75DC"/>
    <w:rsid w:val="001F790C"/>
    <w:rsid w:val="001F7A83"/>
    <w:rsid w:val="002001FC"/>
    <w:rsid w:val="002006AB"/>
    <w:rsid w:val="00200F55"/>
    <w:rsid w:val="00200FCB"/>
    <w:rsid w:val="002011B0"/>
    <w:rsid w:val="00201CC1"/>
    <w:rsid w:val="002029ED"/>
    <w:rsid w:val="00203181"/>
    <w:rsid w:val="00203203"/>
    <w:rsid w:val="0020348D"/>
    <w:rsid w:val="002034E3"/>
    <w:rsid w:val="00203503"/>
    <w:rsid w:val="00203783"/>
    <w:rsid w:val="0020385F"/>
    <w:rsid w:val="00203DA3"/>
    <w:rsid w:val="002041C7"/>
    <w:rsid w:val="002041D5"/>
    <w:rsid w:val="00204782"/>
    <w:rsid w:val="002048B9"/>
    <w:rsid w:val="00204FF5"/>
    <w:rsid w:val="00206218"/>
    <w:rsid w:val="0020622D"/>
    <w:rsid w:val="002068A0"/>
    <w:rsid w:val="00206D69"/>
    <w:rsid w:val="00206EF9"/>
    <w:rsid w:val="00207021"/>
    <w:rsid w:val="002070B4"/>
    <w:rsid w:val="0020732F"/>
    <w:rsid w:val="00207594"/>
    <w:rsid w:val="00207D00"/>
    <w:rsid w:val="00207E62"/>
    <w:rsid w:val="0021040F"/>
    <w:rsid w:val="00210509"/>
    <w:rsid w:val="002105C1"/>
    <w:rsid w:val="002107F2"/>
    <w:rsid w:val="00210863"/>
    <w:rsid w:val="00210EA3"/>
    <w:rsid w:val="00211107"/>
    <w:rsid w:val="0021125E"/>
    <w:rsid w:val="00211614"/>
    <w:rsid w:val="002116FD"/>
    <w:rsid w:val="00211773"/>
    <w:rsid w:val="00211A18"/>
    <w:rsid w:val="00211C82"/>
    <w:rsid w:val="00212968"/>
    <w:rsid w:val="002129B4"/>
    <w:rsid w:val="00212C00"/>
    <w:rsid w:val="002130CB"/>
    <w:rsid w:val="00213435"/>
    <w:rsid w:val="002137C5"/>
    <w:rsid w:val="00213972"/>
    <w:rsid w:val="00213EF5"/>
    <w:rsid w:val="002145CE"/>
    <w:rsid w:val="0021502B"/>
    <w:rsid w:val="00215189"/>
    <w:rsid w:val="0021549E"/>
    <w:rsid w:val="00215A25"/>
    <w:rsid w:val="002160C4"/>
    <w:rsid w:val="002160DE"/>
    <w:rsid w:val="002164D8"/>
    <w:rsid w:val="00216888"/>
    <w:rsid w:val="002169EF"/>
    <w:rsid w:val="00216BF5"/>
    <w:rsid w:val="00216D83"/>
    <w:rsid w:val="00216DA6"/>
    <w:rsid w:val="00216E64"/>
    <w:rsid w:val="002170BC"/>
    <w:rsid w:val="002176A5"/>
    <w:rsid w:val="002179B5"/>
    <w:rsid w:val="00217C76"/>
    <w:rsid w:val="00217D07"/>
    <w:rsid w:val="002206D2"/>
    <w:rsid w:val="002206F7"/>
    <w:rsid w:val="0022074E"/>
    <w:rsid w:val="00221080"/>
    <w:rsid w:val="002213E8"/>
    <w:rsid w:val="00221906"/>
    <w:rsid w:val="002220ED"/>
    <w:rsid w:val="0022261B"/>
    <w:rsid w:val="002226C2"/>
    <w:rsid w:val="0022277C"/>
    <w:rsid w:val="0022379E"/>
    <w:rsid w:val="00223B49"/>
    <w:rsid w:val="00223D5A"/>
    <w:rsid w:val="00224115"/>
    <w:rsid w:val="00224345"/>
    <w:rsid w:val="0022445D"/>
    <w:rsid w:val="00224ADB"/>
    <w:rsid w:val="00224B1E"/>
    <w:rsid w:val="00224DD4"/>
    <w:rsid w:val="00225421"/>
    <w:rsid w:val="0022550F"/>
    <w:rsid w:val="00225C4B"/>
    <w:rsid w:val="00225DDA"/>
    <w:rsid w:val="0022646A"/>
    <w:rsid w:val="002265B7"/>
    <w:rsid w:val="00226672"/>
    <w:rsid w:val="00226DA0"/>
    <w:rsid w:val="0022706F"/>
    <w:rsid w:val="002272EE"/>
    <w:rsid w:val="002278A0"/>
    <w:rsid w:val="00227BFD"/>
    <w:rsid w:val="002309CC"/>
    <w:rsid w:val="0023110D"/>
    <w:rsid w:val="002314E6"/>
    <w:rsid w:val="0023177B"/>
    <w:rsid w:val="00231960"/>
    <w:rsid w:val="00231BA9"/>
    <w:rsid w:val="0023209F"/>
    <w:rsid w:val="0023211D"/>
    <w:rsid w:val="0023259A"/>
    <w:rsid w:val="0023286A"/>
    <w:rsid w:val="00232953"/>
    <w:rsid w:val="00232B63"/>
    <w:rsid w:val="0023380F"/>
    <w:rsid w:val="00233A99"/>
    <w:rsid w:val="00233C01"/>
    <w:rsid w:val="0023413C"/>
    <w:rsid w:val="002342C5"/>
    <w:rsid w:val="002346F0"/>
    <w:rsid w:val="00234C72"/>
    <w:rsid w:val="00235967"/>
    <w:rsid w:val="00235F47"/>
    <w:rsid w:val="0023629D"/>
    <w:rsid w:val="00236317"/>
    <w:rsid w:val="002367A7"/>
    <w:rsid w:val="00236881"/>
    <w:rsid w:val="00237026"/>
    <w:rsid w:val="00237255"/>
    <w:rsid w:val="00237C1D"/>
    <w:rsid w:val="002400E5"/>
    <w:rsid w:val="002406C9"/>
    <w:rsid w:val="0024075A"/>
    <w:rsid w:val="002407BE"/>
    <w:rsid w:val="002408C3"/>
    <w:rsid w:val="00240F0B"/>
    <w:rsid w:val="00241082"/>
    <w:rsid w:val="00241A23"/>
    <w:rsid w:val="0024234C"/>
    <w:rsid w:val="002424AF"/>
    <w:rsid w:val="00242B33"/>
    <w:rsid w:val="00243901"/>
    <w:rsid w:val="0024397E"/>
    <w:rsid w:val="002439DC"/>
    <w:rsid w:val="00243CBF"/>
    <w:rsid w:val="0024408B"/>
    <w:rsid w:val="00244092"/>
    <w:rsid w:val="002441D2"/>
    <w:rsid w:val="00244804"/>
    <w:rsid w:val="00244DC8"/>
    <w:rsid w:val="0024522F"/>
    <w:rsid w:val="002454A0"/>
    <w:rsid w:val="002454E8"/>
    <w:rsid w:val="0024566B"/>
    <w:rsid w:val="002458BA"/>
    <w:rsid w:val="00245A79"/>
    <w:rsid w:val="00245CE9"/>
    <w:rsid w:val="00245DD2"/>
    <w:rsid w:val="0024636C"/>
    <w:rsid w:val="00246566"/>
    <w:rsid w:val="0024660D"/>
    <w:rsid w:val="002466AB"/>
    <w:rsid w:val="00246A19"/>
    <w:rsid w:val="00246BCB"/>
    <w:rsid w:val="00247766"/>
    <w:rsid w:val="00247925"/>
    <w:rsid w:val="00247C84"/>
    <w:rsid w:val="00247FBC"/>
    <w:rsid w:val="00250350"/>
    <w:rsid w:val="002504A8"/>
    <w:rsid w:val="00250733"/>
    <w:rsid w:val="00251006"/>
    <w:rsid w:val="00251229"/>
    <w:rsid w:val="00251413"/>
    <w:rsid w:val="0025198C"/>
    <w:rsid w:val="00251A0E"/>
    <w:rsid w:val="00251FC1"/>
    <w:rsid w:val="002522BA"/>
    <w:rsid w:val="00252492"/>
    <w:rsid w:val="002524D5"/>
    <w:rsid w:val="00252704"/>
    <w:rsid w:val="002529FC"/>
    <w:rsid w:val="00252B12"/>
    <w:rsid w:val="002537CA"/>
    <w:rsid w:val="00253B1D"/>
    <w:rsid w:val="00253DDD"/>
    <w:rsid w:val="00254677"/>
    <w:rsid w:val="00254C8E"/>
    <w:rsid w:val="00254DCF"/>
    <w:rsid w:val="0025534B"/>
    <w:rsid w:val="002557F7"/>
    <w:rsid w:val="0025582C"/>
    <w:rsid w:val="00255AC4"/>
    <w:rsid w:val="00255BB7"/>
    <w:rsid w:val="0025639D"/>
    <w:rsid w:val="00256E65"/>
    <w:rsid w:val="00256E84"/>
    <w:rsid w:val="002570E1"/>
    <w:rsid w:val="002571B5"/>
    <w:rsid w:val="002573F1"/>
    <w:rsid w:val="002574EB"/>
    <w:rsid w:val="002574F3"/>
    <w:rsid w:val="00257541"/>
    <w:rsid w:val="00257915"/>
    <w:rsid w:val="00257959"/>
    <w:rsid w:val="00257A39"/>
    <w:rsid w:val="00257AC4"/>
    <w:rsid w:val="00257BBE"/>
    <w:rsid w:val="0026094D"/>
    <w:rsid w:val="002616B9"/>
    <w:rsid w:val="00261DA9"/>
    <w:rsid w:val="00261E59"/>
    <w:rsid w:val="00261EEF"/>
    <w:rsid w:val="0026242E"/>
    <w:rsid w:val="002625BA"/>
    <w:rsid w:val="002629D5"/>
    <w:rsid w:val="00262A1A"/>
    <w:rsid w:val="00262A87"/>
    <w:rsid w:val="00262B77"/>
    <w:rsid w:val="00262F9A"/>
    <w:rsid w:val="00263C9A"/>
    <w:rsid w:val="00264682"/>
    <w:rsid w:val="00264D26"/>
    <w:rsid w:val="00264E31"/>
    <w:rsid w:val="00265A83"/>
    <w:rsid w:val="002667D2"/>
    <w:rsid w:val="00266C11"/>
    <w:rsid w:val="002670B4"/>
    <w:rsid w:val="0026712F"/>
    <w:rsid w:val="0026749B"/>
    <w:rsid w:val="00267501"/>
    <w:rsid w:val="00267642"/>
    <w:rsid w:val="0026798C"/>
    <w:rsid w:val="00267AEA"/>
    <w:rsid w:val="002700E6"/>
    <w:rsid w:val="002704CB"/>
    <w:rsid w:val="00271478"/>
    <w:rsid w:val="00271AA3"/>
    <w:rsid w:val="00272533"/>
    <w:rsid w:val="0027263A"/>
    <w:rsid w:val="002728D7"/>
    <w:rsid w:val="0027294B"/>
    <w:rsid w:val="00272F7A"/>
    <w:rsid w:val="00273078"/>
    <w:rsid w:val="00273125"/>
    <w:rsid w:val="00273B0D"/>
    <w:rsid w:val="00273EB4"/>
    <w:rsid w:val="00274074"/>
    <w:rsid w:val="002741B6"/>
    <w:rsid w:val="00274682"/>
    <w:rsid w:val="0027470E"/>
    <w:rsid w:val="0027478F"/>
    <w:rsid w:val="00274FD0"/>
    <w:rsid w:val="00275158"/>
    <w:rsid w:val="00275B0E"/>
    <w:rsid w:val="00275C4A"/>
    <w:rsid w:val="00275C5A"/>
    <w:rsid w:val="00277269"/>
    <w:rsid w:val="002772BC"/>
    <w:rsid w:val="00277829"/>
    <w:rsid w:val="0027797C"/>
    <w:rsid w:val="0028051B"/>
    <w:rsid w:val="0028059A"/>
    <w:rsid w:val="002806FB"/>
    <w:rsid w:val="00280F8E"/>
    <w:rsid w:val="00281014"/>
    <w:rsid w:val="00281106"/>
    <w:rsid w:val="002814F5"/>
    <w:rsid w:val="00281573"/>
    <w:rsid w:val="00281858"/>
    <w:rsid w:val="0028192B"/>
    <w:rsid w:val="00281BF8"/>
    <w:rsid w:val="002824AF"/>
    <w:rsid w:val="002825F2"/>
    <w:rsid w:val="002826B8"/>
    <w:rsid w:val="00282790"/>
    <w:rsid w:val="00282964"/>
    <w:rsid w:val="0028297C"/>
    <w:rsid w:val="00282C9A"/>
    <w:rsid w:val="0028303B"/>
    <w:rsid w:val="002830C8"/>
    <w:rsid w:val="00283449"/>
    <w:rsid w:val="00283E3D"/>
    <w:rsid w:val="002842C0"/>
    <w:rsid w:val="00284427"/>
    <w:rsid w:val="00284462"/>
    <w:rsid w:val="00284C99"/>
    <w:rsid w:val="0028552D"/>
    <w:rsid w:val="002857FC"/>
    <w:rsid w:val="00285BCE"/>
    <w:rsid w:val="00285E35"/>
    <w:rsid w:val="0028608E"/>
    <w:rsid w:val="00286275"/>
    <w:rsid w:val="00286290"/>
    <w:rsid w:val="00286431"/>
    <w:rsid w:val="0028665D"/>
    <w:rsid w:val="00286EF5"/>
    <w:rsid w:val="00286F68"/>
    <w:rsid w:val="0028735D"/>
    <w:rsid w:val="00287F38"/>
    <w:rsid w:val="00287F66"/>
    <w:rsid w:val="00290CF2"/>
    <w:rsid w:val="00290D74"/>
    <w:rsid w:val="0029126A"/>
    <w:rsid w:val="0029177A"/>
    <w:rsid w:val="00291B6A"/>
    <w:rsid w:val="00291C0C"/>
    <w:rsid w:val="00291EB4"/>
    <w:rsid w:val="00292018"/>
    <w:rsid w:val="002925C0"/>
    <w:rsid w:val="00292B9C"/>
    <w:rsid w:val="00292CBA"/>
    <w:rsid w:val="00293135"/>
    <w:rsid w:val="002931AF"/>
    <w:rsid w:val="00293CB7"/>
    <w:rsid w:val="00294042"/>
    <w:rsid w:val="00294206"/>
    <w:rsid w:val="00295D53"/>
    <w:rsid w:val="00295E3F"/>
    <w:rsid w:val="00296156"/>
    <w:rsid w:val="00296468"/>
    <w:rsid w:val="0029672B"/>
    <w:rsid w:val="0029696D"/>
    <w:rsid w:val="00296DB4"/>
    <w:rsid w:val="00296EE2"/>
    <w:rsid w:val="0029710A"/>
    <w:rsid w:val="002A0390"/>
    <w:rsid w:val="002A0538"/>
    <w:rsid w:val="002A07DD"/>
    <w:rsid w:val="002A0D9F"/>
    <w:rsid w:val="002A10FB"/>
    <w:rsid w:val="002A14AB"/>
    <w:rsid w:val="002A16B5"/>
    <w:rsid w:val="002A1F6A"/>
    <w:rsid w:val="002A211F"/>
    <w:rsid w:val="002A2A36"/>
    <w:rsid w:val="002A2ADE"/>
    <w:rsid w:val="002A2D39"/>
    <w:rsid w:val="002A2E58"/>
    <w:rsid w:val="002A2F50"/>
    <w:rsid w:val="002A36A4"/>
    <w:rsid w:val="002A3835"/>
    <w:rsid w:val="002A3939"/>
    <w:rsid w:val="002A3DF1"/>
    <w:rsid w:val="002A3FD0"/>
    <w:rsid w:val="002A3FEE"/>
    <w:rsid w:val="002A4694"/>
    <w:rsid w:val="002A4BD4"/>
    <w:rsid w:val="002A4C0E"/>
    <w:rsid w:val="002A4D3A"/>
    <w:rsid w:val="002A4E07"/>
    <w:rsid w:val="002A4F32"/>
    <w:rsid w:val="002A4FA4"/>
    <w:rsid w:val="002A5200"/>
    <w:rsid w:val="002A5208"/>
    <w:rsid w:val="002A5784"/>
    <w:rsid w:val="002A5985"/>
    <w:rsid w:val="002A5A1F"/>
    <w:rsid w:val="002A5C33"/>
    <w:rsid w:val="002A5DCF"/>
    <w:rsid w:val="002A6009"/>
    <w:rsid w:val="002A6670"/>
    <w:rsid w:val="002A6B78"/>
    <w:rsid w:val="002A6F9A"/>
    <w:rsid w:val="002A70F8"/>
    <w:rsid w:val="002A71C7"/>
    <w:rsid w:val="002A78A1"/>
    <w:rsid w:val="002A7943"/>
    <w:rsid w:val="002A7F4F"/>
    <w:rsid w:val="002B0234"/>
    <w:rsid w:val="002B05A1"/>
    <w:rsid w:val="002B09A4"/>
    <w:rsid w:val="002B09D9"/>
    <w:rsid w:val="002B0C79"/>
    <w:rsid w:val="002B1209"/>
    <w:rsid w:val="002B132A"/>
    <w:rsid w:val="002B15C2"/>
    <w:rsid w:val="002B1B0E"/>
    <w:rsid w:val="002B1BDA"/>
    <w:rsid w:val="002B1C01"/>
    <w:rsid w:val="002B1C1F"/>
    <w:rsid w:val="002B22D9"/>
    <w:rsid w:val="002B2C74"/>
    <w:rsid w:val="002B33F9"/>
    <w:rsid w:val="002B3635"/>
    <w:rsid w:val="002B3A44"/>
    <w:rsid w:val="002B3B20"/>
    <w:rsid w:val="002B3CF5"/>
    <w:rsid w:val="002B3DC7"/>
    <w:rsid w:val="002B3E63"/>
    <w:rsid w:val="002B4166"/>
    <w:rsid w:val="002B432F"/>
    <w:rsid w:val="002B497C"/>
    <w:rsid w:val="002B4B43"/>
    <w:rsid w:val="002B51E2"/>
    <w:rsid w:val="002B53F4"/>
    <w:rsid w:val="002B623D"/>
    <w:rsid w:val="002B62B3"/>
    <w:rsid w:val="002B66A8"/>
    <w:rsid w:val="002B6754"/>
    <w:rsid w:val="002B6A42"/>
    <w:rsid w:val="002B6CCE"/>
    <w:rsid w:val="002B72CD"/>
    <w:rsid w:val="002B736C"/>
    <w:rsid w:val="002B7956"/>
    <w:rsid w:val="002B7C90"/>
    <w:rsid w:val="002C04E0"/>
    <w:rsid w:val="002C075F"/>
    <w:rsid w:val="002C07B9"/>
    <w:rsid w:val="002C0B7D"/>
    <w:rsid w:val="002C11A8"/>
    <w:rsid w:val="002C11B7"/>
    <w:rsid w:val="002C1D33"/>
    <w:rsid w:val="002C1E4A"/>
    <w:rsid w:val="002C2296"/>
    <w:rsid w:val="002C241E"/>
    <w:rsid w:val="002C2510"/>
    <w:rsid w:val="002C26C3"/>
    <w:rsid w:val="002C2775"/>
    <w:rsid w:val="002C27C1"/>
    <w:rsid w:val="002C28AE"/>
    <w:rsid w:val="002C2C7F"/>
    <w:rsid w:val="002C2DD7"/>
    <w:rsid w:val="002C2E2B"/>
    <w:rsid w:val="002C3572"/>
    <w:rsid w:val="002C36E3"/>
    <w:rsid w:val="002C3C82"/>
    <w:rsid w:val="002C3D90"/>
    <w:rsid w:val="002C3FF4"/>
    <w:rsid w:val="002C448C"/>
    <w:rsid w:val="002C47B7"/>
    <w:rsid w:val="002C48B4"/>
    <w:rsid w:val="002C5099"/>
    <w:rsid w:val="002C52A9"/>
    <w:rsid w:val="002C5586"/>
    <w:rsid w:val="002C575F"/>
    <w:rsid w:val="002C5810"/>
    <w:rsid w:val="002C5889"/>
    <w:rsid w:val="002C5917"/>
    <w:rsid w:val="002C59A9"/>
    <w:rsid w:val="002C62E0"/>
    <w:rsid w:val="002C6326"/>
    <w:rsid w:val="002C636B"/>
    <w:rsid w:val="002C63D0"/>
    <w:rsid w:val="002C67CD"/>
    <w:rsid w:val="002C6BE9"/>
    <w:rsid w:val="002C701C"/>
    <w:rsid w:val="002C71CE"/>
    <w:rsid w:val="002C79DB"/>
    <w:rsid w:val="002C7C9A"/>
    <w:rsid w:val="002D0788"/>
    <w:rsid w:val="002D08F8"/>
    <w:rsid w:val="002D0DE9"/>
    <w:rsid w:val="002D1355"/>
    <w:rsid w:val="002D1800"/>
    <w:rsid w:val="002D1ADF"/>
    <w:rsid w:val="002D1F77"/>
    <w:rsid w:val="002D209E"/>
    <w:rsid w:val="002D24EA"/>
    <w:rsid w:val="002D3034"/>
    <w:rsid w:val="002D3211"/>
    <w:rsid w:val="002D344C"/>
    <w:rsid w:val="002D3813"/>
    <w:rsid w:val="002D3E4A"/>
    <w:rsid w:val="002D40EE"/>
    <w:rsid w:val="002D4A3B"/>
    <w:rsid w:val="002D4F71"/>
    <w:rsid w:val="002D4F97"/>
    <w:rsid w:val="002D5046"/>
    <w:rsid w:val="002D51F6"/>
    <w:rsid w:val="002D52D5"/>
    <w:rsid w:val="002D5417"/>
    <w:rsid w:val="002D54E4"/>
    <w:rsid w:val="002D577C"/>
    <w:rsid w:val="002D6097"/>
    <w:rsid w:val="002D6760"/>
    <w:rsid w:val="002D69D3"/>
    <w:rsid w:val="002D6DD6"/>
    <w:rsid w:val="002D6F3C"/>
    <w:rsid w:val="002D733A"/>
    <w:rsid w:val="002D7832"/>
    <w:rsid w:val="002D7E80"/>
    <w:rsid w:val="002E0049"/>
    <w:rsid w:val="002E06DA"/>
    <w:rsid w:val="002E0728"/>
    <w:rsid w:val="002E0CCA"/>
    <w:rsid w:val="002E0D43"/>
    <w:rsid w:val="002E0FA0"/>
    <w:rsid w:val="002E1071"/>
    <w:rsid w:val="002E1091"/>
    <w:rsid w:val="002E15B9"/>
    <w:rsid w:val="002E1640"/>
    <w:rsid w:val="002E1944"/>
    <w:rsid w:val="002E1ABC"/>
    <w:rsid w:val="002E1B02"/>
    <w:rsid w:val="002E1EF1"/>
    <w:rsid w:val="002E2158"/>
    <w:rsid w:val="002E2305"/>
    <w:rsid w:val="002E2634"/>
    <w:rsid w:val="002E287F"/>
    <w:rsid w:val="002E2BC4"/>
    <w:rsid w:val="002E2E72"/>
    <w:rsid w:val="002E300F"/>
    <w:rsid w:val="002E37FA"/>
    <w:rsid w:val="002E3ECD"/>
    <w:rsid w:val="002E3EED"/>
    <w:rsid w:val="002E3F22"/>
    <w:rsid w:val="002E41B7"/>
    <w:rsid w:val="002E44E0"/>
    <w:rsid w:val="002E4B13"/>
    <w:rsid w:val="002E4CA0"/>
    <w:rsid w:val="002E4DEA"/>
    <w:rsid w:val="002E4F02"/>
    <w:rsid w:val="002E5709"/>
    <w:rsid w:val="002E580C"/>
    <w:rsid w:val="002E602F"/>
    <w:rsid w:val="002E631D"/>
    <w:rsid w:val="002E6C33"/>
    <w:rsid w:val="002E6F2A"/>
    <w:rsid w:val="002E7722"/>
    <w:rsid w:val="002E7B40"/>
    <w:rsid w:val="002E7F97"/>
    <w:rsid w:val="002F03DE"/>
    <w:rsid w:val="002F07BA"/>
    <w:rsid w:val="002F0A4A"/>
    <w:rsid w:val="002F0DA9"/>
    <w:rsid w:val="002F1014"/>
    <w:rsid w:val="002F1E3B"/>
    <w:rsid w:val="002F2037"/>
    <w:rsid w:val="002F3002"/>
    <w:rsid w:val="002F30B2"/>
    <w:rsid w:val="002F3AEF"/>
    <w:rsid w:val="002F3C46"/>
    <w:rsid w:val="002F45CA"/>
    <w:rsid w:val="002F477F"/>
    <w:rsid w:val="002F4D19"/>
    <w:rsid w:val="002F4F41"/>
    <w:rsid w:val="002F5086"/>
    <w:rsid w:val="002F53C2"/>
    <w:rsid w:val="002F57A3"/>
    <w:rsid w:val="002F5B4C"/>
    <w:rsid w:val="002F5EAC"/>
    <w:rsid w:val="002F5F80"/>
    <w:rsid w:val="002F634D"/>
    <w:rsid w:val="002F643C"/>
    <w:rsid w:val="002F68C1"/>
    <w:rsid w:val="002F6ABB"/>
    <w:rsid w:val="002F71C0"/>
    <w:rsid w:val="002F74F1"/>
    <w:rsid w:val="002F77B3"/>
    <w:rsid w:val="002F78C7"/>
    <w:rsid w:val="002F78E9"/>
    <w:rsid w:val="002F7AAC"/>
    <w:rsid w:val="002F7B07"/>
    <w:rsid w:val="002F7C6C"/>
    <w:rsid w:val="003006A1"/>
    <w:rsid w:val="00300717"/>
    <w:rsid w:val="003007BD"/>
    <w:rsid w:val="00301017"/>
    <w:rsid w:val="003011AE"/>
    <w:rsid w:val="00301414"/>
    <w:rsid w:val="0030155F"/>
    <w:rsid w:val="00301EE5"/>
    <w:rsid w:val="003020F0"/>
    <w:rsid w:val="00302A73"/>
    <w:rsid w:val="00302F95"/>
    <w:rsid w:val="003032F3"/>
    <w:rsid w:val="0030345E"/>
    <w:rsid w:val="00303545"/>
    <w:rsid w:val="00303C27"/>
    <w:rsid w:val="00303EC5"/>
    <w:rsid w:val="0030432C"/>
    <w:rsid w:val="00304864"/>
    <w:rsid w:val="003048EF"/>
    <w:rsid w:val="0030587B"/>
    <w:rsid w:val="0030646E"/>
    <w:rsid w:val="003064CB"/>
    <w:rsid w:val="003066DA"/>
    <w:rsid w:val="003067BF"/>
    <w:rsid w:val="00306835"/>
    <w:rsid w:val="00306CE7"/>
    <w:rsid w:val="00306D98"/>
    <w:rsid w:val="00306EDC"/>
    <w:rsid w:val="00306F9F"/>
    <w:rsid w:val="00307109"/>
    <w:rsid w:val="0030737D"/>
    <w:rsid w:val="0030786C"/>
    <w:rsid w:val="0030791A"/>
    <w:rsid w:val="003079A5"/>
    <w:rsid w:val="0031031A"/>
    <w:rsid w:val="00310478"/>
    <w:rsid w:val="00310981"/>
    <w:rsid w:val="003111F8"/>
    <w:rsid w:val="00311244"/>
    <w:rsid w:val="00311614"/>
    <w:rsid w:val="00311D9B"/>
    <w:rsid w:val="003123A3"/>
    <w:rsid w:val="003124CC"/>
    <w:rsid w:val="003124D9"/>
    <w:rsid w:val="00312594"/>
    <w:rsid w:val="0031269A"/>
    <w:rsid w:val="0031298A"/>
    <w:rsid w:val="00313374"/>
    <w:rsid w:val="003142D8"/>
    <w:rsid w:val="0031499D"/>
    <w:rsid w:val="003150B7"/>
    <w:rsid w:val="00315269"/>
    <w:rsid w:val="00315498"/>
    <w:rsid w:val="00315C11"/>
    <w:rsid w:val="00315CA4"/>
    <w:rsid w:val="00315CD4"/>
    <w:rsid w:val="00316287"/>
    <w:rsid w:val="00316452"/>
    <w:rsid w:val="00316474"/>
    <w:rsid w:val="0031692D"/>
    <w:rsid w:val="00316A04"/>
    <w:rsid w:val="003170D3"/>
    <w:rsid w:val="00317118"/>
    <w:rsid w:val="00317372"/>
    <w:rsid w:val="00320021"/>
    <w:rsid w:val="003203DD"/>
    <w:rsid w:val="00320449"/>
    <w:rsid w:val="00320BB4"/>
    <w:rsid w:val="00321174"/>
    <w:rsid w:val="003212FB"/>
    <w:rsid w:val="003213E1"/>
    <w:rsid w:val="00322107"/>
    <w:rsid w:val="00322355"/>
    <w:rsid w:val="00322455"/>
    <w:rsid w:val="003225EA"/>
    <w:rsid w:val="00322846"/>
    <w:rsid w:val="003229DA"/>
    <w:rsid w:val="00322D71"/>
    <w:rsid w:val="0032350A"/>
    <w:rsid w:val="0032358C"/>
    <w:rsid w:val="003235B5"/>
    <w:rsid w:val="00323780"/>
    <w:rsid w:val="00323BBE"/>
    <w:rsid w:val="00323FE4"/>
    <w:rsid w:val="00324460"/>
    <w:rsid w:val="003247D7"/>
    <w:rsid w:val="00325296"/>
    <w:rsid w:val="00325455"/>
    <w:rsid w:val="00325763"/>
    <w:rsid w:val="00325783"/>
    <w:rsid w:val="00325CE8"/>
    <w:rsid w:val="00326A14"/>
    <w:rsid w:val="00326DA7"/>
    <w:rsid w:val="00327047"/>
    <w:rsid w:val="003270E4"/>
    <w:rsid w:val="003275F8"/>
    <w:rsid w:val="00327B22"/>
    <w:rsid w:val="00327C3E"/>
    <w:rsid w:val="00327F03"/>
    <w:rsid w:val="003300D7"/>
    <w:rsid w:val="00330A1B"/>
    <w:rsid w:val="00330A4A"/>
    <w:rsid w:val="00330B43"/>
    <w:rsid w:val="00330DAA"/>
    <w:rsid w:val="00330E50"/>
    <w:rsid w:val="00330F5C"/>
    <w:rsid w:val="003311AA"/>
    <w:rsid w:val="0033123E"/>
    <w:rsid w:val="00331B02"/>
    <w:rsid w:val="00332876"/>
    <w:rsid w:val="00332B4A"/>
    <w:rsid w:val="00332F7A"/>
    <w:rsid w:val="00333380"/>
    <w:rsid w:val="00333837"/>
    <w:rsid w:val="00333A28"/>
    <w:rsid w:val="00334850"/>
    <w:rsid w:val="00334BD3"/>
    <w:rsid w:val="00335806"/>
    <w:rsid w:val="00335C7B"/>
    <w:rsid w:val="00336490"/>
    <w:rsid w:val="003366C9"/>
    <w:rsid w:val="00336FAC"/>
    <w:rsid w:val="003371B0"/>
    <w:rsid w:val="00337872"/>
    <w:rsid w:val="00337B6D"/>
    <w:rsid w:val="003403AC"/>
    <w:rsid w:val="003403DA"/>
    <w:rsid w:val="00340545"/>
    <w:rsid w:val="00340DF1"/>
    <w:rsid w:val="00341592"/>
    <w:rsid w:val="00341943"/>
    <w:rsid w:val="0034201C"/>
    <w:rsid w:val="00343232"/>
    <w:rsid w:val="0034363D"/>
    <w:rsid w:val="00344070"/>
    <w:rsid w:val="00344344"/>
    <w:rsid w:val="003443B5"/>
    <w:rsid w:val="0034485C"/>
    <w:rsid w:val="0034493C"/>
    <w:rsid w:val="00344D5E"/>
    <w:rsid w:val="00345666"/>
    <w:rsid w:val="00345BBE"/>
    <w:rsid w:val="00346219"/>
    <w:rsid w:val="00346312"/>
    <w:rsid w:val="00346AE7"/>
    <w:rsid w:val="003470F5"/>
    <w:rsid w:val="00347125"/>
    <w:rsid w:val="003472AF"/>
    <w:rsid w:val="00347E75"/>
    <w:rsid w:val="0035002C"/>
    <w:rsid w:val="003500F9"/>
    <w:rsid w:val="003501C0"/>
    <w:rsid w:val="0035028D"/>
    <w:rsid w:val="0035057E"/>
    <w:rsid w:val="00350B30"/>
    <w:rsid w:val="00350DFA"/>
    <w:rsid w:val="00350EA6"/>
    <w:rsid w:val="0035153B"/>
    <w:rsid w:val="003517F9"/>
    <w:rsid w:val="0035199C"/>
    <w:rsid w:val="00351BA9"/>
    <w:rsid w:val="00352225"/>
    <w:rsid w:val="00352616"/>
    <w:rsid w:val="00352EEB"/>
    <w:rsid w:val="003537E7"/>
    <w:rsid w:val="00353863"/>
    <w:rsid w:val="00353C9D"/>
    <w:rsid w:val="00353D34"/>
    <w:rsid w:val="00353F41"/>
    <w:rsid w:val="00353FA4"/>
    <w:rsid w:val="00354070"/>
    <w:rsid w:val="003541DC"/>
    <w:rsid w:val="00354552"/>
    <w:rsid w:val="0035456C"/>
    <w:rsid w:val="003545C0"/>
    <w:rsid w:val="0035460E"/>
    <w:rsid w:val="00354684"/>
    <w:rsid w:val="00354868"/>
    <w:rsid w:val="00354F64"/>
    <w:rsid w:val="00354F95"/>
    <w:rsid w:val="00354FA7"/>
    <w:rsid w:val="00355C33"/>
    <w:rsid w:val="00355FF1"/>
    <w:rsid w:val="0035620E"/>
    <w:rsid w:val="00356A70"/>
    <w:rsid w:val="00356EF7"/>
    <w:rsid w:val="00357075"/>
    <w:rsid w:val="00357171"/>
    <w:rsid w:val="00357561"/>
    <w:rsid w:val="003575BE"/>
    <w:rsid w:val="003575BF"/>
    <w:rsid w:val="00357EE3"/>
    <w:rsid w:val="00360345"/>
    <w:rsid w:val="003618D6"/>
    <w:rsid w:val="00361A05"/>
    <w:rsid w:val="00361B94"/>
    <w:rsid w:val="00361D85"/>
    <w:rsid w:val="00361EB6"/>
    <w:rsid w:val="00361F18"/>
    <w:rsid w:val="00361F3F"/>
    <w:rsid w:val="00361F48"/>
    <w:rsid w:val="00361FA2"/>
    <w:rsid w:val="00361FD7"/>
    <w:rsid w:val="00362364"/>
    <w:rsid w:val="0036247D"/>
    <w:rsid w:val="003624C4"/>
    <w:rsid w:val="003626D7"/>
    <w:rsid w:val="0036371C"/>
    <w:rsid w:val="00363B00"/>
    <w:rsid w:val="003648BA"/>
    <w:rsid w:val="00364F7A"/>
    <w:rsid w:val="003653DC"/>
    <w:rsid w:val="003654AC"/>
    <w:rsid w:val="00365852"/>
    <w:rsid w:val="003659DA"/>
    <w:rsid w:val="00365CB6"/>
    <w:rsid w:val="00366726"/>
    <w:rsid w:val="003668AE"/>
    <w:rsid w:val="00366E7B"/>
    <w:rsid w:val="003672C8"/>
    <w:rsid w:val="00367840"/>
    <w:rsid w:val="00367C93"/>
    <w:rsid w:val="0037019B"/>
    <w:rsid w:val="00370225"/>
    <w:rsid w:val="0037082D"/>
    <w:rsid w:val="00370B0F"/>
    <w:rsid w:val="00370F23"/>
    <w:rsid w:val="003710CF"/>
    <w:rsid w:val="00371798"/>
    <w:rsid w:val="00371A13"/>
    <w:rsid w:val="00371C7C"/>
    <w:rsid w:val="0037227D"/>
    <w:rsid w:val="00372463"/>
    <w:rsid w:val="0037261E"/>
    <w:rsid w:val="00372A47"/>
    <w:rsid w:val="0037358A"/>
    <w:rsid w:val="003737CA"/>
    <w:rsid w:val="0037381A"/>
    <w:rsid w:val="0037398E"/>
    <w:rsid w:val="003739C9"/>
    <w:rsid w:val="00373C64"/>
    <w:rsid w:val="003741A3"/>
    <w:rsid w:val="003745C5"/>
    <w:rsid w:val="003749CA"/>
    <w:rsid w:val="00374B50"/>
    <w:rsid w:val="00374BB6"/>
    <w:rsid w:val="003750F6"/>
    <w:rsid w:val="00375B24"/>
    <w:rsid w:val="00375E77"/>
    <w:rsid w:val="003760FC"/>
    <w:rsid w:val="00376353"/>
    <w:rsid w:val="00376902"/>
    <w:rsid w:val="00376A7C"/>
    <w:rsid w:val="0037704C"/>
    <w:rsid w:val="0037740E"/>
    <w:rsid w:val="003778F8"/>
    <w:rsid w:val="003779D3"/>
    <w:rsid w:val="00381081"/>
    <w:rsid w:val="003819AA"/>
    <w:rsid w:val="00381FF5"/>
    <w:rsid w:val="003820EB"/>
    <w:rsid w:val="00382185"/>
    <w:rsid w:val="003823D1"/>
    <w:rsid w:val="0038253F"/>
    <w:rsid w:val="0038281B"/>
    <w:rsid w:val="003829D7"/>
    <w:rsid w:val="00382E71"/>
    <w:rsid w:val="00382FA8"/>
    <w:rsid w:val="0038365C"/>
    <w:rsid w:val="0038369B"/>
    <w:rsid w:val="003836FA"/>
    <w:rsid w:val="00383976"/>
    <w:rsid w:val="00383B78"/>
    <w:rsid w:val="00384268"/>
    <w:rsid w:val="003847E1"/>
    <w:rsid w:val="00384A6F"/>
    <w:rsid w:val="00384F5A"/>
    <w:rsid w:val="00384FEB"/>
    <w:rsid w:val="00385412"/>
    <w:rsid w:val="0038544D"/>
    <w:rsid w:val="00385A9D"/>
    <w:rsid w:val="00385D5D"/>
    <w:rsid w:val="00385FDC"/>
    <w:rsid w:val="003870CF"/>
    <w:rsid w:val="00387121"/>
    <w:rsid w:val="0038718D"/>
    <w:rsid w:val="00387418"/>
    <w:rsid w:val="00387436"/>
    <w:rsid w:val="00387492"/>
    <w:rsid w:val="00387833"/>
    <w:rsid w:val="00387863"/>
    <w:rsid w:val="00387ACD"/>
    <w:rsid w:val="00387D57"/>
    <w:rsid w:val="003902B1"/>
    <w:rsid w:val="003903E4"/>
    <w:rsid w:val="003906F1"/>
    <w:rsid w:val="0039078D"/>
    <w:rsid w:val="00390B51"/>
    <w:rsid w:val="00390C5A"/>
    <w:rsid w:val="00391044"/>
    <w:rsid w:val="003913AB"/>
    <w:rsid w:val="00391648"/>
    <w:rsid w:val="0039179C"/>
    <w:rsid w:val="00391933"/>
    <w:rsid w:val="003919AD"/>
    <w:rsid w:val="00392096"/>
    <w:rsid w:val="00392489"/>
    <w:rsid w:val="00392CAB"/>
    <w:rsid w:val="00392E40"/>
    <w:rsid w:val="00393E36"/>
    <w:rsid w:val="003942E7"/>
    <w:rsid w:val="0039484C"/>
    <w:rsid w:val="00395297"/>
    <w:rsid w:val="0039543F"/>
    <w:rsid w:val="00396051"/>
    <w:rsid w:val="00396568"/>
    <w:rsid w:val="00396823"/>
    <w:rsid w:val="00396896"/>
    <w:rsid w:val="00396AD3"/>
    <w:rsid w:val="00396EE9"/>
    <w:rsid w:val="00396FD0"/>
    <w:rsid w:val="00397445"/>
    <w:rsid w:val="0039782A"/>
    <w:rsid w:val="003978AB"/>
    <w:rsid w:val="003978EB"/>
    <w:rsid w:val="00397915"/>
    <w:rsid w:val="00397E0E"/>
    <w:rsid w:val="00397E47"/>
    <w:rsid w:val="00397F33"/>
    <w:rsid w:val="003A065E"/>
    <w:rsid w:val="003A0D25"/>
    <w:rsid w:val="003A11B0"/>
    <w:rsid w:val="003A13E5"/>
    <w:rsid w:val="003A165A"/>
    <w:rsid w:val="003A1924"/>
    <w:rsid w:val="003A1A7A"/>
    <w:rsid w:val="003A2378"/>
    <w:rsid w:val="003A2392"/>
    <w:rsid w:val="003A2757"/>
    <w:rsid w:val="003A2831"/>
    <w:rsid w:val="003A296A"/>
    <w:rsid w:val="003A2CBC"/>
    <w:rsid w:val="003A308E"/>
    <w:rsid w:val="003A31E2"/>
    <w:rsid w:val="003A33F2"/>
    <w:rsid w:val="003A3CB6"/>
    <w:rsid w:val="003A3ED1"/>
    <w:rsid w:val="003A40FC"/>
    <w:rsid w:val="003A44DB"/>
    <w:rsid w:val="003A4520"/>
    <w:rsid w:val="003A49AB"/>
    <w:rsid w:val="003A4B77"/>
    <w:rsid w:val="003A4C14"/>
    <w:rsid w:val="003A5525"/>
    <w:rsid w:val="003A6289"/>
    <w:rsid w:val="003A63BF"/>
    <w:rsid w:val="003A647B"/>
    <w:rsid w:val="003A64B2"/>
    <w:rsid w:val="003A726C"/>
    <w:rsid w:val="003A72F9"/>
    <w:rsid w:val="003A77F6"/>
    <w:rsid w:val="003A7F48"/>
    <w:rsid w:val="003B002F"/>
    <w:rsid w:val="003B0053"/>
    <w:rsid w:val="003B0D4A"/>
    <w:rsid w:val="003B10E5"/>
    <w:rsid w:val="003B1288"/>
    <w:rsid w:val="003B169F"/>
    <w:rsid w:val="003B1A2A"/>
    <w:rsid w:val="003B1AC7"/>
    <w:rsid w:val="003B1E4D"/>
    <w:rsid w:val="003B1E60"/>
    <w:rsid w:val="003B1F5B"/>
    <w:rsid w:val="003B2049"/>
    <w:rsid w:val="003B2FA5"/>
    <w:rsid w:val="003B3051"/>
    <w:rsid w:val="003B3089"/>
    <w:rsid w:val="003B3365"/>
    <w:rsid w:val="003B371B"/>
    <w:rsid w:val="003B3971"/>
    <w:rsid w:val="003B3C1A"/>
    <w:rsid w:val="003B4D1D"/>
    <w:rsid w:val="003B55D1"/>
    <w:rsid w:val="003B5B61"/>
    <w:rsid w:val="003B6287"/>
    <w:rsid w:val="003B62D1"/>
    <w:rsid w:val="003B62DA"/>
    <w:rsid w:val="003B6555"/>
    <w:rsid w:val="003B65BC"/>
    <w:rsid w:val="003B76E8"/>
    <w:rsid w:val="003B7FA4"/>
    <w:rsid w:val="003C0127"/>
    <w:rsid w:val="003C0F77"/>
    <w:rsid w:val="003C10B0"/>
    <w:rsid w:val="003C137E"/>
    <w:rsid w:val="003C1654"/>
    <w:rsid w:val="003C19F8"/>
    <w:rsid w:val="003C1B19"/>
    <w:rsid w:val="003C1DCB"/>
    <w:rsid w:val="003C21BC"/>
    <w:rsid w:val="003C2400"/>
    <w:rsid w:val="003C2889"/>
    <w:rsid w:val="003C2D83"/>
    <w:rsid w:val="003C2F91"/>
    <w:rsid w:val="003C3465"/>
    <w:rsid w:val="003C38FF"/>
    <w:rsid w:val="003C41C5"/>
    <w:rsid w:val="003C45AB"/>
    <w:rsid w:val="003C4C81"/>
    <w:rsid w:val="003C4DC7"/>
    <w:rsid w:val="003C5542"/>
    <w:rsid w:val="003C559A"/>
    <w:rsid w:val="003C5686"/>
    <w:rsid w:val="003C5775"/>
    <w:rsid w:val="003C6563"/>
    <w:rsid w:val="003C6BEF"/>
    <w:rsid w:val="003C6BF8"/>
    <w:rsid w:val="003C6E38"/>
    <w:rsid w:val="003C739E"/>
    <w:rsid w:val="003C7773"/>
    <w:rsid w:val="003C7850"/>
    <w:rsid w:val="003C7C09"/>
    <w:rsid w:val="003C7C15"/>
    <w:rsid w:val="003C7D19"/>
    <w:rsid w:val="003C7D2F"/>
    <w:rsid w:val="003D0161"/>
    <w:rsid w:val="003D07EB"/>
    <w:rsid w:val="003D088C"/>
    <w:rsid w:val="003D0B23"/>
    <w:rsid w:val="003D0C5A"/>
    <w:rsid w:val="003D0F9C"/>
    <w:rsid w:val="003D112E"/>
    <w:rsid w:val="003D140B"/>
    <w:rsid w:val="003D16F1"/>
    <w:rsid w:val="003D1828"/>
    <w:rsid w:val="003D1868"/>
    <w:rsid w:val="003D1ABE"/>
    <w:rsid w:val="003D1DE4"/>
    <w:rsid w:val="003D1E9A"/>
    <w:rsid w:val="003D22BB"/>
    <w:rsid w:val="003D2422"/>
    <w:rsid w:val="003D2788"/>
    <w:rsid w:val="003D2CC0"/>
    <w:rsid w:val="003D3068"/>
    <w:rsid w:val="003D30A3"/>
    <w:rsid w:val="003D3803"/>
    <w:rsid w:val="003D3995"/>
    <w:rsid w:val="003D39A1"/>
    <w:rsid w:val="003D3FBF"/>
    <w:rsid w:val="003D42D2"/>
    <w:rsid w:val="003D459C"/>
    <w:rsid w:val="003D466E"/>
    <w:rsid w:val="003D4710"/>
    <w:rsid w:val="003D4994"/>
    <w:rsid w:val="003D4A30"/>
    <w:rsid w:val="003D4F7B"/>
    <w:rsid w:val="003D5093"/>
    <w:rsid w:val="003D5556"/>
    <w:rsid w:val="003D58DB"/>
    <w:rsid w:val="003D6DB3"/>
    <w:rsid w:val="003D7452"/>
    <w:rsid w:val="003D79BB"/>
    <w:rsid w:val="003D7C98"/>
    <w:rsid w:val="003D7D9D"/>
    <w:rsid w:val="003D7DA9"/>
    <w:rsid w:val="003E028A"/>
    <w:rsid w:val="003E0543"/>
    <w:rsid w:val="003E0786"/>
    <w:rsid w:val="003E11F2"/>
    <w:rsid w:val="003E130F"/>
    <w:rsid w:val="003E1785"/>
    <w:rsid w:val="003E1855"/>
    <w:rsid w:val="003E1B45"/>
    <w:rsid w:val="003E2230"/>
    <w:rsid w:val="003E2299"/>
    <w:rsid w:val="003E2508"/>
    <w:rsid w:val="003E27E7"/>
    <w:rsid w:val="003E2AEC"/>
    <w:rsid w:val="003E31CF"/>
    <w:rsid w:val="003E3402"/>
    <w:rsid w:val="003E3629"/>
    <w:rsid w:val="003E39B6"/>
    <w:rsid w:val="003E3B75"/>
    <w:rsid w:val="003E3CBB"/>
    <w:rsid w:val="003E405C"/>
    <w:rsid w:val="003E42C9"/>
    <w:rsid w:val="003E4634"/>
    <w:rsid w:val="003E4BD4"/>
    <w:rsid w:val="003E4E89"/>
    <w:rsid w:val="003E5603"/>
    <w:rsid w:val="003E5C16"/>
    <w:rsid w:val="003E5FA0"/>
    <w:rsid w:val="003E6BD9"/>
    <w:rsid w:val="003E70AE"/>
    <w:rsid w:val="003E742F"/>
    <w:rsid w:val="003E744A"/>
    <w:rsid w:val="003E749E"/>
    <w:rsid w:val="003E7785"/>
    <w:rsid w:val="003F01BC"/>
    <w:rsid w:val="003F029F"/>
    <w:rsid w:val="003F05B3"/>
    <w:rsid w:val="003F07E4"/>
    <w:rsid w:val="003F082E"/>
    <w:rsid w:val="003F0B01"/>
    <w:rsid w:val="003F12F1"/>
    <w:rsid w:val="003F261F"/>
    <w:rsid w:val="003F2722"/>
    <w:rsid w:val="003F273D"/>
    <w:rsid w:val="003F2B05"/>
    <w:rsid w:val="003F2BA6"/>
    <w:rsid w:val="003F307A"/>
    <w:rsid w:val="003F31D3"/>
    <w:rsid w:val="003F37F9"/>
    <w:rsid w:val="003F39F8"/>
    <w:rsid w:val="003F3D60"/>
    <w:rsid w:val="003F4156"/>
    <w:rsid w:val="003F4196"/>
    <w:rsid w:val="003F48E2"/>
    <w:rsid w:val="003F4A72"/>
    <w:rsid w:val="003F4A90"/>
    <w:rsid w:val="003F4EB1"/>
    <w:rsid w:val="003F4EFB"/>
    <w:rsid w:val="003F5545"/>
    <w:rsid w:val="003F55E8"/>
    <w:rsid w:val="003F5923"/>
    <w:rsid w:val="003F5ADF"/>
    <w:rsid w:val="003F5DA3"/>
    <w:rsid w:val="003F5E27"/>
    <w:rsid w:val="003F5F15"/>
    <w:rsid w:val="003F6213"/>
    <w:rsid w:val="003F64EB"/>
    <w:rsid w:val="003F65C6"/>
    <w:rsid w:val="003F678A"/>
    <w:rsid w:val="003F67E6"/>
    <w:rsid w:val="003F6847"/>
    <w:rsid w:val="003F6F9F"/>
    <w:rsid w:val="003F76CE"/>
    <w:rsid w:val="003F7712"/>
    <w:rsid w:val="003F7A79"/>
    <w:rsid w:val="00400166"/>
    <w:rsid w:val="004001A7"/>
    <w:rsid w:val="0040034E"/>
    <w:rsid w:val="0040052D"/>
    <w:rsid w:val="00400721"/>
    <w:rsid w:val="00400B29"/>
    <w:rsid w:val="0040106B"/>
    <w:rsid w:val="00401250"/>
    <w:rsid w:val="0040173D"/>
    <w:rsid w:val="00402158"/>
    <w:rsid w:val="00402812"/>
    <w:rsid w:val="00402916"/>
    <w:rsid w:val="00402B6E"/>
    <w:rsid w:val="0040322E"/>
    <w:rsid w:val="004032A8"/>
    <w:rsid w:val="00403D90"/>
    <w:rsid w:val="00403E92"/>
    <w:rsid w:val="00403EAC"/>
    <w:rsid w:val="004045DB"/>
    <w:rsid w:val="0040504B"/>
    <w:rsid w:val="00405626"/>
    <w:rsid w:val="004059F4"/>
    <w:rsid w:val="00405DE6"/>
    <w:rsid w:val="0040629A"/>
    <w:rsid w:val="004063C8"/>
    <w:rsid w:val="0040673A"/>
    <w:rsid w:val="00406B28"/>
    <w:rsid w:val="00406B96"/>
    <w:rsid w:val="00407077"/>
    <w:rsid w:val="0040707D"/>
    <w:rsid w:val="0040716F"/>
    <w:rsid w:val="0040753C"/>
    <w:rsid w:val="00407EF0"/>
    <w:rsid w:val="00407FE5"/>
    <w:rsid w:val="004101B0"/>
    <w:rsid w:val="00410326"/>
    <w:rsid w:val="00410708"/>
    <w:rsid w:val="00410938"/>
    <w:rsid w:val="0041098C"/>
    <w:rsid w:val="00410C34"/>
    <w:rsid w:val="00410C67"/>
    <w:rsid w:val="00410E4D"/>
    <w:rsid w:val="00410E7A"/>
    <w:rsid w:val="00410EC7"/>
    <w:rsid w:val="004110C7"/>
    <w:rsid w:val="004117F8"/>
    <w:rsid w:val="00411B39"/>
    <w:rsid w:val="00411E09"/>
    <w:rsid w:val="00411F2F"/>
    <w:rsid w:val="00412005"/>
    <w:rsid w:val="004127A7"/>
    <w:rsid w:val="004129AD"/>
    <w:rsid w:val="00412D96"/>
    <w:rsid w:val="004131B5"/>
    <w:rsid w:val="00413276"/>
    <w:rsid w:val="004134AD"/>
    <w:rsid w:val="004134F0"/>
    <w:rsid w:val="00413565"/>
    <w:rsid w:val="00413679"/>
    <w:rsid w:val="004138EF"/>
    <w:rsid w:val="00413A1E"/>
    <w:rsid w:val="00413B0B"/>
    <w:rsid w:val="00413C1B"/>
    <w:rsid w:val="00413E7A"/>
    <w:rsid w:val="00413F05"/>
    <w:rsid w:val="00414476"/>
    <w:rsid w:val="004149E9"/>
    <w:rsid w:val="00414C2E"/>
    <w:rsid w:val="004150CA"/>
    <w:rsid w:val="004151CF"/>
    <w:rsid w:val="00415433"/>
    <w:rsid w:val="00415981"/>
    <w:rsid w:val="00415AD1"/>
    <w:rsid w:val="00415CD5"/>
    <w:rsid w:val="0041609C"/>
    <w:rsid w:val="00416138"/>
    <w:rsid w:val="00416364"/>
    <w:rsid w:val="004163FF"/>
    <w:rsid w:val="00416741"/>
    <w:rsid w:val="0041695F"/>
    <w:rsid w:val="00416CBE"/>
    <w:rsid w:val="004172EA"/>
    <w:rsid w:val="00417547"/>
    <w:rsid w:val="00420376"/>
    <w:rsid w:val="0042047F"/>
    <w:rsid w:val="00420815"/>
    <w:rsid w:val="00420863"/>
    <w:rsid w:val="00420AA6"/>
    <w:rsid w:val="00420B9F"/>
    <w:rsid w:val="0042175F"/>
    <w:rsid w:val="0042192C"/>
    <w:rsid w:val="00421A74"/>
    <w:rsid w:val="00422260"/>
    <w:rsid w:val="0042271F"/>
    <w:rsid w:val="004229DB"/>
    <w:rsid w:val="0042300B"/>
    <w:rsid w:val="00423DD7"/>
    <w:rsid w:val="00423EEF"/>
    <w:rsid w:val="0042413F"/>
    <w:rsid w:val="004245AD"/>
    <w:rsid w:val="0042469B"/>
    <w:rsid w:val="00424C16"/>
    <w:rsid w:val="004254B8"/>
    <w:rsid w:val="004257D9"/>
    <w:rsid w:val="00425D90"/>
    <w:rsid w:val="00426047"/>
    <w:rsid w:val="0042695C"/>
    <w:rsid w:val="00426ABD"/>
    <w:rsid w:val="0042735E"/>
    <w:rsid w:val="004273B7"/>
    <w:rsid w:val="00427413"/>
    <w:rsid w:val="00427B53"/>
    <w:rsid w:val="00427B74"/>
    <w:rsid w:val="00427DC4"/>
    <w:rsid w:val="0043035E"/>
    <w:rsid w:val="00430953"/>
    <w:rsid w:val="00430D3E"/>
    <w:rsid w:val="004312D4"/>
    <w:rsid w:val="004315ED"/>
    <w:rsid w:val="004319F8"/>
    <w:rsid w:val="00431B9D"/>
    <w:rsid w:val="00431E55"/>
    <w:rsid w:val="004321F6"/>
    <w:rsid w:val="004323FE"/>
    <w:rsid w:val="004325F8"/>
    <w:rsid w:val="00432A42"/>
    <w:rsid w:val="00433044"/>
    <w:rsid w:val="0043338C"/>
    <w:rsid w:val="004335A9"/>
    <w:rsid w:val="0043388B"/>
    <w:rsid w:val="004339B7"/>
    <w:rsid w:val="00433C2E"/>
    <w:rsid w:val="00433CA6"/>
    <w:rsid w:val="00434088"/>
    <w:rsid w:val="004343CF"/>
    <w:rsid w:val="0043454D"/>
    <w:rsid w:val="00434828"/>
    <w:rsid w:val="00434944"/>
    <w:rsid w:val="00435513"/>
    <w:rsid w:val="00435CE6"/>
    <w:rsid w:val="00435E87"/>
    <w:rsid w:val="00435F72"/>
    <w:rsid w:val="00436230"/>
    <w:rsid w:val="00436799"/>
    <w:rsid w:val="00437050"/>
    <w:rsid w:val="004374AF"/>
    <w:rsid w:val="004375B9"/>
    <w:rsid w:val="0043777F"/>
    <w:rsid w:val="00437EB1"/>
    <w:rsid w:val="00441676"/>
    <w:rsid w:val="00441F83"/>
    <w:rsid w:val="004428D0"/>
    <w:rsid w:val="00443380"/>
    <w:rsid w:val="00443451"/>
    <w:rsid w:val="0044370C"/>
    <w:rsid w:val="00443793"/>
    <w:rsid w:val="004437CC"/>
    <w:rsid w:val="00443C5C"/>
    <w:rsid w:val="00443D1B"/>
    <w:rsid w:val="00443F1D"/>
    <w:rsid w:val="00444185"/>
    <w:rsid w:val="004443A7"/>
    <w:rsid w:val="0044442C"/>
    <w:rsid w:val="004447CD"/>
    <w:rsid w:val="00444816"/>
    <w:rsid w:val="00444BAC"/>
    <w:rsid w:val="00445045"/>
    <w:rsid w:val="0044507A"/>
    <w:rsid w:val="0044591C"/>
    <w:rsid w:val="00445941"/>
    <w:rsid w:val="0044597E"/>
    <w:rsid w:val="00446385"/>
    <w:rsid w:val="004464EB"/>
    <w:rsid w:val="004467DE"/>
    <w:rsid w:val="00446A1B"/>
    <w:rsid w:val="00446E55"/>
    <w:rsid w:val="004471BE"/>
    <w:rsid w:val="00447950"/>
    <w:rsid w:val="00447AB8"/>
    <w:rsid w:val="00447AC6"/>
    <w:rsid w:val="00447CF1"/>
    <w:rsid w:val="00447D26"/>
    <w:rsid w:val="00447DFC"/>
    <w:rsid w:val="0045035E"/>
    <w:rsid w:val="00450A5A"/>
    <w:rsid w:val="00450BD5"/>
    <w:rsid w:val="00450F50"/>
    <w:rsid w:val="00450F9C"/>
    <w:rsid w:val="00450FDD"/>
    <w:rsid w:val="00451424"/>
    <w:rsid w:val="00451FCE"/>
    <w:rsid w:val="00452642"/>
    <w:rsid w:val="00453182"/>
    <w:rsid w:val="00453814"/>
    <w:rsid w:val="00453C6E"/>
    <w:rsid w:val="00453E78"/>
    <w:rsid w:val="0045446E"/>
    <w:rsid w:val="004545E8"/>
    <w:rsid w:val="00454D05"/>
    <w:rsid w:val="00454E25"/>
    <w:rsid w:val="00454E34"/>
    <w:rsid w:val="00454EA7"/>
    <w:rsid w:val="00454F0F"/>
    <w:rsid w:val="004559F2"/>
    <w:rsid w:val="00455D45"/>
    <w:rsid w:val="00455DF6"/>
    <w:rsid w:val="00455EB5"/>
    <w:rsid w:val="004561AA"/>
    <w:rsid w:val="004561EB"/>
    <w:rsid w:val="004561F6"/>
    <w:rsid w:val="0045696D"/>
    <w:rsid w:val="00456B1F"/>
    <w:rsid w:val="00456C45"/>
    <w:rsid w:val="004579BB"/>
    <w:rsid w:val="00457ACA"/>
    <w:rsid w:val="00457E6F"/>
    <w:rsid w:val="00460527"/>
    <w:rsid w:val="00460651"/>
    <w:rsid w:val="00460768"/>
    <w:rsid w:val="00460C4A"/>
    <w:rsid w:val="00460D24"/>
    <w:rsid w:val="00461299"/>
    <w:rsid w:val="00461A61"/>
    <w:rsid w:val="00461D55"/>
    <w:rsid w:val="0046225C"/>
    <w:rsid w:val="00462D1D"/>
    <w:rsid w:val="00463702"/>
    <w:rsid w:val="00463806"/>
    <w:rsid w:val="00463B1E"/>
    <w:rsid w:val="00463F29"/>
    <w:rsid w:val="00464595"/>
    <w:rsid w:val="00464746"/>
    <w:rsid w:val="0046496C"/>
    <w:rsid w:val="004658B5"/>
    <w:rsid w:val="0046728A"/>
    <w:rsid w:val="00467837"/>
    <w:rsid w:val="00470FA9"/>
    <w:rsid w:val="004715DA"/>
    <w:rsid w:val="00471ABE"/>
    <w:rsid w:val="00471D9A"/>
    <w:rsid w:val="00471EA5"/>
    <w:rsid w:val="00472A0C"/>
    <w:rsid w:val="00472A79"/>
    <w:rsid w:val="004730CA"/>
    <w:rsid w:val="00473535"/>
    <w:rsid w:val="00473ABF"/>
    <w:rsid w:val="00473F19"/>
    <w:rsid w:val="004752DF"/>
    <w:rsid w:val="004756A7"/>
    <w:rsid w:val="004757E4"/>
    <w:rsid w:val="00475E22"/>
    <w:rsid w:val="00475EEB"/>
    <w:rsid w:val="00475F3D"/>
    <w:rsid w:val="00476357"/>
    <w:rsid w:val="00476E35"/>
    <w:rsid w:val="00477F94"/>
    <w:rsid w:val="00480064"/>
    <w:rsid w:val="0048033C"/>
    <w:rsid w:val="004803B0"/>
    <w:rsid w:val="0048088E"/>
    <w:rsid w:val="00480B93"/>
    <w:rsid w:val="00480EBC"/>
    <w:rsid w:val="00480F2B"/>
    <w:rsid w:val="0048102C"/>
    <w:rsid w:val="004817BB"/>
    <w:rsid w:val="004818D9"/>
    <w:rsid w:val="00482720"/>
    <w:rsid w:val="00482E81"/>
    <w:rsid w:val="0048306C"/>
    <w:rsid w:val="004832B3"/>
    <w:rsid w:val="004835E7"/>
    <w:rsid w:val="00483839"/>
    <w:rsid w:val="00483C40"/>
    <w:rsid w:val="00483C6D"/>
    <w:rsid w:val="00484090"/>
    <w:rsid w:val="00484175"/>
    <w:rsid w:val="004844D1"/>
    <w:rsid w:val="0048504E"/>
    <w:rsid w:val="004850A7"/>
    <w:rsid w:val="004859E1"/>
    <w:rsid w:val="00485AE8"/>
    <w:rsid w:val="00486575"/>
    <w:rsid w:val="004866E0"/>
    <w:rsid w:val="004867E2"/>
    <w:rsid w:val="00486944"/>
    <w:rsid w:val="00486FCD"/>
    <w:rsid w:val="004871D3"/>
    <w:rsid w:val="004873A2"/>
    <w:rsid w:val="004873CC"/>
    <w:rsid w:val="00487B04"/>
    <w:rsid w:val="004906B4"/>
    <w:rsid w:val="004908B7"/>
    <w:rsid w:val="00490B17"/>
    <w:rsid w:val="00490D59"/>
    <w:rsid w:val="00490DCB"/>
    <w:rsid w:val="004917A7"/>
    <w:rsid w:val="00491B3A"/>
    <w:rsid w:val="00491E07"/>
    <w:rsid w:val="0049259F"/>
    <w:rsid w:val="004928B9"/>
    <w:rsid w:val="00492CFD"/>
    <w:rsid w:val="00493359"/>
    <w:rsid w:val="00493E5B"/>
    <w:rsid w:val="00493F93"/>
    <w:rsid w:val="00494207"/>
    <w:rsid w:val="004943F9"/>
    <w:rsid w:val="0049483C"/>
    <w:rsid w:val="00494AB6"/>
    <w:rsid w:val="00494DD5"/>
    <w:rsid w:val="00495272"/>
    <w:rsid w:val="00495921"/>
    <w:rsid w:val="004962D2"/>
    <w:rsid w:val="00496406"/>
    <w:rsid w:val="004972CA"/>
    <w:rsid w:val="0049741F"/>
    <w:rsid w:val="004976E2"/>
    <w:rsid w:val="004979AB"/>
    <w:rsid w:val="004979C8"/>
    <w:rsid w:val="00497B39"/>
    <w:rsid w:val="00497F2E"/>
    <w:rsid w:val="00497F39"/>
    <w:rsid w:val="004A030E"/>
    <w:rsid w:val="004A082A"/>
    <w:rsid w:val="004A0DA1"/>
    <w:rsid w:val="004A0FA5"/>
    <w:rsid w:val="004A12AB"/>
    <w:rsid w:val="004A13D6"/>
    <w:rsid w:val="004A1D3E"/>
    <w:rsid w:val="004A1FCB"/>
    <w:rsid w:val="004A2D8F"/>
    <w:rsid w:val="004A2F60"/>
    <w:rsid w:val="004A39B4"/>
    <w:rsid w:val="004A3D01"/>
    <w:rsid w:val="004A3FED"/>
    <w:rsid w:val="004A4112"/>
    <w:rsid w:val="004A425F"/>
    <w:rsid w:val="004A429B"/>
    <w:rsid w:val="004A4492"/>
    <w:rsid w:val="004A4535"/>
    <w:rsid w:val="004A476B"/>
    <w:rsid w:val="004A4C12"/>
    <w:rsid w:val="004A52E9"/>
    <w:rsid w:val="004A53AE"/>
    <w:rsid w:val="004A5446"/>
    <w:rsid w:val="004A6040"/>
    <w:rsid w:val="004A6527"/>
    <w:rsid w:val="004A6597"/>
    <w:rsid w:val="004A699E"/>
    <w:rsid w:val="004A757C"/>
    <w:rsid w:val="004A7848"/>
    <w:rsid w:val="004A793B"/>
    <w:rsid w:val="004A7D79"/>
    <w:rsid w:val="004A7F14"/>
    <w:rsid w:val="004B0236"/>
    <w:rsid w:val="004B02AB"/>
    <w:rsid w:val="004B0B6E"/>
    <w:rsid w:val="004B0FA0"/>
    <w:rsid w:val="004B12AC"/>
    <w:rsid w:val="004B1724"/>
    <w:rsid w:val="004B190D"/>
    <w:rsid w:val="004B1CB1"/>
    <w:rsid w:val="004B1CB4"/>
    <w:rsid w:val="004B2314"/>
    <w:rsid w:val="004B27DF"/>
    <w:rsid w:val="004B2F18"/>
    <w:rsid w:val="004B3748"/>
    <w:rsid w:val="004B3DDB"/>
    <w:rsid w:val="004B3FCF"/>
    <w:rsid w:val="004B4273"/>
    <w:rsid w:val="004B44FD"/>
    <w:rsid w:val="004B4973"/>
    <w:rsid w:val="004B51A0"/>
    <w:rsid w:val="004B55BA"/>
    <w:rsid w:val="004B56C5"/>
    <w:rsid w:val="004B58CD"/>
    <w:rsid w:val="004B5CFC"/>
    <w:rsid w:val="004B658B"/>
    <w:rsid w:val="004B65D1"/>
    <w:rsid w:val="004B65D2"/>
    <w:rsid w:val="004B6F79"/>
    <w:rsid w:val="004B713B"/>
    <w:rsid w:val="004B767F"/>
    <w:rsid w:val="004B774D"/>
    <w:rsid w:val="004B7997"/>
    <w:rsid w:val="004C00B3"/>
    <w:rsid w:val="004C04D4"/>
    <w:rsid w:val="004C067B"/>
    <w:rsid w:val="004C0A30"/>
    <w:rsid w:val="004C1459"/>
    <w:rsid w:val="004C1569"/>
    <w:rsid w:val="004C17A3"/>
    <w:rsid w:val="004C1931"/>
    <w:rsid w:val="004C1FCA"/>
    <w:rsid w:val="004C23DC"/>
    <w:rsid w:val="004C2AC2"/>
    <w:rsid w:val="004C3124"/>
    <w:rsid w:val="004C3B8B"/>
    <w:rsid w:val="004C3C32"/>
    <w:rsid w:val="004C3E8B"/>
    <w:rsid w:val="004C417B"/>
    <w:rsid w:val="004C4343"/>
    <w:rsid w:val="004C4419"/>
    <w:rsid w:val="004C4AED"/>
    <w:rsid w:val="004C4BCA"/>
    <w:rsid w:val="004C4FC2"/>
    <w:rsid w:val="004C5077"/>
    <w:rsid w:val="004C5382"/>
    <w:rsid w:val="004C553B"/>
    <w:rsid w:val="004C5A85"/>
    <w:rsid w:val="004C6E07"/>
    <w:rsid w:val="004C7240"/>
    <w:rsid w:val="004C75CC"/>
    <w:rsid w:val="004C769B"/>
    <w:rsid w:val="004C7816"/>
    <w:rsid w:val="004C7999"/>
    <w:rsid w:val="004D0241"/>
    <w:rsid w:val="004D036D"/>
    <w:rsid w:val="004D09E5"/>
    <w:rsid w:val="004D0E89"/>
    <w:rsid w:val="004D0ECE"/>
    <w:rsid w:val="004D1C7F"/>
    <w:rsid w:val="004D20D8"/>
    <w:rsid w:val="004D238D"/>
    <w:rsid w:val="004D2C2D"/>
    <w:rsid w:val="004D2D61"/>
    <w:rsid w:val="004D32F2"/>
    <w:rsid w:val="004D37DE"/>
    <w:rsid w:val="004D391A"/>
    <w:rsid w:val="004D40E4"/>
    <w:rsid w:val="004D41F4"/>
    <w:rsid w:val="004D4369"/>
    <w:rsid w:val="004D490C"/>
    <w:rsid w:val="004D4AE9"/>
    <w:rsid w:val="004D4C85"/>
    <w:rsid w:val="004D5203"/>
    <w:rsid w:val="004D52EE"/>
    <w:rsid w:val="004D538E"/>
    <w:rsid w:val="004D5540"/>
    <w:rsid w:val="004D5B82"/>
    <w:rsid w:val="004D5C4E"/>
    <w:rsid w:val="004D65CA"/>
    <w:rsid w:val="004D677D"/>
    <w:rsid w:val="004D69B5"/>
    <w:rsid w:val="004D6A77"/>
    <w:rsid w:val="004D6ABA"/>
    <w:rsid w:val="004D6E7B"/>
    <w:rsid w:val="004D71CA"/>
    <w:rsid w:val="004D7227"/>
    <w:rsid w:val="004D7576"/>
    <w:rsid w:val="004D75FB"/>
    <w:rsid w:val="004D7664"/>
    <w:rsid w:val="004D7B5E"/>
    <w:rsid w:val="004E0D9E"/>
    <w:rsid w:val="004E0E7F"/>
    <w:rsid w:val="004E0EB8"/>
    <w:rsid w:val="004E18E9"/>
    <w:rsid w:val="004E1AA6"/>
    <w:rsid w:val="004E1C30"/>
    <w:rsid w:val="004E1CCD"/>
    <w:rsid w:val="004E2ADC"/>
    <w:rsid w:val="004E2C05"/>
    <w:rsid w:val="004E2D6D"/>
    <w:rsid w:val="004E32C4"/>
    <w:rsid w:val="004E34A0"/>
    <w:rsid w:val="004E3602"/>
    <w:rsid w:val="004E382C"/>
    <w:rsid w:val="004E3887"/>
    <w:rsid w:val="004E38C6"/>
    <w:rsid w:val="004E3E22"/>
    <w:rsid w:val="004E43B2"/>
    <w:rsid w:val="004E4635"/>
    <w:rsid w:val="004E4882"/>
    <w:rsid w:val="004E4E86"/>
    <w:rsid w:val="004E50B3"/>
    <w:rsid w:val="004E550C"/>
    <w:rsid w:val="004E61C2"/>
    <w:rsid w:val="004E629C"/>
    <w:rsid w:val="004E6516"/>
    <w:rsid w:val="004E6588"/>
    <w:rsid w:val="004E6C33"/>
    <w:rsid w:val="004E6CEF"/>
    <w:rsid w:val="004E6F3F"/>
    <w:rsid w:val="004E7293"/>
    <w:rsid w:val="004E73CF"/>
    <w:rsid w:val="004E7E86"/>
    <w:rsid w:val="004F0A20"/>
    <w:rsid w:val="004F0B30"/>
    <w:rsid w:val="004F0B7F"/>
    <w:rsid w:val="004F0C8A"/>
    <w:rsid w:val="004F0CF2"/>
    <w:rsid w:val="004F1064"/>
    <w:rsid w:val="004F1438"/>
    <w:rsid w:val="004F1629"/>
    <w:rsid w:val="004F1D02"/>
    <w:rsid w:val="004F1DE7"/>
    <w:rsid w:val="004F1E24"/>
    <w:rsid w:val="004F2171"/>
    <w:rsid w:val="004F2679"/>
    <w:rsid w:val="004F27F8"/>
    <w:rsid w:val="004F2CF1"/>
    <w:rsid w:val="004F2F21"/>
    <w:rsid w:val="004F3294"/>
    <w:rsid w:val="004F3546"/>
    <w:rsid w:val="004F3647"/>
    <w:rsid w:val="004F38F4"/>
    <w:rsid w:val="004F3995"/>
    <w:rsid w:val="004F3AD1"/>
    <w:rsid w:val="004F3DBB"/>
    <w:rsid w:val="004F3DE5"/>
    <w:rsid w:val="004F4E31"/>
    <w:rsid w:val="004F5123"/>
    <w:rsid w:val="004F5198"/>
    <w:rsid w:val="004F567A"/>
    <w:rsid w:val="004F5906"/>
    <w:rsid w:val="004F5A2D"/>
    <w:rsid w:val="004F5C57"/>
    <w:rsid w:val="004F6913"/>
    <w:rsid w:val="004F6A0B"/>
    <w:rsid w:val="004F73C9"/>
    <w:rsid w:val="004F7865"/>
    <w:rsid w:val="004F7CF0"/>
    <w:rsid w:val="004F7DE8"/>
    <w:rsid w:val="004F7EA4"/>
    <w:rsid w:val="00500CD6"/>
    <w:rsid w:val="0050174E"/>
    <w:rsid w:val="00501854"/>
    <w:rsid w:val="0050188D"/>
    <w:rsid w:val="005018F8"/>
    <w:rsid w:val="00501EFD"/>
    <w:rsid w:val="0050219B"/>
    <w:rsid w:val="005023A6"/>
    <w:rsid w:val="00502C40"/>
    <w:rsid w:val="00502C94"/>
    <w:rsid w:val="0050307F"/>
    <w:rsid w:val="00503F17"/>
    <w:rsid w:val="00503F3A"/>
    <w:rsid w:val="0050430D"/>
    <w:rsid w:val="0050436F"/>
    <w:rsid w:val="005043A6"/>
    <w:rsid w:val="005045C4"/>
    <w:rsid w:val="0050472E"/>
    <w:rsid w:val="00504735"/>
    <w:rsid w:val="00504CB6"/>
    <w:rsid w:val="00505320"/>
    <w:rsid w:val="00505832"/>
    <w:rsid w:val="00505F4D"/>
    <w:rsid w:val="00506889"/>
    <w:rsid w:val="00506928"/>
    <w:rsid w:val="00506DCE"/>
    <w:rsid w:val="00506E3E"/>
    <w:rsid w:val="005073F7"/>
    <w:rsid w:val="005077EE"/>
    <w:rsid w:val="005077EF"/>
    <w:rsid w:val="00507BE8"/>
    <w:rsid w:val="00507CA6"/>
    <w:rsid w:val="0051073E"/>
    <w:rsid w:val="00510843"/>
    <w:rsid w:val="00510BB5"/>
    <w:rsid w:val="00510C04"/>
    <w:rsid w:val="00510F04"/>
    <w:rsid w:val="00511000"/>
    <w:rsid w:val="00511263"/>
    <w:rsid w:val="00511AD5"/>
    <w:rsid w:val="00511DC7"/>
    <w:rsid w:val="00512AF9"/>
    <w:rsid w:val="0051315B"/>
    <w:rsid w:val="005138FD"/>
    <w:rsid w:val="00513B38"/>
    <w:rsid w:val="00513D09"/>
    <w:rsid w:val="00513F77"/>
    <w:rsid w:val="005142C5"/>
    <w:rsid w:val="00514516"/>
    <w:rsid w:val="005148B6"/>
    <w:rsid w:val="00514989"/>
    <w:rsid w:val="00514A80"/>
    <w:rsid w:val="00514C38"/>
    <w:rsid w:val="0051501B"/>
    <w:rsid w:val="00515164"/>
    <w:rsid w:val="005151C1"/>
    <w:rsid w:val="005152B5"/>
    <w:rsid w:val="00515886"/>
    <w:rsid w:val="00515A2C"/>
    <w:rsid w:val="00515A85"/>
    <w:rsid w:val="00516010"/>
    <w:rsid w:val="0051617A"/>
    <w:rsid w:val="0051626E"/>
    <w:rsid w:val="00516394"/>
    <w:rsid w:val="00516A5F"/>
    <w:rsid w:val="00516AB1"/>
    <w:rsid w:val="005170C7"/>
    <w:rsid w:val="005174FB"/>
    <w:rsid w:val="005205D4"/>
    <w:rsid w:val="00520D5F"/>
    <w:rsid w:val="00520F04"/>
    <w:rsid w:val="0052123C"/>
    <w:rsid w:val="005212F8"/>
    <w:rsid w:val="00521319"/>
    <w:rsid w:val="0052137E"/>
    <w:rsid w:val="005215D0"/>
    <w:rsid w:val="0052171C"/>
    <w:rsid w:val="00521875"/>
    <w:rsid w:val="00521BB2"/>
    <w:rsid w:val="00521CBF"/>
    <w:rsid w:val="00521CF3"/>
    <w:rsid w:val="00522764"/>
    <w:rsid w:val="005227D5"/>
    <w:rsid w:val="00522895"/>
    <w:rsid w:val="005229E8"/>
    <w:rsid w:val="00522AF6"/>
    <w:rsid w:val="00522AFC"/>
    <w:rsid w:val="00522BC8"/>
    <w:rsid w:val="00522C70"/>
    <w:rsid w:val="00523314"/>
    <w:rsid w:val="00523C28"/>
    <w:rsid w:val="00524319"/>
    <w:rsid w:val="005244E1"/>
    <w:rsid w:val="00524702"/>
    <w:rsid w:val="0052496D"/>
    <w:rsid w:val="00524B49"/>
    <w:rsid w:val="00524B6E"/>
    <w:rsid w:val="00524BDD"/>
    <w:rsid w:val="00524C2D"/>
    <w:rsid w:val="0052547F"/>
    <w:rsid w:val="00525559"/>
    <w:rsid w:val="00526F54"/>
    <w:rsid w:val="005274DA"/>
    <w:rsid w:val="00527750"/>
    <w:rsid w:val="00527755"/>
    <w:rsid w:val="005279F9"/>
    <w:rsid w:val="00527D01"/>
    <w:rsid w:val="005301E3"/>
    <w:rsid w:val="0053065B"/>
    <w:rsid w:val="00530C60"/>
    <w:rsid w:val="00531124"/>
    <w:rsid w:val="00531147"/>
    <w:rsid w:val="005315CC"/>
    <w:rsid w:val="0053176B"/>
    <w:rsid w:val="00531B9E"/>
    <w:rsid w:val="00531E3B"/>
    <w:rsid w:val="005322A2"/>
    <w:rsid w:val="00532FC3"/>
    <w:rsid w:val="00533295"/>
    <w:rsid w:val="0053396B"/>
    <w:rsid w:val="00533EE5"/>
    <w:rsid w:val="0053409E"/>
    <w:rsid w:val="005341B3"/>
    <w:rsid w:val="00534335"/>
    <w:rsid w:val="00534699"/>
    <w:rsid w:val="005348E9"/>
    <w:rsid w:val="00535268"/>
    <w:rsid w:val="00535456"/>
    <w:rsid w:val="00535554"/>
    <w:rsid w:val="00535BF9"/>
    <w:rsid w:val="005360BB"/>
    <w:rsid w:val="005367D4"/>
    <w:rsid w:val="00536C96"/>
    <w:rsid w:val="00536F21"/>
    <w:rsid w:val="00536F42"/>
    <w:rsid w:val="00537182"/>
    <w:rsid w:val="00537222"/>
    <w:rsid w:val="005374D1"/>
    <w:rsid w:val="00537742"/>
    <w:rsid w:val="00537C1C"/>
    <w:rsid w:val="00537E20"/>
    <w:rsid w:val="0054037A"/>
    <w:rsid w:val="0054046B"/>
    <w:rsid w:val="005407CA"/>
    <w:rsid w:val="00540AE5"/>
    <w:rsid w:val="00541554"/>
    <w:rsid w:val="00541EDD"/>
    <w:rsid w:val="00541EFD"/>
    <w:rsid w:val="00542111"/>
    <w:rsid w:val="005421BC"/>
    <w:rsid w:val="00542257"/>
    <w:rsid w:val="0054232A"/>
    <w:rsid w:val="005425D5"/>
    <w:rsid w:val="00542743"/>
    <w:rsid w:val="00542991"/>
    <w:rsid w:val="00542C2D"/>
    <w:rsid w:val="00543229"/>
    <w:rsid w:val="00543594"/>
    <w:rsid w:val="00543A76"/>
    <w:rsid w:val="00543B92"/>
    <w:rsid w:val="00543C57"/>
    <w:rsid w:val="00544204"/>
    <w:rsid w:val="00544320"/>
    <w:rsid w:val="00544386"/>
    <w:rsid w:val="005446B4"/>
    <w:rsid w:val="005446DE"/>
    <w:rsid w:val="00544D41"/>
    <w:rsid w:val="00544E37"/>
    <w:rsid w:val="0054558C"/>
    <w:rsid w:val="005458B5"/>
    <w:rsid w:val="00545AD7"/>
    <w:rsid w:val="00545DE5"/>
    <w:rsid w:val="00545E24"/>
    <w:rsid w:val="005461A4"/>
    <w:rsid w:val="005462E4"/>
    <w:rsid w:val="00546344"/>
    <w:rsid w:val="0054731F"/>
    <w:rsid w:val="005478BD"/>
    <w:rsid w:val="00547984"/>
    <w:rsid w:val="005479E3"/>
    <w:rsid w:val="00547DD0"/>
    <w:rsid w:val="0055013A"/>
    <w:rsid w:val="005504E8"/>
    <w:rsid w:val="00550A08"/>
    <w:rsid w:val="00550B3B"/>
    <w:rsid w:val="005513CF"/>
    <w:rsid w:val="00551751"/>
    <w:rsid w:val="00551985"/>
    <w:rsid w:val="005519D3"/>
    <w:rsid w:val="00551E8B"/>
    <w:rsid w:val="00551F9F"/>
    <w:rsid w:val="00552BD3"/>
    <w:rsid w:val="005532A0"/>
    <w:rsid w:val="00553E24"/>
    <w:rsid w:val="00554062"/>
    <w:rsid w:val="00555109"/>
    <w:rsid w:val="00555163"/>
    <w:rsid w:val="005554FE"/>
    <w:rsid w:val="0055562C"/>
    <w:rsid w:val="00556178"/>
    <w:rsid w:val="0055619D"/>
    <w:rsid w:val="0055622B"/>
    <w:rsid w:val="005564DE"/>
    <w:rsid w:val="005564E6"/>
    <w:rsid w:val="00556AA7"/>
    <w:rsid w:val="00556B35"/>
    <w:rsid w:val="00557000"/>
    <w:rsid w:val="0055741A"/>
    <w:rsid w:val="0055787A"/>
    <w:rsid w:val="00557ACF"/>
    <w:rsid w:val="00557E33"/>
    <w:rsid w:val="00560531"/>
    <w:rsid w:val="00560F02"/>
    <w:rsid w:val="005611B7"/>
    <w:rsid w:val="005618D4"/>
    <w:rsid w:val="005619B2"/>
    <w:rsid w:val="00562304"/>
    <w:rsid w:val="00562356"/>
    <w:rsid w:val="005626DE"/>
    <w:rsid w:val="00562750"/>
    <w:rsid w:val="00562EE1"/>
    <w:rsid w:val="00562F20"/>
    <w:rsid w:val="00563512"/>
    <w:rsid w:val="0056372D"/>
    <w:rsid w:val="005639BC"/>
    <w:rsid w:val="00563AE3"/>
    <w:rsid w:val="00563F34"/>
    <w:rsid w:val="00564867"/>
    <w:rsid w:val="005648AB"/>
    <w:rsid w:val="00564C0C"/>
    <w:rsid w:val="00564DC4"/>
    <w:rsid w:val="00564DFC"/>
    <w:rsid w:val="00565C79"/>
    <w:rsid w:val="00565DF0"/>
    <w:rsid w:val="00566664"/>
    <w:rsid w:val="005668D0"/>
    <w:rsid w:val="0056696F"/>
    <w:rsid w:val="00566A27"/>
    <w:rsid w:val="00566BCB"/>
    <w:rsid w:val="00566CD6"/>
    <w:rsid w:val="00566FDF"/>
    <w:rsid w:val="0056715E"/>
    <w:rsid w:val="005672FF"/>
    <w:rsid w:val="00567A84"/>
    <w:rsid w:val="00567BD8"/>
    <w:rsid w:val="00567FAD"/>
    <w:rsid w:val="00567FC0"/>
    <w:rsid w:val="00570519"/>
    <w:rsid w:val="00570584"/>
    <w:rsid w:val="00570679"/>
    <w:rsid w:val="00570EB0"/>
    <w:rsid w:val="005713ED"/>
    <w:rsid w:val="0057159A"/>
    <w:rsid w:val="00571990"/>
    <w:rsid w:val="00571ABD"/>
    <w:rsid w:val="00571BB6"/>
    <w:rsid w:val="00572269"/>
    <w:rsid w:val="0057244A"/>
    <w:rsid w:val="00572512"/>
    <w:rsid w:val="005729AB"/>
    <w:rsid w:val="00572F26"/>
    <w:rsid w:val="0057316B"/>
    <w:rsid w:val="005735D4"/>
    <w:rsid w:val="005738BB"/>
    <w:rsid w:val="00573F6F"/>
    <w:rsid w:val="00574123"/>
    <w:rsid w:val="00574DA4"/>
    <w:rsid w:val="005750C5"/>
    <w:rsid w:val="005752DE"/>
    <w:rsid w:val="005752FD"/>
    <w:rsid w:val="0057540B"/>
    <w:rsid w:val="005757BD"/>
    <w:rsid w:val="00575B02"/>
    <w:rsid w:val="00575D60"/>
    <w:rsid w:val="00575D8D"/>
    <w:rsid w:val="00576457"/>
    <w:rsid w:val="0057649B"/>
    <w:rsid w:val="005765BC"/>
    <w:rsid w:val="00576972"/>
    <w:rsid w:val="00576A84"/>
    <w:rsid w:val="00576A89"/>
    <w:rsid w:val="00576C15"/>
    <w:rsid w:val="00576F51"/>
    <w:rsid w:val="005771CE"/>
    <w:rsid w:val="00577248"/>
    <w:rsid w:val="0057735A"/>
    <w:rsid w:val="005775A4"/>
    <w:rsid w:val="00577678"/>
    <w:rsid w:val="00577683"/>
    <w:rsid w:val="00577C3F"/>
    <w:rsid w:val="00577CE0"/>
    <w:rsid w:val="00577D25"/>
    <w:rsid w:val="00577D7E"/>
    <w:rsid w:val="005801F2"/>
    <w:rsid w:val="0058074D"/>
    <w:rsid w:val="005813A8"/>
    <w:rsid w:val="0058156D"/>
    <w:rsid w:val="00581799"/>
    <w:rsid w:val="0058180A"/>
    <w:rsid w:val="005821F9"/>
    <w:rsid w:val="005826F1"/>
    <w:rsid w:val="00582AFB"/>
    <w:rsid w:val="00583699"/>
    <w:rsid w:val="00583E1D"/>
    <w:rsid w:val="005842F9"/>
    <w:rsid w:val="00584814"/>
    <w:rsid w:val="00584D6D"/>
    <w:rsid w:val="00585495"/>
    <w:rsid w:val="00585CDD"/>
    <w:rsid w:val="0058648F"/>
    <w:rsid w:val="00586EE9"/>
    <w:rsid w:val="00586EF6"/>
    <w:rsid w:val="00586F26"/>
    <w:rsid w:val="00587058"/>
    <w:rsid w:val="00587DFA"/>
    <w:rsid w:val="0059014B"/>
    <w:rsid w:val="00590588"/>
    <w:rsid w:val="005907A1"/>
    <w:rsid w:val="005907AA"/>
    <w:rsid w:val="00590B0D"/>
    <w:rsid w:val="00590D03"/>
    <w:rsid w:val="00590F60"/>
    <w:rsid w:val="0059108B"/>
    <w:rsid w:val="005912CA"/>
    <w:rsid w:val="00591396"/>
    <w:rsid w:val="00591957"/>
    <w:rsid w:val="00591C70"/>
    <w:rsid w:val="00591F99"/>
    <w:rsid w:val="00592410"/>
    <w:rsid w:val="0059259D"/>
    <w:rsid w:val="00593285"/>
    <w:rsid w:val="00593472"/>
    <w:rsid w:val="00594245"/>
    <w:rsid w:val="0059462B"/>
    <w:rsid w:val="00594A73"/>
    <w:rsid w:val="00594E66"/>
    <w:rsid w:val="00594FD2"/>
    <w:rsid w:val="005959CD"/>
    <w:rsid w:val="005965C5"/>
    <w:rsid w:val="00596890"/>
    <w:rsid w:val="00596E8D"/>
    <w:rsid w:val="00596F83"/>
    <w:rsid w:val="0059701E"/>
    <w:rsid w:val="005971E1"/>
    <w:rsid w:val="00597211"/>
    <w:rsid w:val="005973D2"/>
    <w:rsid w:val="00597459"/>
    <w:rsid w:val="00597BF9"/>
    <w:rsid w:val="00597C34"/>
    <w:rsid w:val="00597DBC"/>
    <w:rsid w:val="005A049C"/>
    <w:rsid w:val="005A076F"/>
    <w:rsid w:val="005A0B44"/>
    <w:rsid w:val="005A0C11"/>
    <w:rsid w:val="005A19AA"/>
    <w:rsid w:val="005A1A59"/>
    <w:rsid w:val="005A2196"/>
    <w:rsid w:val="005A244E"/>
    <w:rsid w:val="005A2BCD"/>
    <w:rsid w:val="005A2CCD"/>
    <w:rsid w:val="005A309A"/>
    <w:rsid w:val="005A3255"/>
    <w:rsid w:val="005A3632"/>
    <w:rsid w:val="005A36B0"/>
    <w:rsid w:val="005A373D"/>
    <w:rsid w:val="005A3805"/>
    <w:rsid w:val="005A3C9F"/>
    <w:rsid w:val="005A3F7E"/>
    <w:rsid w:val="005A49B5"/>
    <w:rsid w:val="005A594A"/>
    <w:rsid w:val="005A5961"/>
    <w:rsid w:val="005A6E85"/>
    <w:rsid w:val="005A7453"/>
    <w:rsid w:val="005A750C"/>
    <w:rsid w:val="005A78A5"/>
    <w:rsid w:val="005B0465"/>
    <w:rsid w:val="005B0B58"/>
    <w:rsid w:val="005B0ECE"/>
    <w:rsid w:val="005B1168"/>
    <w:rsid w:val="005B1493"/>
    <w:rsid w:val="005B29E5"/>
    <w:rsid w:val="005B3170"/>
    <w:rsid w:val="005B3558"/>
    <w:rsid w:val="005B4408"/>
    <w:rsid w:val="005B47ED"/>
    <w:rsid w:val="005B48D1"/>
    <w:rsid w:val="005B4977"/>
    <w:rsid w:val="005B4AAC"/>
    <w:rsid w:val="005B4E53"/>
    <w:rsid w:val="005B4F33"/>
    <w:rsid w:val="005B4F5C"/>
    <w:rsid w:val="005B4FA5"/>
    <w:rsid w:val="005B510F"/>
    <w:rsid w:val="005B5435"/>
    <w:rsid w:val="005B5857"/>
    <w:rsid w:val="005B59E1"/>
    <w:rsid w:val="005B5E9F"/>
    <w:rsid w:val="005B5F72"/>
    <w:rsid w:val="005B5FAA"/>
    <w:rsid w:val="005B6A94"/>
    <w:rsid w:val="005B6D76"/>
    <w:rsid w:val="005B749A"/>
    <w:rsid w:val="005B7EAC"/>
    <w:rsid w:val="005C038A"/>
    <w:rsid w:val="005C0571"/>
    <w:rsid w:val="005C0779"/>
    <w:rsid w:val="005C111F"/>
    <w:rsid w:val="005C1704"/>
    <w:rsid w:val="005C17C6"/>
    <w:rsid w:val="005C19C4"/>
    <w:rsid w:val="005C1B83"/>
    <w:rsid w:val="005C214C"/>
    <w:rsid w:val="005C2157"/>
    <w:rsid w:val="005C2293"/>
    <w:rsid w:val="005C244C"/>
    <w:rsid w:val="005C25FF"/>
    <w:rsid w:val="005C29EE"/>
    <w:rsid w:val="005C2D01"/>
    <w:rsid w:val="005C2D55"/>
    <w:rsid w:val="005C346B"/>
    <w:rsid w:val="005C361F"/>
    <w:rsid w:val="005C3AA7"/>
    <w:rsid w:val="005C3EE0"/>
    <w:rsid w:val="005C43A1"/>
    <w:rsid w:val="005C44C9"/>
    <w:rsid w:val="005C463D"/>
    <w:rsid w:val="005C4850"/>
    <w:rsid w:val="005C4A31"/>
    <w:rsid w:val="005C549B"/>
    <w:rsid w:val="005C59D4"/>
    <w:rsid w:val="005C5ABC"/>
    <w:rsid w:val="005C5D9C"/>
    <w:rsid w:val="005C6607"/>
    <w:rsid w:val="005C679D"/>
    <w:rsid w:val="005C69CB"/>
    <w:rsid w:val="005C71E3"/>
    <w:rsid w:val="005C7B14"/>
    <w:rsid w:val="005C7B31"/>
    <w:rsid w:val="005D044D"/>
    <w:rsid w:val="005D050F"/>
    <w:rsid w:val="005D07CA"/>
    <w:rsid w:val="005D0910"/>
    <w:rsid w:val="005D09F9"/>
    <w:rsid w:val="005D0A34"/>
    <w:rsid w:val="005D0ABD"/>
    <w:rsid w:val="005D0F23"/>
    <w:rsid w:val="005D18AD"/>
    <w:rsid w:val="005D1AD0"/>
    <w:rsid w:val="005D1C46"/>
    <w:rsid w:val="005D1FFC"/>
    <w:rsid w:val="005D20AB"/>
    <w:rsid w:val="005D20AF"/>
    <w:rsid w:val="005D257F"/>
    <w:rsid w:val="005D26A9"/>
    <w:rsid w:val="005D26B4"/>
    <w:rsid w:val="005D27F3"/>
    <w:rsid w:val="005D2C4A"/>
    <w:rsid w:val="005D2F25"/>
    <w:rsid w:val="005D30EB"/>
    <w:rsid w:val="005D3986"/>
    <w:rsid w:val="005D3F64"/>
    <w:rsid w:val="005D3F7E"/>
    <w:rsid w:val="005D4036"/>
    <w:rsid w:val="005D416C"/>
    <w:rsid w:val="005D41F0"/>
    <w:rsid w:val="005D47AC"/>
    <w:rsid w:val="005D4959"/>
    <w:rsid w:val="005D53B6"/>
    <w:rsid w:val="005D590F"/>
    <w:rsid w:val="005D60AE"/>
    <w:rsid w:val="005D613D"/>
    <w:rsid w:val="005D615B"/>
    <w:rsid w:val="005D6C3C"/>
    <w:rsid w:val="005D6D60"/>
    <w:rsid w:val="005D7295"/>
    <w:rsid w:val="005D7423"/>
    <w:rsid w:val="005E123A"/>
    <w:rsid w:val="005E1404"/>
    <w:rsid w:val="005E1467"/>
    <w:rsid w:val="005E176F"/>
    <w:rsid w:val="005E1995"/>
    <w:rsid w:val="005E208E"/>
    <w:rsid w:val="005E20D9"/>
    <w:rsid w:val="005E210E"/>
    <w:rsid w:val="005E2B67"/>
    <w:rsid w:val="005E2B7C"/>
    <w:rsid w:val="005E302C"/>
    <w:rsid w:val="005E34B2"/>
    <w:rsid w:val="005E36F4"/>
    <w:rsid w:val="005E3802"/>
    <w:rsid w:val="005E3DCA"/>
    <w:rsid w:val="005E428D"/>
    <w:rsid w:val="005E4538"/>
    <w:rsid w:val="005E461C"/>
    <w:rsid w:val="005E4AB8"/>
    <w:rsid w:val="005E6426"/>
    <w:rsid w:val="005E6631"/>
    <w:rsid w:val="005E6777"/>
    <w:rsid w:val="005E6A81"/>
    <w:rsid w:val="005E6CBC"/>
    <w:rsid w:val="005E702D"/>
    <w:rsid w:val="005E71C7"/>
    <w:rsid w:val="005E72FF"/>
    <w:rsid w:val="005E73C0"/>
    <w:rsid w:val="005E750E"/>
    <w:rsid w:val="005E7718"/>
    <w:rsid w:val="005E78E2"/>
    <w:rsid w:val="005F07ED"/>
    <w:rsid w:val="005F0BB2"/>
    <w:rsid w:val="005F0DE9"/>
    <w:rsid w:val="005F1041"/>
    <w:rsid w:val="005F16AA"/>
    <w:rsid w:val="005F1731"/>
    <w:rsid w:val="005F1BC7"/>
    <w:rsid w:val="005F1CF0"/>
    <w:rsid w:val="005F20C3"/>
    <w:rsid w:val="005F2315"/>
    <w:rsid w:val="005F2706"/>
    <w:rsid w:val="005F2763"/>
    <w:rsid w:val="005F2C8B"/>
    <w:rsid w:val="005F3334"/>
    <w:rsid w:val="005F3750"/>
    <w:rsid w:val="005F3E77"/>
    <w:rsid w:val="005F4088"/>
    <w:rsid w:val="005F42BC"/>
    <w:rsid w:val="005F4405"/>
    <w:rsid w:val="005F457F"/>
    <w:rsid w:val="005F4AD5"/>
    <w:rsid w:val="005F4D15"/>
    <w:rsid w:val="005F50B7"/>
    <w:rsid w:val="005F558B"/>
    <w:rsid w:val="005F577A"/>
    <w:rsid w:val="005F5A60"/>
    <w:rsid w:val="005F5F54"/>
    <w:rsid w:val="005F6510"/>
    <w:rsid w:val="005F65F5"/>
    <w:rsid w:val="005F6861"/>
    <w:rsid w:val="005F6878"/>
    <w:rsid w:val="005F6995"/>
    <w:rsid w:val="005F6A8F"/>
    <w:rsid w:val="005F6AB5"/>
    <w:rsid w:val="005F6B33"/>
    <w:rsid w:val="005F6BB7"/>
    <w:rsid w:val="005F6E5F"/>
    <w:rsid w:val="005F7255"/>
    <w:rsid w:val="005F7588"/>
    <w:rsid w:val="005F7E89"/>
    <w:rsid w:val="005F7F05"/>
    <w:rsid w:val="00600446"/>
    <w:rsid w:val="00600504"/>
    <w:rsid w:val="00600EF3"/>
    <w:rsid w:val="00601005"/>
    <w:rsid w:val="006013E5"/>
    <w:rsid w:val="006016DD"/>
    <w:rsid w:val="00601AE4"/>
    <w:rsid w:val="00601D6E"/>
    <w:rsid w:val="00601E80"/>
    <w:rsid w:val="00601F4A"/>
    <w:rsid w:val="00602093"/>
    <w:rsid w:val="00602139"/>
    <w:rsid w:val="00602545"/>
    <w:rsid w:val="00602870"/>
    <w:rsid w:val="00603052"/>
    <w:rsid w:val="006033FE"/>
    <w:rsid w:val="006034C9"/>
    <w:rsid w:val="00603DB9"/>
    <w:rsid w:val="00603E78"/>
    <w:rsid w:val="00604329"/>
    <w:rsid w:val="006044B7"/>
    <w:rsid w:val="00604EA4"/>
    <w:rsid w:val="00605155"/>
    <w:rsid w:val="00605692"/>
    <w:rsid w:val="00605765"/>
    <w:rsid w:val="00605D76"/>
    <w:rsid w:val="006061AB"/>
    <w:rsid w:val="00606522"/>
    <w:rsid w:val="006067A7"/>
    <w:rsid w:val="00606FBA"/>
    <w:rsid w:val="00607625"/>
    <w:rsid w:val="00607669"/>
    <w:rsid w:val="006076BA"/>
    <w:rsid w:val="006076F4"/>
    <w:rsid w:val="006077F7"/>
    <w:rsid w:val="00607AFD"/>
    <w:rsid w:val="00607D75"/>
    <w:rsid w:val="0061013F"/>
    <w:rsid w:val="006103C3"/>
    <w:rsid w:val="0061042D"/>
    <w:rsid w:val="006107A2"/>
    <w:rsid w:val="0061094B"/>
    <w:rsid w:val="00610B22"/>
    <w:rsid w:val="00610C13"/>
    <w:rsid w:val="00610C1F"/>
    <w:rsid w:val="00610DF4"/>
    <w:rsid w:val="00610F0F"/>
    <w:rsid w:val="00610F21"/>
    <w:rsid w:val="0061192F"/>
    <w:rsid w:val="00611B12"/>
    <w:rsid w:val="00611BD2"/>
    <w:rsid w:val="00611C86"/>
    <w:rsid w:val="00611F91"/>
    <w:rsid w:val="0061202C"/>
    <w:rsid w:val="006122E4"/>
    <w:rsid w:val="00612800"/>
    <w:rsid w:val="006128E5"/>
    <w:rsid w:val="00612E91"/>
    <w:rsid w:val="00612F24"/>
    <w:rsid w:val="00612F97"/>
    <w:rsid w:val="006133B2"/>
    <w:rsid w:val="0061345D"/>
    <w:rsid w:val="00613536"/>
    <w:rsid w:val="00613573"/>
    <w:rsid w:val="006135EC"/>
    <w:rsid w:val="00613A11"/>
    <w:rsid w:val="0061407B"/>
    <w:rsid w:val="006143DE"/>
    <w:rsid w:val="00614446"/>
    <w:rsid w:val="00614CC8"/>
    <w:rsid w:val="00614D3B"/>
    <w:rsid w:val="00614DA4"/>
    <w:rsid w:val="00614EBD"/>
    <w:rsid w:val="0061520B"/>
    <w:rsid w:val="0061549B"/>
    <w:rsid w:val="00615638"/>
    <w:rsid w:val="00615707"/>
    <w:rsid w:val="00615E5A"/>
    <w:rsid w:val="00615E61"/>
    <w:rsid w:val="006167D5"/>
    <w:rsid w:val="00616802"/>
    <w:rsid w:val="00617A9D"/>
    <w:rsid w:val="00617C61"/>
    <w:rsid w:val="00617E12"/>
    <w:rsid w:val="00620116"/>
    <w:rsid w:val="006204B6"/>
    <w:rsid w:val="00620B5E"/>
    <w:rsid w:val="00620C25"/>
    <w:rsid w:val="00621477"/>
    <w:rsid w:val="00621ADA"/>
    <w:rsid w:val="00621D3F"/>
    <w:rsid w:val="00622185"/>
    <w:rsid w:val="006222E5"/>
    <w:rsid w:val="006228CC"/>
    <w:rsid w:val="0062299F"/>
    <w:rsid w:val="00622F25"/>
    <w:rsid w:val="00623704"/>
    <w:rsid w:val="00623837"/>
    <w:rsid w:val="00623DE8"/>
    <w:rsid w:val="00623F7B"/>
    <w:rsid w:val="00624BD4"/>
    <w:rsid w:val="00624D0B"/>
    <w:rsid w:val="006252E6"/>
    <w:rsid w:val="006258D4"/>
    <w:rsid w:val="00625ACA"/>
    <w:rsid w:val="00625B03"/>
    <w:rsid w:val="00625B23"/>
    <w:rsid w:val="00625E85"/>
    <w:rsid w:val="00626711"/>
    <w:rsid w:val="00626722"/>
    <w:rsid w:val="00626839"/>
    <w:rsid w:val="0062688A"/>
    <w:rsid w:val="006268DD"/>
    <w:rsid w:val="00626A1D"/>
    <w:rsid w:val="00626D3F"/>
    <w:rsid w:val="006271D9"/>
    <w:rsid w:val="00627423"/>
    <w:rsid w:val="006279C5"/>
    <w:rsid w:val="00630430"/>
    <w:rsid w:val="00630437"/>
    <w:rsid w:val="0063088E"/>
    <w:rsid w:val="00630907"/>
    <w:rsid w:val="00630C75"/>
    <w:rsid w:val="00630D6C"/>
    <w:rsid w:val="00630D7B"/>
    <w:rsid w:val="006311C1"/>
    <w:rsid w:val="006313A2"/>
    <w:rsid w:val="0063158F"/>
    <w:rsid w:val="006316E4"/>
    <w:rsid w:val="00631D6B"/>
    <w:rsid w:val="00631F6F"/>
    <w:rsid w:val="00632183"/>
    <w:rsid w:val="0063242A"/>
    <w:rsid w:val="00632DAD"/>
    <w:rsid w:val="006330A1"/>
    <w:rsid w:val="0063318E"/>
    <w:rsid w:val="006337D5"/>
    <w:rsid w:val="00633868"/>
    <w:rsid w:val="0063397E"/>
    <w:rsid w:val="00633B33"/>
    <w:rsid w:val="0063429C"/>
    <w:rsid w:val="0063461C"/>
    <w:rsid w:val="0063479F"/>
    <w:rsid w:val="00634DC9"/>
    <w:rsid w:val="00634EFA"/>
    <w:rsid w:val="00634F66"/>
    <w:rsid w:val="006353F0"/>
    <w:rsid w:val="0063553C"/>
    <w:rsid w:val="006357B5"/>
    <w:rsid w:val="006364A1"/>
    <w:rsid w:val="0063678E"/>
    <w:rsid w:val="00636C95"/>
    <w:rsid w:val="00637246"/>
    <w:rsid w:val="006375B0"/>
    <w:rsid w:val="00637B2B"/>
    <w:rsid w:val="00637BFD"/>
    <w:rsid w:val="00637C5C"/>
    <w:rsid w:val="00637CA2"/>
    <w:rsid w:val="0064003E"/>
    <w:rsid w:val="006400B7"/>
    <w:rsid w:val="0064021B"/>
    <w:rsid w:val="00640EA8"/>
    <w:rsid w:val="00640EC5"/>
    <w:rsid w:val="0064152D"/>
    <w:rsid w:val="0064188A"/>
    <w:rsid w:val="006418DD"/>
    <w:rsid w:val="00641938"/>
    <w:rsid w:val="006419C1"/>
    <w:rsid w:val="00641C4E"/>
    <w:rsid w:val="00641FB3"/>
    <w:rsid w:val="00642B5F"/>
    <w:rsid w:val="00642EE4"/>
    <w:rsid w:val="006432CC"/>
    <w:rsid w:val="00643643"/>
    <w:rsid w:val="00643A3E"/>
    <w:rsid w:val="00643AAD"/>
    <w:rsid w:val="00643E7D"/>
    <w:rsid w:val="00644193"/>
    <w:rsid w:val="00644228"/>
    <w:rsid w:val="0064434C"/>
    <w:rsid w:val="00644800"/>
    <w:rsid w:val="006449A5"/>
    <w:rsid w:val="00645268"/>
    <w:rsid w:val="00645DA4"/>
    <w:rsid w:val="00645F58"/>
    <w:rsid w:val="0064662A"/>
    <w:rsid w:val="006466E7"/>
    <w:rsid w:val="0064676A"/>
    <w:rsid w:val="00646FB7"/>
    <w:rsid w:val="00647038"/>
    <w:rsid w:val="006471CC"/>
    <w:rsid w:val="006472FE"/>
    <w:rsid w:val="00647325"/>
    <w:rsid w:val="00647777"/>
    <w:rsid w:val="00647A29"/>
    <w:rsid w:val="00647A85"/>
    <w:rsid w:val="00647DC8"/>
    <w:rsid w:val="00650047"/>
    <w:rsid w:val="0065079F"/>
    <w:rsid w:val="00650867"/>
    <w:rsid w:val="00650C7E"/>
    <w:rsid w:val="00650FFF"/>
    <w:rsid w:val="006510FF"/>
    <w:rsid w:val="006514F6"/>
    <w:rsid w:val="006517BF"/>
    <w:rsid w:val="0065253F"/>
    <w:rsid w:val="006525E6"/>
    <w:rsid w:val="0065270C"/>
    <w:rsid w:val="00652A28"/>
    <w:rsid w:val="00652AD0"/>
    <w:rsid w:val="00652F98"/>
    <w:rsid w:val="00653319"/>
    <w:rsid w:val="00653542"/>
    <w:rsid w:val="0065379F"/>
    <w:rsid w:val="00653B19"/>
    <w:rsid w:val="00653DCB"/>
    <w:rsid w:val="006545C4"/>
    <w:rsid w:val="006546A7"/>
    <w:rsid w:val="006550C3"/>
    <w:rsid w:val="006550E0"/>
    <w:rsid w:val="0065513B"/>
    <w:rsid w:val="00655145"/>
    <w:rsid w:val="00655903"/>
    <w:rsid w:val="00656188"/>
    <w:rsid w:val="0065655B"/>
    <w:rsid w:val="00656E58"/>
    <w:rsid w:val="00657120"/>
    <w:rsid w:val="0065715A"/>
    <w:rsid w:val="00657468"/>
    <w:rsid w:val="00657872"/>
    <w:rsid w:val="00657A4C"/>
    <w:rsid w:val="0066049C"/>
    <w:rsid w:val="006610F1"/>
    <w:rsid w:val="00661ABD"/>
    <w:rsid w:val="00661B71"/>
    <w:rsid w:val="00661BA0"/>
    <w:rsid w:val="00661C6B"/>
    <w:rsid w:val="00661CEF"/>
    <w:rsid w:val="00662046"/>
    <w:rsid w:val="00662CC3"/>
    <w:rsid w:val="00662D3E"/>
    <w:rsid w:val="00663669"/>
    <w:rsid w:val="00663B6E"/>
    <w:rsid w:val="00664113"/>
    <w:rsid w:val="00664217"/>
    <w:rsid w:val="006642C5"/>
    <w:rsid w:val="006646CD"/>
    <w:rsid w:val="006649E7"/>
    <w:rsid w:val="00664A6C"/>
    <w:rsid w:val="00664F11"/>
    <w:rsid w:val="0066659B"/>
    <w:rsid w:val="006671E4"/>
    <w:rsid w:val="006678B9"/>
    <w:rsid w:val="00667A51"/>
    <w:rsid w:val="00667BE3"/>
    <w:rsid w:val="0067000B"/>
    <w:rsid w:val="00670030"/>
    <w:rsid w:val="00670AD8"/>
    <w:rsid w:val="00671004"/>
    <w:rsid w:val="00671067"/>
    <w:rsid w:val="00671B41"/>
    <w:rsid w:val="00671C6D"/>
    <w:rsid w:val="00671CBF"/>
    <w:rsid w:val="00672372"/>
    <w:rsid w:val="00672646"/>
    <w:rsid w:val="0067279C"/>
    <w:rsid w:val="0067283E"/>
    <w:rsid w:val="006732F3"/>
    <w:rsid w:val="006737F2"/>
    <w:rsid w:val="006741DA"/>
    <w:rsid w:val="006742EC"/>
    <w:rsid w:val="0067479B"/>
    <w:rsid w:val="006749ED"/>
    <w:rsid w:val="00674A4D"/>
    <w:rsid w:val="00674A64"/>
    <w:rsid w:val="00674E42"/>
    <w:rsid w:val="00675613"/>
    <w:rsid w:val="0067567E"/>
    <w:rsid w:val="006759EC"/>
    <w:rsid w:val="00675CA8"/>
    <w:rsid w:val="00676563"/>
    <w:rsid w:val="0067672D"/>
    <w:rsid w:val="0067675D"/>
    <w:rsid w:val="00676C01"/>
    <w:rsid w:val="00676D77"/>
    <w:rsid w:val="00676FF6"/>
    <w:rsid w:val="00677084"/>
    <w:rsid w:val="00677085"/>
    <w:rsid w:val="00677665"/>
    <w:rsid w:val="00677914"/>
    <w:rsid w:val="00677E8C"/>
    <w:rsid w:val="00677F14"/>
    <w:rsid w:val="00677FE9"/>
    <w:rsid w:val="00680034"/>
    <w:rsid w:val="006807C2"/>
    <w:rsid w:val="006813F8"/>
    <w:rsid w:val="006817FF"/>
    <w:rsid w:val="006818A0"/>
    <w:rsid w:val="006818A6"/>
    <w:rsid w:val="00681E26"/>
    <w:rsid w:val="00682112"/>
    <w:rsid w:val="00682285"/>
    <w:rsid w:val="006826D6"/>
    <w:rsid w:val="00682BA6"/>
    <w:rsid w:val="00682CCA"/>
    <w:rsid w:val="00683236"/>
    <w:rsid w:val="00683A0F"/>
    <w:rsid w:val="00683B95"/>
    <w:rsid w:val="00684039"/>
    <w:rsid w:val="00684295"/>
    <w:rsid w:val="00684E1E"/>
    <w:rsid w:val="00684FD2"/>
    <w:rsid w:val="0068592E"/>
    <w:rsid w:val="00685C32"/>
    <w:rsid w:val="00685E30"/>
    <w:rsid w:val="00686218"/>
    <w:rsid w:val="006865DB"/>
    <w:rsid w:val="00686957"/>
    <w:rsid w:val="00686AFE"/>
    <w:rsid w:val="00686B07"/>
    <w:rsid w:val="00686B55"/>
    <w:rsid w:val="00686FC2"/>
    <w:rsid w:val="0068715D"/>
    <w:rsid w:val="006872BA"/>
    <w:rsid w:val="006875D1"/>
    <w:rsid w:val="00687B95"/>
    <w:rsid w:val="00687CE1"/>
    <w:rsid w:val="00687E24"/>
    <w:rsid w:val="00687FF4"/>
    <w:rsid w:val="00690015"/>
    <w:rsid w:val="006900F1"/>
    <w:rsid w:val="006901E9"/>
    <w:rsid w:val="00690795"/>
    <w:rsid w:val="00691648"/>
    <w:rsid w:val="006917D7"/>
    <w:rsid w:val="006922AC"/>
    <w:rsid w:val="00692751"/>
    <w:rsid w:val="006927DA"/>
    <w:rsid w:val="00692B6E"/>
    <w:rsid w:val="00692DFD"/>
    <w:rsid w:val="0069344F"/>
    <w:rsid w:val="00693704"/>
    <w:rsid w:val="006938DF"/>
    <w:rsid w:val="00693E27"/>
    <w:rsid w:val="00693F3F"/>
    <w:rsid w:val="00694332"/>
    <w:rsid w:val="0069434C"/>
    <w:rsid w:val="006944C8"/>
    <w:rsid w:val="006945C5"/>
    <w:rsid w:val="00694674"/>
    <w:rsid w:val="00694912"/>
    <w:rsid w:val="00694C86"/>
    <w:rsid w:val="00694DD9"/>
    <w:rsid w:val="00694F44"/>
    <w:rsid w:val="006956FB"/>
    <w:rsid w:val="006959B3"/>
    <w:rsid w:val="0069654B"/>
    <w:rsid w:val="00696ED8"/>
    <w:rsid w:val="00696EF9"/>
    <w:rsid w:val="00696EFF"/>
    <w:rsid w:val="00696F51"/>
    <w:rsid w:val="00697579"/>
    <w:rsid w:val="0069757D"/>
    <w:rsid w:val="00697994"/>
    <w:rsid w:val="006979A5"/>
    <w:rsid w:val="00697E52"/>
    <w:rsid w:val="006A016F"/>
    <w:rsid w:val="006A01BA"/>
    <w:rsid w:val="006A068B"/>
    <w:rsid w:val="006A0A02"/>
    <w:rsid w:val="006A0D08"/>
    <w:rsid w:val="006A0DF7"/>
    <w:rsid w:val="006A10B8"/>
    <w:rsid w:val="006A1109"/>
    <w:rsid w:val="006A15C0"/>
    <w:rsid w:val="006A1728"/>
    <w:rsid w:val="006A1782"/>
    <w:rsid w:val="006A19DF"/>
    <w:rsid w:val="006A1AB8"/>
    <w:rsid w:val="006A1CFA"/>
    <w:rsid w:val="006A1D60"/>
    <w:rsid w:val="006A2618"/>
    <w:rsid w:val="006A2FC3"/>
    <w:rsid w:val="006A33A2"/>
    <w:rsid w:val="006A37D3"/>
    <w:rsid w:val="006A390F"/>
    <w:rsid w:val="006A3B34"/>
    <w:rsid w:val="006A414C"/>
    <w:rsid w:val="006A4321"/>
    <w:rsid w:val="006A43D9"/>
    <w:rsid w:val="006A4754"/>
    <w:rsid w:val="006A4796"/>
    <w:rsid w:val="006A51FC"/>
    <w:rsid w:val="006A5312"/>
    <w:rsid w:val="006A597D"/>
    <w:rsid w:val="006A5B61"/>
    <w:rsid w:val="006A6B17"/>
    <w:rsid w:val="006A6B99"/>
    <w:rsid w:val="006A6F61"/>
    <w:rsid w:val="006A7338"/>
    <w:rsid w:val="006A77F5"/>
    <w:rsid w:val="006A7DE7"/>
    <w:rsid w:val="006A7E5F"/>
    <w:rsid w:val="006B0AF5"/>
    <w:rsid w:val="006B0F1B"/>
    <w:rsid w:val="006B1101"/>
    <w:rsid w:val="006B261B"/>
    <w:rsid w:val="006B2689"/>
    <w:rsid w:val="006B26C2"/>
    <w:rsid w:val="006B2A65"/>
    <w:rsid w:val="006B2C90"/>
    <w:rsid w:val="006B3358"/>
    <w:rsid w:val="006B35E6"/>
    <w:rsid w:val="006B3A0C"/>
    <w:rsid w:val="006B3CC3"/>
    <w:rsid w:val="006B3FA1"/>
    <w:rsid w:val="006B4266"/>
    <w:rsid w:val="006B465A"/>
    <w:rsid w:val="006B5125"/>
    <w:rsid w:val="006B522A"/>
    <w:rsid w:val="006B562D"/>
    <w:rsid w:val="006B5A5A"/>
    <w:rsid w:val="006B5E44"/>
    <w:rsid w:val="006B62A5"/>
    <w:rsid w:val="006B6396"/>
    <w:rsid w:val="006B69FD"/>
    <w:rsid w:val="006B6DD0"/>
    <w:rsid w:val="006B7323"/>
    <w:rsid w:val="006B756B"/>
    <w:rsid w:val="006C002B"/>
    <w:rsid w:val="006C0399"/>
    <w:rsid w:val="006C05AE"/>
    <w:rsid w:val="006C0A79"/>
    <w:rsid w:val="006C0C12"/>
    <w:rsid w:val="006C149C"/>
    <w:rsid w:val="006C15A2"/>
    <w:rsid w:val="006C1DC9"/>
    <w:rsid w:val="006C2124"/>
    <w:rsid w:val="006C2151"/>
    <w:rsid w:val="006C2667"/>
    <w:rsid w:val="006C26E6"/>
    <w:rsid w:val="006C276B"/>
    <w:rsid w:val="006C27F9"/>
    <w:rsid w:val="006C296C"/>
    <w:rsid w:val="006C2A8E"/>
    <w:rsid w:val="006C2DD9"/>
    <w:rsid w:val="006C321B"/>
    <w:rsid w:val="006C3255"/>
    <w:rsid w:val="006C33F7"/>
    <w:rsid w:val="006C3805"/>
    <w:rsid w:val="006C3F26"/>
    <w:rsid w:val="006C48DE"/>
    <w:rsid w:val="006C5188"/>
    <w:rsid w:val="006C530F"/>
    <w:rsid w:val="006C5689"/>
    <w:rsid w:val="006C5729"/>
    <w:rsid w:val="006C5848"/>
    <w:rsid w:val="006C5B23"/>
    <w:rsid w:val="006C5D92"/>
    <w:rsid w:val="006C629C"/>
    <w:rsid w:val="006C6496"/>
    <w:rsid w:val="006C6B47"/>
    <w:rsid w:val="006C6B8E"/>
    <w:rsid w:val="006C70DA"/>
    <w:rsid w:val="006C729E"/>
    <w:rsid w:val="006C72A2"/>
    <w:rsid w:val="006D032F"/>
    <w:rsid w:val="006D0387"/>
    <w:rsid w:val="006D0498"/>
    <w:rsid w:val="006D0D17"/>
    <w:rsid w:val="006D0EAA"/>
    <w:rsid w:val="006D11F5"/>
    <w:rsid w:val="006D147A"/>
    <w:rsid w:val="006D1839"/>
    <w:rsid w:val="006D189E"/>
    <w:rsid w:val="006D25F6"/>
    <w:rsid w:val="006D299A"/>
    <w:rsid w:val="006D2B18"/>
    <w:rsid w:val="006D2CBB"/>
    <w:rsid w:val="006D3070"/>
    <w:rsid w:val="006D3077"/>
    <w:rsid w:val="006D3107"/>
    <w:rsid w:val="006D3C7D"/>
    <w:rsid w:val="006D4549"/>
    <w:rsid w:val="006D4659"/>
    <w:rsid w:val="006D4AE8"/>
    <w:rsid w:val="006D4ED2"/>
    <w:rsid w:val="006D5161"/>
    <w:rsid w:val="006D562A"/>
    <w:rsid w:val="006D58FE"/>
    <w:rsid w:val="006D59A0"/>
    <w:rsid w:val="006D5CC0"/>
    <w:rsid w:val="006D5D5F"/>
    <w:rsid w:val="006D62E7"/>
    <w:rsid w:val="006D648E"/>
    <w:rsid w:val="006D675E"/>
    <w:rsid w:val="006D68FB"/>
    <w:rsid w:val="006D7667"/>
    <w:rsid w:val="006D77B4"/>
    <w:rsid w:val="006D7EB4"/>
    <w:rsid w:val="006D7ED6"/>
    <w:rsid w:val="006E0475"/>
    <w:rsid w:val="006E06CD"/>
    <w:rsid w:val="006E0CF6"/>
    <w:rsid w:val="006E196D"/>
    <w:rsid w:val="006E1A88"/>
    <w:rsid w:val="006E23E3"/>
    <w:rsid w:val="006E24D1"/>
    <w:rsid w:val="006E27CB"/>
    <w:rsid w:val="006E2868"/>
    <w:rsid w:val="006E2EA6"/>
    <w:rsid w:val="006E2EF1"/>
    <w:rsid w:val="006E3A37"/>
    <w:rsid w:val="006E3BCA"/>
    <w:rsid w:val="006E42F9"/>
    <w:rsid w:val="006E46EB"/>
    <w:rsid w:val="006E4877"/>
    <w:rsid w:val="006E4AAC"/>
    <w:rsid w:val="006E51CC"/>
    <w:rsid w:val="006E573D"/>
    <w:rsid w:val="006E59ED"/>
    <w:rsid w:val="006E6321"/>
    <w:rsid w:val="006E65C0"/>
    <w:rsid w:val="006E68A9"/>
    <w:rsid w:val="006E6B15"/>
    <w:rsid w:val="006E6C4A"/>
    <w:rsid w:val="006E6F47"/>
    <w:rsid w:val="006E711C"/>
    <w:rsid w:val="006E75CD"/>
    <w:rsid w:val="006E791F"/>
    <w:rsid w:val="006F0475"/>
    <w:rsid w:val="006F1618"/>
    <w:rsid w:val="006F1871"/>
    <w:rsid w:val="006F1D4B"/>
    <w:rsid w:val="006F2836"/>
    <w:rsid w:val="006F2974"/>
    <w:rsid w:val="006F2B1E"/>
    <w:rsid w:val="006F306C"/>
    <w:rsid w:val="006F341E"/>
    <w:rsid w:val="006F3587"/>
    <w:rsid w:val="006F35E9"/>
    <w:rsid w:val="006F3D03"/>
    <w:rsid w:val="006F3D5F"/>
    <w:rsid w:val="006F3F48"/>
    <w:rsid w:val="006F55C5"/>
    <w:rsid w:val="006F62ED"/>
    <w:rsid w:val="006F63A5"/>
    <w:rsid w:val="006F644B"/>
    <w:rsid w:val="006F6455"/>
    <w:rsid w:val="006F67B2"/>
    <w:rsid w:val="006F68BF"/>
    <w:rsid w:val="006F6B42"/>
    <w:rsid w:val="006F6CC7"/>
    <w:rsid w:val="006F6FDB"/>
    <w:rsid w:val="006F7280"/>
    <w:rsid w:val="006F76B6"/>
    <w:rsid w:val="006F7D02"/>
    <w:rsid w:val="006F7F83"/>
    <w:rsid w:val="007004B6"/>
    <w:rsid w:val="0070097A"/>
    <w:rsid w:val="00700DDA"/>
    <w:rsid w:val="0070142B"/>
    <w:rsid w:val="00701909"/>
    <w:rsid w:val="00701A19"/>
    <w:rsid w:val="007025A2"/>
    <w:rsid w:val="0070276E"/>
    <w:rsid w:val="00702F8F"/>
    <w:rsid w:val="0070304C"/>
    <w:rsid w:val="007037EF"/>
    <w:rsid w:val="00703B96"/>
    <w:rsid w:val="00703D90"/>
    <w:rsid w:val="00704AF7"/>
    <w:rsid w:val="00704D12"/>
    <w:rsid w:val="00704D56"/>
    <w:rsid w:val="0070576F"/>
    <w:rsid w:val="00705A09"/>
    <w:rsid w:val="00706883"/>
    <w:rsid w:val="00706D64"/>
    <w:rsid w:val="00706EEE"/>
    <w:rsid w:val="0070744B"/>
    <w:rsid w:val="0070745F"/>
    <w:rsid w:val="00707469"/>
    <w:rsid w:val="00707616"/>
    <w:rsid w:val="007079FC"/>
    <w:rsid w:val="00707A2A"/>
    <w:rsid w:val="00707A81"/>
    <w:rsid w:val="00710074"/>
    <w:rsid w:val="0071024D"/>
    <w:rsid w:val="007108BB"/>
    <w:rsid w:val="00710BB9"/>
    <w:rsid w:val="0071116E"/>
    <w:rsid w:val="00711650"/>
    <w:rsid w:val="00711A36"/>
    <w:rsid w:val="00711E8C"/>
    <w:rsid w:val="0071252D"/>
    <w:rsid w:val="007125D3"/>
    <w:rsid w:val="007126F6"/>
    <w:rsid w:val="00712A6B"/>
    <w:rsid w:val="00712C43"/>
    <w:rsid w:val="00712E02"/>
    <w:rsid w:val="007131EA"/>
    <w:rsid w:val="00713330"/>
    <w:rsid w:val="00713346"/>
    <w:rsid w:val="00713408"/>
    <w:rsid w:val="00713997"/>
    <w:rsid w:val="00714C26"/>
    <w:rsid w:val="00714F97"/>
    <w:rsid w:val="0071529C"/>
    <w:rsid w:val="007152AB"/>
    <w:rsid w:val="00716173"/>
    <w:rsid w:val="00716727"/>
    <w:rsid w:val="007167A8"/>
    <w:rsid w:val="0071704D"/>
    <w:rsid w:val="007170AE"/>
    <w:rsid w:val="007170DA"/>
    <w:rsid w:val="007172AD"/>
    <w:rsid w:val="00717546"/>
    <w:rsid w:val="007179AC"/>
    <w:rsid w:val="0072003E"/>
    <w:rsid w:val="00720174"/>
    <w:rsid w:val="007202A5"/>
    <w:rsid w:val="00720698"/>
    <w:rsid w:val="00720801"/>
    <w:rsid w:val="007215EC"/>
    <w:rsid w:val="00721D23"/>
    <w:rsid w:val="00721EE1"/>
    <w:rsid w:val="0072265F"/>
    <w:rsid w:val="00722726"/>
    <w:rsid w:val="00722853"/>
    <w:rsid w:val="00722B1B"/>
    <w:rsid w:val="007235DD"/>
    <w:rsid w:val="007238AE"/>
    <w:rsid w:val="0072416F"/>
    <w:rsid w:val="007245DB"/>
    <w:rsid w:val="00724EFF"/>
    <w:rsid w:val="00724F68"/>
    <w:rsid w:val="007258B4"/>
    <w:rsid w:val="00726154"/>
    <w:rsid w:val="007265B2"/>
    <w:rsid w:val="007267D0"/>
    <w:rsid w:val="007271CF"/>
    <w:rsid w:val="0072733B"/>
    <w:rsid w:val="00727366"/>
    <w:rsid w:val="00727706"/>
    <w:rsid w:val="007277C8"/>
    <w:rsid w:val="007278D1"/>
    <w:rsid w:val="00727C94"/>
    <w:rsid w:val="00730802"/>
    <w:rsid w:val="007308F8"/>
    <w:rsid w:val="00730DD9"/>
    <w:rsid w:val="00730ECB"/>
    <w:rsid w:val="0073103B"/>
    <w:rsid w:val="007312E9"/>
    <w:rsid w:val="00731AF6"/>
    <w:rsid w:val="00731B0A"/>
    <w:rsid w:val="00731EAE"/>
    <w:rsid w:val="007323BF"/>
    <w:rsid w:val="0073285A"/>
    <w:rsid w:val="00732D12"/>
    <w:rsid w:val="00732F07"/>
    <w:rsid w:val="00732FE5"/>
    <w:rsid w:val="00733073"/>
    <w:rsid w:val="00733A5F"/>
    <w:rsid w:val="00733D5B"/>
    <w:rsid w:val="00734917"/>
    <w:rsid w:val="00734B50"/>
    <w:rsid w:val="00735033"/>
    <w:rsid w:val="0073522B"/>
    <w:rsid w:val="007352A6"/>
    <w:rsid w:val="00735328"/>
    <w:rsid w:val="00735402"/>
    <w:rsid w:val="0073576F"/>
    <w:rsid w:val="007360F0"/>
    <w:rsid w:val="0073685B"/>
    <w:rsid w:val="00736B17"/>
    <w:rsid w:val="00737DBF"/>
    <w:rsid w:val="007401A1"/>
    <w:rsid w:val="007402D1"/>
    <w:rsid w:val="00740547"/>
    <w:rsid w:val="007406BA"/>
    <w:rsid w:val="007406DA"/>
    <w:rsid w:val="007415A0"/>
    <w:rsid w:val="00741A27"/>
    <w:rsid w:val="00742799"/>
    <w:rsid w:val="007427BF"/>
    <w:rsid w:val="0074368E"/>
    <w:rsid w:val="00743A23"/>
    <w:rsid w:val="00743A2D"/>
    <w:rsid w:val="00743C56"/>
    <w:rsid w:val="00744574"/>
    <w:rsid w:val="007449BF"/>
    <w:rsid w:val="00744BFA"/>
    <w:rsid w:val="00744CDC"/>
    <w:rsid w:val="00744F20"/>
    <w:rsid w:val="007451B3"/>
    <w:rsid w:val="007452B4"/>
    <w:rsid w:val="007457A1"/>
    <w:rsid w:val="007461C2"/>
    <w:rsid w:val="00746253"/>
    <w:rsid w:val="007463FE"/>
    <w:rsid w:val="007469AB"/>
    <w:rsid w:val="00746BC0"/>
    <w:rsid w:val="00746C5D"/>
    <w:rsid w:val="00746CF3"/>
    <w:rsid w:val="00746E1D"/>
    <w:rsid w:val="007471FB"/>
    <w:rsid w:val="0074799D"/>
    <w:rsid w:val="00747D72"/>
    <w:rsid w:val="00750809"/>
    <w:rsid w:val="0075089F"/>
    <w:rsid w:val="00750FAB"/>
    <w:rsid w:val="007510B4"/>
    <w:rsid w:val="0075208E"/>
    <w:rsid w:val="00752142"/>
    <w:rsid w:val="007523F9"/>
    <w:rsid w:val="00752478"/>
    <w:rsid w:val="007529DE"/>
    <w:rsid w:val="00752B6C"/>
    <w:rsid w:val="00752D0A"/>
    <w:rsid w:val="00752D8A"/>
    <w:rsid w:val="00752EBA"/>
    <w:rsid w:val="00752FAA"/>
    <w:rsid w:val="0075357E"/>
    <w:rsid w:val="007535EE"/>
    <w:rsid w:val="007536EF"/>
    <w:rsid w:val="00753815"/>
    <w:rsid w:val="00753937"/>
    <w:rsid w:val="00753A60"/>
    <w:rsid w:val="00753B29"/>
    <w:rsid w:val="00753C1B"/>
    <w:rsid w:val="00753E7B"/>
    <w:rsid w:val="0075412C"/>
    <w:rsid w:val="007545BC"/>
    <w:rsid w:val="00754610"/>
    <w:rsid w:val="00754BF2"/>
    <w:rsid w:val="00754FCA"/>
    <w:rsid w:val="007555C8"/>
    <w:rsid w:val="0075598D"/>
    <w:rsid w:val="00756269"/>
    <w:rsid w:val="00756462"/>
    <w:rsid w:val="00756778"/>
    <w:rsid w:val="00756D16"/>
    <w:rsid w:val="00756D8C"/>
    <w:rsid w:val="007573E8"/>
    <w:rsid w:val="00757592"/>
    <w:rsid w:val="00757F25"/>
    <w:rsid w:val="007600E4"/>
    <w:rsid w:val="007601DC"/>
    <w:rsid w:val="00760966"/>
    <w:rsid w:val="00760C29"/>
    <w:rsid w:val="00760C4E"/>
    <w:rsid w:val="00760D94"/>
    <w:rsid w:val="00760F9E"/>
    <w:rsid w:val="007611DD"/>
    <w:rsid w:val="0076159C"/>
    <w:rsid w:val="007616E6"/>
    <w:rsid w:val="00761A95"/>
    <w:rsid w:val="00761B40"/>
    <w:rsid w:val="007627BE"/>
    <w:rsid w:val="00762DC9"/>
    <w:rsid w:val="00763F24"/>
    <w:rsid w:val="0076414B"/>
    <w:rsid w:val="00764235"/>
    <w:rsid w:val="007646B8"/>
    <w:rsid w:val="007646E1"/>
    <w:rsid w:val="0076487A"/>
    <w:rsid w:val="00764F03"/>
    <w:rsid w:val="00765232"/>
    <w:rsid w:val="007659E8"/>
    <w:rsid w:val="00765B1A"/>
    <w:rsid w:val="00765C51"/>
    <w:rsid w:val="00765DC1"/>
    <w:rsid w:val="00765E85"/>
    <w:rsid w:val="00765EBA"/>
    <w:rsid w:val="0076666D"/>
    <w:rsid w:val="00770041"/>
    <w:rsid w:val="007705B5"/>
    <w:rsid w:val="0077083F"/>
    <w:rsid w:val="0077109C"/>
    <w:rsid w:val="0077121C"/>
    <w:rsid w:val="00771578"/>
    <w:rsid w:val="007718B1"/>
    <w:rsid w:val="00771990"/>
    <w:rsid w:val="00772048"/>
    <w:rsid w:val="0077205E"/>
    <w:rsid w:val="00772122"/>
    <w:rsid w:val="00772549"/>
    <w:rsid w:val="0077271B"/>
    <w:rsid w:val="0077288F"/>
    <w:rsid w:val="00772B33"/>
    <w:rsid w:val="00772BEE"/>
    <w:rsid w:val="007736FD"/>
    <w:rsid w:val="0077375E"/>
    <w:rsid w:val="007739CD"/>
    <w:rsid w:val="00773AF0"/>
    <w:rsid w:val="00773FDB"/>
    <w:rsid w:val="007743C6"/>
    <w:rsid w:val="00774A1F"/>
    <w:rsid w:val="0077507E"/>
    <w:rsid w:val="00775123"/>
    <w:rsid w:val="00775EBC"/>
    <w:rsid w:val="00776233"/>
    <w:rsid w:val="0077695A"/>
    <w:rsid w:val="00777335"/>
    <w:rsid w:val="00777802"/>
    <w:rsid w:val="00780564"/>
    <w:rsid w:val="00780740"/>
    <w:rsid w:val="0078077B"/>
    <w:rsid w:val="00780786"/>
    <w:rsid w:val="00780787"/>
    <w:rsid w:val="00780802"/>
    <w:rsid w:val="00781764"/>
    <w:rsid w:val="00781916"/>
    <w:rsid w:val="00781A7C"/>
    <w:rsid w:val="007825FA"/>
    <w:rsid w:val="007828A3"/>
    <w:rsid w:val="00782D42"/>
    <w:rsid w:val="00782DD7"/>
    <w:rsid w:val="00783596"/>
    <w:rsid w:val="0078389E"/>
    <w:rsid w:val="00783F5F"/>
    <w:rsid w:val="00784384"/>
    <w:rsid w:val="007843AD"/>
    <w:rsid w:val="007843F2"/>
    <w:rsid w:val="007846FA"/>
    <w:rsid w:val="00784869"/>
    <w:rsid w:val="00784B13"/>
    <w:rsid w:val="00784DD6"/>
    <w:rsid w:val="007850AD"/>
    <w:rsid w:val="00785111"/>
    <w:rsid w:val="00785A9F"/>
    <w:rsid w:val="00786068"/>
    <w:rsid w:val="007865EE"/>
    <w:rsid w:val="007867E0"/>
    <w:rsid w:val="00786F10"/>
    <w:rsid w:val="00786FDE"/>
    <w:rsid w:val="007913FC"/>
    <w:rsid w:val="00791403"/>
    <w:rsid w:val="007914E1"/>
    <w:rsid w:val="0079207C"/>
    <w:rsid w:val="007921A7"/>
    <w:rsid w:val="007925DF"/>
    <w:rsid w:val="00792722"/>
    <w:rsid w:val="007935E5"/>
    <w:rsid w:val="00793DBE"/>
    <w:rsid w:val="0079418E"/>
    <w:rsid w:val="00794AA8"/>
    <w:rsid w:val="00794AB0"/>
    <w:rsid w:val="00794B89"/>
    <w:rsid w:val="00794FB0"/>
    <w:rsid w:val="00795264"/>
    <w:rsid w:val="007953AF"/>
    <w:rsid w:val="00795B1A"/>
    <w:rsid w:val="00795D14"/>
    <w:rsid w:val="00795DEF"/>
    <w:rsid w:val="00797149"/>
    <w:rsid w:val="00797308"/>
    <w:rsid w:val="00797758"/>
    <w:rsid w:val="00797CA9"/>
    <w:rsid w:val="00797E18"/>
    <w:rsid w:val="00797E83"/>
    <w:rsid w:val="007A0883"/>
    <w:rsid w:val="007A08AA"/>
    <w:rsid w:val="007A0A12"/>
    <w:rsid w:val="007A0B20"/>
    <w:rsid w:val="007A132D"/>
    <w:rsid w:val="007A1345"/>
    <w:rsid w:val="007A1420"/>
    <w:rsid w:val="007A1602"/>
    <w:rsid w:val="007A18B8"/>
    <w:rsid w:val="007A2DDB"/>
    <w:rsid w:val="007A2E76"/>
    <w:rsid w:val="007A35D4"/>
    <w:rsid w:val="007A3FCB"/>
    <w:rsid w:val="007A4215"/>
    <w:rsid w:val="007A4FFD"/>
    <w:rsid w:val="007A56A3"/>
    <w:rsid w:val="007A59FE"/>
    <w:rsid w:val="007A5B7E"/>
    <w:rsid w:val="007A62FB"/>
    <w:rsid w:val="007A6A8E"/>
    <w:rsid w:val="007A6CF2"/>
    <w:rsid w:val="007A6DFB"/>
    <w:rsid w:val="007A70BA"/>
    <w:rsid w:val="007A75CA"/>
    <w:rsid w:val="007A7781"/>
    <w:rsid w:val="007A7ECD"/>
    <w:rsid w:val="007B01B5"/>
    <w:rsid w:val="007B070A"/>
    <w:rsid w:val="007B07BB"/>
    <w:rsid w:val="007B07F5"/>
    <w:rsid w:val="007B0918"/>
    <w:rsid w:val="007B09A4"/>
    <w:rsid w:val="007B0C44"/>
    <w:rsid w:val="007B0D54"/>
    <w:rsid w:val="007B0D68"/>
    <w:rsid w:val="007B0ED0"/>
    <w:rsid w:val="007B1286"/>
    <w:rsid w:val="007B1451"/>
    <w:rsid w:val="007B1610"/>
    <w:rsid w:val="007B174D"/>
    <w:rsid w:val="007B17CA"/>
    <w:rsid w:val="007B1944"/>
    <w:rsid w:val="007B1BAD"/>
    <w:rsid w:val="007B1D5E"/>
    <w:rsid w:val="007B1DAC"/>
    <w:rsid w:val="007B1E03"/>
    <w:rsid w:val="007B251D"/>
    <w:rsid w:val="007B27A2"/>
    <w:rsid w:val="007B280F"/>
    <w:rsid w:val="007B2FCD"/>
    <w:rsid w:val="007B3533"/>
    <w:rsid w:val="007B3AE9"/>
    <w:rsid w:val="007B3CA4"/>
    <w:rsid w:val="007B3DD0"/>
    <w:rsid w:val="007B4047"/>
    <w:rsid w:val="007B409C"/>
    <w:rsid w:val="007B44BD"/>
    <w:rsid w:val="007B4B53"/>
    <w:rsid w:val="007B4DB5"/>
    <w:rsid w:val="007B4F58"/>
    <w:rsid w:val="007B4FA9"/>
    <w:rsid w:val="007B528D"/>
    <w:rsid w:val="007B5B97"/>
    <w:rsid w:val="007B5BAA"/>
    <w:rsid w:val="007B603F"/>
    <w:rsid w:val="007B63CA"/>
    <w:rsid w:val="007B6966"/>
    <w:rsid w:val="007B698D"/>
    <w:rsid w:val="007B69BE"/>
    <w:rsid w:val="007B6A73"/>
    <w:rsid w:val="007B71AA"/>
    <w:rsid w:val="007B7491"/>
    <w:rsid w:val="007B77D1"/>
    <w:rsid w:val="007C0449"/>
    <w:rsid w:val="007C07C7"/>
    <w:rsid w:val="007C07D4"/>
    <w:rsid w:val="007C084B"/>
    <w:rsid w:val="007C0D6A"/>
    <w:rsid w:val="007C1977"/>
    <w:rsid w:val="007C1CD9"/>
    <w:rsid w:val="007C1FB7"/>
    <w:rsid w:val="007C2427"/>
    <w:rsid w:val="007C2A28"/>
    <w:rsid w:val="007C2BAB"/>
    <w:rsid w:val="007C2BD6"/>
    <w:rsid w:val="007C2E83"/>
    <w:rsid w:val="007C32EF"/>
    <w:rsid w:val="007C361D"/>
    <w:rsid w:val="007C367F"/>
    <w:rsid w:val="007C3922"/>
    <w:rsid w:val="007C3957"/>
    <w:rsid w:val="007C3A52"/>
    <w:rsid w:val="007C3E1B"/>
    <w:rsid w:val="007C44E6"/>
    <w:rsid w:val="007C451E"/>
    <w:rsid w:val="007C452A"/>
    <w:rsid w:val="007C46ED"/>
    <w:rsid w:val="007C4B84"/>
    <w:rsid w:val="007C51A2"/>
    <w:rsid w:val="007C52FF"/>
    <w:rsid w:val="007C57B2"/>
    <w:rsid w:val="007C5894"/>
    <w:rsid w:val="007C5A09"/>
    <w:rsid w:val="007C5E45"/>
    <w:rsid w:val="007C678E"/>
    <w:rsid w:val="007C6EE3"/>
    <w:rsid w:val="007C70FF"/>
    <w:rsid w:val="007C7272"/>
    <w:rsid w:val="007C77E4"/>
    <w:rsid w:val="007C77EC"/>
    <w:rsid w:val="007C7AAD"/>
    <w:rsid w:val="007C7C25"/>
    <w:rsid w:val="007D004F"/>
    <w:rsid w:val="007D035F"/>
    <w:rsid w:val="007D04D5"/>
    <w:rsid w:val="007D06B2"/>
    <w:rsid w:val="007D06F4"/>
    <w:rsid w:val="007D0787"/>
    <w:rsid w:val="007D097E"/>
    <w:rsid w:val="007D0B38"/>
    <w:rsid w:val="007D0B57"/>
    <w:rsid w:val="007D0B78"/>
    <w:rsid w:val="007D2031"/>
    <w:rsid w:val="007D3C94"/>
    <w:rsid w:val="007D3F8C"/>
    <w:rsid w:val="007D435D"/>
    <w:rsid w:val="007D4378"/>
    <w:rsid w:val="007D43D8"/>
    <w:rsid w:val="007D5440"/>
    <w:rsid w:val="007D5A53"/>
    <w:rsid w:val="007D5CC6"/>
    <w:rsid w:val="007D654D"/>
    <w:rsid w:val="007D69EB"/>
    <w:rsid w:val="007D6AD9"/>
    <w:rsid w:val="007D6C0C"/>
    <w:rsid w:val="007D6DA2"/>
    <w:rsid w:val="007D6DFD"/>
    <w:rsid w:val="007D6FE6"/>
    <w:rsid w:val="007D7234"/>
    <w:rsid w:val="007D76FB"/>
    <w:rsid w:val="007D7F1C"/>
    <w:rsid w:val="007E0091"/>
    <w:rsid w:val="007E0ED5"/>
    <w:rsid w:val="007E1061"/>
    <w:rsid w:val="007E128F"/>
    <w:rsid w:val="007E16B7"/>
    <w:rsid w:val="007E18BF"/>
    <w:rsid w:val="007E1CEC"/>
    <w:rsid w:val="007E286A"/>
    <w:rsid w:val="007E3165"/>
    <w:rsid w:val="007E36EC"/>
    <w:rsid w:val="007E3761"/>
    <w:rsid w:val="007E3973"/>
    <w:rsid w:val="007E3A51"/>
    <w:rsid w:val="007E4602"/>
    <w:rsid w:val="007E4785"/>
    <w:rsid w:val="007E51C1"/>
    <w:rsid w:val="007E5495"/>
    <w:rsid w:val="007E60E3"/>
    <w:rsid w:val="007E6906"/>
    <w:rsid w:val="007E6B5D"/>
    <w:rsid w:val="007E6EDD"/>
    <w:rsid w:val="007E6F3D"/>
    <w:rsid w:val="007E7093"/>
    <w:rsid w:val="007E723B"/>
    <w:rsid w:val="007E7391"/>
    <w:rsid w:val="007E75EF"/>
    <w:rsid w:val="007E78C6"/>
    <w:rsid w:val="007E7A01"/>
    <w:rsid w:val="007E7FE6"/>
    <w:rsid w:val="007F01E9"/>
    <w:rsid w:val="007F095E"/>
    <w:rsid w:val="007F0AB5"/>
    <w:rsid w:val="007F0C60"/>
    <w:rsid w:val="007F1017"/>
    <w:rsid w:val="007F12C3"/>
    <w:rsid w:val="007F191A"/>
    <w:rsid w:val="007F309C"/>
    <w:rsid w:val="007F3909"/>
    <w:rsid w:val="007F39C7"/>
    <w:rsid w:val="007F407E"/>
    <w:rsid w:val="007F40C5"/>
    <w:rsid w:val="007F4A3F"/>
    <w:rsid w:val="007F4A61"/>
    <w:rsid w:val="007F4DB6"/>
    <w:rsid w:val="007F5255"/>
    <w:rsid w:val="007F52AD"/>
    <w:rsid w:val="007F56CC"/>
    <w:rsid w:val="007F5FF7"/>
    <w:rsid w:val="007F6027"/>
    <w:rsid w:val="007F61C2"/>
    <w:rsid w:val="007F6843"/>
    <w:rsid w:val="007F6F88"/>
    <w:rsid w:val="007F7273"/>
    <w:rsid w:val="007F7359"/>
    <w:rsid w:val="007F7D16"/>
    <w:rsid w:val="007F7E8D"/>
    <w:rsid w:val="00800192"/>
    <w:rsid w:val="0080098F"/>
    <w:rsid w:val="00800DEF"/>
    <w:rsid w:val="008017A0"/>
    <w:rsid w:val="00801AFA"/>
    <w:rsid w:val="008020F7"/>
    <w:rsid w:val="008021D4"/>
    <w:rsid w:val="00802558"/>
    <w:rsid w:val="0080280F"/>
    <w:rsid w:val="00803080"/>
    <w:rsid w:val="0080383A"/>
    <w:rsid w:val="00803AD3"/>
    <w:rsid w:val="00803B39"/>
    <w:rsid w:val="00803C08"/>
    <w:rsid w:val="00803FE9"/>
    <w:rsid w:val="00804361"/>
    <w:rsid w:val="0080437A"/>
    <w:rsid w:val="00804883"/>
    <w:rsid w:val="00804BEC"/>
    <w:rsid w:val="00805142"/>
    <w:rsid w:val="0080569C"/>
    <w:rsid w:val="0080589C"/>
    <w:rsid w:val="00805C31"/>
    <w:rsid w:val="00805CF0"/>
    <w:rsid w:val="00805FCE"/>
    <w:rsid w:val="00806703"/>
    <w:rsid w:val="00806A81"/>
    <w:rsid w:val="00807262"/>
    <w:rsid w:val="008073C2"/>
    <w:rsid w:val="008073CF"/>
    <w:rsid w:val="0080767C"/>
    <w:rsid w:val="00807A8B"/>
    <w:rsid w:val="008106F8"/>
    <w:rsid w:val="00810ACD"/>
    <w:rsid w:val="00810B37"/>
    <w:rsid w:val="00810F9F"/>
    <w:rsid w:val="00811383"/>
    <w:rsid w:val="00811754"/>
    <w:rsid w:val="0081189A"/>
    <w:rsid w:val="0081208D"/>
    <w:rsid w:val="00812149"/>
    <w:rsid w:val="00812C1C"/>
    <w:rsid w:val="00812CAC"/>
    <w:rsid w:val="00813B08"/>
    <w:rsid w:val="008140FC"/>
    <w:rsid w:val="0081419B"/>
    <w:rsid w:val="00814865"/>
    <w:rsid w:val="008148CA"/>
    <w:rsid w:val="00814DF4"/>
    <w:rsid w:val="00814E7C"/>
    <w:rsid w:val="00814E9E"/>
    <w:rsid w:val="00815752"/>
    <w:rsid w:val="00816080"/>
    <w:rsid w:val="00816361"/>
    <w:rsid w:val="008166EF"/>
    <w:rsid w:val="00816CAE"/>
    <w:rsid w:val="00816D66"/>
    <w:rsid w:val="00816FEF"/>
    <w:rsid w:val="008176B4"/>
    <w:rsid w:val="00820734"/>
    <w:rsid w:val="00820A8C"/>
    <w:rsid w:val="00820B41"/>
    <w:rsid w:val="008211A3"/>
    <w:rsid w:val="00821530"/>
    <w:rsid w:val="008215FB"/>
    <w:rsid w:val="00821788"/>
    <w:rsid w:val="008217DA"/>
    <w:rsid w:val="008220CC"/>
    <w:rsid w:val="00823174"/>
    <w:rsid w:val="008233F7"/>
    <w:rsid w:val="0082367C"/>
    <w:rsid w:val="008237D9"/>
    <w:rsid w:val="00823BC5"/>
    <w:rsid w:val="0082415B"/>
    <w:rsid w:val="00824199"/>
    <w:rsid w:val="00824514"/>
    <w:rsid w:val="008249CC"/>
    <w:rsid w:val="008252E1"/>
    <w:rsid w:val="008256A5"/>
    <w:rsid w:val="00825751"/>
    <w:rsid w:val="00825876"/>
    <w:rsid w:val="00825AD8"/>
    <w:rsid w:val="00825EED"/>
    <w:rsid w:val="00826129"/>
    <w:rsid w:val="00826273"/>
    <w:rsid w:val="00826472"/>
    <w:rsid w:val="008264EB"/>
    <w:rsid w:val="008268CE"/>
    <w:rsid w:val="008269C0"/>
    <w:rsid w:val="00826D4D"/>
    <w:rsid w:val="00826E38"/>
    <w:rsid w:val="00826E64"/>
    <w:rsid w:val="00827557"/>
    <w:rsid w:val="00827B95"/>
    <w:rsid w:val="00827C23"/>
    <w:rsid w:val="00830CEB"/>
    <w:rsid w:val="008313DE"/>
    <w:rsid w:val="0083183C"/>
    <w:rsid w:val="00831977"/>
    <w:rsid w:val="00831F52"/>
    <w:rsid w:val="00832748"/>
    <w:rsid w:val="00833398"/>
    <w:rsid w:val="00833991"/>
    <w:rsid w:val="00833B05"/>
    <w:rsid w:val="008345F8"/>
    <w:rsid w:val="00834D9D"/>
    <w:rsid w:val="0083580E"/>
    <w:rsid w:val="00835DC3"/>
    <w:rsid w:val="00836124"/>
    <w:rsid w:val="0083616A"/>
    <w:rsid w:val="008362B4"/>
    <w:rsid w:val="008378EB"/>
    <w:rsid w:val="00837986"/>
    <w:rsid w:val="00837B13"/>
    <w:rsid w:val="00840CA2"/>
    <w:rsid w:val="008412F4"/>
    <w:rsid w:val="008419C3"/>
    <w:rsid w:val="00841DAC"/>
    <w:rsid w:val="0084212D"/>
    <w:rsid w:val="00842843"/>
    <w:rsid w:val="00842BF8"/>
    <w:rsid w:val="0084307E"/>
    <w:rsid w:val="0084374F"/>
    <w:rsid w:val="0084392E"/>
    <w:rsid w:val="00843A5E"/>
    <w:rsid w:val="00844A22"/>
    <w:rsid w:val="00844C92"/>
    <w:rsid w:val="0084507D"/>
    <w:rsid w:val="00845112"/>
    <w:rsid w:val="0084515C"/>
    <w:rsid w:val="0084522E"/>
    <w:rsid w:val="0084531F"/>
    <w:rsid w:val="00845919"/>
    <w:rsid w:val="00845C1D"/>
    <w:rsid w:val="00846046"/>
    <w:rsid w:val="008460A7"/>
    <w:rsid w:val="00846176"/>
    <w:rsid w:val="0084618E"/>
    <w:rsid w:val="00846493"/>
    <w:rsid w:val="00846B71"/>
    <w:rsid w:val="00846F7E"/>
    <w:rsid w:val="008474D5"/>
    <w:rsid w:val="00847703"/>
    <w:rsid w:val="00847B74"/>
    <w:rsid w:val="00847D9F"/>
    <w:rsid w:val="00847DE6"/>
    <w:rsid w:val="00847DF5"/>
    <w:rsid w:val="0085014E"/>
    <w:rsid w:val="008504B9"/>
    <w:rsid w:val="0085074F"/>
    <w:rsid w:val="00850863"/>
    <w:rsid w:val="00850933"/>
    <w:rsid w:val="00850AED"/>
    <w:rsid w:val="00850B6F"/>
    <w:rsid w:val="00850CC9"/>
    <w:rsid w:val="00850ED0"/>
    <w:rsid w:val="00850FE2"/>
    <w:rsid w:val="00851264"/>
    <w:rsid w:val="00851D3F"/>
    <w:rsid w:val="00852336"/>
    <w:rsid w:val="008524D9"/>
    <w:rsid w:val="00852ABE"/>
    <w:rsid w:val="00852C0B"/>
    <w:rsid w:val="00852D27"/>
    <w:rsid w:val="0085309D"/>
    <w:rsid w:val="0085342F"/>
    <w:rsid w:val="008539BA"/>
    <w:rsid w:val="00853C61"/>
    <w:rsid w:val="00853C63"/>
    <w:rsid w:val="00854690"/>
    <w:rsid w:val="00854948"/>
    <w:rsid w:val="00854DC2"/>
    <w:rsid w:val="008551E2"/>
    <w:rsid w:val="008554A4"/>
    <w:rsid w:val="008554D6"/>
    <w:rsid w:val="008561C2"/>
    <w:rsid w:val="008565B0"/>
    <w:rsid w:val="00856897"/>
    <w:rsid w:val="008569E4"/>
    <w:rsid w:val="00856B88"/>
    <w:rsid w:val="00856C9F"/>
    <w:rsid w:val="00856E9A"/>
    <w:rsid w:val="00856F8A"/>
    <w:rsid w:val="00857149"/>
    <w:rsid w:val="00860453"/>
    <w:rsid w:val="008604BA"/>
    <w:rsid w:val="0086070A"/>
    <w:rsid w:val="0086075D"/>
    <w:rsid w:val="00860961"/>
    <w:rsid w:val="00860E47"/>
    <w:rsid w:val="00860EC9"/>
    <w:rsid w:val="0086156F"/>
    <w:rsid w:val="00861772"/>
    <w:rsid w:val="00861BBA"/>
    <w:rsid w:val="00862502"/>
    <w:rsid w:val="008626D0"/>
    <w:rsid w:val="00862843"/>
    <w:rsid w:val="00862CC1"/>
    <w:rsid w:val="00862D32"/>
    <w:rsid w:val="008635E8"/>
    <w:rsid w:val="00863813"/>
    <w:rsid w:val="00863A72"/>
    <w:rsid w:val="00863E38"/>
    <w:rsid w:val="008642A7"/>
    <w:rsid w:val="0086440B"/>
    <w:rsid w:val="00864FD5"/>
    <w:rsid w:val="00865172"/>
    <w:rsid w:val="00865223"/>
    <w:rsid w:val="00865516"/>
    <w:rsid w:val="00865566"/>
    <w:rsid w:val="0086559B"/>
    <w:rsid w:val="00865AA8"/>
    <w:rsid w:val="00865B72"/>
    <w:rsid w:val="008660D4"/>
    <w:rsid w:val="00866161"/>
    <w:rsid w:val="00866270"/>
    <w:rsid w:val="00866A10"/>
    <w:rsid w:val="00866B1D"/>
    <w:rsid w:val="00866C8F"/>
    <w:rsid w:val="00867A92"/>
    <w:rsid w:val="00870417"/>
    <w:rsid w:val="00870441"/>
    <w:rsid w:val="008704AB"/>
    <w:rsid w:val="008705D5"/>
    <w:rsid w:val="00870AB5"/>
    <w:rsid w:val="00871504"/>
    <w:rsid w:val="00871A17"/>
    <w:rsid w:val="00871FA9"/>
    <w:rsid w:val="00871FEC"/>
    <w:rsid w:val="008728E9"/>
    <w:rsid w:val="00872BA7"/>
    <w:rsid w:val="00872BFB"/>
    <w:rsid w:val="00872C08"/>
    <w:rsid w:val="0087326F"/>
    <w:rsid w:val="0087343D"/>
    <w:rsid w:val="008735AC"/>
    <w:rsid w:val="00873701"/>
    <w:rsid w:val="008739D4"/>
    <w:rsid w:val="00873C13"/>
    <w:rsid w:val="0087424A"/>
    <w:rsid w:val="008743C6"/>
    <w:rsid w:val="00874BC2"/>
    <w:rsid w:val="0087517B"/>
    <w:rsid w:val="0087614C"/>
    <w:rsid w:val="00876446"/>
    <w:rsid w:val="008767B7"/>
    <w:rsid w:val="0087703F"/>
    <w:rsid w:val="008773DD"/>
    <w:rsid w:val="00877B20"/>
    <w:rsid w:val="00877C4E"/>
    <w:rsid w:val="008800F9"/>
    <w:rsid w:val="008801DB"/>
    <w:rsid w:val="008802F0"/>
    <w:rsid w:val="0088071E"/>
    <w:rsid w:val="0088077A"/>
    <w:rsid w:val="00880AE3"/>
    <w:rsid w:val="0088110E"/>
    <w:rsid w:val="008814CC"/>
    <w:rsid w:val="00881566"/>
    <w:rsid w:val="00881627"/>
    <w:rsid w:val="0088243D"/>
    <w:rsid w:val="00882874"/>
    <w:rsid w:val="00882E3C"/>
    <w:rsid w:val="00882F94"/>
    <w:rsid w:val="0088308A"/>
    <w:rsid w:val="00883787"/>
    <w:rsid w:val="00883879"/>
    <w:rsid w:val="008839CB"/>
    <w:rsid w:val="00883C6C"/>
    <w:rsid w:val="00883E9E"/>
    <w:rsid w:val="00883ED2"/>
    <w:rsid w:val="00883F32"/>
    <w:rsid w:val="00884599"/>
    <w:rsid w:val="00884B6C"/>
    <w:rsid w:val="00884D3F"/>
    <w:rsid w:val="008855E4"/>
    <w:rsid w:val="00885A23"/>
    <w:rsid w:val="008862D1"/>
    <w:rsid w:val="0088666C"/>
    <w:rsid w:val="0088675B"/>
    <w:rsid w:val="008869AB"/>
    <w:rsid w:val="00886ACD"/>
    <w:rsid w:val="00886CD2"/>
    <w:rsid w:val="00887679"/>
    <w:rsid w:val="00887823"/>
    <w:rsid w:val="008905BD"/>
    <w:rsid w:val="0089085B"/>
    <w:rsid w:val="00890EB5"/>
    <w:rsid w:val="0089185A"/>
    <w:rsid w:val="0089196E"/>
    <w:rsid w:val="00891CA3"/>
    <w:rsid w:val="00891E6F"/>
    <w:rsid w:val="00892581"/>
    <w:rsid w:val="008925E6"/>
    <w:rsid w:val="0089275D"/>
    <w:rsid w:val="008929A3"/>
    <w:rsid w:val="00892A36"/>
    <w:rsid w:val="00893239"/>
    <w:rsid w:val="008936F8"/>
    <w:rsid w:val="008937EB"/>
    <w:rsid w:val="00893B3C"/>
    <w:rsid w:val="00893DBC"/>
    <w:rsid w:val="00893DC5"/>
    <w:rsid w:val="00894489"/>
    <w:rsid w:val="00894B55"/>
    <w:rsid w:val="00894CD6"/>
    <w:rsid w:val="00896173"/>
    <w:rsid w:val="008963A5"/>
    <w:rsid w:val="008963DD"/>
    <w:rsid w:val="008964DC"/>
    <w:rsid w:val="00896551"/>
    <w:rsid w:val="0089679B"/>
    <w:rsid w:val="0089684A"/>
    <w:rsid w:val="008968C5"/>
    <w:rsid w:val="00896D5D"/>
    <w:rsid w:val="00896D6E"/>
    <w:rsid w:val="0089783D"/>
    <w:rsid w:val="00897CDB"/>
    <w:rsid w:val="00897E24"/>
    <w:rsid w:val="008A0645"/>
    <w:rsid w:val="008A0693"/>
    <w:rsid w:val="008A06E8"/>
    <w:rsid w:val="008A0842"/>
    <w:rsid w:val="008A09A8"/>
    <w:rsid w:val="008A0AAB"/>
    <w:rsid w:val="008A118D"/>
    <w:rsid w:val="008A1316"/>
    <w:rsid w:val="008A1ABB"/>
    <w:rsid w:val="008A24AA"/>
    <w:rsid w:val="008A2DCE"/>
    <w:rsid w:val="008A3158"/>
    <w:rsid w:val="008A3363"/>
    <w:rsid w:val="008A3371"/>
    <w:rsid w:val="008A346E"/>
    <w:rsid w:val="008A3592"/>
    <w:rsid w:val="008A374A"/>
    <w:rsid w:val="008A37A6"/>
    <w:rsid w:val="008A3C3E"/>
    <w:rsid w:val="008A413D"/>
    <w:rsid w:val="008A41BC"/>
    <w:rsid w:val="008A428B"/>
    <w:rsid w:val="008A46E6"/>
    <w:rsid w:val="008A5389"/>
    <w:rsid w:val="008A5630"/>
    <w:rsid w:val="008A58E6"/>
    <w:rsid w:val="008A5DE1"/>
    <w:rsid w:val="008A6AAE"/>
    <w:rsid w:val="008A6BA4"/>
    <w:rsid w:val="008A72FE"/>
    <w:rsid w:val="008A79DE"/>
    <w:rsid w:val="008A7FCF"/>
    <w:rsid w:val="008B018B"/>
    <w:rsid w:val="008B087D"/>
    <w:rsid w:val="008B0ACD"/>
    <w:rsid w:val="008B0F30"/>
    <w:rsid w:val="008B10B3"/>
    <w:rsid w:val="008B149B"/>
    <w:rsid w:val="008B150B"/>
    <w:rsid w:val="008B1757"/>
    <w:rsid w:val="008B1838"/>
    <w:rsid w:val="008B1C33"/>
    <w:rsid w:val="008B1CE5"/>
    <w:rsid w:val="008B24CE"/>
    <w:rsid w:val="008B25EA"/>
    <w:rsid w:val="008B2EB6"/>
    <w:rsid w:val="008B3AC4"/>
    <w:rsid w:val="008B3E1D"/>
    <w:rsid w:val="008B4B6F"/>
    <w:rsid w:val="008B5551"/>
    <w:rsid w:val="008B5A87"/>
    <w:rsid w:val="008B656E"/>
    <w:rsid w:val="008B667D"/>
    <w:rsid w:val="008B6F83"/>
    <w:rsid w:val="008B6FB3"/>
    <w:rsid w:val="008B70E7"/>
    <w:rsid w:val="008B7630"/>
    <w:rsid w:val="008B7951"/>
    <w:rsid w:val="008B7992"/>
    <w:rsid w:val="008B7C81"/>
    <w:rsid w:val="008B7D7E"/>
    <w:rsid w:val="008C0092"/>
    <w:rsid w:val="008C05C3"/>
    <w:rsid w:val="008C07A8"/>
    <w:rsid w:val="008C09BD"/>
    <w:rsid w:val="008C0DF5"/>
    <w:rsid w:val="008C1E53"/>
    <w:rsid w:val="008C1F7D"/>
    <w:rsid w:val="008C220C"/>
    <w:rsid w:val="008C22FC"/>
    <w:rsid w:val="008C283D"/>
    <w:rsid w:val="008C29C1"/>
    <w:rsid w:val="008C2A61"/>
    <w:rsid w:val="008C2A9F"/>
    <w:rsid w:val="008C3240"/>
    <w:rsid w:val="008C334C"/>
    <w:rsid w:val="008C34A5"/>
    <w:rsid w:val="008C3B71"/>
    <w:rsid w:val="008C46C9"/>
    <w:rsid w:val="008C4B21"/>
    <w:rsid w:val="008C4DE8"/>
    <w:rsid w:val="008C50D9"/>
    <w:rsid w:val="008C540E"/>
    <w:rsid w:val="008C5610"/>
    <w:rsid w:val="008C5739"/>
    <w:rsid w:val="008C5E90"/>
    <w:rsid w:val="008C6683"/>
    <w:rsid w:val="008C6893"/>
    <w:rsid w:val="008C6A9D"/>
    <w:rsid w:val="008C6F69"/>
    <w:rsid w:val="008C7282"/>
    <w:rsid w:val="008C7803"/>
    <w:rsid w:val="008C792D"/>
    <w:rsid w:val="008C7ECB"/>
    <w:rsid w:val="008C7EE2"/>
    <w:rsid w:val="008C7F24"/>
    <w:rsid w:val="008D0149"/>
    <w:rsid w:val="008D017B"/>
    <w:rsid w:val="008D0DA0"/>
    <w:rsid w:val="008D11B4"/>
    <w:rsid w:val="008D154F"/>
    <w:rsid w:val="008D17AF"/>
    <w:rsid w:val="008D1EBF"/>
    <w:rsid w:val="008D2303"/>
    <w:rsid w:val="008D29E8"/>
    <w:rsid w:val="008D2CCA"/>
    <w:rsid w:val="008D3B86"/>
    <w:rsid w:val="008D4058"/>
    <w:rsid w:val="008D4063"/>
    <w:rsid w:val="008D43FD"/>
    <w:rsid w:val="008D4645"/>
    <w:rsid w:val="008D4755"/>
    <w:rsid w:val="008D4C3D"/>
    <w:rsid w:val="008D50F8"/>
    <w:rsid w:val="008D511D"/>
    <w:rsid w:val="008D5315"/>
    <w:rsid w:val="008D578E"/>
    <w:rsid w:val="008D5A37"/>
    <w:rsid w:val="008D5C96"/>
    <w:rsid w:val="008D5D24"/>
    <w:rsid w:val="008D5FDE"/>
    <w:rsid w:val="008D60DD"/>
    <w:rsid w:val="008D69F2"/>
    <w:rsid w:val="008D743C"/>
    <w:rsid w:val="008D74FD"/>
    <w:rsid w:val="008D76B8"/>
    <w:rsid w:val="008D7896"/>
    <w:rsid w:val="008E04CB"/>
    <w:rsid w:val="008E05DF"/>
    <w:rsid w:val="008E0ABF"/>
    <w:rsid w:val="008E0D0C"/>
    <w:rsid w:val="008E0D3C"/>
    <w:rsid w:val="008E144A"/>
    <w:rsid w:val="008E1596"/>
    <w:rsid w:val="008E1B9E"/>
    <w:rsid w:val="008E2BDC"/>
    <w:rsid w:val="008E2BE1"/>
    <w:rsid w:val="008E2C4C"/>
    <w:rsid w:val="008E2FEE"/>
    <w:rsid w:val="008E327D"/>
    <w:rsid w:val="008E3B23"/>
    <w:rsid w:val="008E3E7D"/>
    <w:rsid w:val="008E4075"/>
    <w:rsid w:val="008E43AA"/>
    <w:rsid w:val="008E4B34"/>
    <w:rsid w:val="008E4E72"/>
    <w:rsid w:val="008E5031"/>
    <w:rsid w:val="008E538D"/>
    <w:rsid w:val="008E55AB"/>
    <w:rsid w:val="008E569C"/>
    <w:rsid w:val="008E5DAA"/>
    <w:rsid w:val="008E625D"/>
    <w:rsid w:val="008E62AA"/>
    <w:rsid w:val="008E645A"/>
    <w:rsid w:val="008E688B"/>
    <w:rsid w:val="008E6AA1"/>
    <w:rsid w:val="008E6E48"/>
    <w:rsid w:val="008E73E3"/>
    <w:rsid w:val="008E7D88"/>
    <w:rsid w:val="008F004C"/>
    <w:rsid w:val="008F011E"/>
    <w:rsid w:val="008F0831"/>
    <w:rsid w:val="008F0B9F"/>
    <w:rsid w:val="008F0E58"/>
    <w:rsid w:val="008F1009"/>
    <w:rsid w:val="008F1048"/>
    <w:rsid w:val="008F120A"/>
    <w:rsid w:val="008F143D"/>
    <w:rsid w:val="008F1938"/>
    <w:rsid w:val="008F20AE"/>
    <w:rsid w:val="008F2545"/>
    <w:rsid w:val="008F26C8"/>
    <w:rsid w:val="008F2777"/>
    <w:rsid w:val="008F27E0"/>
    <w:rsid w:val="008F286B"/>
    <w:rsid w:val="008F2A90"/>
    <w:rsid w:val="008F2D66"/>
    <w:rsid w:val="008F2EFF"/>
    <w:rsid w:val="008F2F8B"/>
    <w:rsid w:val="008F3316"/>
    <w:rsid w:val="008F3A0A"/>
    <w:rsid w:val="008F430B"/>
    <w:rsid w:val="008F48EB"/>
    <w:rsid w:val="008F4D00"/>
    <w:rsid w:val="008F4F0B"/>
    <w:rsid w:val="008F54B8"/>
    <w:rsid w:val="008F56CD"/>
    <w:rsid w:val="008F5D4E"/>
    <w:rsid w:val="008F5EF0"/>
    <w:rsid w:val="008F662D"/>
    <w:rsid w:val="008F6F50"/>
    <w:rsid w:val="008F76BF"/>
    <w:rsid w:val="008F7ECB"/>
    <w:rsid w:val="008F7FC2"/>
    <w:rsid w:val="00900387"/>
    <w:rsid w:val="0090050C"/>
    <w:rsid w:val="00900A66"/>
    <w:rsid w:val="00902768"/>
    <w:rsid w:val="00903133"/>
    <w:rsid w:val="00903D09"/>
    <w:rsid w:val="009041FC"/>
    <w:rsid w:val="00904257"/>
    <w:rsid w:val="009046C4"/>
    <w:rsid w:val="009049BB"/>
    <w:rsid w:val="00904B47"/>
    <w:rsid w:val="00904DD9"/>
    <w:rsid w:val="00904E6F"/>
    <w:rsid w:val="00904F27"/>
    <w:rsid w:val="0090586F"/>
    <w:rsid w:val="009059B8"/>
    <w:rsid w:val="00905CCE"/>
    <w:rsid w:val="009062A5"/>
    <w:rsid w:val="00906342"/>
    <w:rsid w:val="00906473"/>
    <w:rsid w:val="00906559"/>
    <w:rsid w:val="009067CC"/>
    <w:rsid w:val="009068E9"/>
    <w:rsid w:val="00906C95"/>
    <w:rsid w:val="00906F16"/>
    <w:rsid w:val="00907699"/>
    <w:rsid w:val="00907AB2"/>
    <w:rsid w:val="00907B63"/>
    <w:rsid w:val="00910696"/>
    <w:rsid w:val="009106EE"/>
    <w:rsid w:val="00910868"/>
    <w:rsid w:val="00910BB3"/>
    <w:rsid w:val="00910DBD"/>
    <w:rsid w:val="00910FA7"/>
    <w:rsid w:val="00911272"/>
    <w:rsid w:val="00911339"/>
    <w:rsid w:val="0091156C"/>
    <w:rsid w:val="009116A3"/>
    <w:rsid w:val="009119C4"/>
    <w:rsid w:val="00911FEC"/>
    <w:rsid w:val="009123F4"/>
    <w:rsid w:val="00912D1B"/>
    <w:rsid w:val="009130F7"/>
    <w:rsid w:val="009132FB"/>
    <w:rsid w:val="009135D6"/>
    <w:rsid w:val="00913774"/>
    <w:rsid w:val="00913F25"/>
    <w:rsid w:val="00914999"/>
    <w:rsid w:val="00914C77"/>
    <w:rsid w:val="009150F0"/>
    <w:rsid w:val="00915297"/>
    <w:rsid w:val="00915748"/>
    <w:rsid w:val="00915FD0"/>
    <w:rsid w:val="00916037"/>
    <w:rsid w:val="00916C48"/>
    <w:rsid w:val="00917284"/>
    <w:rsid w:val="00917985"/>
    <w:rsid w:val="009200ED"/>
    <w:rsid w:val="00920117"/>
    <w:rsid w:val="00920412"/>
    <w:rsid w:val="009209EC"/>
    <w:rsid w:val="00920BC8"/>
    <w:rsid w:val="00920DAE"/>
    <w:rsid w:val="00920E2F"/>
    <w:rsid w:val="00920F8B"/>
    <w:rsid w:val="0092104F"/>
    <w:rsid w:val="009216AA"/>
    <w:rsid w:val="009217F8"/>
    <w:rsid w:val="00921ACB"/>
    <w:rsid w:val="00921D73"/>
    <w:rsid w:val="00922C5F"/>
    <w:rsid w:val="0092322E"/>
    <w:rsid w:val="0092369B"/>
    <w:rsid w:val="00924013"/>
    <w:rsid w:val="00924070"/>
    <w:rsid w:val="00924464"/>
    <w:rsid w:val="0092476D"/>
    <w:rsid w:val="009247DC"/>
    <w:rsid w:val="00925291"/>
    <w:rsid w:val="009252B2"/>
    <w:rsid w:val="00925328"/>
    <w:rsid w:val="00925652"/>
    <w:rsid w:val="00925CB1"/>
    <w:rsid w:val="00925FA1"/>
    <w:rsid w:val="00925FDD"/>
    <w:rsid w:val="009261D9"/>
    <w:rsid w:val="00926E6A"/>
    <w:rsid w:val="00926E90"/>
    <w:rsid w:val="00927C6F"/>
    <w:rsid w:val="00927E28"/>
    <w:rsid w:val="00927F64"/>
    <w:rsid w:val="00930671"/>
    <w:rsid w:val="00930D3E"/>
    <w:rsid w:val="00930DFC"/>
    <w:rsid w:val="00930E93"/>
    <w:rsid w:val="00930FA2"/>
    <w:rsid w:val="0093198C"/>
    <w:rsid w:val="00931D48"/>
    <w:rsid w:val="0093281A"/>
    <w:rsid w:val="0093313F"/>
    <w:rsid w:val="00933140"/>
    <w:rsid w:val="0093347E"/>
    <w:rsid w:val="0093370D"/>
    <w:rsid w:val="0093376A"/>
    <w:rsid w:val="00933803"/>
    <w:rsid w:val="00933899"/>
    <w:rsid w:val="009338A3"/>
    <w:rsid w:val="00933B93"/>
    <w:rsid w:val="00934127"/>
    <w:rsid w:val="00934433"/>
    <w:rsid w:val="00934684"/>
    <w:rsid w:val="00934988"/>
    <w:rsid w:val="00934B31"/>
    <w:rsid w:val="00934E44"/>
    <w:rsid w:val="00934EC5"/>
    <w:rsid w:val="009350D9"/>
    <w:rsid w:val="009355D9"/>
    <w:rsid w:val="009357B3"/>
    <w:rsid w:val="009358CB"/>
    <w:rsid w:val="00935D8A"/>
    <w:rsid w:val="009361F7"/>
    <w:rsid w:val="0093681E"/>
    <w:rsid w:val="00936D72"/>
    <w:rsid w:val="00937089"/>
    <w:rsid w:val="00937403"/>
    <w:rsid w:val="00937470"/>
    <w:rsid w:val="009376A0"/>
    <w:rsid w:val="009376A7"/>
    <w:rsid w:val="009378BB"/>
    <w:rsid w:val="00937BC0"/>
    <w:rsid w:val="00937CD2"/>
    <w:rsid w:val="00937EA6"/>
    <w:rsid w:val="0094020B"/>
    <w:rsid w:val="0094026A"/>
    <w:rsid w:val="009407E3"/>
    <w:rsid w:val="0094089E"/>
    <w:rsid w:val="009408AB"/>
    <w:rsid w:val="00940A09"/>
    <w:rsid w:val="00941118"/>
    <w:rsid w:val="0094129F"/>
    <w:rsid w:val="009413A2"/>
    <w:rsid w:val="00941985"/>
    <w:rsid w:val="00941BF6"/>
    <w:rsid w:val="009423F6"/>
    <w:rsid w:val="00942A71"/>
    <w:rsid w:val="00942C3A"/>
    <w:rsid w:val="00942EFA"/>
    <w:rsid w:val="009434D5"/>
    <w:rsid w:val="009438E4"/>
    <w:rsid w:val="00944BF2"/>
    <w:rsid w:val="00944F8A"/>
    <w:rsid w:val="00945199"/>
    <w:rsid w:val="009451A5"/>
    <w:rsid w:val="00945320"/>
    <w:rsid w:val="0094583F"/>
    <w:rsid w:val="00946977"/>
    <w:rsid w:val="00946F9C"/>
    <w:rsid w:val="0094740D"/>
    <w:rsid w:val="00947905"/>
    <w:rsid w:val="009505F7"/>
    <w:rsid w:val="00950A4E"/>
    <w:rsid w:val="009510A2"/>
    <w:rsid w:val="0095113B"/>
    <w:rsid w:val="009517D3"/>
    <w:rsid w:val="009520E0"/>
    <w:rsid w:val="00952571"/>
    <w:rsid w:val="0095264D"/>
    <w:rsid w:val="00952843"/>
    <w:rsid w:val="00952A7A"/>
    <w:rsid w:val="00953061"/>
    <w:rsid w:val="009530BF"/>
    <w:rsid w:val="00953257"/>
    <w:rsid w:val="009533A7"/>
    <w:rsid w:val="009534CE"/>
    <w:rsid w:val="00953BD0"/>
    <w:rsid w:val="00953D6E"/>
    <w:rsid w:val="00953E17"/>
    <w:rsid w:val="0095447F"/>
    <w:rsid w:val="00954680"/>
    <w:rsid w:val="0095474C"/>
    <w:rsid w:val="00954778"/>
    <w:rsid w:val="00954B32"/>
    <w:rsid w:val="00954E29"/>
    <w:rsid w:val="00954F2A"/>
    <w:rsid w:val="00955EA2"/>
    <w:rsid w:val="009561AC"/>
    <w:rsid w:val="00956455"/>
    <w:rsid w:val="00956C62"/>
    <w:rsid w:val="00956DCF"/>
    <w:rsid w:val="009579E0"/>
    <w:rsid w:val="00957B37"/>
    <w:rsid w:val="00957CBC"/>
    <w:rsid w:val="00957D92"/>
    <w:rsid w:val="00960BCA"/>
    <w:rsid w:val="00960C46"/>
    <w:rsid w:val="009613B5"/>
    <w:rsid w:val="00961BF0"/>
    <w:rsid w:val="00961C9E"/>
    <w:rsid w:val="00961D6F"/>
    <w:rsid w:val="0096254C"/>
    <w:rsid w:val="009628F4"/>
    <w:rsid w:val="00962CB9"/>
    <w:rsid w:val="009630D9"/>
    <w:rsid w:val="009638FA"/>
    <w:rsid w:val="0096392B"/>
    <w:rsid w:val="0096397F"/>
    <w:rsid w:val="00963A79"/>
    <w:rsid w:val="00963A83"/>
    <w:rsid w:val="00964010"/>
    <w:rsid w:val="00964312"/>
    <w:rsid w:val="00964E3D"/>
    <w:rsid w:val="0096505A"/>
    <w:rsid w:val="00965293"/>
    <w:rsid w:val="00965B8A"/>
    <w:rsid w:val="00966524"/>
    <w:rsid w:val="00966844"/>
    <w:rsid w:val="009669F1"/>
    <w:rsid w:val="00966B20"/>
    <w:rsid w:val="00966EEA"/>
    <w:rsid w:val="0096718D"/>
    <w:rsid w:val="009672AE"/>
    <w:rsid w:val="00967489"/>
    <w:rsid w:val="00967A37"/>
    <w:rsid w:val="00967B47"/>
    <w:rsid w:val="00967C7C"/>
    <w:rsid w:val="009706F5"/>
    <w:rsid w:val="0097071F"/>
    <w:rsid w:val="009709D5"/>
    <w:rsid w:val="00970F32"/>
    <w:rsid w:val="0097115C"/>
    <w:rsid w:val="0097118A"/>
    <w:rsid w:val="009717AC"/>
    <w:rsid w:val="0097186A"/>
    <w:rsid w:val="00971C74"/>
    <w:rsid w:val="00971FA7"/>
    <w:rsid w:val="00972053"/>
    <w:rsid w:val="009722B9"/>
    <w:rsid w:val="00972419"/>
    <w:rsid w:val="00972D1D"/>
    <w:rsid w:val="00972E64"/>
    <w:rsid w:val="009734B8"/>
    <w:rsid w:val="00973688"/>
    <w:rsid w:val="00973DE8"/>
    <w:rsid w:val="009745EA"/>
    <w:rsid w:val="009746D4"/>
    <w:rsid w:val="009749B4"/>
    <w:rsid w:val="009749DA"/>
    <w:rsid w:val="00974B34"/>
    <w:rsid w:val="009751C1"/>
    <w:rsid w:val="00975268"/>
    <w:rsid w:val="009755BE"/>
    <w:rsid w:val="0097566D"/>
    <w:rsid w:val="00975990"/>
    <w:rsid w:val="00975E38"/>
    <w:rsid w:val="00976608"/>
    <w:rsid w:val="00977262"/>
    <w:rsid w:val="009773B5"/>
    <w:rsid w:val="00977834"/>
    <w:rsid w:val="00977959"/>
    <w:rsid w:val="00980913"/>
    <w:rsid w:val="00980FEF"/>
    <w:rsid w:val="009811F1"/>
    <w:rsid w:val="009814C4"/>
    <w:rsid w:val="00981693"/>
    <w:rsid w:val="00981742"/>
    <w:rsid w:val="009817B4"/>
    <w:rsid w:val="00981840"/>
    <w:rsid w:val="0098198B"/>
    <w:rsid w:val="00981A98"/>
    <w:rsid w:val="00981ADB"/>
    <w:rsid w:val="00982635"/>
    <w:rsid w:val="0098293F"/>
    <w:rsid w:val="00982F0B"/>
    <w:rsid w:val="00983434"/>
    <w:rsid w:val="009837F7"/>
    <w:rsid w:val="00983E1F"/>
    <w:rsid w:val="00983E57"/>
    <w:rsid w:val="00984243"/>
    <w:rsid w:val="00984384"/>
    <w:rsid w:val="0098461C"/>
    <w:rsid w:val="0098466A"/>
    <w:rsid w:val="00984BFB"/>
    <w:rsid w:val="009854C7"/>
    <w:rsid w:val="0098554C"/>
    <w:rsid w:val="00985760"/>
    <w:rsid w:val="0098597E"/>
    <w:rsid w:val="00985AAF"/>
    <w:rsid w:val="00985ADF"/>
    <w:rsid w:val="00985C1F"/>
    <w:rsid w:val="00985DE2"/>
    <w:rsid w:val="00985F78"/>
    <w:rsid w:val="00986245"/>
    <w:rsid w:val="0098675D"/>
    <w:rsid w:val="009868CA"/>
    <w:rsid w:val="0098693C"/>
    <w:rsid w:val="00986EED"/>
    <w:rsid w:val="0098714A"/>
    <w:rsid w:val="00987698"/>
    <w:rsid w:val="00987880"/>
    <w:rsid w:val="00987A4E"/>
    <w:rsid w:val="00987A93"/>
    <w:rsid w:val="00987BA4"/>
    <w:rsid w:val="00987E29"/>
    <w:rsid w:val="00990104"/>
    <w:rsid w:val="00990574"/>
    <w:rsid w:val="00990C7F"/>
    <w:rsid w:val="00991347"/>
    <w:rsid w:val="009917F1"/>
    <w:rsid w:val="0099188E"/>
    <w:rsid w:val="00991E2F"/>
    <w:rsid w:val="009926E0"/>
    <w:rsid w:val="0099280E"/>
    <w:rsid w:val="00992CBD"/>
    <w:rsid w:val="0099375B"/>
    <w:rsid w:val="00993A8C"/>
    <w:rsid w:val="00993AEA"/>
    <w:rsid w:val="0099451E"/>
    <w:rsid w:val="00994A71"/>
    <w:rsid w:val="00994F8A"/>
    <w:rsid w:val="00995011"/>
    <w:rsid w:val="00995A59"/>
    <w:rsid w:val="00995CAA"/>
    <w:rsid w:val="00996514"/>
    <w:rsid w:val="009965EE"/>
    <w:rsid w:val="00996B1A"/>
    <w:rsid w:val="00996EF0"/>
    <w:rsid w:val="00997B5B"/>
    <w:rsid w:val="009A07DB"/>
    <w:rsid w:val="009A0D0C"/>
    <w:rsid w:val="009A13FC"/>
    <w:rsid w:val="009A16C5"/>
    <w:rsid w:val="009A1751"/>
    <w:rsid w:val="009A18F6"/>
    <w:rsid w:val="009A1EC6"/>
    <w:rsid w:val="009A2016"/>
    <w:rsid w:val="009A25AD"/>
    <w:rsid w:val="009A2DCC"/>
    <w:rsid w:val="009A3081"/>
    <w:rsid w:val="009A3771"/>
    <w:rsid w:val="009A4159"/>
    <w:rsid w:val="009A4773"/>
    <w:rsid w:val="009A47F3"/>
    <w:rsid w:val="009A4A88"/>
    <w:rsid w:val="009A4B10"/>
    <w:rsid w:val="009A4B4C"/>
    <w:rsid w:val="009A4C3B"/>
    <w:rsid w:val="009A4F74"/>
    <w:rsid w:val="009A5088"/>
    <w:rsid w:val="009A5367"/>
    <w:rsid w:val="009A5894"/>
    <w:rsid w:val="009A5982"/>
    <w:rsid w:val="009A599F"/>
    <w:rsid w:val="009A5ABC"/>
    <w:rsid w:val="009A5B7C"/>
    <w:rsid w:val="009A5BC5"/>
    <w:rsid w:val="009A5D0D"/>
    <w:rsid w:val="009A6075"/>
    <w:rsid w:val="009A62D7"/>
    <w:rsid w:val="009A6853"/>
    <w:rsid w:val="009A74EA"/>
    <w:rsid w:val="009A7730"/>
    <w:rsid w:val="009A7999"/>
    <w:rsid w:val="009A7F10"/>
    <w:rsid w:val="009B0000"/>
    <w:rsid w:val="009B009E"/>
    <w:rsid w:val="009B033D"/>
    <w:rsid w:val="009B0569"/>
    <w:rsid w:val="009B1148"/>
    <w:rsid w:val="009B1544"/>
    <w:rsid w:val="009B1673"/>
    <w:rsid w:val="009B1EC7"/>
    <w:rsid w:val="009B2CC5"/>
    <w:rsid w:val="009B2D76"/>
    <w:rsid w:val="009B2DFE"/>
    <w:rsid w:val="009B35BE"/>
    <w:rsid w:val="009B39F0"/>
    <w:rsid w:val="009B3A23"/>
    <w:rsid w:val="009B3E26"/>
    <w:rsid w:val="009B4129"/>
    <w:rsid w:val="009B49FB"/>
    <w:rsid w:val="009B54B6"/>
    <w:rsid w:val="009B5675"/>
    <w:rsid w:val="009B5CAE"/>
    <w:rsid w:val="009B5FF5"/>
    <w:rsid w:val="009B61C6"/>
    <w:rsid w:val="009B652C"/>
    <w:rsid w:val="009B65A3"/>
    <w:rsid w:val="009B6D82"/>
    <w:rsid w:val="009B740B"/>
    <w:rsid w:val="009B77CF"/>
    <w:rsid w:val="009C01B9"/>
    <w:rsid w:val="009C0E28"/>
    <w:rsid w:val="009C1271"/>
    <w:rsid w:val="009C12FF"/>
    <w:rsid w:val="009C1752"/>
    <w:rsid w:val="009C1F5A"/>
    <w:rsid w:val="009C201E"/>
    <w:rsid w:val="009C2166"/>
    <w:rsid w:val="009C2468"/>
    <w:rsid w:val="009C24A7"/>
    <w:rsid w:val="009C2BDF"/>
    <w:rsid w:val="009C2FD4"/>
    <w:rsid w:val="009C30DF"/>
    <w:rsid w:val="009C3615"/>
    <w:rsid w:val="009C3706"/>
    <w:rsid w:val="009C37B3"/>
    <w:rsid w:val="009C3A3A"/>
    <w:rsid w:val="009C3BA1"/>
    <w:rsid w:val="009C43B3"/>
    <w:rsid w:val="009C4893"/>
    <w:rsid w:val="009C4A44"/>
    <w:rsid w:val="009C4F84"/>
    <w:rsid w:val="009C5038"/>
    <w:rsid w:val="009C5549"/>
    <w:rsid w:val="009C5630"/>
    <w:rsid w:val="009C58EE"/>
    <w:rsid w:val="009C6260"/>
    <w:rsid w:val="009C6389"/>
    <w:rsid w:val="009C6A14"/>
    <w:rsid w:val="009C6CEA"/>
    <w:rsid w:val="009C744C"/>
    <w:rsid w:val="009C7775"/>
    <w:rsid w:val="009C79C1"/>
    <w:rsid w:val="009C7B85"/>
    <w:rsid w:val="009C7F03"/>
    <w:rsid w:val="009D0254"/>
    <w:rsid w:val="009D02A2"/>
    <w:rsid w:val="009D0378"/>
    <w:rsid w:val="009D05E5"/>
    <w:rsid w:val="009D0C16"/>
    <w:rsid w:val="009D0E17"/>
    <w:rsid w:val="009D0FE0"/>
    <w:rsid w:val="009D1165"/>
    <w:rsid w:val="009D164F"/>
    <w:rsid w:val="009D17DC"/>
    <w:rsid w:val="009D1A64"/>
    <w:rsid w:val="009D1B82"/>
    <w:rsid w:val="009D29FB"/>
    <w:rsid w:val="009D2B8E"/>
    <w:rsid w:val="009D2ED0"/>
    <w:rsid w:val="009D3245"/>
    <w:rsid w:val="009D3C63"/>
    <w:rsid w:val="009D40FB"/>
    <w:rsid w:val="009D4F19"/>
    <w:rsid w:val="009D5026"/>
    <w:rsid w:val="009D5621"/>
    <w:rsid w:val="009D566B"/>
    <w:rsid w:val="009D5821"/>
    <w:rsid w:val="009D5B91"/>
    <w:rsid w:val="009D5CA0"/>
    <w:rsid w:val="009D6516"/>
    <w:rsid w:val="009D67B4"/>
    <w:rsid w:val="009D6816"/>
    <w:rsid w:val="009D6879"/>
    <w:rsid w:val="009D688A"/>
    <w:rsid w:val="009D7795"/>
    <w:rsid w:val="009D792E"/>
    <w:rsid w:val="009D7AB3"/>
    <w:rsid w:val="009D7B41"/>
    <w:rsid w:val="009D7DC3"/>
    <w:rsid w:val="009E06A9"/>
    <w:rsid w:val="009E0DFE"/>
    <w:rsid w:val="009E13EF"/>
    <w:rsid w:val="009E153B"/>
    <w:rsid w:val="009E1785"/>
    <w:rsid w:val="009E17A5"/>
    <w:rsid w:val="009E20DB"/>
    <w:rsid w:val="009E267B"/>
    <w:rsid w:val="009E2AC5"/>
    <w:rsid w:val="009E311B"/>
    <w:rsid w:val="009E31F6"/>
    <w:rsid w:val="009E3E98"/>
    <w:rsid w:val="009E42B2"/>
    <w:rsid w:val="009E4367"/>
    <w:rsid w:val="009E43BF"/>
    <w:rsid w:val="009E440E"/>
    <w:rsid w:val="009E45B6"/>
    <w:rsid w:val="009E4B1B"/>
    <w:rsid w:val="009E4C07"/>
    <w:rsid w:val="009E5039"/>
    <w:rsid w:val="009E5451"/>
    <w:rsid w:val="009E5CE7"/>
    <w:rsid w:val="009E5DC3"/>
    <w:rsid w:val="009E5EA6"/>
    <w:rsid w:val="009E6270"/>
    <w:rsid w:val="009E777F"/>
    <w:rsid w:val="009E785A"/>
    <w:rsid w:val="009F0B71"/>
    <w:rsid w:val="009F0D97"/>
    <w:rsid w:val="009F1014"/>
    <w:rsid w:val="009F12B6"/>
    <w:rsid w:val="009F12F9"/>
    <w:rsid w:val="009F13EC"/>
    <w:rsid w:val="009F170D"/>
    <w:rsid w:val="009F296A"/>
    <w:rsid w:val="009F39AC"/>
    <w:rsid w:val="009F3B01"/>
    <w:rsid w:val="009F3CB0"/>
    <w:rsid w:val="009F3D59"/>
    <w:rsid w:val="009F3F25"/>
    <w:rsid w:val="009F4024"/>
    <w:rsid w:val="009F40E6"/>
    <w:rsid w:val="009F418E"/>
    <w:rsid w:val="009F4211"/>
    <w:rsid w:val="009F43C4"/>
    <w:rsid w:val="009F4705"/>
    <w:rsid w:val="009F47A5"/>
    <w:rsid w:val="009F4985"/>
    <w:rsid w:val="009F4B20"/>
    <w:rsid w:val="009F540B"/>
    <w:rsid w:val="009F5BB8"/>
    <w:rsid w:val="009F6120"/>
    <w:rsid w:val="009F64E9"/>
    <w:rsid w:val="009F6575"/>
    <w:rsid w:val="009F682B"/>
    <w:rsid w:val="009F6B83"/>
    <w:rsid w:val="009F6BAD"/>
    <w:rsid w:val="009F6E85"/>
    <w:rsid w:val="009F6FF0"/>
    <w:rsid w:val="009F723B"/>
    <w:rsid w:val="00A00182"/>
    <w:rsid w:val="00A00209"/>
    <w:rsid w:val="00A0023F"/>
    <w:rsid w:val="00A00373"/>
    <w:rsid w:val="00A00C24"/>
    <w:rsid w:val="00A00D76"/>
    <w:rsid w:val="00A00EDA"/>
    <w:rsid w:val="00A01184"/>
    <w:rsid w:val="00A01449"/>
    <w:rsid w:val="00A018B8"/>
    <w:rsid w:val="00A019B6"/>
    <w:rsid w:val="00A01F70"/>
    <w:rsid w:val="00A02088"/>
    <w:rsid w:val="00A02343"/>
    <w:rsid w:val="00A02389"/>
    <w:rsid w:val="00A02834"/>
    <w:rsid w:val="00A02BB0"/>
    <w:rsid w:val="00A02C11"/>
    <w:rsid w:val="00A02C5B"/>
    <w:rsid w:val="00A033D9"/>
    <w:rsid w:val="00A035DD"/>
    <w:rsid w:val="00A037C2"/>
    <w:rsid w:val="00A03B7C"/>
    <w:rsid w:val="00A03C25"/>
    <w:rsid w:val="00A03CAB"/>
    <w:rsid w:val="00A03CEE"/>
    <w:rsid w:val="00A03D43"/>
    <w:rsid w:val="00A03E50"/>
    <w:rsid w:val="00A0412A"/>
    <w:rsid w:val="00A04380"/>
    <w:rsid w:val="00A04589"/>
    <w:rsid w:val="00A04786"/>
    <w:rsid w:val="00A04AA6"/>
    <w:rsid w:val="00A04EE2"/>
    <w:rsid w:val="00A05472"/>
    <w:rsid w:val="00A054C2"/>
    <w:rsid w:val="00A05AF0"/>
    <w:rsid w:val="00A05C32"/>
    <w:rsid w:val="00A05C6B"/>
    <w:rsid w:val="00A06407"/>
    <w:rsid w:val="00A0653F"/>
    <w:rsid w:val="00A06D2C"/>
    <w:rsid w:val="00A07533"/>
    <w:rsid w:val="00A0786D"/>
    <w:rsid w:val="00A079BA"/>
    <w:rsid w:val="00A07AAE"/>
    <w:rsid w:val="00A07ADC"/>
    <w:rsid w:val="00A07C1A"/>
    <w:rsid w:val="00A07E2C"/>
    <w:rsid w:val="00A10223"/>
    <w:rsid w:val="00A103FC"/>
    <w:rsid w:val="00A104E2"/>
    <w:rsid w:val="00A1094A"/>
    <w:rsid w:val="00A10BB1"/>
    <w:rsid w:val="00A10DE8"/>
    <w:rsid w:val="00A10F2C"/>
    <w:rsid w:val="00A111ED"/>
    <w:rsid w:val="00A11CD0"/>
    <w:rsid w:val="00A11E52"/>
    <w:rsid w:val="00A11F08"/>
    <w:rsid w:val="00A12328"/>
    <w:rsid w:val="00A12773"/>
    <w:rsid w:val="00A12DF8"/>
    <w:rsid w:val="00A13136"/>
    <w:rsid w:val="00A13187"/>
    <w:rsid w:val="00A13230"/>
    <w:rsid w:val="00A13948"/>
    <w:rsid w:val="00A13F59"/>
    <w:rsid w:val="00A1417D"/>
    <w:rsid w:val="00A1423A"/>
    <w:rsid w:val="00A145B0"/>
    <w:rsid w:val="00A1471B"/>
    <w:rsid w:val="00A148AA"/>
    <w:rsid w:val="00A1535C"/>
    <w:rsid w:val="00A1554B"/>
    <w:rsid w:val="00A1555B"/>
    <w:rsid w:val="00A155BB"/>
    <w:rsid w:val="00A155C5"/>
    <w:rsid w:val="00A1560B"/>
    <w:rsid w:val="00A158E9"/>
    <w:rsid w:val="00A15EB3"/>
    <w:rsid w:val="00A1601E"/>
    <w:rsid w:val="00A160AC"/>
    <w:rsid w:val="00A166C7"/>
    <w:rsid w:val="00A16AD8"/>
    <w:rsid w:val="00A17622"/>
    <w:rsid w:val="00A17665"/>
    <w:rsid w:val="00A17837"/>
    <w:rsid w:val="00A17979"/>
    <w:rsid w:val="00A17F8C"/>
    <w:rsid w:val="00A2021E"/>
    <w:rsid w:val="00A203CA"/>
    <w:rsid w:val="00A2059C"/>
    <w:rsid w:val="00A20688"/>
    <w:rsid w:val="00A20898"/>
    <w:rsid w:val="00A208DB"/>
    <w:rsid w:val="00A20CFF"/>
    <w:rsid w:val="00A21113"/>
    <w:rsid w:val="00A215A2"/>
    <w:rsid w:val="00A21BF9"/>
    <w:rsid w:val="00A21C95"/>
    <w:rsid w:val="00A21CF3"/>
    <w:rsid w:val="00A22213"/>
    <w:rsid w:val="00A2286D"/>
    <w:rsid w:val="00A23A72"/>
    <w:rsid w:val="00A24285"/>
    <w:rsid w:val="00A242A8"/>
    <w:rsid w:val="00A24813"/>
    <w:rsid w:val="00A2498D"/>
    <w:rsid w:val="00A24BB7"/>
    <w:rsid w:val="00A24C27"/>
    <w:rsid w:val="00A24CA6"/>
    <w:rsid w:val="00A24D2E"/>
    <w:rsid w:val="00A24DD6"/>
    <w:rsid w:val="00A25AC1"/>
    <w:rsid w:val="00A2660F"/>
    <w:rsid w:val="00A26BA4"/>
    <w:rsid w:val="00A27240"/>
    <w:rsid w:val="00A2785E"/>
    <w:rsid w:val="00A27AEC"/>
    <w:rsid w:val="00A27BE5"/>
    <w:rsid w:val="00A30A0C"/>
    <w:rsid w:val="00A30E75"/>
    <w:rsid w:val="00A312C3"/>
    <w:rsid w:val="00A3186F"/>
    <w:rsid w:val="00A320DB"/>
    <w:rsid w:val="00A3221D"/>
    <w:rsid w:val="00A32307"/>
    <w:rsid w:val="00A32388"/>
    <w:rsid w:val="00A32F01"/>
    <w:rsid w:val="00A335C3"/>
    <w:rsid w:val="00A3368D"/>
    <w:rsid w:val="00A34281"/>
    <w:rsid w:val="00A344AA"/>
    <w:rsid w:val="00A344F4"/>
    <w:rsid w:val="00A34CFA"/>
    <w:rsid w:val="00A34D1C"/>
    <w:rsid w:val="00A34DEC"/>
    <w:rsid w:val="00A34FE2"/>
    <w:rsid w:val="00A35477"/>
    <w:rsid w:val="00A358B3"/>
    <w:rsid w:val="00A35966"/>
    <w:rsid w:val="00A35D16"/>
    <w:rsid w:val="00A35DCE"/>
    <w:rsid w:val="00A35F6A"/>
    <w:rsid w:val="00A35FC9"/>
    <w:rsid w:val="00A36056"/>
    <w:rsid w:val="00A36504"/>
    <w:rsid w:val="00A36737"/>
    <w:rsid w:val="00A36AA7"/>
    <w:rsid w:val="00A36B93"/>
    <w:rsid w:val="00A36DD6"/>
    <w:rsid w:val="00A36EF8"/>
    <w:rsid w:val="00A370E8"/>
    <w:rsid w:val="00A371FD"/>
    <w:rsid w:val="00A37425"/>
    <w:rsid w:val="00A379F7"/>
    <w:rsid w:val="00A37BCD"/>
    <w:rsid w:val="00A40080"/>
    <w:rsid w:val="00A40131"/>
    <w:rsid w:val="00A4050B"/>
    <w:rsid w:val="00A40785"/>
    <w:rsid w:val="00A40A6E"/>
    <w:rsid w:val="00A40D2D"/>
    <w:rsid w:val="00A40FDB"/>
    <w:rsid w:val="00A4110C"/>
    <w:rsid w:val="00A414C9"/>
    <w:rsid w:val="00A414EE"/>
    <w:rsid w:val="00A41689"/>
    <w:rsid w:val="00A418B1"/>
    <w:rsid w:val="00A41AD7"/>
    <w:rsid w:val="00A41D6D"/>
    <w:rsid w:val="00A4202C"/>
    <w:rsid w:val="00A42251"/>
    <w:rsid w:val="00A42592"/>
    <w:rsid w:val="00A42695"/>
    <w:rsid w:val="00A426A8"/>
    <w:rsid w:val="00A42CDA"/>
    <w:rsid w:val="00A432C1"/>
    <w:rsid w:val="00A43A08"/>
    <w:rsid w:val="00A43C59"/>
    <w:rsid w:val="00A43EB0"/>
    <w:rsid w:val="00A44450"/>
    <w:rsid w:val="00A4448A"/>
    <w:rsid w:val="00A44942"/>
    <w:rsid w:val="00A449C8"/>
    <w:rsid w:val="00A44CC5"/>
    <w:rsid w:val="00A4507D"/>
    <w:rsid w:val="00A456D4"/>
    <w:rsid w:val="00A45B21"/>
    <w:rsid w:val="00A45D91"/>
    <w:rsid w:val="00A45FA8"/>
    <w:rsid w:val="00A461A3"/>
    <w:rsid w:val="00A46B03"/>
    <w:rsid w:val="00A46B48"/>
    <w:rsid w:val="00A47029"/>
    <w:rsid w:val="00A47211"/>
    <w:rsid w:val="00A47455"/>
    <w:rsid w:val="00A476E1"/>
    <w:rsid w:val="00A47DFB"/>
    <w:rsid w:val="00A47F16"/>
    <w:rsid w:val="00A50B29"/>
    <w:rsid w:val="00A50ECD"/>
    <w:rsid w:val="00A518C7"/>
    <w:rsid w:val="00A518F3"/>
    <w:rsid w:val="00A51AE2"/>
    <w:rsid w:val="00A51F08"/>
    <w:rsid w:val="00A52713"/>
    <w:rsid w:val="00A52729"/>
    <w:rsid w:val="00A5281A"/>
    <w:rsid w:val="00A529D9"/>
    <w:rsid w:val="00A52A9F"/>
    <w:rsid w:val="00A531FB"/>
    <w:rsid w:val="00A534BB"/>
    <w:rsid w:val="00A53675"/>
    <w:rsid w:val="00A53D4C"/>
    <w:rsid w:val="00A5418B"/>
    <w:rsid w:val="00A541DF"/>
    <w:rsid w:val="00A5422D"/>
    <w:rsid w:val="00A543FE"/>
    <w:rsid w:val="00A558C4"/>
    <w:rsid w:val="00A55C3E"/>
    <w:rsid w:val="00A55D9C"/>
    <w:rsid w:val="00A564D7"/>
    <w:rsid w:val="00A56A3D"/>
    <w:rsid w:val="00A56B6A"/>
    <w:rsid w:val="00A577F4"/>
    <w:rsid w:val="00A578B2"/>
    <w:rsid w:val="00A578DC"/>
    <w:rsid w:val="00A57A2F"/>
    <w:rsid w:val="00A60E3D"/>
    <w:rsid w:val="00A60F4B"/>
    <w:rsid w:val="00A61DDE"/>
    <w:rsid w:val="00A622E2"/>
    <w:rsid w:val="00A6255E"/>
    <w:rsid w:val="00A62A04"/>
    <w:rsid w:val="00A62AA0"/>
    <w:rsid w:val="00A62B7A"/>
    <w:rsid w:val="00A62D67"/>
    <w:rsid w:val="00A63173"/>
    <w:rsid w:val="00A63255"/>
    <w:rsid w:val="00A63941"/>
    <w:rsid w:val="00A639DF"/>
    <w:rsid w:val="00A63F06"/>
    <w:rsid w:val="00A640E2"/>
    <w:rsid w:val="00A6420C"/>
    <w:rsid w:val="00A64840"/>
    <w:rsid w:val="00A64B5B"/>
    <w:rsid w:val="00A64D65"/>
    <w:rsid w:val="00A64F8A"/>
    <w:rsid w:val="00A652DB"/>
    <w:rsid w:val="00A65D6D"/>
    <w:rsid w:val="00A66107"/>
    <w:rsid w:val="00A66412"/>
    <w:rsid w:val="00A665E5"/>
    <w:rsid w:val="00A66C65"/>
    <w:rsid w:val="00A66DD1"/>
    <w:rsid w:val="00A6725B"/>
    <w:rsid w:val="00A6747A"/>
    <w:rsid w:val="00A7022E"/>
    <w:rsid w:val="00A70605"/>
    <w:rsid w:val="00A7067C"/>
    <w:rsid w:val="00A70FF4"/>
    <w:rsid w:val="00A71BD0"/>
    <w:rsid w:val="00A7211F"/>
    <w:rsid w:val="00A72A2C"/>
    <w:rsid w:val="00A72A2F"/>
    <w:rsid w:val="00A72C9B"/>
    <w:rsid w:val="00A72CFD"/>
    <w:rsid w:val="00A72DA8"/>
    <w:rsid w:val="00A72F08"/>
    <w:rsid w:val="00A7301D"/>
    <w:rsid w:val="00A73134"/>
    <w:rsid w:val="00A7365A"/>
    <w:rsid w:val="00A7546A"/>
    <w:rsid w:val="00A759EB"/>
    <w:rsid w:val="00A76001"/>
    <w:rsid w:val="00A76265"/>
    <w:rsid w:val="00A7630A"/>
    <w:rsid w:val="00A76456"/>
    <w:rsid w:val="00A764DB"/>
    <w:rsid w:val="00A7659F"/>
    <w:rsid w:val="00A7703D"/>
    <w:rsid w:val="00A77411"/>
    <w:rsid w:val="00A777B2"/>
    <w:rsid w:val="00A778C7"/>
    <w:rsid w:val="00A77D0A"/>
    <w:rsid w:val="00A8008E"/>
    <w:rsid w:val="00A80249"/>
    <w:rsid w:val="00A80DC5"/>
    <w:rsid w:val="00A80F09"/>
    <w:rsid w:val="00A810E5"/>
    <w:rsid w:val="00A81B8C"/>
    <w:rsid w:val="00A81BF4"/>
    <w:rsid w:val="00A81E12"/>
    <w:rsid w:val="00A81EDF"/>
    <w:rsid w:val="00A821F5"/>
    <w:rsid w:val="00A825D4"/>
    <w:rsid w:val="00A828F6"/>
    <w:rsid w:val="00A82B73"/>
    <w:rsid w:val="00A82C24"/>
    <w:rsid w:val="00A82F4D"/>
    <w:rsid w:val="00A834A1"/>
    <w:rsid w:val="00A841F9"/>
    <w:rsid w:val="00A84679"/>
    <w:rsid w:val="00A84A7E"/>
    <w:rsid w:val="00A85179"/>
    <w:rsid w:val="00A85208"/>
    <w:rsid w:val="00A855D3"/>
    <w:rsid w:val="00A859FE"/>
    <w:rsid w:val="00A86124"/>
    <w:rsid w:val="00A862F8"/>
    <w:rsid w:val="00A8643F"/>
    <w:rsid w:val="00A86C78"/>
    <w:rsid w:val="00A86E8B"/>
    <w:rsid w:val="00A87164"/>
    <w:rsid w:val="00A8761C"/>
    <w:rsid w:val="00A9179E"/>
    <w:rsid w:val="00A9180C"/>
    <w:rsid w:val="00A91A75"/>
    <w:rsid w:val="00A91E65"/>
    <w:rsid w:val="00A91EA7"/>
    <w:rsid w:val="00A91FB9"/>
    <w:rsid w:val="00A924A5"/>
    <w:rsid w:val="00A9254F"/>
    <w:rsid w:val="00A9256A"/>
    <w:rsid w:val="00A92776"/>
    <w:rsid w:val="00A92DF8"/>
    <w:rsid w:val="00A93072"/>
    <w:rsid w:val="00A933E7"/>
    <w:rsid w:val="00A93486"/>
    <w:rsid w:val="00A938BD"/>
    <w:rsid w:val="00A93953"/>
    <w:rsid w:val="00A93CD5"/>
    <w:rsid w:val="00A93FF8"/>
    <w:rsid w:val="00A94386"/>
    <w:rsid w:val="00A94559"/>
    <w:rsid w:val="00A947A5"/>
    <w:rsid w:val="00A94AD5"/>
    <w:rsid w:val="00A94C8C"/>
    <w:rsid w:val="00A94E9D"/>
    <w:rsid w:val="00A94EBD"/>
    <w:rsid w:val="00A95109"/>
    <w:rsid w:val="00A95234"/>
    <w:rsid w:val="00A95417"/>
    <w:rsid w:val="00A9586F"/>
    <w:rsid w:val="00A959D8"/>
    <w:rsid w:val="00A95E0C"/>
    <w:rsid w:val="00A96EFD"/>
    <w:rsid w:val="00A97152"/>
    <w:rsid w:val="00A97461"/>
    <w:rsid w:val="00A97BC9"/>
    <w:rsid w:val="00AA0191"/>
    <w:rsid w:val="00AA037E"/>
    <w:rsid w:val="00AA0C0F"/>
    <w:rsid w:val="00AA0D6C"/>
    <w:rsid w:val="00AA113D"/>
    <w:rsid w:val="00AA1304"/>
    <w:rsid w:val="00AA168C"/>
    <w:rsid w:val="00AA19EE"/>
    <w:rsid w:val="00AA1A16"/>
    <w:rsid w:val="00AA1C0B"/>
    <w:rsid w:val="00AA1F9F"/>
    <w:rsid w:val="00AA1FE4"/>
    <w:rsid w:val="00AA2428"/>
    <w:rsid w:val="00AA267E"/>
    <w:rsid w:val="00AA28C4"/>
    <w:rsid w:val="00AA2968"/>
    <w:rsid w:val="00AA2AA4"/>
    <w:rsid w:val="00AA2C39"/>
    <w:rsid w:val="00AA32DB"/>
    <w:rsid w:val="00AA3606"/>
    <w:rsid w:val="00AA3877"/>
    <w:rsid w:val="00AA3D7F"/>
    <w:rsid w:val="00AA40D5"/>
    <w:rsid w:val="00AA439E"/>
    <w:rsid w:val="00AA43A0"/>
    <w:rsid w:val="00AA4A8C"/>
    <w:rsid w:val="00AA4EE5"/>
    <w:rsid w:val="00AA57EE"/>
    <w:rsid w:val="00AA5ABF"/>
    <w:rsid w:val="00AA5ADF"/>
    <w:rsid w:val="00AA5F99"/>
    <w:rsid w:val="00AA6BD5"/>
    <w:rsid w:val="00AA6BD8"/>
    <w:rsid w:val="00AA6C7D"/>
    <w:rsid w:val="00AA7944"/>
    <w:rsid w:val="00AA7DA3"/>
    <w:rsid w:val="00AA7DD9"/>
    <w:rsid w:val="00AA7DEC"/>
    <w:rsid w:val="00AA7FD6"/>
    <w:rsid w:val="00AB024A"/>
    <w:rsid w:val="00AB042A"/>
    <w:rsid w:val="00AB05B9"/>
    <w:rsid w:val="00AB0716"/>
    <w:rsid w:val="00AB096A"/>
    <w:rsid w:val="00AB0D68"/>
    <w:rsid w:val="00AB1046"/>
    <w:rsid w:val="00AB11AD"/>
    <w:rsid w:val="00AB1402"/>
    <w:rsid w:val="00AB140D"/>
    <w:rsid w:val="00AB15AC"/>
    <w:rsid w:val="00AB162F"/>
    <w:rsid w:val="00AB16F2"/>
    <w:rsid w:val="00AB18F4"/>
    <w:rsid w:val="00AB19EF"/>
    <w:rsid w:val="00AB1A50"/>
    <w:rsid w:val="00AB233A"/>
    <w:rsid w:val="00AB2345"/>
    <w:rsid w:val="00AB234E"/>
    <w:rsid w:val="00AB2495"/>
    <w:rsid w:val="00AB2551"/>
    <w:rsid w:val="00AB27F8"/>
    <w:rsid w:val="00AB2C55"/>
    <w:rsid w:val="00AB2C77"/>
    <w:rsid w:val="00AB2D34"/>
    <w:rsid w:val="00AB2E00"/>
    <w:rsid w:val="00AB2F2A"/>
    <w:rsid w:val="00AB3430"/>
    <w:rsid w:val="00AB3787"/>
    <w:rsid w:val="00AB37B9"/>
    <w:rsid w:val="00AB387B"/>
    <w:rsid w:val="00AB3E2A"/>
    <w:rsid w:val="00AB3F82"/>
    <w:rsid w:val="00AB4492"/>
    <w:rsid w:val="00AB4494"/>
    <w:rsid w:val="00AB4AD1"/>
    <w:rsid w:val="00AB4CB7"/>
    <w:rsid w:val="00AB5559"/>
    <w:rsid w:val="00AB5568"/>
    <w:rsid w:val="00AB56BE"/>
    <w:rsid w:val="00AB5D46"/>
    <w:rsid w:val="00AB5E07"/>
    <w:rsid w:val="00AB5E48"/>
    <w:rsid w:val="00AB6103"/>
    <w:rsid w:val="00AB6A4E"/>
    <w:rsid w:val="00AB6A7A"/>
    <w:rsid w:val="00AB6AD6"/>
    <w:rsid w:val="00AB75D1"/>
    <w:rsid w:val="00AB7C3A"/>
    <w:rsid w:val="00AB7CFA"/>
    <w:rsid w:val="00AC0531"/>
    <w:rsid w:val="00AC0613"/>
    <w:rsid w:val="00AC0B26"/>
    <w:rsid w:val="00AC104C"/>
    <w:rsid w:val="00AC110C"/>
    <w:rsid w:val="00AC14C2"/>
    <w:rsid w:val="00AC20FB"/>
    <w:rsid w:val="00AC223C"/>
    <w:rsid w:val="00AC225B"/>
    <w:rsid w:val="00AC25A2"/>
    <w:rsid w:val="00AC2C48"/>
    <w:rsid w:val="00AC2D48"/>
    <w:rsid w:val="00AC2EB8"/>
    <w:rsid w:val="00AC3A4B"/>
    <w:rsid w:val="00AC3EC3"/>
    <w:rsid w:val="00AC401F"/>
    <w:rsid w:val="00AC42D0"/>
    <w:rsid w:val="00AC435B"/>
    <w:rsid w:val="00AC43AE"/>
    <w:rsid w:val="00AC457F"/>
    <w:rsid w:val="00AC4832"/>
    <w:rsid w:val="00AC5B42"/>
    <w:rsid w:val="00AC5B48"/>
    <w:rsid w:val="00AC5CC0"/>
    <w:rsid w:val="00AC623E"/>
    <w:rsid w:val="00AC68E6"/>
    <w:rsid w:val="00AC708F"/>
    <w:rsid w:val="00AC752A"/>
    <w:rsid w:val="00AC753D"/>
    <w:rsid w:val="00AC7605"/>
    <w:rsid w:val="00AC7A6B"/>
    <w:rsid w:val="00AD005A"/>
    <w:rsid w:val="00AD0806"/>
    <w:rsid w:val="00AD0A42"/>
    <w:rsid w:val="00AD0F62"/>
    <w:rsid w:val="00AD1450"/>
    <w:rsid w:val="00AD1517"/>
    <w:rsid w:val="00AD15DE"/>
    <w:rsid w:val="00AD15E8"/>
    <w:rsid w:val="00AD20C9"/>
    <w:rsid w:val="00AD2855"/>
    <w:rsid w:val="00AD2E53"/>
    <w:rsid w:val="00AD2E6F"/>
    <w:rsid w:val="00AD33E8"/>
    <w:rsid w:val="00AD356D"/>
    <w:rsid w:val="00AD3D31"/>
    <w:rsid w:val="00AD4852"/>
    <w:rsid w:val="00AD4D42"/>
    <w:rsid w:val="00AD4DFE"/>
    <w:rsid w:val="00AD52F1"/>
    <w:rsid w:val="00AD5666"/>
    <w:rsid w:val="00AD5971"/>
    <w:rsid w:val="00AD5DEB"/>
    <w:rsid w:val="00AD5FA7"/>
    <w:rsid w:val="00AD60DA"/>
    <w:rsid w:val="00AD6502"/>
    <w:rsid w:val="00AD6861"/>
    <w:rsid w:val="00AD6888"/>
    <w:rsid w:val="00AD6D7F"/>
    <w:rsid w:val="00AD71AA"/>
    <w:rsid w:val="00AD7538"/>
    <w:rsid w:val="00AD7E1F"/>
    <w:rsid w:val="00AD7FDD"/>
    <w:rsid w:val="00AE00C5"/>
    <w:rsid w:val="00AE0695"/>
    <w:rsid w:val="00AE0749"/>
    <w:rsid w:val="00AE074B"/>
    <w:rsid w:val="00AE0A45"/>
    <w:rsid w:val="00AE0DFE"/>
    <w:rsid w:val="00AE1834"/>
    <w:rsid w:val="00AE1881"/>
    <w:rsid w:val="00AE18C4"/>
    <w:rsid w:val="00AE2168"/>
    <w:rsid w:val="00AE248F"/>
    <w:rsid w:val="00AE2EB8"/>
    <w:rsid w:val="00AE31E1"/>
    <w:rsid w:val="00AE3537"/>
    <w:rsid w:val="00AE3853"/>
    <w:rsid w:val="00AE3B5C"/>
    <w:rsid w:val="00AE3B71"/>
    <w:rsid w:val="00AE3E7E"/>
    <w:rsid w:val="00AE421B"/>
    <w:rsid w:val="00AE4DDD"/>
    <w:rsid w:val="00AE4EE2"/>
    <w:rsid w:val="00AE5138"/>
    <w:rsid w:val="00AE5699"/>
    <w:rsid w:val="00AE57EE"/>
    <w:rsid w:val="00AE6848"/>
    <w:rsid w:val="00AE6BAD"/>
    <w:rsid w:val="00AE6D12"/>
    <w:rsid w:val="00AE71A4"/>
    <w:rsid w:val="00AE7A00"/>
    <w:rsid w:val="00AE7B53"/>
    <w:rsid w:val="00AE7E53"/>
    <w:rsid w:val="00AE7E9F"/>
    <w:rsid w:val="00AE7F45"/>
    <w:rsid w:val="00AF0386"/>
    <w:rsid w:val="00AF06E1"/>
    <w:rsid w:val="00AF0B39"/>
    <w:rsid w:val="00AF0C6D"/>
    <w:rsid w:val="00AF0F26"/>
    <w:rsid w:val="00AF12FC"/>
    <w:rsid w:val="00AF1315"/>
    <w:rsid w:val="00AF1345"/>
    <w:rsid w:val="00AF19BF"/>
    <w:rsid w:val="00AF2278"/>
    <w:rsid w:val="00AF23B2"/>
    <w:rsid w:val="00AF2489"/>
    <w:rsid w:val="00AF2DC3"/>
    <w:rsid w:val="00AF2F87"/>
    <w:rsid w:val="00AF3039"/>
    <w:rsid w:val="00AF32F9"/>
    <w:rsid w:val="00AF334F"/>
    <w:rsid w:val="00AF3751"/>
    <w:rsid w:val="00AF3D93"/>
    <w:rsid w:val="00AF44D7"/>
    <w:rsid w:val="00AF5840"/>
    <w:rsid w:val="00AF5861"/>
    <w:rsid w:val="00AF5A96"/>
    <w:rsid w:val="00AF6836"/>
    <w:rsid w:val="00AF6EF9"/>
    <w:rsid w:val="00AF74C3"/>
    <w:rsid w:val="00AF7756"/>
    <w:rsid w:val="00B005B6"/>
    <w:rsid w:val="00B00977"/>
    <w:rsid w:val="00B00B89"/>
    <w:rsid w:val="00B01132"/>
    <w:rsid w:val="00B0199B"/>
    <w:rsid w:val="00B01AA7"/>
    <w:rsid w:val="00B01AF0"/>
    <w:rsid w:val="00B01B22"/>
    <w:rsid w:val="00B01F5C"/>
    <w:rsid w:val="00B0248E"/>
    <w:rsid w:val="00B02789"/>
    <w:rsid w:val="00B03361"/>
    <w:rsid w:val="00B0339A"/>
    <w:rsid w:val="00B033E5"/>
    <w:rsid w:val="00B03A63"/>
    <w:rsid w:val="00B03EA1"/>
    <w:rsid w:val="00B040F1"/>
    <w:rsid w:val="00B0428D"/>
    <w:rsid w:val="00B043BC"/>
    <w:rsid w:val="00B047E0"/>
    <w:rsid w:val="00B0481B"/>
    <w:rsid w:val="00B054FD"/>
    <w:rsid w:val="00B05AC6"/>
    <w:rsid w:val="00B05C42"/>
    <w:rsid w:val="00B05D00"/>
    <w:rsid w:val="00B06880"/>
    <w:rsid w:val="00B068D7"/>
    <w:rsid w:val="00B06BCA"/>
    <w:rsid w:val="00B06BF7"/>
    <w:rsid w:val="00B07037"/>
    <w:rsid w:val="00B0713E"/>
    <w:rsid w:val="00B0779F"/>
    <w:rsid w:val="00B07C64"/>
    <w:rsid w:val="00B07DCF"/>
    <w:rsid w:val="00B07F62"/>
    <w:rsid w:val="00B10301"/>
    <w:rsid w:val="00B108F2"/>
    <w:rsid w:val="00B10A7C"/>
    <w:rsid w:val="00B10CFC"/>
    <w:rsid w:val="00B111E5"/>
    <w:rsid w:val="00B117FE"/>
    <w:rsid w:val="00B1274E"/>
    <w:rsid w:val="00B129A4"/>
    <w:rsid w:val="00B12AA8"/>
    <w:rsid w:val="00B12B56"/>
    <w:rsid w:val="00B12D46"/>
    <w:rsid w:val="00B12E09"/>
    <w:rsid w:val="00B13540"/>
    <w:rsid w:val="00B138DA"/>
    <w:rsid w:val="00B13BF5"/>
    <w:rsid w:val="00B141DF"/>
    <w:rsid w:val="00B14B9C"/>
    <w:rsid w:val="00B14E4F"/>
    <w:rsid w:val="00B15712"/>
    <w:rsid w:val="00B1590B"/>
    <w:rsid w:val="00B15983"/>
    <w:rsid w:val="00B15ADE"/>
    <w:rsid w:val="00B16270"/>
    <w:rsid w:val="00B162FD"/>
    <w:rsid w:val="00B1639B"/>
    <w:rsid w:val="00B16A37"/>
    <w:rsid w:val="00B16A87"/>
    <w:rsid w:val="00B16ACB"/>
    <w:rsid w:val="00B17027"/>
    <w:rsid w:val="00B171C4"/>
    <w:rsid w:val="00B175CA"/>
    <w:rsid w:val="00B17857"/>
    <w:rsid w:val="00B17B32"/>
    <w:rsid w:val="00B201A4"/>
    <w:rsid w:val="00B201D1"/>
    <w:rsid w:val="00B20B10"/>
    <w:rsid w:val="00B210E3"/>
    <w:rsid w:val="00B2120A"/>
    <w:rsid w:val="00B213A6"/>
    <w:rsid w:val="00B21618"/>
    <w:rsid w:val="00B216BA"/>
    <w:rsid w:val="00B218C7"/>
    <w:rsid w:val="00B22020"/>
    <w:rsid w:val="00B22CF5"/>
    <w:rsid w:val="00B23396"/>
    <w:rsid w:val="00B23444"/>
    <w:rsid w:val="00B23556"/>
    <w:rsid w:val="00B235B0"/>
    <w:rsid w:val="00B23AFE"/>
    <w:rsid w:val="00B23C51"/>
    <w:rsid w:val="00B24226"/>
    <w:rsid w:val="00B2474E"/>
    <w:rsid w:val="00B24B3E"/>
    <w:rsid w:val="00B24DF6"/>
    <w:rsid w:val="00B24E55"/>
    <w:rsid w:val="00B25446"/>
    <w:rsid w:val="00B25519"/>
    <w:rsid w:val="00B25B47"/>
    <w:rsid w:val="00B25B4B"/>
    <w:rsid w:val="00B25DD1"/>
    <w:rsid w:val="00B25F31"/>
    <w:rsid w:val="00B26257"/>
    <w:rsid w:val="00B266F6"/>
    <w:rsid w:val="00B268C0"/>
    <w:rsid w:val="00B26E4D"/>
    <w:rsid w:val="00B27A61"/>
    <w:rsid w:val="00B27C69"/>
    <w:rsid w:val="00B30B52"/>
    <w:rsid w:val="00B30D9C"/>
    <w:rsid w:val="00B3128C"/>
    <w:rsid w:val="00B313C7"/>
    <w:rsid w:val="00B31947"/>
    <w:rsid w:val="00B31B50"/>
    <w:rsid w:val="00B31F33"/>
    <w:rsid w:val="00B32070"/>
    <w:rsid w:val="00B3286D"/>
    <w:rsid w:val="00B329A6"/>
    <w:rsid w:val="00B331A0"/>
    <w:rsid w:val="00B3326F"/>
    <w:rsid w:val="00B33929"/>
    <w:rsid w:val="00B33DCB"/>
    <w:rsid w:val="00B33F88"/>
    <w:rsid w:val="00B3455B"/>
    <w:rsid w:val="00B34904"/>
    <w:rsid w:val="00B34A1D"/>
    <w:rsid w:val="00B34FE2"/>
    <w:rsid w:val="00B35166"/>
    <w:rsid w:val="00B351BF"/>
    <w:rsid w:val="00B357D8"/>
    <w:rsid w:val="00B360F4"/>
    <w:rsid w:val="00B36854"/>
    <w:rsid w:val="00B36920"/>
    <w:rsid w:val="00B36A00"/>
    <w:rsid w:val="00B36DAE"/>
    <w:rsid w:val="00B371ED"/>
    <w:rsid w:val="00B373F8"/>
    <w:rsid w:val="00B37414"/>
    <w:rsid w:val="00B37434"/>
    <w:rsid w:val="00B375AA"/>
    <w:rsid w:val="00B378B8"/>
    <w:rsid w:val="00B3792B"/>
    <w:rsid w:val="00B37BFC"/>
    <w:rsid w:val="00B37C72"/>
    <w:rsid w:val="00B37DD0"/>
    <w:rsid w:val="00B40358"/>
    <w:rsid w:val="00B406A0"/>
    <w:rsid w:val="00B4088F"/>
    <w:rsid w:val="00B4112B"/>
    <w:rsid w:val="00B41614"/>
    <w:rsid w:val="00B4191B"/>
    <w:rsid w:val="00B41B3B"/>
    <w:rsid w:val="00B41CA5"/>
    <w:rsid w:val="00B41E36"/>
    <w:rsid w:val="00B42162"/>
    <w:rsid w:val="00B42851"/>
    <w:rsid w:val="00B42D2F"/>
    <w:rsid w:val="00B42F80"/>
    <w:rsid w:val="00B4318E"/>
    <w:rsid w:val="00B43207"/>
    <w:rsid w:val="00B43338"/>
    <w:rsid w:val="00B434CF"/>
    <w:rsid w:val="00B435CB"/>
    <w:rsid w:val="00B435FE"/>
    <w:rsid w:val="00B437F3"/>
    <w:rsid w:val="00B438D4"/>
    <w:rsid w:val="00B43BFA"/>
    <w:rsid w:val="00B445EA"/>
    <w:rsid w:val="00B4470D"/>
    <w:rsid w:val="00B4487B"/>
    <w:rsid w:val="00B45180"/>
    <w:rsid w:val="00B45206"/>
    <w:rsid w:val="00B4531C"/>
    <w:rsid w:val="00B4543C"/>
    <w:rsid w:val="00B4591D"/>
    <w:rsid w:val="00B45A9B"/>
    <w:rsid w:val="00B46309"/>
    <w:rsid w:val="00B4652F"/>
    <w:rsid w:val="00B465EC"/>
    <w:rsid w:val="00B468EC"/>
    <w:rsid w:val="00B469F2"/>
    <w:rsid w:val="00B46B83"/>
    <w:rsid w:val="00B4710B"/>
    <w:rsid w:val="00B47181"/>
    <w:rsid w:val="00B4720A"/>
    <w:rsid w:val="00B47D4F"/>
    <w:rsid w:val="00B47ECA"/>
    <w:rsid w:val="00B50026"/>
    <w:rsid w:val="00B50171"/>
    <w:rsid w:val="00B505C8"/>
    <w:rsid w:val="00B50819"/>
    <w:rsid w:val="00B508D0"/>
    <w:rsid w:val="00B50DB8"/>
    <w:rsid w:val="00B51424"/>
    <w:rsid w:val="00B514C9"/>
    <w:rsid w:val="00B51615"/>
    <w:rsid w:val="00B521C5"/>
    <w:rsid w:val="00B526DE"/>
    <w:rsid w:val="00B52A5E"/>
    <w:rsid w:val="00B52D6B"/>
    <w:rsid w:val="00B52EE4"/>
    <w:rsid w:val="00B53058"/>
    <w:rsid w:val="00B53654"/>
    <w:rsid w:val="00B5376E"/>
    <w:rsid w:val="00B53905"/>
    <w:rsid w:val="00B53BFF"/>
    <w:rsid w:val="00B53CCD"/>
    <w:rsid w:val="00B53E85"/>
    <w:rsid w:val="00B546DB"/>
    <w:rsid w:val="00B54B5B"/>
    <w:rsid w:val="00B54BBB"/>
    <w:rsid w:val="00B5562E"/>
    <w:rsid w:val="00B55862"/>
    <w:rsid w:val="00B55D65"/>
    <w:rsid w:val="00B56291"/>
    <w:rsid w:val="00B56305"/>
    <w:rsid w:val="00B5642F"/>
    <w:rsid w:val="00B56456"/>
    <w:rsid w:val="00B568CD"/>
    <w:rsid w:val="00B56F5B"/>
    <w:rsid w:val="00B57000"/>
    <w:rsid w:val="00B57025"/>
    <w:rsid w:val="00B5725D"/>
    <w:rsid w:val="00B60139"/>
    <w:rsid w:val="00B60393"/>
    <w:rsid w:val="00B6051A"/>
    <w:rsid w:val="00B605CF"/>
    <w:rsid w:val="00B6064E"/>
    <w:rsid w:val="00B6073D"/>
    <w:rsid w:val="00B60939"/>
    <w:rsid w:val="00B60AFD"/>
    <w:rsid w:val="00B60D0E"/>
    <w:rsid w:val="00B61055"/>
    <w:rsid w:val="00B614F9"/>
    <w:rsid w:val="00B61626"/>
    <w:rsid w:val="00B61DF0"/>
    <w:rsid w:val="00B61E3A"/>
    <w:rsid w:val="00B6243F"/>
    <w:rsid w:val="00B62715"/>
    <w:rsid w:val="00B62B38"/>
    <w:rsid w:val="00B62E5F"/>
    <w:rsid w:val="00B637B1"/>
    <w:rsid w:val="00B639D4"/>
    <w:rsid w:val="00B63A4A"/>
    <w:rsid w:val="00B63DF7"/>
    <w:rsid w:val="00B649D3"/>
    <w:rsid w:val="00B64A3F"/>
    <w:rsid w:val="00B65611"/>
    <w:rsid w:val="00B6573C"/>
    <w:rsid w:val="00B65B50"/>
    <w:rsid w:val="00B66039"/>
    <w:rsid w:val="00B66E78"/>
    <w:rsid w:val="00B678DA"/>
    <w:rsid w:val="00B67C27"/>
    <w:rsid w:val="00B67C2D"/>
    <w:rsid w:val="00B70799"/>
    <w:rsid w:val="00B70841"/>
    <w:rsid w:val="00B70BE8"/>
    <w:rsid w:val="00B70D79"/>
    <w:rsid w:val="00B70E8E"/>
    <w:rsid w:val="00B71B22"/>
    <w:rsid w:val="00B72290"/>
    <w:rsid w:val="00B7233F"/>
    <w:rsid w:val="00B734D0"/>
    <w:rsid w:val="00B7381E"/>
    <w:rsid w:val="00B7383B"/>
    <w:rsid w:val="00B73C05"/>
    <w:rsid w:val="00B74F6C"/>
    <w:rsid w:val="00B7534D"/>
    <w:rsid w:val="00B75DD4"/>
    <w:rsid w:val="00B76882"/>
    <w:rsid w:val="00B76C92"/>
    <w:rsid w:val="00B76D24"/>
    <w:rsid w:val="00B76FFE"/>
    <w:rsid w:val="00B7707F"/>
    <w:rsid w:val="00B773CA"/>
    <w:rsid w:val="00B77477"/>
    <w:rsid w:val="00B77A50"/>
    <w:rsid w:val="00B8042E"/>
    <w:rsid w:val="00B80E7E"/>
    <w:rsid w:val="00B80EFD"/>
    <w:rsid w:val="00B818A4"/>
    <w:rsid w:val="00B825BC"/>
    <w:rsid w:val="00B8262D"/>
    <w:rsid w:val="00B82C9C"/>
    <w:rsid w:val="00B82E4C"/>
    <w:rsid w:val="00B83739"/>
    <w:rsid w:val="00B8390A"/>
    <w:rsid w:val="00B83E14"/>
    <w:rsid w:val="00B83F49"/>
    <w:rsid w:val="00B84117"/>
    <w:rsid w:val="00B8568C"/>
    <w:rsid w:val="00B8569C"/>
    <w:rsid w:val="00B856F4"/>
    <w:rsid w:val="00B858F0"/>
    <w:rsid w:val="00B85AA2"/>
    <w:rsid w:val="00B85C93"/>
    <w:rsid w:val="00B85E77"/>
    <w:rsid w:val="00B8649C"/>
    <w:rsid w:val="00B867EE"/>
    <w:rsid w:val="00B8695D"/>
    <w:rsid w:val="00B87094"/>
    <w:rsid w:val="00B876C5"/>
    <w:rsid w:val="00B87BBD"/>
    <w:rsid w:val="00B87F0A"/>
    <w:rsid w:val="00B902CD"/>
    <w:rsid w:val="00B914FD"/>
    <w:rsid w:val="00B9155B"/>
    <w:rsid w:val="00B924BA"/>
    <w:rsid w:val="00B92856"/>
    <w:rsid w:val="00B92ACB"/>
    <w:rsid w:val="00B92D0B"/>
    <w:rsid w:val="00B92D80"/>
    <w:rsid w:val="00B93091"/>
    <w:rsid w:val="00B93468"/>
    <w:rsid w:val="00B9360B"/>
    <w:rsid w:val="00B93A46"/>
    <w:rsid w:val="00B93AC3"/>
    <w:rsid w:val="00B93E80"/>
    <w:rsid w:val="00B94345"/>
    <w:rsid w:val="00B94391"/>
    <w:rsid w:val="00B9472A"/>
    <w:rsid w:val="00B94945"/>
    <w:rsid w:val="00B94ADF"/>
    <w:rsid w:val="00B94B67"/>
    <w:rsid w:val="00B94DD6"/>
    <w:rsid w:val="00B95171"/>
    <w:rsid w:val="00B954C5"/>
    <w:rsid w:val="00B954D0"/>
    <w:rsid w:val="00B95698"/>
    <w:rsid w:val="00B95B9C"/>
    <w:rsid w:val="00B961E7"/>
    <w:rsid w:val="00B9665D"/>
    <w:rsid w:val="00B96ECE"/>
    <w:rsid w:val="00B970F7"/>
    <w:rsid w:val="00B97CD1"/>
    <w:rsid w:val="00BA08FC"/>
    <w:rsid w:val="00BA0A82"/>
    <w:rsid w:val="00BA0DFB"/>
    <w:rsid w:val="00BA1597"/>
    <w:rsid w:val="00BA1616"/>
    <w:rsid w:val="00BA1662"/>
    <w:rsid w:val="00BA1775"/>
    <w:rsid w:val="00BA19F9"/>
    <w:rsid w:val="00BA1D2D"/>
    <w:rsid w:val="00BA270A"/>
    <w:rsid w:val="00BA2CFC"/>
    <w:rsid w:val="00BA322D"/>
    <w:rsid w:val="00BA34C9"/>
    <w:rsid w:val="00BA354E"/>
    <w:rsid w:val="00BA3AE1"/>
    <w:rsid w:val="00BA3FDF"/>
    <w:rsid w:val="00BA4350"/>
    <w:rsid w:val="00BA4BC6"/>
    <w:rsid w:val="00BA4EF8"/>
    <w:rsid w:val="00BA51FC"/>
    <w:rsid w:val="00BA52F7"/>
    <w:rsid w:val="00BA5973"/>
    <w:rsid w:val="00BA5CE8"/>
    <w:rsid w:val="00BA5DA4"/>
    <w:rsid w:val="00BA619F"/>
    <w:rsid w:val="00BA61C3"/>
    <w:rsid w:val="00BA6207"/>
    <w:rsid w:val="00BA6290"/>
    <w:rsid w:val="00BA6375"/>
    <w:rsid w:val="00BA63FA"/>
    <w:rsid w:val="00BA69CA"/>
    <w:rsid w:val="00BA746C"/>
    <w:rsid w:val="00BA763A"/>
    <w:rsid w:val="00BA7859"/>
    <w:rsid w:val="00BA7A25"/>
    <w:rsid w:val="00BA7A2A"/>
    <w:rsid w:val="00BA7EF9"/>
    <w:rsid w:val="00BB0055"/>
    <w:rsid w:val="00BB00B3"/>
    <w:rsid w:val="00BB023C"/>
    <w:rsid w:val="00BB02D9"/>
    <w:rsid w:val="00BB0AA6"/>
    <w:rsid w:val="00BB0B3E"/>
    <w:rsid w:val="00BB0BDD"/>
    <w:rsid w:val="00BB1273"/>
    <w:rsid w:val="00BB15D0"/>
    <w:rsid w:val="00BB176C"/>
    <w:rsid w:val="00BB1855"/>
    <w:rsid w:val="00BB1881"/>
    <w:rsid w:val="00BB1E2B"/>
    <w:rsid w:val="00BB22F8"/>
    <w:rsid w:val="00BB22FD"/>
    <w:rsid w:val="00BB23BE"/>
    <w:rsid w:val="00BB2760"/>
    <w:rsid w:val="00BB27E5"/>
    <w:rsid w:val="00BB2A73"/>
    <w:rsid w:val="00BB2C80"/>
    <w:rsid w:val="00BB2C8F"/>
    <w:rsid w:val="00BB2F71"/>
    <w:rsid w:val="00BB369E"/>
    <w:rsid w:val="00BB3A45"/>
    <w:rsid w:val="00BB3DB2"/>
    <w:rsid w:val="00BB3E58"/>
    <w:rsid w:val="00BB47CB"/>
    <w:rsid w:val="00BB4ACC"/>
    <w:rsid w:val="00BB5DE8"/>
    <w:rsid w:val="00BB6AC0"/>
    <w:rsid w:val="00BB703E"/>
    <w:rsid w:val="00BB7043"/>
    <w:rsid w:val="00BB71E5"/>
    <w:rsid w:val="00BB732D"/>
    <w:rsid w:val="00BB7405"/>
    <w:rsid w:val="00BB7455"/>
    <w:rsid w:val="00BB75E9"/>
    <w:rsid w:val="00BB770E"/>
    <w:rsid w:val="00BB786A"/>
    <w:rsid w:val="00BB7D7E"/>
    <w:rsid w:val="00BC0193"/>
    <w:rsid w:val="00BC02FE"/>
    <w:rsid w:val="00BC03B5"/>
    <w:rsid w:val="00BC114F"/>
    <w:rsid w:val="00BC1320"/>
    <w:rsid w:val="00BC1E1B"/>
    <w:rsid w:val="00BC20CA"/>
    <w:rsid w:val="00BC308B"/>
    <w:rsid w:val="00BC30E4"/>
    <w:rsid w:val="00BC344B"/>
    <w:rsid w:val="00BC3631"/>
    <w:rsid w:val="00BC36EF"/>
    <w:rsid w:val="00BC3705"/>
    <w:rsid w:val="00BC37EA"/>
    <w:rsid w:val="00BC3F82"/>
    <w:rsid w:val="00BC4725"/>
    <w:rsid w:val="00BC5524"/>
    <w:rsid w:val="00BC57B4"/>
    <w:rsid w:val="00BC57BB"/>
    <w:rsid w:val="00BC591F"/>
    <w:rsid w:val="00BC61F2"/>
    <w:rsid w:val="00BC6586"/>
    <w:rsid w:val="00BC6BB7"/>
    <w:rsid w:val="00BC6D88"/>
    <w:rsid w:val="00BC7AF8"/>
    <w:rsid w:val="00BC7CCF"/>
    <w:rsid w:val="00BC7D6D"/>
    <w:rsid w:val="00BD0426"/>
    <w:rsid w:val="00BD1334"/>
    <w:rsid w:val="00BD1453"/>
    <w:rsid w:val="00BD185F"/>
    <w:rsid w:val="00BD18D4"/>
    <w:rsid w:val="00BD1948"/>
    <w:rsid w:val="00BD1D25"/>
    <w:rsid w:val="00BD2108"/>
    <w:rsid w:val="00BD2852"/>
    <w:rsid w:val="00BD2925"/>
    <w:rsid w:val="00BD2D6B"/>
    <w:rsid w:val="00BD2E1A"/>
    <w:rsid w:val="00BD3263"/>
    <w:rsid w:val="00BD3301"/>
    <w:rsid w:val="00BD335B"/>
    <w:rsid w:val="00BD3508"/>
    <w:rsid w:val="00BD352E"/>
    <w:rsid w:val="00BD3561"/>
    <w:rsid w:val="00BD4369"/>
    <w:rsid w:val="00BD4665"/>
    <w:rsid w:val="00BD4884"/>
    <w:rsid w:val="00BD4E56"/>
    <w:rsid w:val="00BD51D4"/>
    <w:rsid w:val="00BD542C"/>
    <w:rsid w:val="00BD580F"/>
    <w:rsid w:val="00BD5CB9"/>
    <w:rsid w:val="00BD5E0C"/>
    <w:rsid w:val="00BD68A3"/>
    <w:rsid w:val="00BD6938"/>
    <w:rsid w:val="00BD6BAD"/>
    <w:rsid w:val="00BD6CD0"/>
    <w:rsid w:val="00BD6CF3"/>
    <w:rsid w:val="00BD6D73"/>
    <w:rsid w:val="00BD72C8"/>
    <w:rsid w:val="00BD7F72"/>
    <w:rsid w:val="00BD7FDE"/>
    <w:rsid w:val="00BE05DC"/>
    <w:rsid w:val="00BE0848"/>
    <w:rsid w:val="00BE0ECA"/>
    <w:rsid w:val="00BE1079"/>
    <w:rsid w:val="00BE14BA"/>
    <w:rsid w:val="00BE165F"/>
    <w:rsid w:val="00BE2180"/>
    <w:rsid w:val="00BE21F2"/>
    <w:rsid w:val="00BE24A2"/>
    <w:rsid w:val="00BE259D"/>
    <w:rsid w:val="00BE285C"/>
    <w:rsid w:val="00BE2DAB"/>
    <w:rsid w:val="00BE2F11"/>
    <w:rsid w:val="00BE30FE"/>
    <w:rsid w:val="00BE39C6"/>
    <w:rsid w:val="00BE4275"/>
    <w:rsid w:val="00BE427D"/>
    <w:rsid w:val="00BE4695"/>
    <w:rsid w:val="00BE5224"/>
    <w:rsid w:val="00BE54FD"/>
    <w:rsid w:val="00BE5576"/>
    <w:rsid w:val="00BE6B31"/>
    <w:rsid w:val="00BE6C1A"/>
    <w:rsid w:val="00BE74A2"/>
    <w:rsid w:val="00BE74BA"/>
    <w:rsid w:val="00BE76FF"/>
    <w:rsid w:val="00BE77E6"/>
    <w:rsid w:val="00BE7852"/>
    <w:rsid w:val="00BE799B"/>
    <w:rsid w:val="00BE7E5B"/>
    <w:rsid w:val="00BF06AE"/>
    <w:rsid w:val="00BF0F95"/>
    <w:rsid w:val="00BF14EC"/>
    <w:rsid w:val="00BF1A62"/>
    <w:rsid w:val="00BF1E76"/>
    <w:rsid w:val="00BF240B"/>
    <w:rsid w:val="00BF2433"/>
    <w:rsid w:val="00BF2589"/>
    <w:rsid w:val="00BF2E6E"/>
    <w:rsid w:val="00BF3062"/>
    <w:rsid w:val="00BF3663"/>
    <w:rsid w:val="00BF3FE4"/>
    <w:rsid w:val="00BF4096"/>
    <w:rsid w:val="00BF4888"/>
    <w:rsid w:val="00BF4953"/>
    <w:rsid w:val="00BF4C26"/>
    <w:rsid w:val="00BF551F"/>
    <w:rsid w:val="00BF564E"/>
    <w:rsid w:val="00BF5DFC"/>
    <w:rsid w:val="00BF5F25"/>
    <w:rsid w:val="00BF61C9"/>
    <w:rsid w:val="00BF6A6C"/>
    <w:rsid w:val="00BF6BA0"/>
    <w:rsid w:val="00BF6C94"/>
    <w:rsid w:val="00BF70EA"/>
    <w:rsid w:val="00BF7137"/>
    <w:rsid w:val="00BF7945"/>
    <w:rsid w:val="00C000C0"/>
    <w:rsid w:val="00C00424"/>
    <w:rsid w:val="00C0068A"/>
    <w:rsid w:val="00C006BC"/>
    <w:rsid w:val="00C00AC7"/>
    <w:rsid w:val="00C00BB0"/>
    <w:rsid w:val="00C00F5E"/>
    <w:rsid w:val="00C00FAF"/>
    <w:rsid w:val="00C010E7"/>
    <w:rsid w:val="00C01207"/>
    <w:rsid w:val="00C01F8E"/>
    <w:rsid w:val="00C02007"/>
    <w:rsid w:val="00C0220A"/>
    <w:rsid w:val="00C02559"/>
    <w:rsid w:val="00C0280A"/>
    <w:rsid w:val="00C02953"/>
    <w:rsid w:val="00C02D68"/>
    <w:rsid w:val="00C03A5B"/>
    <w:rsid w:val="00C03FD0"/>
    <w:rsid w:val="00C042C5"/>
    <w:rsid w:val="00C04547"/>
    <w:rsid w:val="00C04F38"/>
    <w:rsid w:val="00C05163"/>
    <w:rsid w:val="00C056EE"/>
    <w:rsid w:val="00C058ED"/>
    <w:rsid w:val="00C05B70"/>
    <w:rsid w:val="00C05ECA"/>
    <w:rsid w:val="00C06694"/>
    <w:rsid w:val="00C06A1E"/>
    <w:rsid w:val="00C06E7F"/>
    <w:rsid w:val="00C06EAA"/>
    <w:rsid w:val="00C06EC7"/>
    <w:rsid w:val="00C071A3"/>
    <w:rsid w:val="00C074B1"/>
    <w:rsid w:val="00C07596"/>
    <w:rsid w:val="00C07B1F"/>
    <w:rsid w:val="00C07DB4"/>
    <w:rsid w:val="00C1027A"/>
    <w:rsid w:val="00C10387"/>
    <w:rsid w:val="00C1050C"/>
    <w:rsid w:val="00C1077A"/>
    <w:rsid w:val="00C1093B"/>
    <w:rsid w:val="00C11368"/>
    <w:rsid w:val="00C115D0"/>
    <w:rsid w:val="00C11677"/>
    <w:rsid w:val="00C1179F"/>
    <w:rsid w:val="00C11AFB"/>
    <w:rsid w:val="00C11F64"/>
    <w:rsid w:val="00C12394"/>
    <w:rsid w:val="00C1250A"/>
    <w:rsid w:val="00C127B9"/>
    <w:rsid w:val="00C128FA"/>
    <w:rsid w:val="00C129FA"/>
    <w:rsid w:val="00C12A63"/>
    <w:rsid w:val="00C12C14"/>
    <w:rsid w:val="00C12C7A"/>
    <w:rsid w:val="00C132E6"/>
    <w:rsid w:val="00C135EE"/>
    <w:rsid w:val="00C1372F"/>
    <w:rsid w:val="00C139B5"/>
    <w:rsid w:val="00C1438D"/>
    <w:rsid w:val="00C14964"/>
    <w:rsid w:val="00C14BF7"/>
    <w:rsid w:val="00C1553A"/>
    <w:rsid w:val="00C15CB9"/>
    <w:rsid w:val="00C15F04"/>
    <w:rsid w:val="00C16174"/>
    <w:rsid w:val="00C16759"/>
    <w:rsid w:val="00C16F00"/>
    <w:rsid w:val="00C172B9"/>
    <w:rsid w:val="00C17441"/>
    <w:rsid w:val="00C17654"/>
    <w:rsid w:val="00C179B3"/>
    <w:rsid w:val="00C17E3F"/>
    <w:rsid w:val="00C2009F"/>
    <w:rsid w:val="00C200AA"/>
    <w:rsid w:val="00C2033E"/>
    <w:rsid w:val="00C2048B"/>
    <w:rsid w:val="00C204FD"/>
    <w:rsid w:val="00C205FC"/>
    <w:rsid w:val="00C206EE"/>
    <w:rsid w:val="00C20726"/>
    <w:rsid w:val="00C20E6F"/>
    <w:rsid w:val="00C21AAA"/>
    <w:rsid w:val="00C22249"/>
    <w:rsid w:val="00C226E2"/>
    <w:rsid w:val="00C22752"/>
    <w:rsid w:val="00C22C29"/>
    <w:rsid w:val="00C230F0"/>
    <w:rsid w:val="00C236ED"/>
    <w:rsid w:val="00C237ED"/>
    <w:rsid w:val="00C23A4A"/>
    <w:rsid w:val="00C244A5"/>
    <w:rsid w:val="00C24632"/>
    <w:rsid w:val="00C24780"/>
    <w:rsid w:val="00C24877"/>
    <w:rsid w:val="00C25290"/>
    <w:rsid w:val="00C2531D"/>
    <w:rsid w:val="00C25418"/>
    <w:rsid w:val="00C254DA"/>
    <w:rsid w:val="00C25D9C"/>
    <w:rsid w:val="00C2664C"/>
    <w:rsid w:val="00C26DB5"/>
    <w:rsid w:val="00C276FE"/>
    <w:rsid w:val="00C27761"/>
    <w:rsid w:val="00C2778B"/>
    <w:rsid w:val="00C3065B"/>
    <w:rsid w:val="00C30FF2"/>
    <w:rsid w:val="00C313E0"/>
    <w:rsid w:val="00C31649"/>
    <w:rsid w:val="00C31DC4"/>
    <w:rsid w:val="00C32691"/>
    <w:rsid w:val="00C3298D"/>
    <w:rsid w:val="00C32C9D"/>
    <w:rsid w:val="00C33449"/>
    <w:rsid w:val="00C34050"/>
    <w:rsid w:val="00C34058"/>
    <w:rsid w:val="00C342E9"/>
    <w:rsid w:val="00C3434C"/>
    <w:rsid w:val="00C34493"/>
    <w:rsid w:val="00C3478A"/>
    <w:rsid w:val="00C3495B"/>
    <w:rsid w:val="00C35072"/>
    <w:rsid w:val="00C3554B"/>
    <w:rsid w:val="00C358C9"/>
    <w:rsid w:val="00C363C4"/>
    <w:rsid w:val="00C3670F"/>
    <w:rsid w:val="00C36784"/>
    <w:rsid w:val="00C36A97"/>
    <w:rsid w:val="00C36AA4"/>
    <w:rsid w:val="00C36B88"/>
    <w:rsid w:val="00C36F9E"/>
    <w:rsid w:val="00C37B94"/>
    <w:rsid w:val="00C37C37"/>
    <w:rsid w:val="00C37DB6"/>
    <w:rsid w:val="00C40098"/>
    <w:rsid w:val="00C40385"/>
    <w:rsid w:val="00C40A01"/>
    <w:rsid w:val="00C40C55"/>
    <w:rsid w:val="00C40DC3"/>
    <w:rsid w:val="00C41768"/>
    <w:rsid w:val="00C41772"/>
    <w:rsid w:val="00C42227"/>
    <w:rsid w:val="00C42502"/>
    <w:rsid w:val="00C427D5"/>
    <w:rsid w:val="00C4299D"/>
    <w:rsid w:val="00C42C50"/>
    <w:rsid w:val="00C43140"/>
    <w:rsid w:val="00C43AB6"/>
    <w:rsid w:val="00C44674"/>
    <w:rsid w:val="00C4505D"/>
    <w:rsid w:val="00C451CE"/>
    <w:rsid w:val="00C452BF"/>
    <w:rsid w:val="00C4548E"/>
    <w:rsid w:val="00C45950"/>
    <w:rsid w:val="00C45A6D"/>
    <w:rsid w:val="00C45CE8"/>
    <w:rsid w:val="00C45CF1"/>
    <w:rsid w:val="00C465D5"/>
    <w:rsid w:val="00C46BEB"/>
    <w:rsid w:val="00C46CBC"/>
    <w:rsid w:val="00C46D1D"/>
    <w:rsid w:val="00C4716D"/>
    <w:rsid w:val="00C475AA"/>
    <w:rsid w:val="00C4763B"/>
    <w:rsid w:val="00C50091"/>
    <w:rsid w:val="00C502FA"/>
    <w:rsid w:val="00C50447"/>
    <w:rsid w:val="00C504F4"/>
    <w:rsid w:val="00C5052B"/>
    <w:rsid w:val="00C50658"/>
    <w:rsid w:val="00C50A48"/>
    <w:rsid w:val="00C5135A"/>
    <w:rsid w:val="00C51686"/>
    <w:rsid w:val="00C51AC5"/>
    <w:rsid w:val="00C51D75"/>
    <w:rsid w:val="00C51F38"/>
    <w:rsid w:val="00C5235D"/>
    <w:rsid w:val="00C5237D"/>
    <w:rsid w:val="00C527C7"/>
    <w:rsid w:val="00C53025"/>
    <w:rsid w:val="00C53100"/>
    <w:rsid w:val="00C53C98"/>
    <w:rsid w:val="00C5419C"/>
    <w:rsid w:val="00C5437D"/>
    <w:rsid w:val="00C54E35"/>
    <w:rsid w:val="00C54F74"/>
    <w:rsid w:val="00C5598D"/>
    <w:rsid w:val="00C559DF"/>
    <w:rsid w:val="00C55AF8"/>
    <w:rsid w:val="00C55F96"/>
    <w:rsid w:val="00C56092"/>
    <w:rsid w:val="00C56FCF"/>
    <w:rsid w:val="00C572CD"/>
    <w:rsid w:val="00C57660"/>
    <w:rsid w:val="00C5786F"/>
    <w:rsid w:val="00C57B6C"/>
    <w:rsid w:val="00C57C23"/>
    <w:rsid w:val="00C57E80"/>
    <w:rsid w:val="00C60F43"/>
    <w:rsid w:val="00C6110E"/>
    <w:rsid w:val="00C61146"/>
    <w:rsid w:val="00C61183"/>
    <w:rsid w:val="00C61A59"/>
    <w:rsid w:val="00C62165"/>
    <w:rsid w:val="00C623C3"/>
    <w:rsid w:val="00C62465"/>
    <w:rsid w:val="00C628A6"/>
    <w:rsid w:val="00C62DA4"/>
    <w:rsid w:val="00C63154"/>
    <w:rsid w:val="00C63AE8"/>
    <w:rsid w:val="00C63BCE"/>
    <w:rsid w:val="00C64344"/>
    <w:rsid w:val="00C6457E"/>
    <w:rsid w:val="00C6460D"/>
    <w:rsid w:val="00C64793"/>
    <w:rsid w:val="00C64835"/>
    <w:rsid w:val="00C649F5"/>
    <w:rsid w:val="00C6504C"/>
    <w:rsid w:val="00C65108"/>
    <w:rsid w:val="00C6511B"/>
    <w:rsid w:val="00C65576"/>
    <w:rsid w:val="00C6579F"/>
    <w:rsid w:val="00C65B0A"/>
    <w:rsid w:val="00C65D9C"/>
    <w:rsid w:val="00C66165"/>
    <w:rsid w:val="00C6689B"/>
    <w:rsid w:val="00C66A65"/>
    <w:rsid w:val="00C66C98"/>
    <w:rsid w:val="00C66F42"/>
    <w:rsid w:val="00C672D4"/>
    <w:rsid w:val="00C67942"/>
    <w:rsid w:val="00C67C76"/>
    <w:rsid w:val="00C67CAB"/>
    <w:rsid w:val="00C7025E"/>
    <w:rsid w:val="00C7052B"/>
    <w:rsid w:val="00C7060A"/>
    <w:rsid w:val="00C7078A"/>
    <w:rsid w:val="00C7151A"/>
    <w:rsid w:val="00C717E3"/>
    <w:rsid w:val="00C71BC2"/>
    <w:rsid w:val="00C71F60"/>
    <w:rsid w:val="00C72241"/>
    <w:rsid w:val="00C7284D"/>
    <w:rsid w:val="00C73362"/>
    <w:rsid w:val="00C73B55"/>
    <w:rsid w:val="00C73E44"/>
    <w:rsid w:val="00C7420D"/>
    <w:rsid w:val="00C74682"/>
    <w:rsid w:val="00C74CC4"/>
    <w:rsid w:val="00C74F05"/>
    <w:rsid w:val="00C74F0F"/>
    <w:rsid w:val="00C750C8"/>
    <w:rsid w:val="00C7560F"/>
    <w:rsid w:val="00C756D7"/>
    <w:rsid w:val="00C75877"/>
    <w:rsid w:val="00C759DA"/>
    <w:rsid w:val="00C76E03"/>
    <w:rsid w:val="00C76E40"/>
    <w:rsid w:val="00C771E7"/>
    <w:rsid w:val="00C77459"/>
    <w:rsid w:val="00C7791A"/>
    <w:rsid w:val="00C802AF"/>
    <w:rsid w:val="00C80417"/>
    <w:rsid w:val="00C8050F"/>
    <w:rsid w:val="00C80A0E"/>
    <w:rsid w:val="00C80EA8"/>
    <w:rsid w:val="00C81397"/>
    <w:rsid w:val="00C8156E"/>
    <w:rsid w:val="00C81685"/>
    <w:rsid w:val="00C8213F"/>
    <w:rsid w:val="00C82169"/>
    <w:rsid w:val="00C8249E"/>
    <w:rsid w:val="00C824A8"/>
    <w:rsid w:val="00C82553"/>
    <w:rsid w:val="00C826DF"/>
    <w:rsid w:val="00C8303F"/>
    <w:rsid w:val="00C84517"/>
    <w:rsid w:val="00C84A3A"/>
    <w:rsid w:val="00C85017"/>
    <w:rsid w:val="00C85154"/>
    <w:rsid w:val="00C8531C"/>
    <w:rsid w:val="00C85A70"/>
    <w:rsid w:val="00C85AA2"/>
    <w:rsid w:val="00C85F3F"/>
    <w:rsid w:val="00C865CE"/>
    <w:rsid w:val="00C866A8"/>
    <w:rsid w:val="00C869A9"/>
    <w:rsid w:val="00C86B27"/>
    <w:rsid w:val="00C8710C"/>
    <w:rsid w:val="00C877C6"/>
    <w:rsid w:val="00C8797A"/>
    <w:rsid w:val="00C87A32"/>
    <w:rsid w:val="00C87CD6"/>
    <w:rsid w:val="00C87E47"/>
    <w:rsid w:val="00C87E7F"/>
    <w:rsid w:val="00C87FF5"/>
    <w:rsid w:val="00C900B8"/>
    <w:rsid w:val="00C90197"/>
    <w:rsid w:val="00C9046D"/>
    <w:rsid w:val="00C9063F"/>
    <w:rsid w:val="00C90C71"/>
    <w:rsid w:val="00C90EDA"/>
    <w:rsid w:val="00C90F62"/>
    <w:rsid w:val="00C91217"/>
    <w:rsid w:val="00C9132A"/>
    <w:rsid w:val="00C91428"/>
    <w:rsid w:val="00C91831"/>
    <w:rsid w:val="00C919E8"/>
    <w:rsid w:val="00C91E63"/>
    <w:rsid w:val="00C91FD1"/>
    <w:rsid w:val="00C92590"/>
    <w:rsid w:val="00C926A9"/>
    <w:rsid w:val="00C92774"/>
    <w:rsid w:val="00C930F2"/>
    <w:rsid w:val="00C931CF"/>
    <w:rsid w:val="00C93632"/>
    <w:rsid w:val="00C938B4"/>
    <w:rsid w:val="00C938CF"/>
    <w:rsid w:val="00C93964"/>
    <w:rsid w:val="00C93A4B"/>
    <w:rsid w:val="00C94053"/>
    <w:rsid w:val="00C94099"/>
    <w:rsid w:val="00C941D8"/>
    <w:rsid w:val="00C94209"/>
    <w:rsid w:val="00C945A1"/>
    <w:rsid w:val="00C947A5"/>
    <w:rsid w:val="00C94D24"/>
    <w:rsid w:val="00C950C3"/>
    <w:rsid w:val="00C95834"/>
    <w:rsid w:val="00C958F3"/>
    <w:rsid w:val="00C96075"/>
    <w:rsid w:val="00C9624D"/>
    <w:rsid w:val="00C9664A"/>
    <w:rsid w:val="00C9671B"/>
    <w:rsid w:val="00C969DA"/>
    <w:rsid w:val="00C971D0"/>
    <w:rsid w:val="00C97491"/>
    <w:rsid w:val="00C97A7A"/>
    <w:rsid w:val="00C97A7F"/>
    <w:rsid w:val="00C97E8E"/>
    <w:rsid w:val="00CA01E2"/>
    <w:rsid w:val="00CA0267"/>
    <w:rsid w:val="00CA0661"/>
    <w:rsid w:val="00CA06BC"/>
    <w:rsid w:val="00CA06E3"/>
    <w:rsid w:val="00CA0757"/>
    <w:rsid w:val="00CA0C3D"/>
    <w:rsid w:val="00CA1DEA"/>
    <w:rsid w:val="00CA20FE"/>
    <w:rsid w:val="00CA2681"/>
    <w:rsid w:val="00CA2C77"/>
    <w:rsid w:val="00CA3480"/>
    <w:rsid w:val="00CA41FE"/>
    <w:rsid w:val="00CA4402"/>
    <w:rsid w:val="00CA444F"/>
    <w:rsid w:val="00CA46C6"/>
    <w:rsid w:val="00CA4CDF"/>
    <w:rsid w:val="00CA4DAF"/>
    <w:rsid w:val="00CA5245"/>
    <w:rsid w:val="00CA5B79"/>
    <w:rsid w:val="00CA5D48"/>
    <w:rsid w:val="00CA64D5"/>
    <w:rsid w:val="00CA6CB6"/>
    <w:rsid w:val="00CA6D83"/>
    <w:rsid w:val="00CA71F4"/>
    <w:rsid w:val="00CA7B09"/>
    <w:rsid w:val="00CA7C1D"/>
    <w:rsid w:val="00CB0E31"/>
    <w:rsid w:val="00CB0F25"/>
    <w:rsid w:val="00CB0F6D"/>
    <w:rsid w:val="00CB12A5"/>
    <w:rsid w:val="00CB1CAC"/>
    <w:rsid w:val="00CB217B"/>
    <w:rsid w:val="00CB27F5"/>
    <w:rsid w:val="00CB2933"/>
    <w:rsid w:val="00CB2F2A"/>
    <w:rsid w:val="00CB31AC"/>
    <w:rsid w:val="00CB31B4"/>
    <w:rsid w:val="00CB32F8"/>
    <w:rsid w:val="00CB41C3"/>
    <w:rsid w:val="00CB44E2"/>
    <w:rsid w:val="00CB462F"/>
    <w:rsid w:val="00CB485C"/>
    <w:rsid w:val="00CB4C44"/>
    <w:rsid w:val="00CB4FBA"/>
    <w:rsid w:val="00CB5113"/>
    <w:rsid w:val="00CB5918"/>
    <w:rsid w:val="00CB5B1A"/>
    <w:rsid w:val="00CB64DC"/>
    <w:rsid w:val="00CB6B22"/>
    <w:rsid w:val="00CB6DEF"/>
    <w:rsid w:val="00CB74A9"/>
    <w:rsid w:val="00CB75F2"/>
    <w:rsid w:val="00CB7F5F"/>
    <w:rsid w:val="00CB7F69"/>
    <w:rsid w:val="00CC0804"/>
    <w:rsid w:val="00CC0C41"/>
    <w:rsid w:val="00CC0D8A"/>
    <w:rsid w:val="00CC0DC1"/>
    <w:rsid w:val="00CC0F95"/>
    <w:rsid w:val="00CC1079"/>
    <w:rsid w:val="00CC1085"/>
    <w:rsid w:val="00CC1388"/>
    <w:rsid w:val="00CC1A7F"/>
    <w:rsid w:val="00CC1B39"/>
    <w:rsid w:val="00CC1BFA"/>
    <w:rsid w:val="00CC1C4E"/>
    <w:rsid w:val="00CC1C6C"/>
    <w:rsid w:val="00CC2167"/>
    <w:rsid w:val="00CC2786"/>
    <w:rsid w:val="00CC2BCB"/>
    <w:rsid w:val="00CC2E94"/>
    <w:rsid w:val="00CC2E9F"/>
    <w:rsid w:val="00CC2F1B"/>
    <w:rsid w:val="00CC2F6F"/>
    <w:rsid w:val="00CC33BD"/>
    <w:rsid w:val="00CC35EA"/>
    <w:rsid w:val="00CC3848"/>
    <w:rsid w:val="00CC38A5"/>
    <w:rsid w:val="00CC431A"/>
    <w:rsid w:val="00CC43A7"/>
    <w:rsid w:val="00CC4441"/>
    <w:rsid w:val="00CC4A00"/>
    <w:rsid w:val="00CC590E"/>
    <w:rsid w:val="00CC5AEF"/>
    <w:rsid w:val="00CC5AFE"/>
    <w:rsid w:val="00CC620B"/>
    <w:rsid w:val="00CC6D17"/>
    <w:rsid w:val="00CC6D5E"/>
    <w:rsid w:val="00CC6DAE"/>
    <w:rsid w:val="00CC705D"/>
    <w:rsid w:val="00CC7B64"/>
    <w:rsid w:val="00CD0200"/>
    <w:rsid w:val="00CD082C"/>
    <w:rsid w:val="00CD0B4D"/>
    <w:rsid w:val="00CD1CAE"/>
    <w:rsid w:val="00CD24A8"/>
    <w:rsid w:val="00CD2E6A"/>
    <w:rsid w:val="00CD33AC"/>
    <w:rsid w:val="00CD34B0"/>
    <w:rsid w:val="00CD390F"/>
    <w:rsid w:val="00CD3C01"/>
    <w:rsid w:val="00CD3F77"/>
    <w:rsid w:val="00CD3FE7"/>
    <w:rsid w:val="00CD4818"/>
    <w:rsid w:val="00CD495C"/>
    <w:rsid w:val="00CD4C00"/>
    <w:rsid w:val="00CD52B4"/>
    <w:rsid w:val="00CD5D25"/>
    <w:rsid w:val="00CD612C"/>
    <w:rsid w:val="00CD6602"/>
    <w:rsid w:val="00CD6956"/>
    <w:rsid w:val="00CD6ADC"/>
    <w:rsid w:val="00CD7193"/>
    <w:rsid w:val="00CD744B"/>
    <w:rsid w:val="00CD7916"/>
    <w:rsid w:val="00CE0569"/>
    <w:rsid w:val="00CE0735"/>
    <w:rsid w:val="00CE0A4F"/>
    <w:rsid w:val="00CE0B06"/>
    <w:rsid w:val="00CE0F99"/>
    <w:rsid w:val="00CE1171"/>
    <w:rsid w:val="00CE15B1"/>
    <w:rsid w:val="00CE15E1"/>
    <w:rsid w:val="00CE18F8"/>
    <w:rsid w:val="00CE1BA5"/>
    <w:rsid w:val="00CE1EC5"/>
    <w:rsid w:val="00CE2468"/>
    <w:rsid w:val="00CE256B"/>
    <w:rsid w:val="00CE2722"/>
    <w:rsid w:val="00CE2C32"/>
    <w:rsid w:val="00CE2D79"/>
    <w:rsid w:val="00CE2F09"/>
    <w:rsid w:val="00CE2F6B"/>
    <w:rsid w:val="00CE36D7"/>
    <w:rsid w:val="00CE38C8"/>
    <w:rsid w:val="00CE3CB2"/>
    <w:rsid w:val="00CE4C85"/>
    <w:rsid w:val="00CE4C8F"/>
    <w:rsid w:val="00CE4D15"/>
    <w:rsid w:val="00CE4E9C"/>
    <w:rsid w:val="00CE524F"/>
    <w:rsid w:val="00CE52BB"/>
    <w:rsid w:val="00CE58CC"/>
    <w:rsid w:val="00CE59A0"/>
    <w:rsid w:val="00CE5B20"/>
    <w:rsid w:val="00CE5F9F"/>
    <w:rsid w:val="00CE6274"/>
    <w:rsid w:val="00CE627E"/>
    <w:rsid w:val="00CE63F4"/>
    <w:rsid w:val="00CE6422"/>
    <w:rsid w:val="00CE652F"/>
    <w:rsid w:val="00CE659D"/>
    <w:rsid w:val="00CE66D8"/>
    <w:rsid w:val="00CE6813"/>
    <w:rsid w:val="00CE6DF7"/>
    <w:rsid w:val="00CE7135"/>
    <w:rsid w:val="00CE73B3"/>
    <w:rsid w:val="00CE77B6"/>
    <w:rsid w:val="00CE7930"/>
    <w:rsid w:val="00CE7B73"/>
    <w:rsid w:val="00CE7C17"/>
    <w:rsid w:val="00CE7F53"/>
    <w:rsid w:val="00CF0373"/>
    <w:rsid w:val="00CF08D8"/>
    <w:rsid w:val="00CF1397"/>
    <w:rsid w:val="00CF1699"/>
    <w:rsid w:val="00CF16C2"/>
    <w:rsid w:val="00CF1C5A"/>
    <w:rsid w:val="00CF27AE"/>
    <w:rsid w:val="00CF2869"/>
    <w:rsid w:val="00CF2934"/>
    <w:rsid w:val="00CF2B8D"/>
    <w:rsid w:val="00CF3159"/>
    <w:rsid w:val="00CF31B0"/>
    <w:rsid w:val="00CF3402"/>
    <w:rsid w:val="00CF3521"/>
    <w:rsid w:val="00CF3527"/>
    <w:rsid w:val="00CF3A1B"/>
    <w:rsid w:val="00CF3AF4"/>
    <w:rsid w:val="00CF3F71"/>
    <w:rsid w:val="00CF3F84"/>
    <w:rsid w:val="00CF456B"/>
    <w:rsid w:val="00CF486E"/>
    <w:rsid w:val="00CF4B6B"/>
    <w:rsid w:val="00CF4F42"/>
    <w:rsid w:val="00CF56FA"/>
    <w:rsid w:val="00CF5A22"/>
    <w:rsid w:val="00CF5CDA"/>
    <w:rsid w:val="00CF6170"/>
    <w:rsid w:val="00CF637B"/>
    <w:rsid w:val="00CF6E47"/>
    <w:rsid w:val="00CF6F49"/>
    <w:rsid w:val="00CF72D0"/>
    <w:rsid w:val="00CF789D"/>
    <w:rsid w:val="00CF7B18"/>
    <w:rsid w:val="00CF7D92"/>
    <w:rsid w:val="00D001BF"/>
    <w:rsid w:val="00D01C65"/>
    <w:rsid w:val="00D025E0"/>
    <w:rsid w:val="00D0262E"/>
    <w:rsid w:val="00D032A8"/>
    <w:rsid w:val="00D03604"/>
    <w:rsid w:val="00D03679"/>
    <w:rsid w:val="00D03C1E"/>
    <w:rsid w:val="00D03ED5"/>
    <w:rsid w:val="00D03F47"/>
    <w:rsid w:val="00D04359"/>
    <w:rsid w:val="00D04602"/>
    <w:rsid w:val="00D04792"/>
    <w:rsid w:val="00D0564E"/>
    <w:rsid w:val="00D05710"/>
    <w:rsid w:val="00D05AE2"/>
    <w:rsid w:val="00D05E3D"/>
    <w:rsid w:val="00D06139"/>
    <w:rsid w:val="00D06701"/>
    <w:rsid w:val="00D06B9A"/>
    <w:rsid w:val="00D06C97"/>
    <w:rsid w:val="00D07497"/>
    <w:rsid w:val="00D07CED"/>
    <w:rsid w:val="00D07DC4"/>
    <w:rsid w:val="00D07E4A"/>
    <w:rsid w:val="00D101ED"/>
    <w:rsid w:val="00D1058D"/>
    <w:rsid w:val="00D110BD"/>
    <w:rsid w:val="00D11B75"/>
    <w:rsid w:val="00D12A94"/>
    <w:rsid w:val="00D13559"/>
    <w:rsid w:val="00D13675"/>
    <w:rsid w:val="00D13949"/>
    <w:rsid w:val="00D139DB"/>
    <w:rsid w:val="00D13DE4"/>
    <w:rsid w:val="00D13E25"/>
    <w:rsid w:val="00D141E1"/>
    <w:rsid w:val="00D14243"/>
    <w:rsid w:val="00D14C67"/>
    <w:rsid w:val="00D14D8C"/>
    <w:rsid w:val="00D151F0"/>
    <w:rsid w:val="00D152C3"/>
    <w:rsid w:val="00D15314"/>
    <w:rsid w:val="00D154A8"/>
    <w:rsid w:val="00D15A43"/>
    <w:rsid w:val="00D15B48"/>
    <w:rsid w:val="00D15F92"/>
    <w:rsid w:val="00D16DFC"/>
    <w:rsid w:val="00D16F40"/>
    <w:rsid w:val="00D16FBF"/>
    <w:rsid w:val="00D17143"/>
    <w:rsid w:val="00D17755"/>
    <w:rsid w:val="00D17834"/>
    <w:rsid w:val="00D17971"/>
    <w:rsid w:val="00D179CF"/>
    <w:rsid w:val="00D17A33"/>
    <w:rsid w:val="00D17A43"/>
    <w:rsid w:val="00D17C3C"/>
    <w:rsid w:val="00D17D6C"/>
    <w:rsid w:val="00D17EB8"/>
    <w:rsid w:val="00D209EC"/>
    <w:rsid w:val="00D20BC0"/>
    <w:rsid w:val="00D210E2"/>
    <w:rsid w:val="00D2121A"/>
    <w:rsid w:val="00D21295"/>
    <w:rsid w:val="00D21342"/>
    <w:rsid w:val="00D2155B"/>
    <w:rsid w:val="00D21844"/>
    <w:rsid w:val="00D21A48"/>
    <w:rsid w:val="00D21ACE"/>
    <w:rsid w:val="00D21C94"/>
    <w:rsid w:val="00D21CA7"/>
    <w:rsid w:val="00D21E04"/>
    <w:rsid w:val="00D22212"/>
    <w:rsid w:val="00D22225"/>
    <w:rsid w:val="00D22CAF"/>
    <w:rsid w:val="00D23169"/>
    <w:rsid w:val="00D23226"/>
    <w:rsid w:val="00D2392D"/>
    <w:rsid w:val="00D23D11"/>
    <w:rsid w:val="00D24245"/>
    <w:rsid w:val="00D244B6"/>
    <w:rsid w:val="00D24690"/>
    <w:rsid w:val="00D24D0E"/>
    <w:rsid w:val="00D251AF"/>
    <w:rsid w:val="00D26043"/>
    <w:rsid w:val="00D260FE"/>
    <w:rsid w:val="00D26390"/>
    <w:rsid w:val="00D269EF"/>
    <w:rsid w:val="00D2714A"/>
    <w:rsid w:val="00D2754D"/>
    <w:rsid w:val="00D27991"/>
    <w:rsid w:val="00D27AA1"/>
    <w:rsid w:val="00D27B27"/>
    <w:rsid w:val="00D27C20"/>
    <w:rsid w:val="00D300EB"/>
    <w:rsid w:val="00D30408"/>
    <w:rsid w:val="00D30D1B"/>
    <w:rsid w:val="00D30D5B"/>
    <w:rsid w:val="00D30E74"/>
    <w:rsid w:val="00D30EDE"/>
    <w:rsid w:val="00D314D8"/>
    <w:rsid w:val="00D3153D"/>
    <w:rsid w:val="00D31B3C"/>
    <w:rsid w:val="00D31B82"/>
    <w:rsid w:val="00D32119"/>
    <w:rsid w:val="00D321A3"/>
    <w:rsid w:val="00D32457"/>
    <w:rsid w:val="00D325DD"/>
    <w:rsid w:val="00D33810"/>
    <w:rsid w:val="00D33BE9"/>
    <w:rsid w:val="00D33F93"/>
    <w:rsid w:val="00D340C3"/>
    <w:rsid w:val="00D342E5"/>
    <w:rsid w:val="00D35223"/>
    <w:rsid w:val="00D35408"/>
    <w:rsid w:val="00D3559C"/>
    <w:rsid w:val="00D357FF"/>
    <w:rsid w:val="00D36030"/>
    <w:rsid w:val="00D36930"/>
    <w:rsid w:val="00D36A48"/>
    <w:rsid w:val="00D36B67"/>
    <w:rsid w:val="00D36E58"/>
    <w:rsid w:val="00D37388"/>
    <w:rsid w:val="00D375F5"/>
    <w:rsid w:val="00D37989"/>
    <w:rsid w:val="00D37B47"/>
    <w:rsid w:val="00D37DFF"/>
    <w:rsid w:val="00D40709"/>
    <w:rsid w:val="00D407FB"/>
    <w:rsid w:val="00D417E9"/>
    <w:rsid w:val="00D4203B"/>
    <w:rsid w:val="00D4225D"/>
    <w:rsid w:val="00D424C7"/>
    <w:rsid w:val="00D42564"/>
    <w:rsid w:val="00D4282C"/>
    <w:rsid w:val="00D43535"/>
    <w:rsid w:val="00D43B2A"/>
    <w:rsid w:val="00D43CF1"/>
    <w:rsid w:val="00D43D83"/>
    <w:rsid w:val="00D44213"/>
    <w:rsid w:val="00D446A1"/>
    <w:rsid w:val="00D44B4E"/>
    <w:rsid w:val="00D44D26"/>
    <w:rsid w:val="00D450E8"/>
    <w:rsid w:val="00D45664"/>
    <w:rsid w:val="00D4597B"/>
    <w:rsid w:val="00D45A90"/>
    <w:rsid w:val="00D45D71"/>
    <w:rsid w:val="00D46482"/>
    <w:rsid w:val="00D46A7A"/>
    <w:rsid w:val="00D46CBB"/>
    <w:rsid w:val="00D46CCF"/>
    <w:rsid w:val="00D46E79"/>
    <w:rsid w:val="00D46E9B"/>
    <w:rsid w:val="00D46FD4"/>
    <w:rsid w:val="00D4733F"/>
    <w:rsid w:val="00D47575"/>
    <w:rsid w:val="00D47979"/>
    <w:rsid w:val="00D47C58"/>
    <w:rsid w:val="00D47D15"/>
    <w:rsid w:val="00D500D7"/>
    <w:rsid w:val="00D50476"/>
    <w:rsid w:val="00D50E0A"/>
    <w:rsid w:val="00D516E7"/>
    <w:rsid w:val="00D51BC5"/>
    <w:rsid w:val="00D52086"/>
    <w:rsid w:val="00D5223A"/>
    <w:rsid w:val="00D5243B"/>
    <w:rsid w:val="00D52909"/>
    <w:rsid w:val="00D52A8C"/>
    <w:rsid w:val="00D531C4"/>
    <w:rsid w:val="00D533EC"/>
    <w:rsid w:val="00D54271"/>
    <w:rsid w:val="00D54953"/>
    <w:rsid w:val="00D54D71"/>
    <w:rsid w:val="00D552FC"/>
    <w:rsid w:val="00D556EF"/>
    <w:rsid w:val="00D5577F"/>
    <w:rsid w:val="00D56694"/>
    <w:rsid w:val="00D5678D"/>
    <w:rsid w:val="00D56A95"/>
    <w:rsid w:val="00D56F98"/>
    <w:rsid w:val="00D57817"/>
    <w:rsid w:val="00D57C2D"/>
    <w:rsid w:val="00D57D00"/>
    <w:rsid w:val="00D6076E"/>
    <w:rsid w:val="00D60813"/>
    <w:rsid w:val="00D60860"/>
    <w:rsid w:val="00D60936"/>
    <w:rsid w:val="00D609F9"/>
    <w:rsid w:val="00D60F37"/>
    <w:rsid w:val="00D62243"/>
    <w:rsid w:val="00D62407"/>
    <w:rsid w:val="00D62493"/>
    <w:rsid w:val="00D625D8"/>
    <w:rsid w:val="00D62754"/>
    <w:rsid w:val="00D63640"/>
    <w:rsid w:val="00D63CB2"/>
    <w:rsid w:val="00D64213"/>
    <w:rsid w:val="00D64928"/>
    <w:rsid w:val="00D64AF7"/>
    <w:rsid w:val="00D64F93"/>
    <w:rsid w:val="00D6512B"/>
    <w:rsid w:val="00D65547"/>
    <w:rsid w:val="00D656C7"/>
    <w:rsid w:val="00D65FF5"/>
    <w:rsid w:val="00D660C6"/>
    <w:rsid w:val="00D67CEE"/>
    <w:rsid w:val="00D70AB5"/>
    <w:rsid w:val="00D70F16"/>
    <w:rsid w:val="00D713A3"/>
    <w:rsid w:val="00D71844"/>
    <w:rsid w:val="00D722AB"/>
    <w:rsid w:val="00D72423"/>
    <w:rsid w:val="00D724B7"/>
    <w:rsid w:val="00D72617"/>
    <w:rsid w:val="00D72841"/>
    <w:rsid w:val="00D7288D"/>
    <w:rsid w:val="00D729FF"/>
    <w:rsid w:val="00D72A0B"/>
    <w:rsid w:val="00D72F57"/>
    <w:rsid w:val="00D73487"/>
    <w:rsid w:val="00D73DD4"/>
    <w:rsid w:val="00D74C23"/>
    <w:rsid w:val="00D75644"/>
    <w:rsid w:val="00D7564F"/>
    <w:rsid w:val="00D757B4"/>
    <w:rsid w:val="00D760F8"/>
    <w:rsid w:val="00D761D9"/>
    <w:rsid w:val="00D76510"/>
    <w:rsid w:val="00D769EF"/>
    <w:rsid w:val="00D76A44"/>
    <w:rsid w:val="00D76AF1"/>
    <w:rsid w:val="00D76D5D"/>
    <w:rsid w:val="00D76D67"/>
    <w:rsid w:val="00D770B4"/>
    <w:rsid w:val="00D77582"/>
    <w:rsid w:val="00D7786C"/>
    <w:rsid w:val="00D77C08"/>
    <w:rsid w:val="00D77D98"/>
    <w:rsid w:val="00D80683"/>
    <w:rsid w:val="00D806A6"/>
    <w:rsid w:val="00D80816"/>
    <w:rsid w:val="00D811F4"/>
    <w:rsid w:val="00D813A1"/>
    <w:rsid w:val="00D8154E"/>
    <w:rsid w:val="00D815EF"/>
    <w:rsid w:val="00D81949"/>
    <w:rsid w:val="00D81992"/>
    <w:rsid w:val="00D81A12"/>
    <w:rsid w:val="00D81B95"/>
    <w:rsid w:val="00D81C5E"/>
    <w:rsid w:val="00D81F26"/>
    <w:rsid w:val="00D821D1"/>
    <w:rsid w:val="00D822E2"/>
    <w:rsid w:val="00D82877"/>
    <w:rsid w:val="00D828B2"/>
    <w:rsid w:val="00D82EAC"/>
    <w:rsid w:val="00D82EEA"/>
    <w:rsid w:val="00D82F7D"/>
    <w:rsid w:val="00D831BD"/>
    <w:rsid w:val="00D83311"/>
    <w:rsid w:val="00D83844"/>
    <w:rsid w:val="00D83B98"/>
    <w:rsid w:val="00D83F19"/>
    <w:rsid w:val="00D84137"/>
    <w:rsid w:val="00D843F2"/>
    <w:rsid w:val="00D84CA1"/>
    <w:rsid w:val="00D857A1"/>
    <w:rsid w:val="00D86231"/>
    <w:rsid w:val="00D86C9C"/>
    <w:rsid w:val="00D86FEE"/>
    <w:rsid w:val="00D87228"/>
    <w:rsid w:val="00D876A5"/>
    <w:rsid w:val="00D87A78"/>
    <w:rsid w:val="00D87B03"/>
    <w:rsid w:val="00D87D3B"/>
    <w:rsid w:val="00D87D51"/>
    <w:rsid w:val="00D87F54"/>
    <w:rsid w:val="00D90519"/>
    <w:rsid w:val="00D90B0F"/>
    <w:rsid w:val="00D912AB"/>
    <w:rsid w:val="00D9159E"/>
    <w:rsid w:val="00D91923"/>
    <w:rsid w:val="00D91973"/>
    <w:rsid w:val="00D92466"/>
    <w:rsid w:val="00D929C3"/>
    <w:rsid w:val="00D9308A"/>
    <w:rsid w:val="00D93527"/>
    <w:rsid w:val="00D93753"/>
    <w:rsid w:val="00D93778"/>
    <w:rsid w:val="00D93A08"/>
    <w:rsid w:val="00D93BDA"/>
    <w:rsid w:val="00D93C07"/>
    <w:rsid w:val="00D93DE2"/>
    <w:rsid w:val="00D94689"/>
    <w:rsid w:val="00D9582C"/>
    <w:rsid w:val="00D958E7"/>
    <w:rsid w:val="00D958FD"/>
    <w:rsid w:val="00D95DD2"/>
    <w:rsid w:val="00D95E23"/>
    <w:rsid w:val="00D96561"/>
    <w:rsid w:val="00D96886"/>
    <w:rsid w:val="00D96DC4"/>
    <w:rsid w:val="00D9703F"/>
    <w:rsid w:val="00D971AE"/>
    <w:rsid w:val="00D97499"/>
    <w:rsid w:val="00D97B82"/>
    <w:rsid w:val="00D97D18"/>
    <w:rsid w:val="00D97DB7"/>
    <w:rsid w:val="00D97FB6"/>
    <w:rsid w:val="00DA0C35"/>
    <w:rsid w:val="00DA0C4A"/>
    <w:rsid w:val="00DA1044"/>
    <w:rsid w:val="00DA159B"/>
    <w:rsid w:val="00DA15E0"/>
    <w:rsid w:val="00DA16BE"/>
    <w:rsid w:val="00DA1947"/>
    <w:rsid w:val="00DA198F"/>
    <w:rsid w:val="00DA2819"/>
    <w:rsid w:val="00DA2D7A"/>
    <w:rsid w:val="00DA3167"/>
    <w:rsid w:val="00DA3386"/>
    <w:rsid w:val="00DA3792"/>
    <w:rsid w:val="00DA3794"/>
    <w:rsid w:val="00DA45F7"/>
    <w:rsid w:val="00DA4CA7"/>
    <w:rsid w:val="00DA4DC3"/>
    <w:rsid w:val="00DA541F"/>
    <w:rsid w:val="00DA586E"/>
    <w:rsid w:val="00DA5E3D"/>
    <w:rsid w:val="00DA649E"/>
    <w:rsid w:val="00DA6942"/>
    <w:rsid w:val="00DA6D14"/>
    <w:rsid w:val="00DA71CB"/>
    <w:rsid w:val="00DA720F"/>
    <w:rsid w:val="00DA77A5"/>
    <w:rsid w:val="00DB058B"/>
    <w:rsid w:val="00DB0647"/>
    <w:rsid w:val="00DB0B69"/>
    <w:rsid w:val="00DB0E36"/>
    <w:rsid w:val="00DB0F58"/>
    <w:rsid w:val="00DB0FDE"/>
    <w:rsid w:val="00DB25A9"/>
    <w:rsid w:val="00DB2853"/>
    <w:rsid w:val="00DB2A51"/>
    <w:rsid w:val="00DB2EDB"/>
    <w:rsid w:val="00DB2F7B"/>
    <w:rsid w:val="00DB3CB7"/>
    <w:rsid w:val="00DB3DBF"/>
    <w:rsid w:val="00DB44A6"/>
    <w:rsid w:val="00DB4504"/>
    <w:rsid w:val="00DB484F"/>
    <w:rsid w:val="00DB4E29"/>
    <w:rsid w:val="00DB4EE9"/>
    <w:rsid w:val="00DB53C7"/>
    <w:rsid w:val="00DB54D6"/>
    <w:rsid w:val="00DB5704"/>
    <w:rsid w:val="00DB5995"/>
    <w:rsid w:val="00DB5F73"/>
    <w:rsid w:val="00DB6670"/>
    <w:rsid w:val="00DB6A18"/>
    <w:rsid w:val="00DB6CA3"/>
    <w:rsid w:val="00DB6E47"/>
    <w:rsid w:val="00DB7039"/>
    <w:rsid w:val="00DB7045"/>
    <w:rsid w:val="00DB75B1"/>
    <w:rsid w:val="00DB77D7"/>
    <w:rsid w:val="00DB7EF4"/>
    <w:rsid w:val="00DC04F6"/>
    <w:rsid w:val="00DC0690"/>
    <w:rsid w:val="00DC0882"/>
    <w:rsid w:val="00DC0946"/>
    <w:rsid w:val="00DC0FC4"/>
    <w:rsid w:val="00DC0FDB"/>
    <w:rsid w:val="00DC1A9B"/>
    <w:rsid w:val="00DC1D65"/>
    <w:rsid w:val="00DC20FC"/>
    <w:rsid w:val="00DC2ECA"/>
    <w:rsid w:val="00DC3009"/>
    <w:rsid w:val="00DC389C"/>
    <w:rsid w:val="00DC3B14"/>
    <w:rsid w:val="00DC3C57"/>
    <w:rsid w:val="00DC3C63"/>
    <w:rsid w:val="00DC42D6"/>
    <w:rsid w:val="00DC48AF"/>
    <w:rsid w:val="00DC5206"/>
    <w:rsid w:val="00DC53F0"/>
    <w:rsid w:val="00DC5501"/>
    <w:rsid w:val="00DC5703"/>
    <w:rsid w:val="00DC5BEB"/>
    <w:rsid w:val="00DC5DB8"/>
    <w:rsid w:val="00DC5DE4"/>
    <w:rsid w:val="00DC5FCF"/>
    <w:rsid w:val="00DC67BB"/>
    <w:rsid w:val="00DC7154"/>
    <w:rsid w:val="00DC71E4"/>
    <w:rsid w:val="00DC737E"/>
    <w:rsid w:val="00DC7385"/>
    <w:rsid w:val="00DC7BB4"/>
    <w:rsid w:val="00DC7E8A"/>
    <w:rsid w:val="00DC7ED5"/>
    <w:rsid w:val="00DC7F84"/>
    <w:rsid w:val="00DD01B2"/>
    <w:rsid w:val="00DD02D1"/>
    <w:rsid w:val="00DD07A5"/>
    <w:rsid w:val="00DD0C58"/>
    <w:rsid w:val="00DD0C86"/>
    <w:rsid w:val="00DD0E08"/>
    <w:rsid w:val="00DD0ED3"/>
    <w:rsid w:val="00DD0F70"/>
    <w:rsid w:val="00DD0F78"/>
    <w:rsid w:val="00DD12C3"/>
    <w:rsid w:val="00DD142D"/>
    <w:rsid w:val="00DD1812"/>
    <w:rsid w:val="00DD1B2A"/>
    <w:rsid w:val="00DD1E40"/>
    <w:rsid w:val="00DD2022"/>
    <w:rsid w:val="00DD273C"/>
    <w:rsid w:val="00DD2D88"/>
    <w:rsid w:val="00DD310F"/>
    <w:rsid w:val="00DD349B"/>
    <w:rsid w:val="00DD3F28"/>
    <w:rsid w:val="00DD3FC9"/>
    <w:rsid w:val="00DD40E0"/>
    <w:rsid w:val="00DD42EE"/>
    <w:rsid w:val="00DD4446"/>
    <w:rsid w:val="00DD4501"/>
    <w:rsid w:val="00DD4537"/>
    <w:rsid w:val="00DD4683"/>
    <w:rsid w:val="00DD4A34"/>
    <w:rsid w:val="00DD4A36"/>
    <w:rsid w:val="00DD4E15"/>
    <w:rsid w:val="00DD59AC"/>
    <w:rsid w:val="00DD5AD3"/>
    <w:rsid w:val="00DD629A"/>
    <w:rsid w:val="00DD62DB"/>
    <w:rsid w:val="00DD67E8"/>
    <w:rsid w:val="00DD6873"/>
    <w:rsid w:val="00DD68B1"/>
    <w:rsid w:val="00DD693D"/>
    <w:rsid w:val="00DD6A65"/>
    <w:rsid w:val="00DD6B95"/>
    <w:rsid w:val="00DD6D02"/>
    <w:rsid w:val="00DD72A8"/>
    <w:rsid w:val="00DD778A"/>
    <w:rsid w:val="00DD7A73"/>
    <w:rsid w:val="00DD7AA2"/>
    <w:rsid w:val="00DD7E10"/>
    <w:rsid w:val="00DE04AB"/>
    <w:rsid w:val="00DE0637"/>
    <w:rsid w:val="00DE080B"/>
    <w:rsid w:val="00DE0DFA"/>
    <w:rsid w:val="00DE1025"/>
    <w:rsid w:val="00DE1EF9"/>
    <w:rsid w:val="00DE2304"/>
    <w:rsid w:val="00DE27F8"/>
    <w:rsid w:val="00DE28A8"/>
    <w:rsid w:val="00DE2F61"/>
    <w:rsid w:val="00DE3138"/>
    <w:rsid w:val="00DE37F8"/>
    <w:rsid w:val="00DE387E"/>
    <w:rsid w:val="00DE3895"/>
    <w:rsid w:val="00DE39F4"/>
    <w:rsid w:val="00DE3AB5"/>
    <w:rsid w:val="00DE400B"/>
    <w:rsid w:val="00DE402E"/>
    <w:rsid w:val="00DE4273"/>
    <w:rsid w:val="00DE49ED"/>
    <w:rsid w:val="00DE4CB9"/>
    <w:rsid w:val="00DE4FC4"/>
    <w:rsid w:val="00DE4FCB"/>
    <w:rsid w:val="00DE5063"/>
    <w:rsid w:val="00DE52A6"/>
    <w:rsid w:val="00DE52F0"/>
    <w:rsid w:val="00DE54E6"/>
    <w:rsid w:val="00DE5D07"/>
    <w:rsid w:val="00DE5EDF"/>
    <w:rsid w:val="00DE6135"/>
    <w:rsid w:val="00DE6232"/>
    <w:rsid w:val="00DE636D"/>
    <w:rsid w:val="00DE640C"/>
    <w:rsid w:val="00DE6655"/>
    <w:rsid w:val="00DE68E5"/>
    <w:rsid w:val="00DE69DE"/>
    <w:rsid w:val="00DE6CD8"/>
    <w:rsid w:val="00DE706A"/>
    <w:rsid w:val="00DE72A7"/>
    <w:rsid w:val="00DE73C8"/>
    <w:rsid w:val="00DE73E8"/>
    <w:rsid w:val="00DE74D8"/>
    <w:rsid w:val="00DE7832"/>
    <w:rsid w:val="00DE796A"/>
    <w:rsid w:val="00DE7A1D"/>
    <w:rsid w:val="00DE7B22"/>
    <w:rsid w:val="00DE7FFB"/>
    <w:rsid w:val="00DF009D"/>
    <w:rsid w:val="00DF02ED"/>
    <w:rsid w:val="00DF0720"/>
    <w:rsid w:val="00DF07F4"/>
    <w:rsid w:val="00DF0A12"/>
    <w:rsid w:val="00DF0BFB"/>
    <w:rsid w:val="00DF10A0"/>
    <w:rsid w:val="00DF12DA"/>
    <w:rsid w:val="00DF1847"/>
    <w:rsid w:val="00DF18FC"/>
    <w:rsid w:val="00DF1996"/>
    <w:rsid w:val="00DF1CB6"/>
    <w:rsid w:val="00DF1CBB"/>
    <w:rsid w:val="00DF1EDC"/>
    <w:rsid w:val="00DF21A7"/>
    <w:rsid w:val="00DF224B"/>
    <w:rsid w:val="00DF3B31"/>
    <w:rsid w:val="00DF4141"/>
    <w:rsid w:val="00DF422D"/>
    <w:rsid w:val="00DF50C3"/>
    <w:rsid w:val="00DF5986"/>
    <w:rsid w:val="00DF59B2"/>
    <w:rsid w:val="00DF5D2B"/>
    <w:rsid w:val="00DF62AA"/>
    <w:rsid w:val="00DF6341"/>
    <w:rsid w:val="00DF67A2"/>
    <w:rsid w:val="00DF6D8F"/>
    <w:rsid w:val="00DF6E07"/>
    <w:rsid w:val="00DF730C"/>
    <w:rsid w:val="00DF7636"/>
    <w:rsid w:val="00E000E6"/>
    <w:rsid w:val="00E003ED"/>
    <w:rsid w:val="00E006AA"/>
    <w:rsid w:val="00E008DE"/>
    <w:rsid w:val="00E00AC7"/>
    <w:rsid w:val="00E00B76"/>
    <w:rsid w:val="00E00BDD"/>
    <w:rsid w:val="00E00E8E"/>
    <w:rsid w:val="00E00FC4"/>
    <w:rsid w:val="00E0123E"/>
    <w:rsid w:val="00E017B2"/>
    <w:rsid w:val="00E01C72"/>
    <w:rsid w:val="00E01C88"/>
    <w:rsid w:val="00E02699"/>
    <w:rsid w:val="00E02724"/>
    <w:rsid w:val="00E031C7"/>
    <w:rsid w:val="00E03307"/>
    <w:rsid w:val="00E03619"/>
    <w:rsid w:val="00E03A0D"/>
    <w:rsid w:val="00E044D9"/>
    <w:rsid w:val="00E0489E"/>
    <w:rsid w:val="00E048EF"/>
    <w:rsid w:val="00E04928"/>
    <w:rsid w:val="00E05630"/>
    <w:rsid w:val="00E05CCA"/>
    <w:rsid w:val="00E06064"/>
    <w:rsid w:val="00E06723"/>
    <w:rsid w:val="00E06B7E"/>
    <w:rsid w:val="00E06DBB"/>
    <w:rsid w:val="00E07F22"/>
    <w:rsid w:val="00E10149"/>
    <w:rsid w:val="00E102A0"/>
    <w:rsid w:val="00E105EA"/>
    <w:rsid w:val="00E107E7"/>
    <w:rsid w:val="00E10810"/>
    <w:rsid w:val="00E10A41"/>
    <w:rsid w:val="00E10BD3"/>
    <w:rsid w:val="00E11340"/>
    <w:rsid w:val="00E113F0"/>
    <w:rsid w:val="00E11D0A"/>
    <w:rsid w:val="00E1221A"/>
    <w:rsid w:val="00E122A1"/>
    <w:rsid w:val="00E12585"/>
    <w:rsid w:val="00E13228"/>
    <w:rsid w:val="00E1325B"/>
    <w:rsid w:val="00E13342"/>
    <w:rsid w:val="00E13414"/>
    <w:rsid w:val="00E13918"/>
    <w:rsid w:val="00E13AB6"/>
    <w:rsid w:val="00E13E1E"/>
    <w:rsid w:val="00E13E60"/>
    <w:rsid w:val="00E13F7C"/>
    <w:rsid w:val="00E14035"/>
    <w:rsid w:val="00E141B4"/>
    <w:rsid w:val="00E14956"/>
    <w:rsid w:val="00E15184"/>
    <w:rsid w:val="00E155B2"/>
    <w:rsid w:val="00E156DF"/>
    <w:rsid w:val="00E15977"/>
    <w:rsid w:val="00E15EA4"/>
    <w:rsid w:val="00E16036"/>
    <w:rsid w:val="00E1607C"/>
    <w:rsid w:val="00E16372"/>
    <w:rsid w:val="00E165A5"/>
    <w:rsid w:val="00E16697"/>
    <w:rsid w:val="00E16756"/>
    <w:rsid w:val="00E168AC"/>
    <w:rsid w:val="00E16A2C"/>
    <w:rsid w:val="00E16AD8"/>
    <w:rsid w:val="00E16E7A"/>
    <w:rsid w:val="00E17114"/>
    <w:rsid w:val="00E171F1"/>
    <w:rsid w:val="00E17644"/>
    <w:rsid w:val="00E176E7"/>
    <w:rsid w:val="00E179F0"/>
    <w:rsid w:val="00E17EA6"/>
    <w:rsid w:val="00E17EFD"/>
    <w:rsid w:val="00E17FB6"/>
    <w:rsid w:val="00E17FFA"/>
    <w:rsid w:val="00E203C5"/>
    <w:rsid w:val="00E20BB2"/>
    <w:rsid w:val="00E20C3C"/>
    <w:rsid w:val="00E20E4D"/>
    <w:rsid w:val="00E20ED6"/>
    <w:rsid w:val="00E20F64"/>
    <w:rsid w:val="00E211F4"/>
    <w:rsid w:val="00E21358"/>
    <w:rsid w:val="00E21507"/>
    <w:rsid w:val="00E2162F"/>
    <w:rsid w:val="00E222EE"/>
    <w:rsid w:val="00E223C3"/>
    <w:rsid w:val="00E2249B"/>
    <w:rsid w:val="00E2250D"/>
    <w:rsid w:val="00E227EB"/>
    <w:rsid w:val="00E22A0D"/>
    <w:rsid w:val="00E22F8D"/>
    <w:rsid w:val="00E2325A"/>
    <w:rsid w:val="00E232D1"/>
    <w:rsid w:val="00E235BA"/>
    <w:rsid w:val="00E238DA"/>
    <w:rsid w:val="00E238FE"/>
    <w:rsid w:val="00E23B5E"/>
    <w:rsid w:val="00E23B9C"/>
    <w:rsid w:val="00E244F6"/>
    <w:rsid w:val="00E24570"/>
    <w:rsid w:val="00E24AC9"/>
    <w:rsid w:val="00E24F1B"/>
    <w:rsid w:val="00E25653"/>
    <w:rsid w:val="00E258DB"/>
    <w:rsid w:val="00E26BAC"/>
    <w:rsid w:val="00E26CBC"/>
    <w:rsid w:val="00E27142"/>
    <w:rsid w:val="00E27425"/>
    <w:rsid w:val="00E2771E"/>
    <w:rsid w:val="00E27A5C"/>
    <w:rsid w:val="00E27F5E"/>
    <w:rsid w:val="00E3089E"/>
    <w:rsid w:val="00E30AA4"/>
    <w:rsid w:val="00E311EF"/>
    <w:rsid w:val="00E313C4"/>
    <w:rsid w:val="00E313E3"/>
    <w:rsid w:val="00E31520"/>
    <w:rsid w:val="00E31D24"/>
    <w:rsid w:val="00E31FF0"/>
    <w:rsid w:val="00E32180"/>
    <w:rsid w:val="00E321EF"/>
    <w:rsid w:val="00E322C3"/>
    <w:rsid w:val="00E32500"/>
    <w:rsid w:val="00E326AF"/>
    <w:rsid w:val="00E32902"/>
    <w:rsid w:val="00E32D47"/>
    <w:rsid w:val="00E32FF8"/>
    <w:rsid w:val="00E330A6"/>
    <w:rsid w:val="00E33779"/>
    <w:rsid w:val="00E3394C"/>
    <w:rsid w:val="00E341F6"/>
    <w:rsid w:val="00E34455"/>
    <w:rsid w:val="00E34948"/>
    <w:rsid w:val="00E34B22"/>
    <w:rsid w:val="00E35720"/>
    <w:rsid w:val="00E35B60"/>
    <w:rsid w:val="00E35EAE"/>
    <w:rsid w:val="00E361FE"/>
    <w:rsid w:val="00E36288"/>
    <w:rsid w:val="00E36E5D"/>
    <w:rsid w:val="00E36ECD"/>
    <w:rsid w:val="00E36EE8"/>
    <w:rsid w:val="00E37569"/>
    <w:rsid w:val="00E401B2"/>
    <w:rsid w:val="00E40260"/>
    <w:rsid w:val="00E4179D"/>
    <w:rsid w:val="00E41E30"/>
    <w:rsid w:val="00E42698"/>
    <w:rsid w:val="00E42A28"/>
    <w:rsid w:val="00E42EAD"/>
    <w:rsid w:val="00E42F73"/>
    <w:rsid w:val="00E4364A"/>
    <w:rsid w:val="00E43A25"/>
    <w:rsid w:val="00E43D70"/>
    <w:rsid w:val="00E44331"/>
    <w:rsid w:val="00E44405"/>
    <w:rsid w:val="00E44766"/>
    <w:rsid w:val="00E4499E"/>
    <w:rsid w:val="00E458C9"/>
    <w:rsid w:val="00E45B21"/>
    <w:rsid w:val="00E45D32"/>
    <w:rsid w:val="00E4612A"/>
    <w:rsid w:val="00E466F3"/>
    <w:rsid w:val="00E46709"/>
    <w:rsid w:val="00E46B25"/>
    <w:rsid w:val="00E47303"/>
    <w:rsid w:val="00E4732C"/>
    <w:rsid w:val="00E475FD"/>
    <w:rsid w:val="00E4762D"/>
    <w:rsid w:val="00E47B2C"/>
    <w:rsid w:val="00E47C8E"/>
    <w:rsid w:val="00E47F08"/>
    <w:rsid w:val="00E502EF"/>
    <w:rsid w:val="00E50FBC"/>
    <w:rsid w:val="00E51236"/>
    <w:rsid w:val="00E51278"/>
    <w:rsid w:val="00E512C3"/>
    <w:rsid w:val="00E51560"/>
    <w:rsid w:val="00E51821"/>
    <w:rsid w:val="00E51D8B"/>
    <w:rsid w:val="00E52242"/>
    <w:rsid w:val="00E523DF"/>
    <w:rsid w:val="00E52A0F"/>
    <w:rsid w:val="00E52B88"/>
    <w:rsid w:val="00E5346D"/>
    <w:rsid w:val="00E539CF"/>
    <w:rsid w:val="00E53E9E"/>
    <w:rsid w:val="00E53FC8"/>
    <w:rsid w:val="00E54347"/>
    <w:rsid w:val="00E549B0"/>
    <w:rsid w:val="00E54F1A"/>
    <w:rsid w:val="00E55424"/>
    <w:rsid w:val="00E5554B"/>
    <w:rsid w:val="00E558A6"/>
    <w:rsid w:val="00E55915"/>
    <w:rsid w:val="00E55BB5"/>
    <w:rsid w:val="00E55E9C"/>
    <w:rsid w:val="00E55F5C"/>
    <w:rsid w:val="00E560A0"/>
    <w:rsid w:val="00E5678F"/>
    <w:rsid w:val="00E570ED"/>
    <w:rsid w:val="00E573C3"/>
    <w:rsid w:val="00E573E8"/>
    <w:rsid w:val="00E60BD6"/>
    <w:rsid w:val="00E61042"/>
    <w:rsid w:val="00E611DF"/>
    <w:rsid w:val="00E611E9"/>
    <w:rsid w:val="00E6139A"/>
    <w:rsid w:val="00E61C0C"/>
    <w:rsid w:val="00E62147"/>
    <w:rsid w:val="00E62303"/>
    <w:rsid w:val="00E62D16"/>
    <w:rsid w:val="00E62E97"/>
    <w:rsid w:val="00E63603"/>
    <w:rsid w:val="00E63D51"/>
    <w:rsid w:val="00E64766"/>
    <w:rsid w:val="00E64B7D"/>
    <w:rsid w:val="00E64E6C"/>
    <w:rsid w:val="00E64E80"/>
    <w:rsid w:val="00E65E79"/>
    <w:rsid w:val="00E6600F"/>
    <w:rsid w:val="00E6623B"/>
    <w:rsid w:val="00E66695"/>
    <w:rsid w:val="00E66AF7"/>
    <w:rsid w:val="00E66BA2"/>
    <w:rsid w:val="00E67416"/>
    <w:rsid w:val="00E6791D"/>
    <w:rsid w:val="00E67B7B"/>
    <w:rsid w:val="00E67CC3"/>
    <w:rsid w:val="00E70544"/>
    <w:rsid w:val="00E70E99"/>
    <w:rsid w:val="00E71179"/>
    <w:rsid w:val="00E71546"/>
    <w:rsid w:val="00E718B6"/>
    <w:rsid w:val="00E71E0E"/>
    <w:rsid w:val="00E723BA"/>
    <w:rsid w:val="00E725DF"/>
    <w:rsid w:val="00E72679"/>
    <w:rsid w:val="00E72B93"/>
    <w:rsid w:val="00E7327C"/>
    <w:rsid w:val="00E73456"/>
    <w:rsid w:val="00E73581"/>
    <w:rsid w:val="00E73CC1"/>
    <w:rsid w:val="00E73CDB"/>
    <w:rsid w:val="00E73DEE"/>
    <w:rsid w:val="00E73F5A"/>
    <w:rsid w:val="00E74258"/>
    <w:rsid w:val="00E74B69"/>
    <w:rsid w:val="00E74DB5"/>
    <w:rsid w:val="00E757D3"/>
    <w:rsid w:val="00E7606B"/>
    <w:rsid w:val="00E76728"/>
    <w:rsid w:val="00E76B24"/>
    <w:rsid w:val="00E76B37"/>
    <w:rsid w:val="00E76D98"/>
    <w:rsid w:val="00E771FA"/>
    <w:rsid w:val="00E77447"/>
    <w:rsid w:val="00E7794F"/>
    <w:rsid w:val="00E77CBB"/>
    <w:rsid w:val="00E77F91"/>
    <w:rsid w:val="00E809E7"/>
    <w:rsid w:val="00E8103B"/>
    <w:rsid w:val="00E8106E"/>
    <w:rsid w:val="00E8116F"/>
    <w:rsid w:val="00E8173D"/>
    <w:rsid w:val="00E81906"/>
    <w:rsid w:val="00E819FC"/>
    <w:rsid w:val="00E81EA9"/>
    <w:rsid w:val="00E82895"/>
    <w:rsid w:val="00E8300D"/>
    <w:rsid w:val="00E833F7"/>
    <w:rsid w:val="00E83486"/>
    <w:rsid w:val="00E83531"/>
    <w:rsid w:val="00E838DE"/>
    <w:rsid w:val="00E83A43"/>
    <w:rsid w:val="00E83BDF"/>
    <w:rsid w:val="00E846DA"/>
    <w:rsid w:val="00E84B46"/>
    <w:rsid w:val="00E85341"/>
    <w:rsid w:val="00E8598D"/>
    <w:rsid w:val="00E85EBF"/>
    <w:rsid w:val="00E867A1"/>
    <w:rsid w:val="00E86FCC"/>
    <w:rsid w:val="00E8731D"/>
    <w:rsid w:val="00E87476"/>
    <w:rsid w:val="00E875BC"/>
    <w:rsid w:val="00E8795E"/>
    <w:rsid w:val="00E87A1D"/>
    <w:rsid w:val="00E90026"/>
    <w:rsid w:val="00E90390"/>
    <w:rsid w:val="00E90509"/>
    <w:rsid w:val="00E9094A"/>
    <w:rsid w:val="00E90AA3"/>
    <w:rsid w:val="00E90C6C"/>
    <w:rsid w:val="00E90EED"/>
    <w:rsid w:val="00E91106"/>
    <w:rsid w:val="00E91156"/>
    <w:rsid w:val="00E91609"/>
    <w:rsid w:val="00E91C39"/>
    <w:rsid w:val="00E91D02"/>
    <w:rsid w:val="00E91D35"/>
    <w:rsid w:val="00E92208"/>
    <w:rsid w:val="00E9253A"/>
    <w:rsid w:val="00E925D0"/>
    <w:rsid w:val="00E926A5"/>
    <w:rsid w:val="00E92839"/>
    <w:rsid w:val="00E928CC"/>
    <w:rsid w:val="00E928FA"/>
    <w:rsid w:val="00E92F87"/>
    <w:rsid w:val="00E93273"/>
    <w:rsid w:val="00E937EB"/>
    <w:rsid w:val="00E938DE"/>
    <w:rsid w:val="00E93BC9"/>
    <w:rsid w:val="00E9437E"/>
    <w:rsid w:val="00E94597"/>
    <w:rsid w:val="00E94C65"/>
    <w:rsid w:val="00E95106"/>
    <w:rsid w:val="00E958EE"/>
    <w:rsid w:val="00E95B40"/>
    <w:rsid w:val="00E961D3"/>
    <w:rsid w:val="00E962CC"/>
    <w:rsid w:val="00E96598"/>
    <w:rsid w:val="00E969FC"/>
    <w:rsid w:val="00E974DC"/>
    <w:rsid w:val="00E97661"/>
    <w:rsid w:val="00E97CA9"/>
    <w:rsid w:val="00E97D4E"/>
    <w:rsid w:val="00EA028A"/>
    <w:rsid w:val="00EA08D9"/>
    <w:rsid w:val="00EA110D"/>
    <w:rsid w:val="00EA117E"/>
    <w:rsid w:val="00EA1397"/>
    <w:rsid w:val="00EA17C3"/>
    <w:rsid w:val="00EA1A0B"/>
    <w:rsid w:val="00EA1B53"/>
    <w:rsid w:val="00EA1C9F"/>
    <w:rsid w:val="00EA1FB3"/>
    <w:rsid w:val="00EA21CA"/>
    <w:rsid w:val="00EA2A23"/>
    <w:rsid w:val="00EA2CAA"/>
    <w:rsid w:val="00EA2FEE"/>
    <w:rsid w:val="00EA33DD"/>
    <w:rsid w:val="00EA3413"/>
    <w:rsid w:val="00EA3432"/>
    <w:rsid w:val="00EA3864"/>
    <w:rsid w:val="00EA3B86"/>
    <w:rsid w:val="00EA4A3A"/>
    <w:rsid w:val="00EA4C43"/>
    <w:rsid w:val="00EA4D5F"/>
    <w:rsid w:val="00EA54CC"/>
    <w:rsid w:val="00EA564C"/>
    <w:rsid w:val="00EA5ADC"/>
    <w:rsid w:val="00EA5B52"/>
    <w:rsid w:val="00EA6324"/>
    <w:rsid w:val="00EA633B"/>
    <w:rsid w:val="00EA63EB"/>
    <w:rsid w:val="00EA6533"/>
    <w:rsid w:val="00EA68AB"/>
    <w:rsid w:val="00EA6BAE"/>
    <w:rsid w:val="00EA6C71"/>
    <w:rsid w:val="00EA6CC5"/>
    <w:rsid w:val="00EA6D82"/>
    <w:rsid w:val="00EA6D9D"/>
    <w:rsid w:val="00EA6DB3"/>
    <w:rsid w:val="00EA7B65"/>
    <w:rsid w:val="00EA7F1C"/>
    <w:rsid w:val="00EB07BB"/>
    <w:rsid w:val="00EB15B6"/>
    <w:rsid w:val="00EB1995"/>
    <w:rsid w:val="00EB1E3D"/>
    <w:rsid w:val="00EB249A"/>
    <w:rsid w:val="00EB372E"/>
    <w:rsid w:val="00EB3D06"/>
    <w:rsid w:val="00EB407F"/>
    <w:rsid w:val="00EB41B3"/>
    <w:rsid w:val="00EB4916"/>
    <w:rsid w:val="00EB60F6"/>
    <w:rsid w:val="00EB6158"/>
    <w:rsid w:val="00EB661F"/>
    <w:rsid w:val="00EB66F3"/>
    <w:rsid w:val="00EB6754"/>
    <w:rsid w:val="00EB6A0E"/>
    <w:rsid w:val="00EB74C0"/>
    <w:rsid w:val="00EB7FBB"/>
    <w:rsid w:val="00EC00C9"/>
    <w:rsid w:val="00EC0916"/>
    <w:rsid w:val="00EC0AD3"/>
    <w:rsid w:val="00EC0DD9"/>
    <w:rsid w:val="00EC0FD7"/>
    <w:rsid w:val="00EC1193"/>
    <w:rsid w:val="00EC14BA"/>
    <w:rsid w:val="00EC1A46"/>
    <w:rsid w:val="00EC1AF4"/>
    <w:rsid w:val="00EC1D7B"/>
    <w:rsid w:val="00EC2076"/>
    <w:rsid w:val="00EC2649"/>
    <w:rsid w:val="00EC31BD"/>
    <w:rsid w:val="00EC31ED"/>
    <w:rsid w:val="00EC349E"/>
    <w:rsid w:val="00EC4288"/>
    <w:rsid w:val="00EC4DDC"/>
    <w:rsid w:val="00EC4E50"/>
    <w:rsid w:val="00EC5836"/>
    <w:rsid w:val="00EC5CF0"/>
    <w:rsid w:val="00EC6079"/>
    <w:rsid w:val="00EC6219"/>
    <w:rsid w:val="00EC6733"/>
    <w:rsid w:val="00EC688C"/>
    <w:rsid w:val="00EC69CE"/>
    <w:rsid w:val="00EC6AC4"/>
    <w:rsid w:val="00EC7024"/>
    <w:rsid w:val="00EC729D"/>
    <w:rsid w:val="00EC72F8"/>
    <w:rsid w:val="00EC73CD"/>
    <w:rsid w:val="00EC7818"/>
    <w:rsid w:val="00ED0290"/>
    <w:rsid w:val="00ED03BA"/>
    <w:rsid w:val="00ED03DC"/>
    <w:rsid w:val="00ED0F61"/>
    <w:rsid w:val="00ED0FCE"/>
    <w:rsid w:val="00ED12E3"/>
    <w:rsid w:val="00ED17FD"/>
    <w:rsid w:val="00ED19D4"/>
    <w:rsid w:val="00ED20F0"/>
    <w:rsid w:val="00ED2309"/>
    <w:rsid w:val="00ED2732"/>
    <w:rsid w:val="00ED27D5"/>
    <w:rsid w:val="00ED2A64"/>
    <w:rsid w:val="00ED31A8"/>
    <w:rsid w:val="00ED31C5"/>
    <w:rsid w:val="00ED38A6"/>
    <w:rsid w:val="00ED3AD4"/>
    <w:rsid w:val="00ED3CD1"/>
    <w:rsid w:val="00ED3E08"/>
    <w:rsid w:val="00ED4398"/>
    <w:rsid w:val="00ED4666"/>
    <w:rsid w:val="00ED4B04"/>
    <w:rsid w:val="00ED54B8"/>
    <w:rsid w:val="00ED57EA"/>
    <w:rsid w:val="00ED59BB"/>
    <w:rsid w:val="00ED5BD4"/>
    <w:rsid w:val="00ED6581"/>
    <w:rsid w:val="00ED6679"/>
    <w:rsid w:val="00ED6C89"/>
    <w:rsid w:val="00ED6D81"/>
    <w:rsid w:val="00ED6D8F"/>
    <w:rsid w:val="00ED72C3"/>
    <w:rsid w:val="00ED754A"/>
    <w:rsid w:val="00ED75A2"/>
    <w:rsid w:val="00ED75DF"/>
    <w:rsid w:val="00ED76D1"/>
    <w:rsid w:val="00ED77A3"/>
    <w:rsid w:val="00ED7D94"/>
    <w:rsid w:val="00ED7F1D"/>
    <w:rsid w:val="00EE07D3"/>
    <w:rsid w:val="00EE10E1"/>
    <w:rsid w:val="00EE1996"/>
    <w:rsid w:val="00EE1C01"/>
    <w:rsid w:val="00EE1E98"/>
    <w:rsid w:val="00EE22AF"/>
    <w:rsid w:val="00EE27EE"/>
    <w:rsid w:val="00EE2B09"/>
    <w:rsid w:val="00EE35A0"/>
    <w:rsid w:val="00EE36C2"/>
    <w:rsid w:val="00EE3756"/>
    <w:rsid w:val="00EE3866"/>
    <w:rsid w:val="00EE3B6B"/>
    <w:rsid w:val="00EE3C8F"/>
    <w:rsid w:val="00EE3DA5"/>
    <w:rsid w:val="00EE4012"/>
    <w:rsid w:val="00EE44CA"/>
    <w:rsid w:val="00EE51DC"/>
    <w:rsid w:val="00EE546B"/>
    <w:rsid w:val="00EE5486"/>
    <w:rsid w:val="00EE59F4"/>
    <w:rsid w:val="00EE6126"/>
    <w:rsid w:val="00EE6167"/>
    <w:rsid w:val="00EE61B1"/>
    <w:rsid w:val="00EE6928"/>
    <w:rsid w:val="00EE6CA1"/>
    <w:rsid w:val="00EE7573"/>
    <w:rsid w:val="00EE75D2"/>
    <w:rsid w:val="00EE7651"/>
    <w:rsid w:val="00EE781B"/>
    <w:rsid w:val="00EE7E2F"/>
    <w:rsid w:val="00EE7F56"/>
    <w:rsid w:val="00EF0171"/>
    <w:rsid w:val="00EF06DB"/>
    <w:rsid w:val="00EF0B41"/>
    <w:rsid w:val="00EF0C77"/>
    <w:rsid w:val="00EF0CE0"/>
    <w:rsid w:val="00EF116C"/>
    <w:rsid w:val="00EF13D6"/>
    <w:rsid w:val="00EF164B"/>
    <w:rsid w:val="00EF1769"/>
    <w:rsid w:val="00EF1A20"/>
    <w:rsid w:val="00EF1A9F"/>
    <w:rsid w:val="00EF1AB5"/>
    <w:rsid w:val="00EF1B25"/>
    <w:rsid w:val="00EF1BCB"/>
    <w:rsid w:val="00EF1DA0"/>
    <w:rsid w:val="00EF1E9F"/>
    <w:rsid w:val="00EF204D"/>
    <w:rsid w:val="00EF21AB"/>
    <w:rsid w:val="00EF2256"/>
    <w:rsid w:val="00EF25E7"/>
    <w:rsid w:val="00EF265D"/>
    <w:rsid w:val="00EF2D22"/>
    <w:rsid w:val="00EF34D1"/>
    <w:rsid w:val="00EF3CB8"/>
    <w:rsid w:val="00EF46BE"/>
    <w:rsid w:val="00EF4747"/>
    <w:rsid w:val="00EF4823"/>
    <w:rsid w:val="00EF4994"/>
    <w:rsid w:val="00EF4AA3"/>
    <w:rsid w:val="00EF4BC4"/>
    <w:rsid w:val="00EF4BF8"/>
    <w:rsid w:val="00EF5940"/>
    <w:rsid w:val="00EF5977"/>
    <w:rsid w:val="00EF5CBD"/>
    <w:rsid w:val="00EF5DAE"/>
    <w:rsid w:val="00EF62AD"/>
    <w:rsid w:val="00EF6327"/>
    <w:rsid w:val="00EF6B11"/>
    <w:rsid w:val="00EF6D30"/>
    <w:rsid w:val="00EF78ED"/>
    <w:rsid w:val="00F0069C"/>
    <w:rsid w:val="00F01AB8"/>
    <w:rsid w:val="00F01D9B"/>
    <w:rsid w:val="00F01F3F"/>
    <w:rsid w:val="00F0202A"/>
    <w:rsid w:val="00F020F2"/>
    <w:rsid w:val="00F02253"/>
    <w:rsid w:val="00F02903"/>
    <w:rsid w:val="00F02C62"/>
    <w:rsid w:val="00F02FDB"/>
    <w:rsid w:val="00F038DE"/>
    <w:rsid w:val="00F039B9"/>
    <w:rsid w:val="00F039DE"/>
    <w:rsid w:val="00F03BFD"/>
    <w:rsid w:val="00F03C2E"/>
    <w:rsid w:val="00F0432F"/>
    <w:rsid w:val="00F04A66"/>
    <w:rsid w:val="00F04B4B"/>
    <w:rsid w:val="00F04D38"/>
    <w:rsid w:val="00F0516C"/>
    <w:rsid w:val="00F05773"/>
    <w:rsid w:val="00F05DA0"/>
    <w:rsid w:val="00F05F34"/>
    <w:rsid w:val="00F067A2"/>
    <w:rsid w:val="00F06926"/>
    <w:rsid w:val="00F06E2F"/>
    <w:rsid w:val="00F06EDC"/>
    <w:rsid w:val="00F07122"/>
    <w:rsid w:val="00F07219"/>
    <w:rsid w:val="00F0785D"/>
    <w:rsid w:val="00F07B9E"/>
    <w:rsid w:val="00F07CE9"/>
    <w:rsid w:val="00F10771"/>
    <w:rsid w:val="00F108AD"/>
    <w:rsid w:val="00F10BB9"/>
    <w:rsid w:val="00F1116F"/>
    <w:rsid w:val="00F111D1"/>
    <w:rsid w:val="00F1161A"/>
    <w:rsid w:val="00F1179A"/>
    <w:rsid w:val="00F11E33"/>
    <w:rsid w:val="00F1263A"/>
    <w:rsid w:val="00F12B1A"/>
    <w:rsid w:val="00F12F03"/>
    <w:rsid w:val="00F137C8"/>
    <w:rsid w:val="00F13892"/>
    <w:rsid w:val="00F13920"/>
    <w:rsid w:val="00F139C5"/>
    <w:rsid w:val="00F141CC"/>
    <w:rsid w:val="00F146D8"/>
    <w:rsid w:val="00F14C41"/>
    <w:rsid w:val="00F14CC8"/>
    <w:rsid w:val="00F14F2E"/>
    <w:rsid w:val="00F1504D"/>
    <w:rsid w:val="00F1508D"/>
    <w:rsid w:val="00F151D3"/>
    <w:rsid w:val="00F15510"/>
    <w:rsid w:val="00F15884"/>
    <w:rsid w:val="00F15AFC"/>
    <w:rsid w:val="00F15B77"/>
    <w:rsid w:val="00F15C02"/>
    <w:rsid w:val="00F15D34"/>
    <w:rsid w:val="00F15DEC"/>
    <w:rsid w:val="00F17220"/>
    <w:rsid w:val="00F17544"/>
    <w:rsid w:val="00F200D6"/>
    <w:rsid w:val="00F202B9"/>
    <w:rsid w:val="00F20482"/>
    <w:rsid w:val="00F21236"/>
    <w:rsid w:val="00F2140E"/>
    <w:rsid w:val="00F21905"/>
    <w:rsid w:val="00F224DB"/>
    <w:rsid w:val="00F22ABA"/>
    <w:rsid w:val="00F22B43"/>
    <w:rsid w:val="00F22D38"/>
    <w:rsid w:val="00F22FD8"/>
    <w:rsid w:val="00F23530"/>
    <w:rsid w:val="00F239C4"/>
    <w:rsid w:val="00F23BD6"/>
    <w:rsid w:val="00F23DD2"/>
    <w:rsid w:val="00F23E03"/>
    <w:rsid w:val="00F23F45"/>
    <w:rsid w:val="00F24374"/>
    <w:rsid w:val="00F2438D"/>
    <w:rsid w:val="00F24837"/>
    <w:rsid w:val="00F24ADB"/>
    <w:rsid w:val="00F24BE4"/>
    <w:rsid w:val="00F253DC"/>
    <w:rsid w:val="00F2575F"/>
    <w:rsid w:val="00F258CD"/>
    <w:rsid w:val="00F26162"/>
    <w:rsid w:val="00F26219"/>
    <w:rsid w:val="00F27543"/>
    <w:rsid w:val="00F27565"/>
    <w:rsid w:val="00F2769B"/>
    <w:rsid w:val="00F27AE2"/>
    <w:rsid w:val="00F30260"/>
    <w:rsid w:val="00F302CC"/>
    <w:rsid w:val="00F309B3"/>
    <w:rsid w:val="00F310D4"/>
    <w:rsid w:val="00F31B17"/>
    <w:rsid w:val="00F31D5A"/>
    <w:rsid w:val="00F320BE"/>
    <w:rsid w:val="00F32115"/>
    <w:rsid w:val="00F322DA"/>
    <w:rsid w:val="00F326CD"/>
    <w:rsid w:val="00F32AC5"/>
    <w:rsid w:val="00F32F64"/>
    <w:rsid w:val="00F33056"/>
    <w:rsid w:val="00F33975"/>
    <w:rsid w:val="00F33A59"/>
    <w:rsid w:val="00F33DE9"/>
    <w:rsid w:val="00F34BE8"/>
    <w:rsid w:val="00F350ED"/>
    <w:rsid w:val="00F3574E"/>
    <w:rsid w:val="00F35892"/>
    <w:rsid w:val="00F35E6D"/>
    <w:rsid w:val="00F35EF4"/>
    <w:rsid w:val="00F3619A"/>
    <w:rsid w:val="00F3641F"/>
    <w:rsid w:val="00F3687F"/>
    <w:rsid w:val="00F36E6A"/>
    <w:rsid w:val="00F36FB9"/>
    <w:rsid w:val="00F372EB"/>
    <w:rsid w:val="00F37C54"/>
    <w:rsid w:val="00F37E4E"/>
    <w:rsid w:val="00F37E6F"/>
    <w:rsid w:val="00F4034A"/>
    <w:rsid w:val="00F40AAA"/>
    <w:rsid w:val="00F40BA7"/>
    <w:rsid w:val="00F40F9D"/>
    <w:rsid w:val="00F419A9"/>
    <w:rsid w:val="00F419E8"/>
    <w:rsid w:val="00F41A2C"/>
    <w:rsid w:val="00F41ACD"/>
    <w:rsid w:val="00F42195"/>
    <w:rsid w:val="00F428E8"/>
    <w:rsid w:val="00F42E32"/>
    <w:rsid w:val="00F431EE"/>
    <w:rsid w:val="00F43462"/>
    <w:rsid w:val="00F434DD"/>
    <w:rsid w:val="00F43E4E"/>
    <w:rsid w:val="00F4445A"/>
    <w:rsid w:val="00F446BB"/>
    <w:rsid w:val="00F44C33"/>
    <w:rsid w:val="00F44EB6"/>
    <w:rsid w:val="00F450B2"/>
    <w:rsid w:val="00F45132"/>
    <w:rsid w:val="00F451F7"/>
    <w:rsid w:val="00F45C1F"/>
    <w:rsid w:val="00F466A7"/>
    <w:rsid w:val="00F46C06"/>
    <w:rsid w:val="00F46CB6"/>
    <w:rsid w:val="00F46EBA"/>
    <w:rsid w:val="00F4756D"/>
    <w:rsid w:val="00F4779B"/>
    <w:rsid w:val="00F47DE8"/>
    <w:rsid w:val="00F47FED"/>
    <w:rsid w:val="00F503B9"/>
    <w:rsid w:val="00F51004"/>
    <w:rsid w:val="00F5115E"/>
    <w:rsid w:val="00F51D79"/>
    <w:rsid w:val="00F521BB"/>
    <w:rsid w:val="00F526BC"/>
    <w:rsid w:val="00F52A8D"/>
    <w:rsid w:val="00F52B70"/>
    <w:rsid w:val="00F52F9B"/>
    <w:rsid w:val="00F52FF1"/>
    <w:rsid w:val="00F53091"/>
    <w:rsid w:val="00F53EE6"/>
    <w:rsid w:val="00F53FFE"/>
    <w:rsid w:val="00F542C1"/>
    <w:rsid w:val="00F5483F"/>
    <w:rsid w:val="00F54D23"/>
    <w:rsid w:val="00F54EA1"/>
    <w:rsid w:val="00F54F43"/>
    <w:rsid w:val="00F550E3"/>
    <w:rsid w:val="00F55533"/>
    <w:rsid w:val="00F5585E"/>
    <w:rsid w:val="00F55B97"/>
    <w:rsid w:val="00F55D20"/>
    <w:rsid w:val="00F55D30"/>
    <w:rsid w:val="00F55E73"/>
    <w:rsid w:val="00F55EDA"/>
    <w:rsid w:val="00F5618D"/>
    <w:rsid w:val="00F56345"/>
    <w:rsid w:val="00F566D7"/>
    <w:rsid w:val="00F56783"/>
    <w:rsid w:val="00F56C80"/>
    <w:rsid w:val="00F56E2B"/>
    <w:rsid w:val="00F5721F"/>
    <w:rsid w:val="00F57426"/>
    <w:rsid w:val="00F57522"/>
    <w:rsid w:val="00F575BF"/>
    <w:rsid w:val="00F5788E"/>
    <w:rsid w:val="00F60092"/>
    <w:rsid w:val="00F6068C"/>
    <w:rsid w:val="00F608DA"/>
    <w:rsid w:val="00F60986"/>
    <w:rsid w:val="00F60AEC"/>
    <w:rsid w:val="00F60BE7"/>
    <w:rsid w:val="00F61205"/>
    <w:rsid w:val="00F61C18"/>
    <w:rsid w:val="00F61F55"/>
    <w:rsid w:val="00F6228C"/>
    <w:rsid w:val="00F62504"/>
    <w:rsid w:val="00F6269E"/>
    <w:rsid w:val="00F62939"/>
    <w:rsid w:val="00F62F83"/>
    <w:rsid w:val="00F635D6"/>
    <w:rsid w:val="00F636F7"/>
    <w:rsid w:val="00F645B0"/>
    <w:rsid w:val="00F646AF"/>
    <w:rsid w:val="00F64955"/>
    <w:rsid w:val="00F654B6"/>
    <w:rsid w:val="00F65F4B"/>
    <w:rsid w:val="00F66154"/>
    <w:rsid w:val="00F66320"/>
    <w:rsid w:val="00F66816"/>
    <w:rsid w:val="00F66ECB"/>
    <w:rsid w:val="00F6702D"/>
    <w:rsid w:val="00F67A69"/>
    <w:rsid w:val="00F67EBD"/>
    <w:rsid w:val="00F70948"/>
    <w:rsid w:val="00F70BFF"/>
    <w:rsid w:val="00F70C9D"/>
    <w:rsid w:val="00F70FAB"/>
    <w:rsid w:val="00F71947"/>
    <w:rsid w:val="00F71DFF"/>
    <w:rsid w:val="00F72A52"/>
    <w:rsid w:val="00F72C4E"/>
    <w:rsid w:val="00F72E54"/>
    <w:rsid w:val="00F7317A"/>
    <w:rsid w:val="00F73707"/>
    <w:rsid w:val="00F73C4E"/>
    <w:rsid w:val="00F73E08"/>
    <w:rsid w:val="00F74936"/>
    <w:rsid w:val="00F74AB4"/>
    <w:rsid w:val="00F74C9D"/>
    <w:rsid w:val="00F74CD9"/>
    <w:rsid w:val="00F74E09"/>
    <w:rsid w:val="00F75158"/>
    <w:rsid w:val="00F7517D"/>
    <w:rsid w:val="00F75986"/>
    <w:rsid w:val="00F75BAB"/>
    <w:rsid w:val="00F75E0C"/>
    <w:rsid w:val="00F766D0"/>
    <w:rsid w:val="00F76853"/>
    <w:rsid w:val="00F76A1E"/>
    <w:rsid w:val="00F76BF3"/>
    <w:rsid w:val="00F76C9E"/>
    <w:rsid w:val="00F76D56"/>
    <w:rsid w:val="00F77712"/>
    <w:rsid w:val="00F77945"/>
    <w:rsid w:val="00F779A1"/>
    <w:rsid w:val="00F77E91"/>
    <w:rsid w:val="00F802A7"/>
    <w:rsid w:val="00F80A7B"/>
    <w:rsid w:val="00F80E5D"/>
    <w:rsid w:val="00F80E96"/>
    <w:rsid w:val="00F81226"/>
    <w:rsid w:val="00F813C6"/>
    <w:rsid w:val="00F8148A"/>
    <w:rsid w:val="00F81D03"/>
    <w:rsid w:val="00F81E78"/>
    <w:rsid w:val="00F826CD"/>
    <w:rsid w:val="00F82A11"/>
    <w:rsid w:val="00F82A1E"/>
    <w:rsid w:val="00F82C14"/>
    <w:rsid w:val="00F82CC9"/>
    <w:rsid w:val="00F82F7D"/>
    <w:rsid w:val="00F837DC"/>
    <w:rsid w:val="00F83916"/>
    <w:rsid w:val="00F84310"/>
    <w:rsid w:val="00F848A1"/>
    <w:rsid w:val="00F8499E"/>
    <w:rsid w:val="00F84D59"/>
    <w:rsid w:val="00F8505C"/>
    <w:rsid w:val="00F850D9"/>
    <w:rsid w:val="00F851CE"/>
    <w:rsid w:val="00F852EF"/>
    <w:rsid w:val="00F85965"/>
    <w:rsid w:val="00F85ED8"/>
    <w:rsid w:val="00F86674"/>
    <w:rsid w:val="00F869C7"/>
    <w:rsid w:val="00F86F40"/>
    <w:rsid w:val="00F86FE2"/>
    <w:rsid w:val="00F87332"/>
    <w:rsid w:val="00F87D95"/>
    <w:rsid w:val="00F9007B"/>
    <w:rsid w:val="00F904BC"/>
    <w:rsid w:val="00F905AB"/>
    <w:rsid w:val="00F90CBC"/>
    <w:rsid w:val="00F91219"/>
    <w:rsid w:val="00F912BC"/>
    <w:rsid w:val="00F91449"/>
    <w:rsid w:val="00F91612"/>
    <w:rsid w:val="00F916FA"/>
    <w:rsid w:val="00F91715"/>
    <w:rsid w:val="00F918C7"/>
    <w:rsid w:val="00F91A95"/>
    <w:rsid w:val="00F91E29"/>
    <w:rsid w:val="00F92444"/>
    <w:rsid w:val="00F9267A"/>
    <w:rsid w:val="00F92C72"/>
    <w:rsid w:val="00F92EEA"/>
    <w:rsid w:val="00F93132"/>
    <w:rsid w:val="00F93288"/>
    <w:rsid w:val="00F9347D"/>
    <w:rsid w:val="00F936CC"/>
    <w:rsid w:val="00F9393E"/>
    <w:rsid w:val="00F945B8"/>
    <w:rsid w:val="00F94995"/>
    <w:rsid w:val="00F94A77"/>
    <w:rsid w:val="00F950A3"/>
    <w:rsid w:val="00F953DB"/>
    <w:rsid w:val="00F957D7"/>
    <w:rsid w:val="00F95C2A"/>
    <w:rsid w:val="00F95F08"/>
    <w:rsid w:val="00F96088"/>
    <w:rsid w:val="00F96103"/>
    <w:rsid w:val="00F96AF8"/>
    <w:rsid w:val="00F96FD0"/>
    <w:rsid w:val="00F97A78"/>
    <w:rsid w:val="00F97AE7"/>
    <w:rsid w:val="00F97E0C"/>
    <w:rsid w:val="00F97F4B"/>
    <w:rsid w:val="00FA000F"/>
    <w:rsid w:val="00FA03A5"/>
    <w:rsid w:val="00FA0439"/>
    <w:rsid w:val="00FA0580"/>
    <w:rsid w:val="00FA072C"/>
    <w:rsid w:val="00FA0B20"/>
    <w:rsid w:val="00FA0B2E"/>
    <w:rsid w:val="00FA0B58"/>
    <w:rsid w:val="00FA1118"/>
    <w:rsid w:val="00FA1434"/>
    <w:rsid w:val="00FA190F"/>
    <w:rsid w:val="00FA199C"/>
    <w:rsid w:val="00FA24E7"/>
    <w:rsid w:val="00FA2839"/>
    <w:rsid w:val="00FA345A"/>
    <w:rsid w:val="00FA355F"/>
    <w:rsid w:val="00FA3783"/>
    <w:rsid w:val="00FA392D"/>
    <w:rsid w:val="00FA3AE4"/>
    <w:rsid w:val="00FA3D1D"/>
    <w:rsid w:val="00FA3F10"/>
    <w:rsid w:val="00FA4416"/>
    <w:rsid w:val="00FA4484"/>
    <w:rsid w:val="00FA4D29"/>
    <w:rsid w:val="00FA556B"/>
    <w:rsid w:val="00FA560A"/>
    <w:rsid w:val="00FA5C13"/>
    <w:rsid w:val="00FA5D2D"/>
    <w:rsid w:val="00FA5EC7"/>
    <w:rsid w:val="00FA5EE6"/>
    <w:rsid w:val="00FA6303"/>
    <w:rsid w:val="00FA63CF"/>
    <w:rsid w:val="00FA65F4"/>
    <w:rsid w:val="00FA67DE"/>
    <w:rsid w:val="00FA6EEC"/>
    <w:rsid w:val="00FA72CB"/>
    <w:rsid w:val="00FA7661"/>
    <w:rsid w:val="00FA7956"/>
    <w:rsid w:val="00FB012C"/>
    <w:rsid w:val="00FB0824"/>
    <w:rsid w:val="00FB0D3D"/>
    <w:rsid w:val="00FB0EB6"/>
    <w:rsid w:val="00FB15E3"/>
    <w:rsid w:val="00FB16D3"/>
    <w:rsid w:val="00FB17A1"/>
    <w:rsid w:val="00FB1CB7"/>
    <w:rsid w:val="00FB2639"/>
    <w:rsid w:val="00FB28E7"/>
    <w:rsid w:val="00FB2A19"/>
    <w:rsid w:val="00FB2CFB"/>
    <w:rsid w:val="00FB2FCB"/>
    <w:rsid w:val="00FB36E5"/>
    <w:rsid w:val="00FB3946"/>
    <w:rsid w:val="00FB41A3"/>
    <w:rsid w:val="00FB41C8"/>
    <w:rsid w:val="00FB4426"/>
    <w:rsid w:val="00FB459B"/>
    <w:rsid w:val="00FB4C9C"/>
    <w:rsid w:val="00FB4D83"/>
    <w:rsid w:val="00FB5154"/>
    <w:rsid w:val="00FB5996"/>
    <w:rsid w:val="00FB625B"/>
    <w:rsid w:val="00FB6265"/>
    <w:rsid w:val="00FB6F9B"/>
    <w:rsid w:val="00FB7ABE"/>
    <w:rsid w:val="00FB7C55"/>
    <w:rsid w:val="00FB7FC1"/>
    <w:rsid w:val="00FC075A"/>
    <w:rsid w:val="00FC0D63"/>
    <w:rsid w:val="00FC1074"/>
    <w:rsid w:val="00FC12D2"/>
    <w:rsid w:val="00FC168C"/>
    <w:rsid w:val="00FC1884"/>
    <w:rsid w:val="00FC2386"/>
    <w:rsid w:val="00FC23C0"/>
    <w:rsid w:val="00FC2463"/>
    <w:rsid w:val="00FC28A0"/>
    <w:rsid w:val="00FC2BE1"/>
    <w:rsid w:val="00FC371D"/>
    <w:rsid w:val="00FC39BE"/>
    <w:rsid w:val="00FC3FA8"/>
    <w:rsid w:val="00FC423E"/>
    <w:rsid w:val="00FC427C"/>
    <w:rsid w:val="00FC542B"/>
    <w:rsid w:val="00FC5654"/>
    <w:rsid w:val="00FC5EF9"/>
    <w:rsid w:val="00FC5F0B"/>
    <w:rsid w:val="00FC60EC"/>
    <w:rsid w:val="00FC66B9"/>
    <w:rsid w:val="00FC6D85"/>
    <w:rsid w:val="00FC6E22"/>
    <w:rsid w:val="00FC6EED"/>
    <w:rsid w:val="00FC70F6"/>
    <w:rsid w:val="00FC7D65"/>
    <w:rsid w:val="00FC7EC7"/>
    <w:rsid w:val="00FD0009"/>
    <w:rsid w:val="00FD0265"/>
    <w:rsid w:val="00FD0BFF"/>
    <w:rsid w:val="00FD0EB1"/>
    <w:rsid w:val="00FD1439"/>
    <w:rsid w:val="00FD1C9B"/>
    <w:rsid w:val="00FD2100"/>
    <w:rsid w:val="00FD228E"/>
    <w:rsid w:val="00FD22A9"/>
    <w:rsid w:val="00FD240C"/>
    <w:rsid w:val="00FD25B3"/>
    <w:rsid w:val="00FD26FF"/>
    <w:rsid w:val="00FD299D"/>
    <w:rsid w:val="00FD35DB"/>
    <w:rsid w:val="00FD3809"/>
    <w:rsid w:val="00FD3E97"/>
    <w:rsid w:val="00FD436C"/>
    <w:rsid w:val="00FD446D"/>
    <w:rsid w:val="00FD463C"/>
    <w:rsid w:val="00FD4A89"/>
    <w:rsid w:val="00FD4BA3"/>
    <w:rsid w:val="00FD4D03"/>
    <w:rsid w:val="00FD4F2C"/>
    <w:rsid w:val="00FD51A9"/>
    <w:rsid w:val="00FD636B"/>
    <w:rsid w:val="00FD6394"/>
    <w:rsid w:val="00FD643A"/>
    <w:rsid w:val="00FD64BD"/>
    <w:rsid w:val="00FD65FD"/>
    <w:rsid w:val="00FD68DD"/>
    <w:rsid w:val="00FD69CA"/>
    <w:rsid w:val="00FD6A0D"/>
    <w:rsid w:val="00FD6B6A"/>
    <w:rsid w:val="00FD722B"/>
    <w:rsid w:val="00FD734B"/>
    <w:rsid w:val="00FD73C5"/>
    <w:rsid w:val="00FD7850"/>
    <w:rsid w:val="00FD7C12"/>
    <w:rsid w:val="00FE0065"/>
    <w:rsid w:val="00FE0E6C"/>
    <w:rsid w:val="00FE13B2"/>
    <w:rsid w:val="00FE158C"/>
    <w:rsid w:val="00FE1C11"/>
    <w:rsid w:val="00FE1CDC"/>
    <w:rsid w:val="00FE1F5B"/>
    <w:rsid w:val="00FE1FDE"/>
    <w:rsid w:val="00FE23D3"/>
    <w:rsid w:val="00FE3176"/>
    <w:rsid w:val="00FE33ED"/>
    <w:rsid w:val="00FE3557"/>
    <w:rsid w:val="00FE38E0"/>
    <w:rsid w:val="00FE38FF"/>
    <w:rsid w:val="00FE457B"/>
    <w:rsid w:val="00FE45BD"/>
    <w:rsid w:val="00FE49E7"/>
    <w:rsid w:val="00FE4A50"/>
    <w:rsid w:val="00FE521A"/>
    <w:rsid w:val="00FE5922"/>
    <w:rsid w:val="00FE5BCA"/>
    <w:rsid w:val="00FE639E"/>
    <w:rsid w:val="00FE67C6"/>
    <w:rsid w:val="00FE6B9A"/>
    <w:rsid w:val="00FE6CB0"/>
    <w:rsid w:val="00FE6FD2"/>
    <w:rsid w:val="00FE703C"/>
    <w:rsid w:val="00FE70C3"/>
    <w:rsid w:val="00FE71CC"/>
    <w:rsid w:val="00FE7702"/>
    <w:rsid w:val="00FE7A24"/>
    <w:rsid w:val="00FF0386"/>
    <w:rsid w:val="00FF0443"/>
    <w:rsid w:val="00FF05F1"/>
    <w:rsid w:val="00FF0F8B"/>
    <w:rsid w:val="00FF1A8B"/>
    <w:rsid w:val="00FF1AEA"/>
    <w:rsid w:val="00FF2095"/>
    <w:rsid w:val="00FF2AD9"/>
    <w:rsid w:val="00FF2C11"/>
    <w:rsid w:val="00FF2CE9"/>
    <w:rsid w:val="00FF349D"/>
    <w:rsid w:val="00FF359F"/>
    <w:rsid w:val="00FF3AF9"/>
    <w:rsid w:val="00FF3DB7"/>
    <w:rsid w:val="00FF3DCF"/>
    <w:rsid w:val="00FF3E4C"/>
    <w:rsid w:val="00FF3F55"/>
    <w:rsid w:val="00FF3FD6"/>
    <w:rsid w:val="00FF42DB"/>
    <w:rsid w:val="00FF46E6"/>
    <w:rsid w:val="00FF48F9"/>
    <w:rsid w:val="00FF492C"/>
    <w:rsid w:val="00FF4A21"/>
    <w:rsid w:val="00FF4B37"/>
    <w:rsid w:val="00FF4C56"/>
    <w:rsid w:val="00FF4D25"/>
    <w:rsid w:val="00FF4E85"/>
    <w:rsid w:val="00FF4EA0"/>
    <w:rsid w:val="00FF4F48"/>
    <w:rsid w:val="00FF5382"/>
    <w:rsid w:val="00FF54F7"/>
    <w:rsid w:val="00FF5514"/>
    <w:rsid w:val="00FF56EA"/>
    <w:rsid w:val="00FF5AA3"/>
    <w:rsid w:val="00FF5AD8"/>
    <w:rsid w:val="00FF669B"/>
    <w:rsid w:val="00FF6812"/>
    <w:rsid w:val="00FF6D2F"/>
    <w:rsid w:val="00FF7626"/>
    <w:rsid w:val="00FF769B"/>
    <w:rsid w:val="00FF78E7"/>
    <w:rsid w:val="00FF7CBA"/>
    <w:rsid w:val="00FF7DC5"/>
    <w:rsid w:val="04B16A9A"/>
    <w:rsid w:val="0AEB6DBE"/>
    <w:rsid w:val="113DF71D"/>
    <w:rsid w:val="1EB84FEA"/>
    <w:rsid w:val="210DAA45"/>
    <w:rsid w:val="22861CBF"/>
    <w:rsid w:val="35629664"/>
    <w:rsid w:val="3DD0A71F"/>
    <w:rsid w:val="4A59559F"/>
    <w:rsid w:val="4EB3E7C4"/>
    <w:rsid w:val="588B1226"/>
    <w:rsid w:val="58A20A33"/>
    <w:rsid w:val="5BFC5AC1"/>
    <w:rsid w:val="5F3DF209"/>
    <w:rsid w:val="62CE8C5D"/>
    <w:rsid w:val="6327306C"/>
    <w:rsid w:val="6A7C443A"/>
    <w:rsid w:val="6BB8B1F7"/>
    <w:rsid w:val="709C3AE8"/>
    <w:rsid w:val="79F4D1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E6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4Char">
    <w:name w:val="Heading 4 Char"/>
    <w:basedOn w:val="DefaultParagraphFont"/>
    <w:link w:val="Heading4"/>
    <w:rsid w:val="004844D1"/>
    <w:rPr>
      <w:rFonts w:ascii="Calibri" w:hAnsi="Calibri" w:cs="Arial"/>
      <w:b/>
      <w:bCs/>
      <w:i/>
      <w:sz w:val="26"/>
      <w:szCs w:val="28"/>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Summary Bullets,Bullet list,Figure_name,Numbered Indented Text,lp1,new"/>
    <w:next w:val="ListBullet"/>
    <w:link w:val="ListParagraphChar"/>
    <w:uiPriority w:val="34"/>
    <w:qFormat/>
    <w:rsid w:val="00BB00B3"/>
    <w:pPr>
      <w:numPr>
        <w:numId w:val="35"/>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33"/>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Source table_,NICE instructions,PHE Table Grid,Lash Style Table,HTAtableplain,Dossier table,Section 3- footnotes,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B210E3"/>
    <w:pPr>
      <w:numPr>
        <w:ilvl w:val="1"/>
        <w:numId w:val="5"/>
      </w:numPr>
      <w:spacing w:before="60"/>
    </w:pPr>
  </w:style>
  <w:style w:type="character" w:customStyle="1" w:styleId="3-BodyTextChar">
    <w:name w:val="3-Body Text Char"/>
    <w:basedOn w:val="ListParagraphChar"/>
    <w:link w:val="3-BodyText"/>
    <w:rsid w:val="00B210E3"/>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aliases w:val="Footnote Text Char1,Footnote Text Char Char,Footnote Text Char2,Footnote Text Char Char1"/>
    <w:basedOn w:val="Normal"/>
    <w:link w:val="FootnoteTextChar"/>
    <w:unhideWhenUsed/>
    <w:rsid w:val="00332F7A"/>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332F7A"/>
    <w:rPr>
      <w:rFonts w:ascii="Calibri" w:hAnsi="Calibri" w:cs="Arial"/>
    </w:rPr>
  </w:style>
  <w:style w:type="character" w:styleId="FootnoteReference">
    <w:name w:val="footnote reference"/>
    <w:basedOn w:val="DefaultParagraphFont"/>
    <w:semiHidden/>
    <w:unhideWhenUsed/>
    <w:rsid w:val="00332F7A"/>
    <w:rPr>
      <w:vertAlign w:val="superscript"/>
    </w:rPr>
  </w:style>
  <w:style w:type="character" w:customStyle="1" w:styleId="TableHeadingChar">
    <w:name w:val="Table Heading Char"/>
    <w:basedOn w:val="DefaultParagraphFont"/>
    <w:link w:val="TableHeading0"/>
    <w:locked/>
    <w:rsid w:val="00332F7A"/>
    <w:rPr>
      <w:rFonts w:ascii="Arial Narrow" w:eastAsiaTheme="majorEastAsia" w:hAnsi="Arial Narrow" w:cs="Arial"/>
      <w:b/>
      <w:lang w:bidi="en-US"/>
    </w:rPr>
  </w:style>
  <w:style w:type="paragraph" w:customStyle="1" w:styleId="TableHeading0">
    <w:name w:val="Table Heading"/>
    <w:basedOn w:val="TableText0"/>
    <w:link w:val="TableHeadingChar"/>
    <w:qFormat/>
    <w:rsid w:val="00332F7A"/>
    <w:pPr>
      <w:keepLines/>
      <w:spacing w:before="20" w:after="20" w:line="276" w:lineRule="auto"/>
    </w:pPr>
    <w:rPr>
      <w:rFonts w:cs="Arial"/>
      <w:b/>
      <w:bCs w:val="0"/>
      <w:szCs w:val="20"/>
      <w:lang w:bidi="en-US"/>
    </w:rPr>
  </w:style>
  <w:style w:type="character" w:customStyle="1" w:styleId="TableheadingChar0">
    <w:name w:val="Table heading Char"/>
    <w:basedOn w:val="DefaultParagraphFont"/>
    <w:link w:val="Tableheading1"/>
    <w:locked/>
    <w:rsid w:val="009C5630"/>
    <w:rPr>
      <w:b/>
    </w:rPr>
  </w:style>
  <w:style w:type="paragraph" w:customStyle="1" w:styleId="Tableheading1">
    <w:name w:val="Table heading"/>
    <w:basedOn w:val="Normal"/>
    <w:link w:val="TableheadingChar0"/>
    <w:qFormat/>
    <w:rsid w:val="009C5630"/>
    <w:pPr>
      <w:jc w:val="center"/>
    </w:pPr>
    <w:rPr>
      <w:rFonts w:ascii="Times New Roman" w:hAnsi="Times New Roman" w:cs="Times New Roman"/>
      <w:b/>
      <w:sz w:val="20"/>
      <w:szCs w:val="20"/>
    </w:rPr>
  </w:style>
  <w:style w:type="table" w:customStyle="1" w:styleId="TableGrid1">
    <w:name w:val="Table Grid1"/>
    <w:basedOn w:val="TableNormal"/>
    <w:uiPriority w:val="39"/>
    <w:rsid w:val="004844D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qFormat/>
    <w:rsid w:val="00F0069C"/>
    <w:pPr>
      <w:numPr>
        <w:numId w:val="10"/>
      </w:numPr>
      <w:spacing w:before="20" w:after="20" w:line="276" w:lineRule="auto"/>
      <w:jc w:val="left"/>
    </w:pPr>
    <w:rPr>
      <w:rFonts w:ascii="Arial Narrow" w:eastAsiaTheme="majorEastAsia" w:hAnsi="Arial Narrow"/>
      <w:sz w:val="20"/>
      <w:szCs w:val="20"/>
      <w:lang w:bidi="en-US"/>
    </w:rPr>
  </w:style>
  <w:style w:type="table" w:customStyle="1" w:styleId="PBACTableStyle">
    <w:name w:val="PBAC Table Style"/>
    <w:basedOn w:val="TableGrid10"/>
    <w:uiPriority w:val="99"/>
    <w:rsid w:val="00D06C97"/>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0">
    <w:name w:val="Table Grid 1"/>
    <w:basedOn w:val="TableNormal"/>
    <w:semiHidden/>
    <w:unhideWhenUsed/>
    <w:rsid w:val="00D06C9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Text1">
    <w:name w:val="TableText"/>
    <w:basedOn w:val="Normal"/>
    <w:link w:val="TableTextChar1"/>
    <w:uiPriority w:val="3"/>
    <w:qFormat/>
    <w:rsid w:val="00D06C97"/>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D06C97"/>
    <w:rPr>
      <w:rFonts w:ascii="Calibri" w:hAnsi="Calibri" w:cs="Calibri"/>
      <w:bCs/>
      <w:lang w:eastAsia="zh-CN"/>
    </w:rPr>
  </w:style>
  <w:style w:type="paragraph" w:customStyle="1" w:styleId="TableHeadingRow">
    <w:name w:val="TableHeadingRow"/>
    <w:basedOn w:val="TableText1"/>
    <w:uiPriority w:val="3"/>
    <w:qFormat/>
    <w:rsid w:val="00D06C97"/>
    <w:pPr>
      <w:keepNext/>
      <w:spacing w:before="40" w:after="40"/>
      <w:jc w:val="center"/>
    </w:pPr>
    <w:rPr>
      <w:b/>
      <w:bCs w:val="0"/>
    </w:rPr>
  </w:style>
  <w:style w:type="character" w:styleId="UnresolvedMention">
    <w:name w:val="Unresolved Mention"/>
    <w:basedOn w:val="DefaultParagraphFont"/>
    <w:uiPriority w:val="99"/>
    <w:semiHidden/>
    <w:unhideWhenUsed/>
    <w:rsid w:val="00E17644"/>
    <w:rPr>
      <w:color w:val="605E5C"/>
      <w:shd w:val="clear" w:color="auto" w:fill="E1DFDD"/>
    </w:rPr>
  </w:style>
  <w:style w:type="character" w:styleId="Mention">
    <w:name w:val="Mention"/>
    <w:basedOn w:val="DefaultParagraphFont"/>
    <w:uiPriority w:val="99"/>
    <w:unhideWhenUsed/>
    <w:rsid w:val="00256E65"/>
    <w:rPr>
      <w:color w:val="2B579A"/>
      <w:shd w:val="clear" w:color="auto" w:fill="E1DFDD"/>
    </w:rPr>
  </w:style>
  <w:style w:type="paragraph" w:customStyle="1" w:styleId="pf0">
    <w:name w:val="pf0"/>
    <w:basedOn w:val="Normal"/>
    <w:rsid w:val="00A03E50"/>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1D181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D181B"/>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1247F8"/>
    <w:pPr>
      <w:numPr>
        <w:ilvl w:val="1"/>
        <w:numId w:val="36"/>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247F8"/>
    <w:pPr>
      <w:numPr>
        <w:ilvl w:val="2"/>
        <w:numId w:val="36"/>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247F8"/>
    <w:pPr>
      <w:numPr>
        <w:numId w:val="36"/>
      </w:numPr>
    </w:pPr>
  </w:style>
  <w:style w:type="paragraph" w:customStyle="1" w:styleId="COMH1numbered">
    <w:name w:val="COM H1 numbered"/>
    <w:next w:val="Normal"/>
    <w:link w:val="COMH1numberedChar"/>
    <w:qFormat/>
    <w:rsid w:val="001247F8"/>
    <w:pPr>
      <w:keepNext/>
      <w:numPr>
        <w:numId w:val="36"/>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1247F8"/>
    <w:rPr>
      <w:rFonts w:asciiTheme="minorHAnsi" w:hAnsiTheme="minorHAnsi" w:cs="Arial"/>
      <w:b/>
      <w:snapToGrid w:val="0"/>
      <w:sz w:val="32"/>
      <w:szCs w:val="32"/>
    </w:rPr>
  </w:style>
  <w:style w:type="paragraph" w:styleId="ListBullet2">
    <w:name w:val="List Bullet 2"/>
    <w:basedOn w:val="Normal"/>
    <w:semiHidden/>
    <w:unhideWhenUsed/>
    <w:rsid w:val="001247F8"/>
    <w:pPr>
      <w:contextualSpacing/>
    </w:pPr>
  </w:style>
  <w:style w:type="paragraph" w:styleId="ListBullet3">
    <w:name w:val="List Bullet 3"/>
    <w:basedOn w:val="Normal"/>
    <w:semiHidden/>
    <w:unhideWhenUsed/>
    <w:rsid w:val="001247F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046">
      <w:bodyDiv w:val="1"/>
      <w:marLeft w:val="0"/>
      <w:marRight w:val="0"/>
      <w:marTop w:val="0"/>
      <w:marBottom w:val="0"/>
      <w:divBdr>
        <w:top w:val="none" w:sz="0" w:space="0" w:color="auto"/>
        <w:left w:val="none" w:sz="0" w:space="0" w:color="auto"/>
        <w:bottom w:val="none" w:sz="0" w:space="0" w:color="auto"/>
        <w:right w:val="none" w:sz="0" w:space="0" w:color="auto"/>
      </w:divBdr>
    </w:div>
    <w:div w:id="2001859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7641122">
      <w:bodyDiv w:val="1"/>
      <w:marLeft w:val="0"/>
      <w:marRight w:val="0"/>
      <w:marTop w:val="0"/>
      <w:marBottom w:val="0"/>
      <w:divBdr>
        <w:top w:val="none" w:sz="0" w:space="0" w:color="auto"/>
        <w:left w:val="none" w:sz="0" w:space="0" w:color="auto"/>
        <w:bottom w:val="none" w:sz="0" w:space="0" w:color="auto"/>
        <w:right w:val="none" w:sz="0" w:space="0" w:color="auto"/>
      </w:divBdr>
    </w:div>
    <w:div w:id="168568251">
      <w:bodyDiv w:val="1"/>
      <w:marLeft w:val="0"/>
      <w:marRight w:val="0"/>
      <w:marTop w:val="0"/>
      <w:marBottom w:val="0"/>
      <w:divBdr>
        <w:top w:val="none" w:sz="0" w:space="0" w:color="auto"/>
        <w:left w:val="none" w:sz="0" w:space="0" w:color="auto"/>
        <w:bottom w:val="none" w:sz="0" w:space="0" w:color="auto"/>
        <w:right w:val="none" w:sz="0" w:space="0" w:color="auto"/>
      </w:divBdr>
    </w:div>
    <w:div w:id="215774967">
      <w:bodyDiv w:val="1"/>
      <w:marLeft w:val="0"/>
      <w:marRight w:val="0"/>
      <w:marTop w:val="0"/>
      <w:marBottom w:val="0"/>
      <w:divBdr>
        <w:top w:val="none" w:sz="0" w:space="0" w:color="auto"/>
        <w:left w:val="none" w:sz="0" w:space="0" w:color="auto"/>
        <w:bottom w:val="none" w:sz="0" w:space="0" w:color="auto"/>
        <w:right w:val="none" w:sz="0" w:space="0" w:color="auto"/>
      </w:divBdr>
    </w:div>
    <w:div w:id="26661666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3430463">
      <w:bodyDiv w:val="1"/>
      <w:marLeft w:val="0"/>
      <w:marRight w:val="0"/>
      <w:marTop w:val="0"/>
      <w:marBottom w:val="0"/>
      <w:divBdr>
        <w:top w:val="none" w:sz="0" w:space="0" w:color="auto"/>
        <w:left w:val="none" w:sz="0" w:space="0" w:color="auto"/>
        <w:bottom w:val="none" w:sz="0" w:space="0" w:color="auto"/>
        <w:right w:val="none" w:sz="0" w:space="0" w:color="auto"/>
      </w:divBdr>
    </w:div>
    <w:div w:id="423502584">
      <w:bodyDiv w:val="1"/>
      <w:marLeft w:val="0"/>
      <w:marRight w:val="0"/>
      <w:marTop w:val="0"/>
      <w:marBottom w:val="0"/>
      <w:divBdr>
        <w:top w:val="none" w:sz="0" w:space="0" w:color="auto"/>
        <w:left w:val="none" w:sz="0" w:space="0" w:color="auto"/>
        <w:bottom w:val="none" w:sz="0" w:space="0" w:color="auto"/>
        <w:right w:val="none" w:sz="0" w:space="0" w:color="auto"/>
      </w:divBdr>
      <w:divsChild>
        <w:div w:id="1072432499">
          <w:marLeft w:val="446"/>
          <w:marRight w:val="0"/>
          <w:marTop w:val="0"/>
          <w:marBottom w:val="0"/>
          <w:divBdr>
            <w:top w:val="none" w:sz="0" w:space="0" w:color="auto"/>
            <w:left w:val="none" w:sz="0" w:space="0" w:color="auto"/>
            <w:bottom w:val="none" w:sz="0" w:space="0" w:color="auto"/>
            <w:right w:val="none" w:sz="0" w:space="0" w:color="auto"/>
          </w:divBdr>
        </w:div>
      </w:divsChild>
    </w:div>
    <w:div w:id="539514602">
      <w:bodyDiv w:val="1"/>
      <w:marLeft w:val="0"/>
      <w:marRight w:val="0"/>
      <w:marTop w:val="0"/>
      <w:marBottom w:val="0"/>
      <w:divBdr>
        <w:top w:val="none" w:sz="0" w:space="0" w:color="auto"/>
        <w:left w:val="none" w:sz="0" w:space="0" w:color="auto"/>
        <w:bottom w:val="none" w:sz="0" w:space="0" w:color="auto"/>
        <w:right w:val="none" w:sz="0" w:space="0" w:color="auto"/>
      </w:divBdr>
    </w:div>
    <w:div w:id="566041122">
      <w:bodyDiv w:val="1"/>
      <w:marLeft w:val="0"/>
      <w:marRight w:val="0"/>
      <w:marTop w:val="0"/>
      <w:marBottom w:val="0"/>
      <w:divBdr>
        <w:top w:val="none" w:sz="0" w:space="0" w:color="auto"/>
        <w:left w:val="none" w:sz="0" w:space="0" w:color="auto"/>
        <w:bottom w:val="none" w:sz="0" w:space="0" w:color="auto"/>
        <w:right w:val="none" w:sz="0" w:space="0" w:color="auto"/>
      </w:divBdr>
    </w:div>
    <w:div w:id="696739016">
      <w:bodyDiv w:val="1"/>
      <w:marLeft w:val="0"/>
      <w:marRight w:val="0"/>
      <w:marTop w:val="0"/>
      <w:marBottom w:val="0"/>
      <w:divBdr>
        <w:top w:val="none" w:sz="0" w:space="0" w:color="auto"/>
        <w:left w:val="none" w:sz="0" w:space="0" w:color="auto"/>
        <w:bottom w:val="none" w:sz="0" w:space="0" w:color="auto"/>
        <w:right w:val="none" w:sz="0" w:space="0" w:color="auto"/>
      </w:divBdr>
    </w:div>
    <w:div w:id="706637260">
      <w:bodyDiv w:val="1"/>
      <w:marLeft w:val="0"/>
      <w:marRight w:val="0"/>
      <w:marTop w:val="0"/>
      <w:marBottom w:val="0"/>
      <w:divBdr>
        <w:top w:val="none" w:sz="0" w:space="0" w:color="auto"/>
        <w:left w:val="none" w:sz="0" w:space="0" w:color="auto"/>
        <w:bottom w:val="none" w:sz="0" w:space="0" w:color="auto"/>
        <w:right w:val="none" w:sz="0" w:space="0" w:color="auto"/>
      </w:divBdr>
    </w:div>
    <w:div w:id="791946992">
      <w:bodyDiv w:val="1"/>
      <w:marLeft w:val="0"/>
      <w:marRight w:val="0"/>
      <w:marTop w:val="0"/>
      <w:marBottom w:val="0"/>
      <w:divBdr>
        <w:top w:val="none" w:sz="0" w:space="0" w:color="auto"/>
        <w:left w:val="none" w:sz="0" w:space="0" w:color="auto"/>
        <w:bottom w:val="none" w:sz="0" w:space="0" w:color="auto"/>
        <w:right w:val="none" w:sz="0" w:space="0" w:color="auto"/>
      </w:divBdr>
    </w:div>
    <w:div w:id="809444820">
      <w:bodyDiv w:val="1"/>
      <w:marLeft w:val="0"/>
      <w:marRight w:val="0"/>
      <w:marTop w:val="0"/>
      <w:marBottom w:val="0"/>
      <w:divBdr>
        <w:top w:val="none" w:sz="0" w:space="0" w:color="auto"/>
        <w:left w:val="none" w:sz="0" w:space="0" w:color="auto"/>
        <w:bottom w:val="none" w:sz="0" w:space="0" w:color="auto"/>
        <w:right w:val="none" w:sz="0" w:space="0" w:color="auto"/>
      </w:divBdr>
    </w:div>
    <w:div w:id="81383289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0237304">
      <w:bodyDiv w:val="1"/>
      <w:marLeft w:val="0"/>
      <w:marRight w:val="0"/>
      <w:marTop w:val="0"/>
      <w:marBottom w:val="0"/>
      <w:divBdr>
        <w:top w:val="none" w:sz="0" w:space="0" w:color="auto"/>
        <w:left w:val="none" w:sz="0" w:space="0" w:color="auto"/>
        <w:bottom w:val="none" w:sz="0" w:space="0" w:color="auto"/>
        <w:right w:val="none" w:sz="0" w:space="0" w:color="auto"/>
      </w:divBdr>
    </w:div>
    <w:div w:id="928150229">
      <w:bodyDiv w:val="1"/>
      <w:marLeft w:val="0"/>
      <w:marRight w:val="0"/>
      <w:marTop w:val="0"/>
      <w:marBottom w:val="0"/>
      <w:divBdr>
        <w:top w:val="none" w:sz="0" w:space="0" w:color="auto"/>
        <w:left w:val="none" w:sz="0" w:space="0" w:color="auto"/>
        <w:bottom w:val="none" w:sz="0" w:space="0" w:color="auto"/>
        <w:right w:val="none" w:sz="0" w:space="0" w:color="auto"/>
      </w:divBdr>
    </w:div>
    <w:div w:id="1001083663">
      <w:bodyDiv w:val="1"/>
      <w:marLeft w:val="0"/>
      <w:marRight w:val="0"/>
      <w:marTop w:val="0"/>
      <w:marBottom w:val="0"/>
      <w:divBdr>
        <w:top w:val="none" w:sz="0" w:space="0" w:color="auto"/>
        <w:left w:val="none" w:sz="0" w:space="0" w:color="auto"/>
        <w:bottom w:val="none" w:sz="0" w:space="0" w:color="auto"/>
        <w:right w:val="none" w:sz="0" w:space="0" w:color="auto"/>
      </w:divBdr>
    </w:div>
    <w:div w:id="1002582947">
      <w:bodyDiv w:val="1"/>
      <w:marLeft w:val="0"/>
      <w:marRight w:val="0"/>
      <w:marTop w:val="0"/>
      <w:marBottom w:val="0"/>
      <w:divBdr>
        <w:top w:val="none" w:sz="0" w:space="0" w:color="auto"/>
        <w:left w:val="none" w:sz="0" w:space="0" w:color="auto"/>
        <w:bottom w:val="none" w:sz="0" w:space="0" w:color="auto"/>
        <w:right w:val="none" w:sz="0" w:space="0" w:color="auto"/>
      </w:divBdr>
    </w:div>
    <w:div w:id="1007246552">
      <w:bodyDiv w:val="1"/>
      <w:marLeft w:val="0"/>
      <w:marRight w:val="0"/>
      <w:marTop w:val="0"/>
      <w:marBottom w:val="0"/>
      <w:divBdr>
        <w:top w:val="none" w:sz="0" w:space="0" w:color="auto"/>
        <w:left w:val="none" w:sz="0" w:space="0" w:color="auto"/>
        <w:bottom w:val="none" w:sz="0" w:space="0" w:color="auto"/>
        <w:right w:val="none" w:sz="0" w:space="0" w:color="auto"/>
      </w:divBdr>
    </w:div>
    <w:div w:id="1053888296">
      <w:bodyDiv w:val="1"/>
      <w:marLeft w:val="0"/>
      <w:marRight w:val="0"/>
      <w:marTop w:val="0"/>
      <w:marBottom w:val="0"/>
      <w:divBdr>
        <w:top w:val="none" w:sz="0" w:space="0" w:color="auto"/>
        <w:left w:val="none" w:sz="0" w:space="0" w:color="auto"/>
        <w:bottom w:val="none" w:sz="0" w:space="0" w:color="auto"/>
        <w:right w:val="none" w:sz="0" w:space="0" w:color="auto"/>
      </w:divBdr>
      <w:divsChild>
        <w:div w:id="156772968">
          <w:marLeft w:val="0"/>
          <w:marRight w:val="0"/>
          <w:marTop w:val="0"/>
          <w:marBottom w:val="0"/>
          <w:divBdr>
            <w:top w:val="none" w:sz="0" w:space="0" w:color="auto"/>
            <w:left w:val="none" w:sz="0" w:space="0" w:color="auto"/>
            <w:bottom w:val="none" w:sz="0" w:space="0" w:color="auto"/>
            <w:right w:val="none" w:sz="0" w:space="0" w:color="auto"/>
          </w:divBdr>
        </w:div>
        <w:div w:id="1605377942">
          <w:marLeft w:val="0"/>
          <w:marRight w:val="0"/>
          <w:marTop w:val="0"/>
          <w:marBottom w:val="0"/>
          <w:divBdr>
            <w:top w:val="none" w:sz="0" w:space="0" w:color="auto"/>
            <w:left w:val="none" w:sz="0" w:space="0" w:color="auto"/>
            <w:bottom w:val="none" w:sz="0" w:space="0" w:color="auto"/>
            <w:right w:val="none" w:sz="0" w:space="0" w:color="auto"/>
          </w:divBdr>
        </w:div>
      </w:divsChild>
    </w:div>
    <w:div w:id="1062679202">
      <w:bodyDiv w:val="1"/>
      <w:marLeft w:val="0"/>
      <w:marRight w:val="0"/>
      <w:marTop w:val="0"/>
      <w:marBottom w:val="0"/>
      <w:divBdr>
        <w:top w:val="none" w:sz="0" w:space="0" w:color="auto"/>
        <w:left w:val="none" w:sz="0" w:space="0" w:color="auto"/>
        <w:bottom w:val="none" w:sz="0" w:space="0" w:color="auto"/>
        <w:right w:val="none" w:sz="0" w:space="0" w:color="auto"/>
      </w:divBdr>
    </w:div>
    <w:div w:id="108233674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433386">
      <w:bodyDiv w:val="1"/>
      <w:marLeft w:val="0"/>
      <w:marRight w:val="0"/>
      <w:marTop w:val="0"/>
      <w:marBottom w:val="0"/>
      <w:divBdr>
        <w:top w:val="none" w:sz="0" w:space="0" w:color="auto"/>
        <w:left w:val="none" w:sz="0" w:space="0" w:color="auto"/>
        <w:bottom w:val="none" w:sz="0" w:space="0" w:color="auto"/>
        <w:right w:val="none" w:sz="0" w:space="0" w:color="auto"/>
      </w:divBdr>
    </w:div>
    <w:div w:id="1426224280">
      <w:bodyDiv w:val="1"/>
      <w:marLeft w:val="0"/>
      <w:marRight w:val="0"/>
      <w:marTop w:val="0"/>
      <w:marBottom w:val="0"/>
      <w:divBdr>
        <w:top w:val="none" w:sz="0" w:space="0" w:color="auto"/>
        <w:left w:val="none" w:sz="0" w:space="0" w:color="auto"/>
        <w:bottom w:val="none" w:sz="0" w:space="0" w:color="auto"/>
        <w:right w:val="none" w:sz="0" w:space="0" w:color="auto"/>
      </w:divBdr>
    </w:div>
    <w:div w:id="1551959560">
      <w:bodyDiv w:val="1"/>
      <w:marLeft w:val="0"/>
      <w:marRight w:val="0"/>
      <w:marTop w:val="0"/>
      <w:marBottom w:val="0"/>
      <w:divBdr>
        <w:top w:val="none" w:sz="0" w:space="0" w:color="auto"/>
        <w:left w:val="none" w:sz="0" w:space="0" w:color="auto"/>
        <w:bottom w:val="none" w:sz="0" w:space="0" w:color="auto"/>
        <w:right w:val="none" w:sz="0" w:space="0" w:color="auto"/>
      </w:divBdr>
    </w:div>
    <w:div w:id="1616936392">
      <w:bodyDiv w:val="1"/>
      <w:marLeft w:val="0"/>
      <w:marRight w:val="0"/>
      <w:marTop w:val="0"/>
      <w:marBottom w:val="0"/>
      <w:divBdr>
        <w:top w:val="none" w:sz="0" w:space="0" w:color="auto"/>
        <w:left w:val="none" w:sz="0" w:space="0" w:color="auto"/>
        <w:bottom w:val="none" w:sz="0" w:space="0" w:color="auto"/>
        <w:right w:val="none" w:sz="0" w:space="0" w:color="auto"/>
      </w:divBdr>
    </w:div>
    <w:div w:id="1645433140">
      <w:bodyDiv w:val="1"/>
      <w:marLeft w:val="0"/>
      <w:marRight w:val="0"/>
      <w:marTop w:val="0"/>
      <w:marBottom w:val="0"/>
      <w:divBdr>
        <w:top w:val="none" w:sz="0" w:space="0" w:color="auto"/>
        <w:left w:val="none" w:sz="0" w:space="0" w:color="auto"/>
        <w:bottom w:val="none" w:sz="0" w:space="0" w:color="auto"/>
        <w:right w:val="none" w:sz="0" w:space="0" w:color="auto"/>
      </w:divBdr>
      <w:divsChild>
        <w:div w:id="156769334">
          <w:marLeft w:val="0"/>
          <w:marRight w:val="0"/>
          <w:marTop w:val="0"/>
          <w:marBottom w:val="0"/>
          <w:divBdr>
            <w:top w:val="none" w:sz="0" w:space="0" w:color="auto"/>
            <w:left w:val="none" w:sz="0" w:space="0" w:color="auto"/>
            <w:bottom w:val="none" w:sz="0" w:space="0" w:color="auto"/>
            <w:right w:val="none" w:sz="0" w:space="0" w:color="auto"/>
          </w:divBdr>
        </w:div>
        <w:div w:id="1925794665">
          <w:marLeft w:val="0"/>
          <w:marRight w:val="0"/>
          <w:marTop w:val="0"/>
          <w:marBottom w:val="0"/>
          <w:divBdr>
            <w:top w:val="none" w:sz="0" w:space="0" w:color="auto"/>
            <w:left w:val="none" w:sz="0" w:space="0" w:color="auto"/>
            <w:bottom w:val="none" w:sz="0" w:space="0" w:color="auto"/>
            <w:right w:val="none" w:sz="0" w:space="0" w:color="auto"/>
          </w:divBdr>
        </w:div>
      </w:divsChild>
    </w:div>
    <w:div w:id="1654946073">
      <w:bodyDiv w:val="1"/>
      <w:marLeft w:val="0"/>
      <w:marRight w:val="0"/>
      <w:marTop w:val="0"/>
      <w:marBottom w:val="0"/>
      <w:divBdr>
        <w:top w:val="none" w:sz="0" w:space="0" w:color="auto"/>
        <w:left w:val="none" w:sz="0" w:space="0" w:color="auto"/>
        <w:bottom w:val="none" w:sz="0" w:space="0" w:color="auto"/>
        <w:right w:val="none" w:sz="0" w:space="0" w:color="auto"/>
      </w:divBdr>
    </w:div>
    <w:div w:id="1665206713">
      <w:bodyDiv w:val="1"/>
      <w:marLeft w:val="0"/>
      <w:marRight w:val="0"/>
      <w:marTop w:val="0"/>
      <w:marBottom w:val="0"/>
      <w:divBdr>
        <w:top w:val="none" w:sz="0" w:space="0" w:color="auto"/>
        <w:left w:val="none" w:sz="0" w:space="0" w:color="auto"/>
        <w:bottom w:val="none" w:sz="0" w:space="0" w:color="auto"/>
        <w:right w:val="none" w:sz="0" w:space="0" w:color="auto"/>
      </w:divBdr>
    </w:div>
    <w:div w:id="1793673805">
      <w:bodyDiv w:val="1"/>
      <w:marLeft w:val="0"/>
      <w:marRight w:val="0"/>
      <w:marTop w:val="0"/>
      <w:marBottom w:val="0"/>
      <w:divBdr>
        <w:top w:val="none" w:sz="0" w:space="0" w:color="auto"/>
        <w:left w:val="none" w:sz="0" w:space="0" w:color="auto"/>
        <w:bottom w:val="none" w:sz="0" w:space="0" w:color="auto"/>
        <w:right w:val="none" w:sz="0" w:space="0" w:color="auto"/>
      </w:divBdr>
    </w:div>
    <w:div w:id="1794708354">
      <w:bodyDiv w:val="1"/>
      <w:marLeft w:val="0"/>
      <w:marRight w:val="0"/>
      <w:marTop w:val="0"/>
      <w:marBottom w:val="0"/>
      <w:divBdr>
        <w:top w:val="none" w:sz="0" w:space="0" w:color="auto"/>
        <w:left w:val="none" w:sz="0" w:space="0" w:color="auto"/>
        <w:bottom w:val="none" w:sz="0" w:space="0" w:color="auto"/>
        <w:right w:val="none" w:sz="0" w:space="0" w:color="auto"/>
      </w:divBdr>
    </w:div>
    <w:div w:id="1834561014">
      <w:bodyDiv w:val="1"/>
      <w:marLeft w:val="0"/>
      <w:marRight w:val="0"/>
      <w:marTop w:val="0"/>
      <w:marBottom w:val="0"/>
      <w:divBdr>
        <w:top w:val="none" w:sz="0" w:space="0" w:color="auto"/>
        <w:left w:val="none" w:sz="0" w:space="0" w:color="auto"/>
        <w:bottom w:val="none" w:sz="0" w:space="0" w:color="auto"/>
        <w:right w:val="none" w:sz="0" w:space="0" w:color="auto"/>
      </w:divBdr>
    </w:div>
    <w:div w:id="1916360539">
      <w:bodyDiv w:val="1"/>
      <w:marLeft w:val="0"/>
      <w:marRight w:val="0"/>
      <w:marTop w:val="0"/>
      <w:marBottom w:val="0"/>
      <w:divBdr>
        <w:top w:val="none" w:sz="0" w:space="0" w:color="auto"/>
        <w:left w:val="none" w:sz="0" w:space="0" w:color="auto"/>
        <w:bottom w:val="none" w:sz="0" w:space="0" w:color="auto"/>
        <w:right w:val="none" w:sz="0" w:space="0" w:color="auto"/>
      </w:divBdr>
    </w:div>
    <w:div w:id="19249528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5428554">
      <w:bodyDiv w:val="1"/>
      <w:marLeft w:val="0"/>
      <w:marRight w:val="0"/>
      <w:marTop w:val="0"/>
      <w:marBottom w:val="0"/>
      <w:divBdr>
        <w:top w:val="none" w:sz="0" w:space="0" w:color="auto"/>
        <w:left w:val="none" w:sz="0" w:space="0" w:color="auto"/>
        <w:bottom w:val="none" w:sz="0" w:space="0" w:color="auto"/>
        <w:right w:val="none" w:sz="0" w:space="0" w:color="auto"/>
      </w:divBdr>
    </w:div>
    <w:div w:id="1991278206">
      <w:bodyDiv w:val="1"/>
      <w:marLeft w:val="0"/>
      <w:marRight w:val="0"/>
      <w:marTop w:val="0"/>
      <w:marBottom w:val="0"/>
      <w:divBdr>
        <w:top w:val="none" w:sz="0" w:space="0" w:color="auto"/>
        <w:left w:val="none" w:sz="0" w:space="0" w:color="auto"/>
        <w:bottom w:val="none" w:sz="0" w:space="0" w:color="auto"/>
        <w:right w:val="none" w:sz="0" w:space="0" w:color="auto"/>
      </w:divBdr>
    </w:div>
    <w:div w:id="21310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56/NEJMoa1713137"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200/JCO-24-01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28ee76e3e3cd8b25629ba942c2bda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92fc91db597c21b2d674888d2f34e6f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ECFF5DB8-7A8E-43CE-BFAA-7169C4F695AF}">
  <ds:schemaRefs>
    <ds:schemaRef ds:uri="http://schemas.microsoft.com/sharepoint/v3/contenttype/forms"/>
  </ds:schemaRefs>
</ds:datastoreItem>
</file>

<file path=customXml/itemProps2.xml><?xml version="1.0" encoding="utf-8"?>
<ds:datastoreItem xmlns:ds="http://schemas.openxmlformats.org/officeDocument/2006/customXml" ds:itemID="{4C5D96A8-2CD1-436D-ABFE-07BA1BE20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A0AE9-5A57-4367-8CD9-6A3305F774D8}">
  <ds:schemaRefs>
    <ds:schemaRef ds:uri="http://schemas.openxmlformats.org/officeDocument/2006/bibliography"/>
  </ds:schemaRefs>
</ds:datastoreItem>
</file>

<file path=customXml/itemProps4.xml><?xml version="1.0" encoding="utf-8"?>
<ds:datastoreItem xmlns:ds="http://schemas.openxmlformats.org/officeDocument/2006/customXml" ds:itemID="{2BC74D23-C24E-4B84-89B8-A5354A32E162}">
  <ds:schemaRefs>
    <ds:schemaRef ds:uri="7f856f8d-13b3-495a-9a4b-41f8182eda4c"/>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2f95629-adac-4ec1-8738-e1cec852b92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20383</Words>
  <Characters>116186</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136297</CharactersWithSpaces>
  <SharedDoc>false</SharedDoc>
  <HLinks>
    <vt:vector size="12" baseType="variant">
      <vt:variant>
        <vt:i4>4718598</vt:i4>
      </vt:variant>
      <vt:variant>
        <vt:i4>72</vt:i4>
      </vt:variant>
      <vt:variant>
        <vt:i4>0</vt:i4>
      </vt:variant>
      <vt:variant>
        <vt:i4>5</vt:i4>
      </vt:variant>
      <vt:variant>
        <vt:lpwstr>https://doi.org/10.1056/NEJMoa1713137</vt:lpwstr>
      </vt:variant>
      <vt:variant>
        <vt:lpwstr/>
      </vt:variant>
      <vt:variant>
        <vt:i4>6160449</vt:i4>
      </vt:variant>
      <vt:variant>
        <vt:i4>0</vt:i4>
      </vt:variant>
      <vt:variant>
        <vt:i4>0</vt:i4>
      </vt:variant>
      <vt:variant>
        <vt:i4>5</vt:i4>
      </vt:variant>
      <vt:variant>
        <vt:lpwstr>https://doi.org/10.1200/JCO-24-01324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2025-10-22T05:45:00Z</dcterms:created>
  <dcterms:modified xsi:type="dcterms:W3CDTF">2025-11-06T05:46:00Z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33e2ddc1,69daa16e,5ed93b8a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3f9b5c20,62ce947c,2559c14d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2025-10-22T05:37:19Z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7b09df49-327b-4286-9a57-312a2bf37a70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MediaServiceImageTags">
    <vt:lpwstr/>
  </property>
</Properties>
</file>