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484D125F" w:rsidR="00433044" w:rsidRPr="008B02E0" w:rsidRDefault="004E42FD" w:rsidP="00AE5B32">
      <w:pPr>
        <w:pStyle w:val="1-MainHeading"/>
      </w:pPr>
      <w:bookmarkStart w:id="0" w:name="_Toc198731728"/>
      <w:r w:rsidRPr="008B02E0">
        <w:t>6.06</w:t>
      </w:r>
      <w:r w:rsidR="00163F66" w:rsidRPr="008B02E0">
        <w:tab/>
      </w:r>
      <w:bookmarkStart w:id="1" w:name="_Toc22897637"/>
      <w:r w:rsidR="00EB6430" w:rsidRPr="008B02E0">
        <w:t>NIVOLUMAB,</w:t>
      </w:r>
      <w:r w:rsidR="00EB6430" w:rsidRPr="008B02E0">
        <w:br/>
        <w:t>Injection concentrate for I.V. infusion 40 mg in 4 mL</w:t>
      </w:r>
      <w:r w:rsidR="007506CF">
        <w:t>,</w:t>
      </w:r>
      <w:r w:rsidR="00EB6430" w:rsidRPr="008B02E0">
        <w:br/>
        <w:t>Injection concentrate for I.V. infusion 100 mg in 10 mL</w:t>
      </w:r>
      <w:r w:rsidR="007506CF">
        <w:t>,</w:t>
      </w:r>
      <w:r w:rsidR="00EB6430" w:rsidRPr="008B02E0">
        <w:br/>
      </w:r>
      <w:r w:rsidR="00461FCC" w:rsidRPr="008B02E0">
        <w:t>OPDIVO</w:t>
      </w:r>
      <w:r w:rsidR="00EB6430" w:rsidRPr="008B02E0">
        <w:t xml:space="preserve">® </w:t>
      </w:r>
      <w:r w:rsidR="007506CF">
        <w:t>,</w:t>
      </w:r>
      <w:r w:rsidR="00EB6430" w:rsidRPr="008B02E0">
        <w:br/>
      </w:r>
      <w:r w:rsidR="00165F78" w:rsidRPr="008B02E0">
        <w:t>I</w:t>
      </w:r>
      <w:r w:rsidR="00EB6430" w:rsidRPr="008B02E0">
        <w:t xml:space="preserve">PILIMUMAB </w:t>
      </w:r>
      <w:r w:rsidR="007506CF">
        <w:t>,</w:t>
      </w:r>
      <w:r w:rsidR="00EB6430" w:rsidRPr="008B02E0">
        <w:br/>
        <w:t>Injection concentrate for I.V. infusion 50 mg in 10 mL</w:t>
      </w:r>
      <w:r w:rsidR="007506CF">
        <w:t>,</w:t>
      </w:r>
      <w:r w:rsidR="00EB6430" w:rsidRPr="008B02E0">
        <w:br/>
        <w:t>Yervoy®</w:t>
      </w:r>
      <w:r w:rsidR="007506CF">
        <w:t>,</w:t>
      </w:r>
      <w:r w:rsidR="00EB6430" w:rsidRPr="008B02E0">
        <w:br/>
        <w:t>Bristol</w:t>
      </w:r>
      <w:r w:rsidR="009E5502">
        <w:noBreakHyphen/>
      </w:r>
      <w:r w:rsidR="00EB6430" w:rsidRPr="008B02E0">
        <w:t>Myers Squibb Australia Pty Ltd</w:t>
      </w:r>
      <w:bookmarkEnd w:id="0"/>
      <w:bookmarkEnd w:id="1"/>
    </w:p>
    <w:p w14:paraId="11C00795" w14:textId="3DFB6D23" w:rsidR="00B50DB8" w:rsidRPr="008B02E0" w:rsidRDefault="00B50DB8" w:rsidP="00AE5B32">
      <w:pPr>
        <w:pStyle w:val="2-SectionHeading"/>
      </w:pPr>
      <w:bookmarkStart w:id="2" w:name="_Toc198731730"/>
      <w:r w:rsidRPr="008B02E0">
        <w:t xml:space="preserve">Purpose of </w:t>
      </w:r>
      <w:r w:rsidR="00CD7193" w:rsidRPr="008B02E0">
        <w:t>s</w:t>
      </w:r>
      <w:r w:rsidR="00BB3A45" w:rsidRPr="008B02E0">
        <w:t>ubmission</w:t>
      </w:r>
      <w:bookmarkEnd w:id="2"/>
    </w:p>
    <w:p w14:paraId="29180429" w14:textId="14A5EFFB" w:rsidR="00EB6430" w:rsidRPr="008B02E0" w:rsidRDefault="00EB6430" w:rsidP="00AE5B32">
      <w:pPr>
        <w:pStyle w:val="3-BodyText"/>
      </w:pPr>
      <w:r w:rsidRPr="008B02E0">
        <w:t xml:space="preserve">The Category 2 submission requested </w:t>
      </w:r>
      <w:r w:rsidR="009B70B1" w:rsidRPr="008B02E0">
        <w:t xml:space="preserve">a </w:t>
      </w:r>
      <w:r w:rsidRPr="008B02E0">
        <w:t>Section 100 (Efficient Funding of Chemotherapy Program), Authority Required (STREAMLINED) listing for nivolumab plus ipilimumab for</w:t>
      </w:r>
      <w:r w:rsidR="0017429D" w:rsidRPr="008B02E0">
        <w:t xml:space="preserve"> the</w:t>
      </w:r>
      <w:r w:rsidRPr="008B02E0">
        <w:t xml:space="preserve"> first line treatment of microsatellite instability high (MSI</w:t>
      </w:r>
      <w:r w:rsidR="009E5502">
        <w:noBreakHyphen/>
      </w:r>
      <w:r w:rsidRPr="008B02E0">
        <w:t>H) or mismatch repair deficient (dMMR)</w:t>
      </w:r>
      <w:r w:rsidR="00BF2B0A" w:rsidRPr="008B02E0">
        <w:t xml:space="preserve"> unresectable or</w:t>
      </w:r>
      <w:r w:rsidRPr="008B02E0">
        <w:t xml:space="preserve"> metastatic colorectal cancer (mCRC).</w:t>
      </w:r>
    </w:p>
    <w:p w14:paraId="196452F7" w14:textId="6521A46C" w:rsidR="00EB6430" w:rsidRPr="008B02E0" w:rsidRDefault="00EB6430" w:rsidP="00AE5B32">
      <w:pPr>
        <w:pStyle w:val="3-BodyText"/>
      </w:pPr>
      <w:r w:rsidRPr="008B02E0">
        <w:t>Listing was requested on the basis of a cost</w:t>
      </w:r>
      <w:r w:rsidR="009E5502">
        <w:noBreakHyphen/>
      </w:r>
      <w:r w:rsidRPr="008B02E0">
        <w:t xml:space="preserve">effectiveness analysis versus pembrolizumab. </w:t>
      </w:r>
      <w:r w:rsidR="00EB09CE" w:rsidRPr="008B02E0">
        <w:t xml:space="preserve">The key components of the clinical issues addressed by the submission are presented in </w:t>
      </w:r>
      <w:r w:rsidR="00EB09CE" w:rsidRPr="008B02E0">
        <w:fldChar w:fldCharType="begin"/>
      </w:r>
      <w:r w:rsidR="00EB09CE" w:rsidRPr="008B02E0">
        <w:instrText xml:space="preserve"> REF _Ref199838232 \h </w:instrText>
      </w:r>
      <w:r w:rsidR="00502909" w:rsidRPr="008B02E0">
        <w:instrText xml:space="preserve"> \* MERGEFORMAT </w:instrText>
      </w:r>
      <w:r w:rsidR="00EB09CE" w:rsidRPr="008B02E0">
        <w:fldChar w:fldCharType="separate"/>
      </w:r>
      <w:r w:rsidR="00B542C9" w:rsidRPr="008B02E0">
        <w:t xml:space="preserve">Table </w:t>
      </w:r>
      <w:r w:rsidR="00B542C9">
        <w:rPr>
          <w:noProof/>
        </w:rPr>
        <w:t>1</w:t>
      </w:r>
      <w:r w:rsidR="00EB09CE" w:rsidRPr="008B02E0">
        <w:fldChar w:fldCharType="end"/>
      </w:r>
      <w:r w:rsidR="00EB09CE" w:rsidRPr="008B02E0">
        <w:t>.</w:t>
      </w:r>
    </w:p>
    <w:p w14:paraId="38CF9ECE" w14:textId="1E314626" w:rsidR="00EB6430" w:rsidRPr="008B02E0" w:rsidRDefault="00EB6430" w:rsidP="00AE5B32">
      <w:pPr>
        <w:pStyle w:val="TableFigureHeading"/>
        <w:rPr>
          <w:rStyle w:val="CommentReference"/>
          <w:b/>
          <w:szCs w:val="24"/>
        </w:rPr>
      </w:pPr>
      <w:bookmarkStart w:id="3" w:name="_Ref199838232"/>
      <w:r w:rsidRPr="008B02E0">
        <w:t xml:space="preserve">Table </w:t>
      </w:r>
      <w:r w:rsidR="008258C7">
        <w:fldChar w:fldCharType="begin"/>
      </w:r>
      <w:r w:rsidR="008258C7">
        <w:instrText xml:space="preserve"> SEQ Table \* ARABIC </w:instrText>
      </w:r>
      <w:r w:rsidR="008258C7">
        <w:fldChar w:fldCharType="separate"/>
      </w:r>
      <w:r w:rsidR="00B542C9">
        <w:rPr>
          <w:noProof/>
        </w:rPr>
        <w:t>1</w:t>
      </w:r>
      <w:r w:rsidR="008258C7">
        <w:rPr>
          <w:noProof/>
        </w:rPr>
        <w:fldChar w:fldCharType="end"/>
      </w:r>
      <w:bookmarkEnd w:id="3"/>
      <w:r w:rsidRPr="008B02E0">
        <w:t>:</w:t>
      </w:r>
      <w:r w:rsidRPr="008B02E0">
        <w:rPr>
          <w:rStyle w:val="CommentReference"/>
          <w:b/>
          <w:szCs w:val="24"/>
        </w:rPr>
        <w:t xml:space="preserve"> Key components of the clinical issue addressed by the submission (as stated in the submission)</w:t>
      </w:r>
    </w:p>
    <w:tbl>
      <w:tblPr>
        <w:tblStyle w:val="PBAClayout"/>
        <w:tblW w:w="5000" w:type="pct"/>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666"/>
        <w:gridCol w:w="7351"/>
      </w:tblGrid>
      <w:tr w:rsidR="00EB6430" w:rsidRPr="008B02E0" w14:paraId="209AE9BB" w14:textId="77777777" w:rsidTr="00D17F3A">
        <w:tc>
          <w:tcPr>
            <w:tcW w:w="924" w:type="pct"/>
          </w:tcPr>
          <w:p w14:paraId="100C0CD8" w14:textId="77777777" w:rsidR="00EB6430" w:rsidRPr="008B02E0" w:rsidRDefault="00EB6430" w:rsidP="00AE5B32">
            <w:pPr>
              <w:pStyle w:val="In-tableHeading"/>
              <w:rPr>
                <w:szCs w:val="20"/>
                <w:lang w:val="en-AU"/>
              </w:rPr>
            </w:pPr>
            <w:r w:rsidRPr="008B02E0">
              <w:rPr>
                <w:lang w:val="en-AU"/>
              </w:rPr>
              <w:t>Component</w:t>
            </w:r>
          </w:p>
        </w:tc>
        <w:tc>
          <w:tcPr>
            <w:tcW w:w="4076" w:type="pct"/>
          </w:tcPr>
          <w:p w14:paraId="3955834D" w14:textId="77777777" w:rsidR="00EB6430" w:rsidRPr="008B02E0" w:rsidRDefault="00EB6430" w:rsidP="00AE5B32">
            <w:pPr>
              <w:pStyle w:val="In-tableHeading"/>
              <w:rPr>
                <w:lang w:val="en-AU"/>
              </w:rPr>
            </w:pPr>
            <w:r w:rsidRPr="008B02E0">
              <w:rPr>
                <w:lang w:val="en-AU"/>
              </w:rPr>
              <w:t>Description</w:t>
            </w:r>
          </w:p>
        </w:tc>
      </w:tr>
      <w:tr w:rsidR="00EB6430" w:rsidRPr="008B02E0" w14:paraId="169F3382" w14:textId="77777777" w:rsidTr="00EB09CE">
        <w:tc>
          <w:tcPr>
            <w:tcW w:w="924" w:type="pct"/>
            <w:vAlign w:val="top"/>
          </w:tcPr>
          <w:p w14:paraId="72056CB8" w14:textId="77777777" w:rsidR="00EB6430" w:rsidRPr="008B02E0" w:rsidRDefault="00EB6430" w:rsidP="00AE5B32">
            <w:pPr>
              <w:pStyle w:val="TableText0"/>
            </w:pPr>
            <w:r w:rsidRPr="008B02E0">
              <w:t>Population</w:t>
            </w:r>
          </w:p>
        </w:tc>
        <w:tc>
          <w:tcPr>
            <w:tcW w:w="4076" w:type="pct"/>
            <w:vAlign w:val="top"/>
          </w:tcPr>
          <w:p w14:paraId="5528BB1D" w14:textId="630BEB7D" w:rsidR="00EB6430" w:rsidRPr="008B02E0" w:rsidRDefault="00EB6430" w:rsidP="00AE5B32">
            <w:pPr>
              <w:pStyle w:val="TableText0"/>
              <w:rPr>
                <w:szCs w:val="20"/>
              </w:rPr>
            </w:pPr>
            <w:r w:rsidRPr="008B02E0">
              <w:t>Patients with microsatellite instability high (MSI</w:t>
            </w:r>
            <w:r w:rsidR="009E5502">
              <w:noBreakHyphen/>
            </w:r>
            <w:r w:rsidRPr="008B02E0">
              <w:t>H) or mismatch repair deficient (dMMR) metastatic colorectal cancer (mCRC)</w:t>
            </w:r>
          </w:p>
        </w:tc>
      </w:tr>
      <w:tr w:rsidR="00EB6430" w:rsidRPr="008B02E0" w14:paraId="399FB39F" w14:textId="77777777" w:rsidTr="00EB09CE">
        <w:tc>
          <w:tcPr>
            <w:tcW w:w="924" w:type="pct"/>
            <w:vAlign w:val="top"/>
          </w:tcPr>
          <w:p w14:paraId="7487D23F" w14:textId="77777777" w:rsidR="00EB6430" w:rsidRPr="008B02E0" w:rsidRDefault="00EB6430" w:rsidP="00AE5B32">
            <w:pPr>
              <w:pStyle w:val="TableText0"/>
            </w:pPr>
            <w:r w:rsidRPr="008B02E0">
              <w:t>Intervention</w:t>
            </w:r>
          </w:p>
        </w:tc>
        <w:tc>
          <w:tcPr>
            <w:tcW w:w="4076" w:type="pct"/>
            <w:vAlign w:val="top"/>
          </w:tcPr>
          <w:p w14:paraId="1999BACB" w14:textId="77777777" w:rsidR="00EB6430" w:rsidRPr="008B02E0" w:rsidRDefault="00EB6430" w:rsidP="00AE5B32">
            <w:pPr>
              <w:pStyle w:val="TableText0"/>
            </w:pPr>
            <w:r w:rsidRPr="008B02E0">
              <w:t>Nivolumab in combination with ipilimumab</w:t>
            </w:r>
          </w:p>
        </w:tc>
      </w:tr>
      <w:tr w:rsidR="00EB6430" w:rsidRPr="008B02E0" w14:paraId="60454033" w14:textId="77777777" w:rsidTr="00EB09CE">
        <w:tc>
          <w:tcPr>
            <w:tcW w:w="924" w:type="pct"/>
            <w:vAlign w:val="top"/>
          </w:tcPr>
          <w:p w14:paraId="3EBAA53E" w14:textId="77777777" w:rsidR="00EB6430" w:rsidRPr="008B02E0" w:rsidRDefault="00EB6430" w:rsidP="00AE5B32">
            <w:pPr>
              <w:pStyle w:val="TableText0"/>
            </w:pPr>
            <w:r w:rsidRPr="008B02E0">
              <w:t>Comparator</w:t>
            </w:r>
          </w:p>
        </w:tc>
        <w:tc>
          <w:tcPr>
            <w:tcW w:w="4076" w:type="pct"/>
            <w:vAlign w:val="top"/>
          </w:tcPr>
          <w:p w14:paraId="19620422" w14:textId="77777777" w:rsidR="00EB6430" w:rsidRPr="008B02E0" w:rsidRDefault="00EB6430" w:rsidP="00AE5B32">
            <w:pPr>
              <w:pStyle w:val="TableText0"/>
            </w:pPr>
            <w:r w:rsidRPr="008B02E0">
              <w:t>Pembrolizumab</w:t>
            </w:r>
          </w:p>
        </w:tc>
      </w:tr>
      <w:tr w:rsidR="00EB6430" w:rsidRPr="008B02E0" w14:paraId="6D9EABC1" w14:textId="77777777" w:rsidTr="00EB09CE">
        <w:tc>
          <w:tcPr>
            <w:tcW w:w="924" w:type="pct"/>
            <w:vAlign w:val="top"/>
          </w:tcPr>
          <w:p w14:paraId="5BBCD90A" w14:textId="77777777" w:rsidR="00EB6430" w:rsidRPr="008B02E0" w:rsidRDefault="00EB6430" w:rsidP="00AE5B32">
            <w:pPr>
              <w:pStyle w:val="TableText0"/>
            </w:pPr>
            <w:r w:rsidRPr="008B02E0">
              <w:t>Outcomes</w:t>
            </w:r>
          </w:p>
        </w:tc>
        <w:tc>
          <w:tcPr>
            <w:tcW w:w="4076" w:type="pct"/>
            <w:vAlign w:val="top"/>
          </w:tcPr>
          <w:p w14:paraId="76DF3FC7" w14:textId="3AB47315" w:rsidR="00EB6430" w:rsidRPr="008B02E0" w:rsidRDefault="00EB6430" w:rsidP="00AE5B32">
            <w:pPr>
              <w:pStyle w:val="TableText0"/>
              <w:rPr>
                <w:rFonts w:eastAsia="Times New Roman" w:cs="Arial"/>
                <w:bCs w:val="0"/>
                <w:snapToGrid w:val="0"/>
                <w:color w:val="0066FF"/>
                <w:szCs w:val="20"/>
              </w:rPr>
            </w:pPr>
            <w:r w:rsidRPr="008B02E0">
              <w:t>Progression</w:t>
            </w:r>
            <w:r w:rsidR="009E5502">
              <w:noBreakHyphen/>
            </w:r>
            <w:r w:rsidRPr="008B02E0">
              <w:t>free survival (PFS), health</w:t>
            </w:r>
            <w:r w:rsidR="009E5502">
              <w:noBreakHyphen/>
            </w:r>
            <w:r w:rsidRPr="008B02E0">
              <w:t>related quality of life, safety and tolerability</w:t>
            </w:r>
          </w:p>
        </w:tc>
      </w:tr>
      <w:tr w:rsidR="00EB6430" w:rsidRPr="008B02E0" w14:paraId="45478E8F" w14:textId="77777777" w:rsidTr="00EB09CE">
        <w:tc>
          <w:tcPr>
            <w:tcW w:w="924" w:type="pct"/>
            <w:vAlign w:val="top"/>
          </w:tcPr>
          <w:p w14:paraId="7B2FEBB1" w14:textId="77777777" w:rsidR="00EB6430" w:rsidRPr="008B02E0" w:rsidRDefault="00EB6430" w:rsidP="00AE5B32">
            <w:pPr>
              <w:pStyle w:val="TableText0"/>
            </w:pPr>
            <w:r w:rsidRPr="008B02E0">
              <w:t>Clinical claim</w:t>
            </w:r>
          </w:p>
        </w:tc>
        <w:tc>
          <w:tcPr>
            <w:tcW w:w="4076" w:type="pct"/>
            <w:vAlign w:val="top"/>
          </w:tcPr>
          <w:p w14:paraId="7871EABF" w14:textId="375BDFEE" w:rsidR="00EB6430" w:rsidRPr="008B02E0" w:rsidRDefault="00287DFE" w:rsidP="00AE5B32">
            <w:pPr>
              <w:pStyle w:val="TableText0"/>
              <w:rPr>
                <w:rFonts w:eastAsia="Times New Roman" w:cs="Arial"/>
                <w:bCs w:val="0"/>
                <w:snapToGrid w:val="0"/>
                <w:color w:val="0066FF"/>
                <w:szCs w:val="20"/>
              </w:rPr>
            </w:pPr>
            <w:r w:rsidRPr="008B02E0">
              <w:t>Nivolumab in combination with ipilimumab has superior efficacy and an inferior but manageable safety profile compared with pembrolizumab</w:t>
            </w:r>
            <w:r w:rsidR="00AC511D" w:rsidRPr="008B02E0">
              <w:t>.</w:t>
            </w:r>
          </w:p>
        </w:tc>
      </w:tr>
    </w:tbl>
    <w:p w14:paraId="6534D073" w14:textId="77777777" w:rsidR="00EB6430" w:rsidRPr="008B02E0" w:rsidRDefault="00EB6430" w:rsidP="00AE5B32">
      <w:pPr>
        <w:pStyle w:val="FooterTableFigure"/>
      </w:pPr>
      <w:r w:rsidRPr="008B02E0">
        <w:t>Source: Table 1, p17 of the submission.</w:t>
      </w:r>
    </w:p>
    <w:p w14:paraId="362DB713" w14:textId="6B32F439" w:rsidR="00EB6430" w:rsidRPr="008B02E0" w:rsidRDefault="00EB6430" w:rsidP="00AE5B32">
      <w:pPr>
        <w:pStyle w:val="FooterTableFigure"/>
        <w:rPr>
          <w:sz w:val="20"/>
        </w:rPr>
      </w:pPr>
      <w:r w:rsidRPr="008B02E0">
        <w:t>MSI</w:t>
      </w:r>
      <w:r w:rsidR="009E5502">
        <w:noBreakHyphen/>
      </w:r>
      <w:r w:rsidRPr="008B02E0">
        <w:t>H=microsatellite instability high, dMMR=deficient mismatch repair, mCRC=metastatic colorectal cancer, PFS=progression free survival</w:t>
      </w:r>
    </w:p>
    <w:p w14:paraId="6B4AB6C2" w14:textId="7F01D731" w:rsidR="005C25FF" w:rsidRPr="008B02E0" w:rsidRDefault="005C25FF" w:rsidP="00AE5B32">
      <w:pPr>
        <w:pStyle w:val="2-SectionHeading"/>
      </w:pPr>
      <w:bookmarkStart w:id="4" w:name="_Toc198731731"/>
      <w:r w:rsidRPr="008B02E0">
        <w:t>Background</w:t>
      </w:r>
      <w:bookmarkEnd w:id="4"/>
    </w:p>
    <w:p w14:paraId="2C521D6D" w14:textId="78CF03EE" w:rsidR="005C25FF" w:rsidRPr="008B02E0" w:rsidRDefault="005C25FF" w:rsidP="00AE5B32">
      <w:pPr>
        <w:pStyle w:val="4-SubsectionHeading"/>
      </w:pPr>
      <w:bookmarkStart w:id="5" w:name="_Toc22897638"/>
      <w:bookmarkStart w:id="6" w:name="_Toc198731732"/>
      <w:r w:rsidRPr="008B02E0">
        <w:t>Registration status</w:t>
      </w:r>
      <w:bookmarkEnd w:id="5"/>
      <w:bookmarkEnd w:id="6"/>
    </w:p>
    <w:p w14:paraId="2D974472" w14:textId="77AC9542" w:rsidR="00337982" w:rsidRPr="008B02E0" w:rsidRDefault="00EB6430" w:rsidP="00AE5B32">
      <w:pPr>
        <w:pStyle w:val="3-BodyText"/>
      </w:pPr>
      <w:r w:rsidRPr="008B02E0">
        <w:t>The submission was made under the TGA/PBAC Parallel Process</w:t>
      </w:r>
      <w:r w:rsidR="008A5744" w:rsidRPr="008B02E0">
        <w:t xml:space="preserve">. </w:t>
      </w:r>
      <w:r w:rsidRPr="008B02E0">
        <w:t xml:space="preserve">At the time of </w:t>
      </w:r>
      <w:r w:rsidR="00452992" w:rsidRPr="008B02E0">
        <w:t xml:space="preserve">PBAC </w:t>
      </w:r>
      <w:r w:rsidRPr="008B02E0">
        <w:t xml:space="preserve">consideration, the TGA clinical evaluation report </w:t>
      </w:r>
      <w:r w:rsidR="00101CBF" w:rsidRPr="008B02E0">
        <w:t xml:space="preserve">and Delegate’s overview </w:t>
      </w:r>
      <w:r w:rsidRPr="008B02E0">
        <w:t>was available.</w:t>
      </w:r>
      <w:r w:rsidR="00D35166" w:rsidRPr="008B02E0">
        <w:rPr>
          <w:iCs/>
        </w:rPr>
        <w:t xml:space="preserve"> </w:t>
      </w:r>
      <w:r w:rsidR="008A5744" w:rsidRPr="008B02E0">
        <w:t>TGA approval was granted 14</w:t>
      </w:r>
      <w:r w:rsidRPr="008B02E0">
        <w:t xml:space="preserve"> May 2025. </w:t>
      </w:r>
    </w:p>
    <w:p w14:paraId="4BE04C6F" w14:textId="314E920F" w:rsidR="00EB6430" w:rsidRPr="008B02E0" w:rsidRDefault="00EB6430" w:rsidP="00AE5B32">
      <w:pPr>
        <w:pStyle w:val="3-BodyText"/>
      </w:pPr>
      <w:r w:rsidRPr="008B02E0">
        <w:t xml:space="preserve">The </w:t>
      </w:r>
      <w:r w:rsidR="008A5744" w:rsidRPr="008B02E0">
        <w:t xml:space="preserve">approved </w:t>
      </w:r>
      <w:r w:rsidRPr="008B02E0">
        <w:t>TGA indication</w:t>
      </w:r>
      <w:r w:rsidR="00E0057E" w:rsidRPr="008B02E0">
        <w:t>s are</w:t>
      </w:r>
      <w:r w:rsidRPr="008B02E0">
        <w:t>:</w:t>
      </w:r>
    </w:p>
    <w:p w14:paraId="76E12C51" w14:textId="780964CF" w:rsidR="00EB6430" w:rsidRPr="008B02E0" w:rsidRDefault="00EB6430" w:rsidP="00AE5B32">
      <w:pPr>
        <w:ind w:left="1190"/>
      </w:pPr>
      <w:r w:rsidRPr="008B02E0">
        <w:lastRenderedPageBreak/>
        <w:t xml:space="preserve">“(Nivolumab) in combination with ipilimumab is indicated for the treatment of </w:t>
      </w:r>
      <w:r w:rsidR="00A5161D" w:rsidRPr="008B02E0">
        <w:t xml:space="preserve">adult </w:t>
      </w:r>
      <w:r w:rsidRPr="008B02E0">
        <w:t>patients with unresectable or metastatic colorectal cancer (CRC) that is MSI</w:t>
      </w:r>
      <w:r w:rsidR="009E5502">
        <w:noBreakHyphen/>
      </w:r>
      <w:r w:rsidRPr="008B02E0">
        <w:t>H or dMMR as determined by a validated test.</w:t>
      </w:r>
      <w:r w:rsidR="00403693" w:rsidRPr="008B02E0">
        <w:t>”</w:t>
      </w:r>
    </w:p>
    <w:p w14:paraId="7E047FBD" w14:textId="77777777" w:rsidR="00403693" w:rsidRPr="008B02E0" w:rsidRDefault="00403693" w:rsidP="00AE5B32">
      <w:pPr>
        <w:ind w:left="1190"/>
      </w:pPr>
    </w:p>
    <w:p w14:paraId="376E1224" w14:textId="494E614E" w:rsidR="00EB6430" w:rsidRPr="008B02E0" w:rsidRDefault="00403693" w:rsidP="00AE5B32">
      <w:pPr>
        <w:ind w:left="1190"/>
      </w:pPr>
      <w:r w:rsidRPr="008B02E0">
        <w:t>“</w:t>
      </w:r>
      <w:r w:rsidR="00EB6430" w:rsidRPr="008B02E0">
        <w:t xml:space="preserve">(Ipilimumab) in combination with nivolumab is indicated for the treatment of </w:t>
      </w:r>
      <w:r w:rsidR="00F53518" w:rsidRPr="008B02E0">
        <w:t xml:space="preserve">adult </w:t>
      </w:r>
      <w:r w:rsidR="00EB6430" w:rsidRPr="008B02E0">
        <w:t>patients with unresectable or metastatic colorectal cancer (CRC) that is MSI</w:t>
      </w:r>
      <w:r w:rsidR="009E5502">
        <w:noBreakHyphen/>
      </w:r>
      <w:r w:rsidR="00EB6430" w:rsidRPr="008B02E0">
        <w:t>H or dMMR as determined by a validated test.”</w:t>
      </w:r>
    </w:p>
    <w:p w14:paraId="3E2A6EAB" w14:textId="469C8C0C" w:rsidR="005C25FF" w:rsidRPr="008B02E0" w:rsidRDefault="005C25FF" w:rsidP="00AE5B32">
      <w:pPr>
        <w:pStyle w:val="4-SubsectionHeading"/>
      </w:pPr>
      <w:bookmarkStart w:id="7" w:name="_Toc22897639"/>
      <w:bookmarkStart w:id="8" w:name="_Toc198731733"/>
      <w:r w:rsidRPr="008B02E0">
        <w:t>Previous PBAC consideration</w:t>
      </w:r>
      <w:bookmarkEnd w:id="7"/>
      <w:bookmarkEnd w:id="8"/>
    </w:p>
    <w:p w14:paraId="5CB399FE" w14:textId="5DC7BCA4" w:rsidR="00EB6430" w:rsidRPr="008B02E0" w:rsidRDefault="00EB6430" w:rsidP="00AE5B32">
      <w:pPr>
        <w:pStyle w:val="3-BodyText"/>
        <w:rPr>
          <w:color w:val="0066FF"/>
        </w:rPr>
      </w:pPr>
      <w:r w:rsidRPr="008B02E0">
        <w:t>Nivolumab is approved for various lines of treatment and subsets of patients with gastro</w:t>
      </w:r>
      <w:r w:rsidR="009E5502">
        <w:noBreakHyphen/>
      </w:r>
      <w:r w:rsidRPr="008B02E0">
        <w:t>oesophageal cancers, melanoma, mesothelioma, non</w:t>
      </w:r>
      <w:r w:rsidR="009E5502">
        <w:noBreakHyphen/>
      </w:r>
      <w:r w:rsidRPr="008B02E0">
        <w:t>small cell lung cancer, urothelial carcinoma, head and neck squamous cell carcinoma and renal cell carcinoma. Nivolumab in combination with ipilimumab is approved for various lines of treatment and subsets of patients with mesothelioma, melanoma, non</w:t>
      </w:r>
      <w:r w:rsidR="009E5502">
        <w:noBreakHyphen/>
      </w:r>
      <w:r w:rsidRPr="008B02E0">
        <w:t xml:space="preserve">small cell lung cancer, and renal cell carcinoma. </w:t>
      </w:r>
    </w:p>
    <w:p w14:paraId="71277E83" w14:textId="62624574" w:rsidR="00EB6430" w:rsidRPr="008B02E0" w:rsidRDefault="00EB6430" w:rsidP="00AE5B32">
      <w:pPr>
        <w:pStyle w:val="3-BodyText"/>
        <w:rPr>
          <w:color w:val="0066FF"/>
        </w:rPr>
      </w:pPr>
      <w:r w:rsidRPr="008B02E0">
        <w:t>Nivolumab plus ipilimumab has not been previously considered by the PBAC for first</w:t>
      </w:r>
      <w:r w:rsidR="009E5502">
        <w:noBreakHyphen/>
      </w:r>
      <w:r w:rsidRPr="008B02E0">
        <w:t>line treatment of mCRC.</w:t>
      </w:r>
    </w:p>
    <w:p w14:paraId="451D7156" w14:textId="3C89E282" w:rsidR="005C25FF" w:rsidRPr="008B02E0" w:rsidRDefault="007F6B24" w:rsidP="00AE5B32">
      <w:pPr>
        <w:pStyle w:val="3-BodyText"/>
        <w:rPr>
          <w:iCs/>
        </w:rPr>
      </w:pPr>
      <w:r w:rsidRPr="008B02E0">
        <w:t xml:space="preserve">Pembrolizumab </w:t>
      </w:r>
      <w:r w:rsidR="00646893" w:rsidRPr="008B02E0">
        <w:t xml:space="preserve">(200 mg every 3 weeks) </w:t>
      </w:r>
      <w:r w:rsidRPr="008B02E0">
        <w:t xml:space="preserve">for </w:t>
      </w:r>
      <w:r w:rsidR="007A20C7" w:rsidRPr="008B02E0">
        <w:t xml:space="preserve">the </w:t>
      </w:r>
      <w:r w:rsidR="007045F2" w:rsidRPr="008B02E0">
        <w:t>first</w:t>
      </w:r>
      <w:r w:rsidR="009E5502">
        <w:noBreakHyphen/>
      </w:r>
      <w:r w:rsidR="007045F2" w:rsidRPr="008B02E0">
        <w:t xml:space="preserve">line treatment of unresectable or metastatic </w:t>
      </w:r>
      <w:r w:rsidR="00420258" w:rsidRPr="008B02E0">
        <w:t xml:space="preserve">(Stage IV) </w:t>
      </w:r>
      <w:r w:rsidR="007045F2" w:rsidRPr="008B02E0">
        <w:t xml:space="preserve">dMMR mCRC was </w:t>
      </w:r>
      <w:r w:rsidR="00F528CB" w:rsidRPr="008B02E0">
        <w:t>recommended</w:t>
      </w:r>
      <w:r w:rsidR="007045F2" w:rsidRPr="008B02E0">
        <w:t xml:space="preserve"> </w:t>
      </w:r>
      <w:r w:rsidR="00EB6430" w:rsidRPr="008B02E0">
        <w:t xml:space="preserve">at the March 2021 </w:t>
      </w:r>
      <w:r w:rsidR="0027252E" w:rsidRPr="008B02E0">
        <w:t xml:space="preserve">PBAC </w:t>
      </w:r>
      <w:r w:rsidR="00F528CB" w:rsidRPr="008B02E0">
        <w:t xml:space="preserve">meeting. </w:t>
      </w:r>
      <w:r w:rsidR="00EB6430" w:rsidRPr="008B02E0">
        <w:t>At the July 2022</w:t>
      </w:r>
      <w:r w:rsidR="005D5D34" w:rsidRPr="008B02E0">
        <w:t xml:space="preserve"> PBAC</w:t>
      </w:r>
      <w:r w:rsidR="00EB6430" w:rsidRPr="008B02E0">
        <w:t xml:space="preserve"> meeting, the PBAC further recommended </w:t>
      </w:r>
      <w:r w:rsidR="006979D2" w:rsidRPr="008B02E0">
        <w:t xml:space="preserve">the </w:t>
      </w:r>
      <w:r w:rsidR="00EB6430" w:rsidRPr="008B02E0">
        <w:t>listing</w:t>
      </w:r>
      <w:r w:rsidR="006979D2" w:rsidRPr="008B02E0">
        <w:t xml:space="preserve"> of</w:t>
      </w:r>
      <w:r w:rsidR="00EB6430" w:rsidRPr="008B02E0">
        <w:t xml:space="preserve"> a new treatment regimen</w:t>
      </w:r>
      <w:r w:rsidR="00AE2128" w:rsidRPr="008B02E0">
        <w:t xml:space="preserve"> (</w:t>
      </w:r>
      <w:r w:rsidR="00EB6430" w:rsidRPr="008B02E0">
        <w:t>pembrolizumab 400</w:t>
      </w:r>
      <w:r w:rsidR="00FD742B">
        <w:t> </w:t>
      </w:r>
      <w:r w:rsidR="00EB6430" w:rsidRPr="008B02E0">
        <w:t>mg every 6 weeks</w:t>
      </w:r>
      <w:r w:rsidR="00AE2128" w:rsidRPr="008B02E0">
        <w:t>) for the treatment of various conditions, including colorectal cancer</w:t>
      </w:r>
      <w:r w:rsidR="00145192" w:rsidRPr="008B02E0">
        <w:t>.</w:t>
      </w:r>
      <w:r w:rsidR="00EB6430" w:rsidRPr="008B02E0">
        <w:rPr>
          <w:iCs/>
        </w:rPr>
        <w:t xml:space="preserve"> </w:t>
      </w:r>
    </w:p>
    <w:p w14:paraId="62D823FD" w14:textId="77777777" w:rsidR="00EB6430" w:rsidRPr="008B02E0" w:rsidRDefault="00B50DB8" w:rsidP="00AE5B32">
      <w:pPr>
        <w:pStyle w:val="2-SectionHeading"/>
        <w:numPr>
          <w:ilvl w:val="0"/>
          <w:numId w:val="1"/>
        </w:numPr>
      </w:pPr>
      <w:bookmarkStart w:id="9" w:name="_Toc107902078"/>
      <w:bookmarkStart w:id="10" w:name="_Toc198731734"/>
      <w:bookmarkEnd w:id="9"/>
      <w:r w:rsidRPr="008B02E0">
        <w:lastRenderedPageBreak/>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3094"/>
        <w:gridCol w:w="3564"/>
        <w:gridCol w:w="1275"/>
        <w:gridCol w:w="1084"/>
      </w:tblGrid>
      <w:tr w:rsidR="00EB6430" w:rsidRPr="008B02E0" w14:paraId="3E739DE2" w14:textId="77777777" w:rsidTr="00D17F3A">
        <w:trPr>
          <w:cantSplit/>
          <w:trHeight w:val="20"/>
        </w:trPr>
        <w:tc>
          <w:tcPr>
            <w:tcW w:w="1716" w:type="pct"/>
            <w:vAlign w:val="center"/>
          </w:tcPr>
          <w:p w14:paraId="18E98A90" w14:textId="77777777" w:rsidR="00EB6430" w:rsidRPr="008B02E0" w:rsidRDefault="00EB6430" w:rsidP="00AE5B32">
            <w:pPr>
              <w:pStyle w:val="In-tableHeading"/>
              <w:rPr>
                <w:lang w:val="en-AU"/>
              </w:rPr>
            </w:pPr>
            <w:r w:rsidRPr="008B02E0">
              <w:rPr>
                <w:lang w:val="en-AU"/>
              </w:rPr>
              <w:t>MEDICINAL PRODUCT</w:t>
            </w:r>
          </w:p>
          <w:p w14:paraId="52756E22" w14:textId="77777777" w:rsidR="00EB6430" w:rsidRPr="008B02E0" w:rsidRDefault="00EB6430" w:rsidP="00AE5B32">
            <w:pPr>
              <w:pStyle w:val="In-tableHeading"/>
              <w:rPr>
                <w:lang w:val="en-AU"/>
              </w:rPr>
            </w:pPr>
            <w:r w:rsidRPr="008B02E0">
              <w:rPr>
                <w:lang w:val="en-AU"/>
              </w:rPr>
              <w:t>Form</w:t>
            </w:r>
          </w:p>
        </w:tc>
        <w:tc>
          <w:tcPr>
            <w:tcW w:w="1976" w:type="pct"/>
            <w:vAlign w:val="center"/>
          </w:tcPr>
          <w:p w14:paraId="7E0EF48D" w14:textId="77777777" w:rsidR="00EB6430" w:rsidRPr="008B02E0" w:rsidRDefault="00EB6430" w:rsidP="00AE5B32">
            <w:pPr>
              <w:pStyle w:val="In-tableHeading"/>
              <w:jc w:val="center"/>
              <w:rPr>
                <w:lang w:val="en-AU"/>
              </w:rPr>
            </w:pPr>
            <w:r w:rsidRPr="008B02E0">
              <w:rPr>
                <w:lang w:val="en-AU"/>
              </w:rPr>
              <w:t>Dispensed Price Max Amt</w:t>
            </w:r>
          </w:p>
        </w:tc>
        <w:tc>
          <w:tcPr>
            <w:tcW w:w="707" w:type="pct"/>
            <w:vAlign w:val="center"/>
          </w:tcPr>
          <w:p w14:paraId="1EC8BC23" w14:textId="77777777" w:rsidR="00EB6430" w:rsidRPr="008B02E0" w:rsidRDefault="00EB6430" w:rsidP="00AE5B32">
            <w:pPr>
              <w:pStyle w:val="In-tableHeading"/>
              <w:jc w:val="center"/>
              <w:rPr>
                <w:lang w:val="en-AU"/>
              </w:rPr>
            </w:pPr>
            <w:r w:rsidRPr="008B02E0">
              <w:rPr>
                <w:lang w:val="en-AU"/>
              </w:rPr>
              <w:t>Max. Amount</w:t>
            </w:r>
          </w:p>
        </w:tc>
        <w:tc>
          <w:tcPr>
            <w:tcW w:w="601" w:type="pct"/>
            <w:vAlign w:val="center"/>
          </w:tcPr>
          <w:p w14:paraId="15E64862" w14:textId="77777777" w:rsidR="00EB6430" w:rsidRPr="008B02E0" w:rsidRDefault="00EB6430" w:rsidP="00AE5B32">
            <w:pPr>
              <w:pStyle w:val="In-tableHeading"/>
              <w:jc w:val="center"/>
              <w:rPr>
                <w:lang w:val="en-AU"/>
              </w:rPr>
            </w:pPr>
            <w:r w:rsidRPr="008B02E0">
              <w:rPr>
                <w:lang w:val="en-AU"/>
              </w:rPr>
              <w:t>№.of Rpts</w:t>
            </w:r>
          </w:p>
        </w:tc>
      </w:tr>
      <w:tr w:rsidR="00EB6430" w:rsidRPr="008B02E0" w14:paraId="731EADDB" w14:textId="77777777" w:rsidTr="00D17F3A">
        <w:trPr>
          <w:cantSplit/>
          <w:trHeight w:val="20"/>
        </w:trPr>
        <w:tc>
          <w:tcPr>
            <w:tcW w:w="1716" w:type="pct"/>
            <w:vAlign w:val="center"/>
          </w:tcPr>
          <w:p w14:paraId="747CCF79" w14:textId="77777777" w:rsidR="00EB6430" w:rsidRPr="008B02E0" w:rsidRDefault="00EB6430" w:rsidP="00AE5B32">
            <w:pPr>
              <w:pStyle w:val="TableText0"/>
            </w:pPr>
            <w:r w:rsidRPr="008B02E0">
              <w:t>Nivolumab, injection (initial)</w:t>
            </w:r>
          </w:p>
        </w:tc>
        <w:tc>
          <w:tcPr>
            <w:tcW w:w="1976" w:type="pct"/>
            <w:vAlign w:val="center"/>
          </w:tcPr>
          <w:p w14:paraId="73305621" w14:textId="18F9F98E" w:rsidR="00EB6430" w:rsidRPr="008B02E0" w:rsidRDefault="00EB6430" w:rsidP="00AE5B32">
            <w:pPr>
              <w:pStyle w:val="TableText0"/>
              <w:jc w:val="center"/>
            </w:pPr>
            <w:r w:rsidRPr="008B02E0">
              <w:t>$</w:t>
            </w:r>
            <w:r w:rsidR="00E11347" w:rsidRPr="00E11347">
              <w:rPr>
                <w:color w:val="000000"/>
                <w:spacing w:val="45"/>
                <w:shd w:val="solid" w:color="000000" w:fill="000000"/>
                <w:fitText w:val="330" w:id="-628963584"/>
                <w14:textFill>
                  <w14:solidFill>
                    <w14:srgbClr w14:val="000000">
                      <w14:alpha w14:val="100000"/>
                    </w14:srgbClr>
                  </w14:solidFill>
                </w14:textFill>
              </w:rPr>
              <w:t>|||</w:t>
            </w:r>
            <w:r w:rsidR="00E11347" w:rsidRPr="00E11347">
              <w:rPr>
                <w:color w:val="000000"/>
                <w:spacing w:val="15"/>
                <w:shd w:val="solid" w:color="000000" w:fill="000000"/>
                <w:fitText w:val="330" w:id="-628963584"/>
                <w14:textFill>
                  <w14:solidFill>
                    <w14:srgbClr w14:val="000000">
                      <w14:alpha w14:val="100000"/>
                    </w14:srgbClr>
                  </w14:solidFill>
                </w14:textFill>
              </w:rPr>
              <w:t>|</w:t>
            </w:r>
            <w:r w:rsidRPr="008B02E0">
              <w:t xml:space="preserve"> </w:t>
            </w:r>
            <w:r w:rsidR="00FD4551" w:rsidRPr="008B02E0">
              <w:t xml:space="preserve">effective </w:t>
            </w:r>
            <w:r w:rsidRPr="008B02E0">
              <w:t>price (Public)</w:t>
            </w:r>
          </w:p>
          <w:p w14:paraId="206535E3" w14:textId="4FCB5D5B" w:rsidR="00EB6430" w:rsidRPr="008B02E0" w:rsidRDefault="00EB6430" w:rsidP="00AE5B32">
            <w:pPr>
              <w:pStyle w:val="TableText0"/>
              <w:jc w:val="center"/>
            </w:pPr>
            <w:r w:rsidRPr="008B02E0">
              <w:t>$</w:t>
            </w:r>
            <w:r w:rsidR="00E11347" w:rsidRPr="00E11347">
              <w:rPr>
                <w:color w:val="000000"/>
                <w:spacing w:val="45"/>
                <w:shd w:val="solid" w:color="000000" w:fill="000000"/>
                <w:fitText w:val="330" w:id="-628963583"/>
                <w14:textFill>
                  <w14:solidFill>
                    <w14:srgbClr w14:val="000000">
                      <w14:alpha w14:val="100000"/>
                    </w14:srgbClr>
                  </w14:solidFill>
                </w14:textFill>
              </w:rPr>
              <w:t>|||</w:t>
            </w:r>
            <w:r w:rsidR="00E11347" w:rsidRPr="00E11347">
              <w:rPr>
                <w:color w:val="000000"/>
                <w:spacing w:val="15"/>
                <w:shd w:val="solid" w:color="000000" w:fill="000000"/>
                <w:fitText w:val="330" w:id="-628963583"/>
                <w14:textFill>
                  <w14:solidFill>
                    <w14:srgbClr w14:val="000000">
                      <w14:alpha w14:val="100000"/>
                    </w14:srgbClr>
                  </w14:solidFill>
                </w14:textFill>
              </w:rPr>
              <w:t>|</w:t>
            </w:r>
            <w:r w:rsidRPr="008B02E0">
              <w:t xml:space="preserve"> </w:t>
            </w:r>
            <w:r w:rsidR="00FD4551" w:rsidRPr="008B02E0">
              <w:t xml:space="preserve">effective </w:t>
            </w:r>
            <w:r w:rsidRPr="008B02E0">
              <w:t>price (Private)</w:t>
            </w:r>
          </w:p>
        </w:tc>
        <w:tc>
          <w:tcPr>
            <w:tcW w:w="707" w:type="pct"/>
          </w:tcPr>
          <w:p w14:paraId="65D10FB8" w14:textId="77777777" w:rsidR="00EB6430" w:rsidRPr="008B02E0" w:rsidRDefault="00EB6430" w:rsidP="00AE5B32">
            <w:pPr>
              <w:pStyle w:val="TableText0"/>
              <w:jc w:val="center"/>
            </w:pPr>
            <w:r w:rsidRPr="008B02E0">
              <w:t>240 mg</w:t>
            </w:r>
          </w:p>
        </w:tc>
        <w:tc>
          <w:tcPr>
            <w:tcW w:w="601" w:type="pct"/>
          </w:tcPr>
          <w:p w14:paraId="2054DFE9" w14:textId="77777777" w:rsidR="00EB6430" w:rsidRPr="008B02E0" w:rsidRDefault="00EB6430" w:rsidP="00AE5B32">
            <w:pPr>
              <w:pStyle w:val="TableText0"/>
              <w:jc w:val="center"/>
            </w:pPr>
            <w:r w:rsidRPr="008B02E0">
              <w:t>3</w:t>
            </w:r>
          </w:p>
        </w:tc>
      </w:tr>
      <w:tr w:rsidR="00EB6430" w:rsidRPr="008B02E0" w14:paraId="74EE9E8C" w14:textId="77777777" w:rsidTr="00D17F3A">
        <w:trPr>
          <w:cantSplit/>
          <w:trHeight w:val="20"/>
        </w:trPr>
        <w:tc>
          <w:tcPr>
            <w:tcW w:w="1716" w:type="pct"/>
            <w:vAlign w:val="center"/>
          </w:tcPr>
          <w:p w14:paraId="7B009DF2" w14:textId="77777777" w:rsidR="00EB6430" w:rsidRPr="008B02E0" w:rsidRDefault="00EB6430" w:rsidP="00AE5B32">
            <w:pPr>
              <w:pStyle w:val="TableText0"/>
            </w:pPr>
            <w:r w:rsidRPr="008B02E0">
              <w:t>Nivolumab, injection (continuing)</w:t>
            </w:r>
          </w:p>
        </w:tc>
        <w:tc>
          <w:tcPr>
            <w:tcW w:w="1976" w:type="pct"/>
            <w:vAlign w:val="center"/>
          </w:tcPr>
          <w:p w14:paraId="61B842A0" w14:textId="04FA0958" w:rsidR="00EB6430" w:rsidRPr="008B02E0" w:rsidRDefault="00EB6430" w:rsidP="00AE5B32">
            <w:pPr>
              <w:pStyle w:val="TableText0"/>
              <w:jc w:val="center"/>
            </w:pPr>
            <w:r w:rsidRPr="008B02E0">
              <w:t>$</w:t>
            </w:r>
            <w:r w:rsidR="00E11347" w:rsidRPr="00E11347">
              <w:rPr>
                <w:color w:val="000000"/>
                <w:spacing w:val="45"/>
                <w:shd w:val="solid" w:color="000000" w:fill="000000"/>
                <w:fitText w:val="330" w:id="-628963582"/>
                <w14:textFill>
                  <w14:solidFill>
                    <w14:srgbClr w14:val="000000">
                      <w14:alpha w14:val="100000"/>
                    </w14:srgbClr>
                  </w14:solidFill>
                </w14:textFill>
              </w:rPr>
              <w:t>|||</w:t>
            </w:r>
            <w:r w:rsidR="00E11347" w:rsidRPr="00E11347">
              <w:rPr>
                <w:color w:val="000000"/>
                <w:spacing w:val="15"/>
                <w:shd w:val="solid" w:color="000000" w:fill="000000"/>
                <w:fitText w:val="330" w:id="-628963582"/>
                <w14:textFill>
                  <w14:solidFill>
                    <w14:srgbClr w14:val="000000">
                      <w14:alpha w14:val="100000"/>
                    </w14:srgbClr>
                  </w14:solidFill>
                </w14:textFill>
              </w:rPr>
              <w:t>|</w:t>
            </w:r>
            <w:r w:rsidRPr="008B02E0">
              <w:t xml:space="preserve"> </w:t>
            </w:r>
            <w:r w:rsidR="00FD4551" w:rsidRPr="008B02E0">
              <w:t xml:space="preserve">effective </w:t>
            </w:r>
            <w:r w:rsidRPr="008B02E0">
              <w:t>price (Public)</w:t>
            </w:r>
          </w:p>
          <w:p w14:paraId="74E0DBBF" w14:textId="60BA813F" w:rsidR="00EB6430" w:rsidRPr="008B02E0" w:rsidRDefault="00EB6430" w:rsidP="00AE5B32">
            <w:pPr>
              <w:pStyle w:val="TableText0"/>
              <w:jc w:val="center"/>
            </w:pPr>
            <w:r w:rsidRPr="008B02E0">
              <w:t>$</w:t>
            </w:r>
            <w:r w:rsidR="00E11347" w:rsidRPr="00E11347">
              <w:rPr>
                <w:color w:val="000000"/>
                <w:spacing w:val="45"/>
                <w:shd w:val="solid" w:color="000000" w:fill="000000"/>
                <w:fitText w:val="330" w:id="-628963581"/>
                <w14:textFill>
                  <w14:solidFill>
                    <w14:srgbClr w14:val="000000">
                      <w14:alpha w14:val="100000"/>
                    </w14:srgbClr>
                  </w14:solidFill>
                </w14:textFill>
              </w:rPr>
              <w:t>|||</w:t>
            </w:r>
            <w:r w:rsidR="00E11347" w:rsidRPr="00E11347">
              <w:rPr>
                <w:color w:val="000000"/>
                <w:spacing w:val="15"/>
                <w:shd w:val="solid" w:color="000000" w:fill="000000"/>
                <w:fitText w:val="330" w:id="-628963581"/>
                <w14:textFill>
                  <w14:solidFill>
                    <w14:srgbClr w14:val="000000">
                      <w14:alpha w14:val="100000"/>
                    </w14:srgbClr>
                  </w14:solidFill>
                </w14:textFill>
              </w:rPr>
              <w:t>|</w:t>
            </w:r>
            <w:r w:rsidRPr="008B02E0">
              <w:t xml:space="preserve"> </w:t>
            </w:r>
            <w:r w:rsidR="00FD4551" w:rsidRPr="008B02E0">
              <w:t xml:space="preserve">effective </w:t>
            </w:r>
            <w:r w:rsidRPr="008B02E0">
              <w:t>price (Private)</w:t>
            </w:r>
          </w:p>
        </w:tc>
        <w:tc>
          <w:tcPr>
            <w:tcW w:w="707" w:type="pct"/>
          </w:tcPr>
          <w:p w14:paraId="715B369B" w14:textId="77777777" w:rsidR="00EB6430" w:rsidRPr="008B02E0" w:rsidRDefault="00EB6430" w:rsidP="00AE5B32">
            <w:pPr>
              <w:pStyle w:val="TableText0"/>
              <w:jc w:val="center"/>
            </w:pPr>
            <w:r w:rsidRPr="008B02E0">
              <w:t>480 mg</w:t>
            </w:r>
          </w:p>
        </w:tc>
        <w:tc>
          <w:tcPr>
            <w:tcW w:w="601" w:type="pct"/>
          </w:tcPr>
          <w:p w14:paraId="534ABAD7" w14:textId="77777777" w:rsidR="00EB6430" w:rsidRPr="008B02E0" w:rsidRDefault="00EB6430" w:rsidP="00AE5B32">
            <w:pPr>
              <w:pStyle w:val="TableText0"/>
              <w:jc w:val="center"/>
            </w:pPr>
            <w:r w:rsidRPr="008B02E0">
              <w:t>11</w:t>
            </w:r>
          </w:p>
        </w:tc>
      </w:tr>
      <w:tr w:rsidR="00EB6430" w:rsidRPr="008B02E0" w14:paraId="5BFD27E7" w14:textId="77777777" w:rsidTr="00D17F3A">
        <w:trPr>
          <w:cantSplit/>
          <w:trHeight w:val="20"/>
        </w:trPr>
        <w:tc>
          <w:tcPr>
            <w:tcW w:w="5000" w:type="pct"/>
            <w:gridSpan w:val="4"/>
            <w:vAlign w:val="center"/>
          </w:tcPr>
          <w:p w14:paraId="014555E7" w14:textId="77777777" w:rsidR="00EB6430" w:rsidRPr="008B02E0" w:rsidRDefault="00EB6430" w:rsidP="00AE5B32">
            <w:pPr>
              <w:keepNext/>
              <w:rPr>
                <w:b/>
              </w:rPr>
            </w:pPr>
            <w:r w:rsidRPr="008B02E0">
              <w:rPr>
                <w:rFonts w:ascii="Arial Narrow" w:eastAsiaTheme="majorEastAsia" w:hAnsi="Arial Narrow" w:cs="Times New Roman"/>
                <w:b/>
                <w:sz w:val="20"/>
              </w:rPr>
              <w:t>Available brands</w:t>
            </w:r>
            <w:r w:rsidRPr="008B02E0">
              <w:rPr>
                <w:b/>
              </w:rPr>
              <w:t xml:space="preserve"> </w:t>
            </w:r>
          </w:p>
        </w:tc>
      </w:tr>
      <w:tr w:rsidR="00EB6430" w:rsidRPr="008B02E0" w14:paraId="6AB90F65" w14:textId="77777777" w:rsidTr="00D17F3A">
        <w:trPr>
          <w:cantSplit/>
          <w:trHeight w:val="20"/>
        </w:trPr>
        <w:tc>
          <w:tcPr>
            <w:tcW w:w="5000" w:type="pct"/>
            <w:gridSpan w:val="4"/>
            <w:vAlign w:val="center"/>
          </w:tcPr>
          <w:p w14:paraId="19F0B079" w14:textId="77777777" w:rsidR="00EB6430" w:rsidRPr="008B02E0" w:rsidRDefault="00EB6430" w:rsidP="00AE5B32">
            <w:pPr>
              <w:pStyle w:val="TableText0"/>
            </w:pPr>
            <w:r w:rsidRPr="008B02E0">
              <w:t>Opdivo (nivolumab 40 mg/4 mL injection, 4 mL vial)</w:t>
            </w:r>
          </w:p>
          <w:p w14:paraId="41AED1F2" w14:textId="77777777" w:rsidR="00EB6430" w:rsidRPr="008B02E0" w:rsidRDefault="00EB6430" w:rsidP="00AE5B32">
            <w:pPr>
              <w:pStyle w:val="TableText0"/>
            </w:pPr>
            <w:r w:rsidRPr="008B02E0">
              <w:t>Opdivo (nivolumab 100 mg/10 mL injection, 10 mL vial)</w:t>
            </w:r>
          </w:p>
        </w:tc>
      </w:tr>
      <w:tr w:rsidR="00EB6430" w:rsidRPr="008B02E0" w14:paraId="3E1B20A1"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589097C4" w14:textId="77777777" w:rsidR="00EB6430" w:rsidRPr="008B02E0" w:rsidRDefault="00EB6430" w:rsidP="00AE5B32">
            <w:pPr>
              <w:pStyle w:val="TableText0"/>
              <w:keepLines/>
            </w:pPr>
            <w:r w:rsidRPr="008B02E0">
              <w:rPr>
                <w:b/>
              </w:rPr>
              <w:t xml:space="preserve">Category / Program: </w:t>
            </w:r>
            <w:r w:rsidRPr="008B02E0">
              <w:t>Section 100 – Efficient Funding of Chemotherapy</w:t>
            </w:r>
          </w:p>
        </w:tc>
      </w:tr>
      <w:tr w:rsidR="00EB6430" w:rsidRPr="008B02E0" w14:paraId="204DE625"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1BFA5F1" w14:textId="77777777" w:rsidR="00EB6430" w:rsidRPr="008B02E0" w:rsidRDefault="00EB6430" w:rsidP="00AE5B32">
            <w:pPr>
              <w:pStyle w:val="TableText0"/>
              <w:keepLines/>
              <w:rPr>
                <w:b/>
              </w:rPr>
            </w:pPr>
            <w:r w:rsidRPr="008B02E0">
              <w:rPr>
                <w:b/>
              </w:rPr>
              <w:t xml:space="preserve">Prescriber type: </w:t>
            </w:r>
            <w:r w:rsidRPr="008B02E0">
              <w:fldChar w:fldCharType="begin">
                <w:ffData>
                  <w:name w:val="Check1"/>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Dental </w:t>
            </w:r>
            <w:r w:rsidRPr="008B02E0">
              <w:fldChar w:fldCharType="begin">
                <w:ffData>
                  <w:name w:val=""/>
                  <w:enabled/>
                  <w:calcOnExit w:val="0"/>
                  <w:checkBox>
                    <w:sizeAuto/>
                    <w:default w:val="1"/>
                  </w:checkBox>
                </w:ffData>
              </w:fldChar>
            </w:r>
            <w:r w:rsidRPr="008B02E0">
              <w:instrText xml:space="preserve"> FORMCHECKBOX </w:instrText>
            </w:r>
            <w:r w:rsidRPr="008B02E0">
              <w:fldChar w:fldCharType="separate"/>
            </w:r>
            <w:r w:rsidRPr="008B02E0">
              <w:fldChar w:fldCharType="end"/>
            </w:r>
            <w:r w:rsidRPr="008B02E0">
              <w:t xml:space="preserve">Medical Practitioners </w:t>
            </w:r>
            <w:r w:rsidRPr="008B02E0">
              <w:fldChar w:fldCharType="begin">
                <w:ffData>
                  <w:name w:val="Check3"/>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Nurse practitioners </w:t>
            </w:r>
            <w:r w:rsidRPr="008B02E0">
              <w:fldChar w:fldCharType="begin">
                <w:ffData>
                  <w:name w:val=""/>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Optometrists </w:t>
            </w:r>
            <w:r w:rsidRPr="008B02E0">
              <w:fldChar w:fldCharType="begin">
                <w:ffData>
                  <w:name w:val="Check5"/>
                  <w:enabled/>
                  <w:calcOnExit w:val="0"/>
                  <w:checkBox>
                    <w:sizeAuto/>
                    <w:default w:val="0"/>
                  </w:checkBox>
                </w:ffData>
              </w:fldChar>
            </w:r>
            <w:r w:rsidRPr="008B02E0">
              <w:instrText xml:space="preserve"> FORMCHECKBOX </w:instrText>
            </w:r>
            <w:r w:rsidRPr="008B02E0">
              <w:fldChar w:fldCharType="separate"/>
            </w:r>
            <w:r w:rsidRPr="008B02E0">
              <w:fldChar w:fldCharType="end"/>
            </w:r>
          </w:p>
        </w:tc>
      </w:tr>
      <w:tr w:rsidR="00EB6430" w:rsidRPr="008B02E0" w14:paraId="21ED6EAC"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6782D9E1" w14:textId="77777777" w:rsidR="00EB6430" w:rsidRPr="008B02E0" w:rsidRDefault="00EB6430" w:rsidP="00AE5B32">
            <w:pPr>
              <w:pStyle w:val="TableText0"/>
              <w:keepLines/>
              <w:rPr>
                <w:rFonts w:eastAsia="Times New Roman"/>
              </w:rPr>
            </w:pPr>
            <w:r w:rsidRPr="008B02E0">
              <w:rPr>
                <w:b/>
              </w:rPr>
              <w:t xml:space="preserve">Restriction type: </w:t>
            </w:r>
            <w:r w:rsidRPr="008B02E0">
              <w:rPr>
                <w:rFonts w:eastAsia="Times New Roman"/>
              </w:rPr>
              <w:fldChar w:fldCharType="begin">
                <w:ffData>
                  <w:name w:val=""/>
                  <w:enabled/>
                  <w:calcOnExit w:val="0"/>
                  <w:checkBox>
                    <w:sizeAuto/>
                    <w:default w:val="1"/>
                  </w:checkBox>
                </w:ffData>
              </w:fldChar>
            </w:r>
            <w:r w:rsidRPr="008B02E0">
              <w:rPr>
                <w:rFonts w:eastAsia="Times New Roman"/>
              </w:rPr>
              <w:instrText xml:space="preserve"> FORMCHECKBOX </w:instrText>
            </w:r>
            <w:r w:rsidRPr="008B02E0">
              <w:rPr>
                <w:rFonts w:eastAsia="Times New Roman"/>
              </w:rPr>
            </w:r>
            <w:r w:rsidRPr="008B02E0">
              <w:rPr>
                <w:rFonts w:eastAsia="Times New Roman"/>
              </w:rPr>
              <w:fldChar w:fldCharType="separate"/>
            </w:r>
            <w:r w:rsidRPr="008B02E0">
              <w:rPr>
                <w:rFonts w:eastAsia="Times New Roman"/>
              </w:rPr>
              <w:fldChar w:fldCharType="end"/>
            </w:r>
            <w:r w:rsidRPr="008B02E0">
              <w:rPr>
                <w:rFonts w:eastAsia="Times New Roman"/>
              </w:rPr>
              <w:t xml:space="preserve">Authority Required (STREAMLINED) </w:t>
            </w:r>
          </w:p>
        </w:tc>
      </w:tr>
      <w:tr w:rsidR="00EB6430" w:rsidRPr="008B02E0" w14:paraId="30160745"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CBB7F79" w14:textId="77777777" w:rsidR="00EB6430" w:rsidRPr="008B02E0" w:rsidRDefault="00EB6430" w:rsidP="00AE5B32">
            <w:pPr>
              <w:pStyle w:val="TableText0"/>
              <w:keepLines/>
            </w:pPr>
            <w:r w:rsidRPr="008B02E0">
              <w:rPr>
                <w:b/>
              </w:rPr>
              <w:t>Indication:</w:t>
            </w:r>
            <w:r w:rsidRPr="008B02E0">
              <w:t xml:space="preserve"> Microsatellite instability high or mismatch repair deficient unresectable or metastatic colorectal cancer</w:t>
            </w:r>
          </w:p>
        </w:tc>
      </w:tr>
      <w:tr w:rsidR="00EB6430" w:rsidRPr="008B02E0" w14:paraId="1FC57561"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821B263" w14:textId="77777777" w:rsidR="00EB6430" w:rsidRPr="008B02E0" w:rsidRDefault="00EB6430" w:rsidP="00AE5B32">
            <w:pPr>
              <w:pStyle w:val="TableText0"/>
              <w:keepLines/>
            </w:pPr>
            <w:r w:rsidRPr="008B02E0">
              <w:rPr>
                <w:b/>
              </w:rPr>
              <w:t>Treatment Phase:</w:t>
            </w:r>
            <w:r w:rsidRPr="008B02E0">
              <w:t xml:space="preserve"> Initial treatment</w:t>
            </w:r>
          </w:p>
        </w:tc>
      </w:tr>
      <w:tr w:rsidR="00EB6430" w:rsidRPr="008B02E0" w14:paraId="06FF5D62"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534D5EA" w14:textId="77777777" w:rsidR="00EB6430" w:rsidRPr="008B02E0" w:rsidRDefault="00EB6430" w:rsidP="00AE5B32">
            <w:pPr>
              <w:pStyle w:val="TableText0"/>
              <w:keepLines/>
            </w:pPr>
            <w:r w:rsidRPr="008B02E0">
              <w:rPr>
                <w:b/>
              </w:rPr>
              <w:t>Clinical criteria:</w:t>
            </w:r>
          </w:p>
        </w:tc>
      </w:tr>
      <w:tr w:rsidR="00EB6430" w:rsidRPr="008B02E0" w14:paraId="6F8CF989"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DAE3752" w14:textId="77777777" w:rsidR="00EB6430" w:rsidRPr="008B02E0" w:rsidRDefault="00EB6430" w:rsidP="00AE5B32">
            <w:pPr>
              <w:pStyle w:val="TableText0"/>
            </w:pPr>
            <w:r w:rsidRPr="008B02E0">
              <w:t>Patient must have a WHO performance status of 0 or 1.</w:t>
            </w:r>
          </w:p>
        </w:tc>
      </w:tr>
      <w:tr w:rsidR="00EB6430" w:rsidRPr="008B02E0" w14:paraId="6036B67B"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E4DF82E" w14:textId="77777777" w:rsidR="00EB6430" w:rsidRPr="008B02E0" w:rsidRDefault="00EB6430" w:rsidP="00AE5B32">
            <w:pPr>
              <w:pStyle w:val="TableText0"/>
              <w:keepLines/>
            </w:pPr>
            <w:r w:rsidRPr="008B02E0">
              <w:rPr>
                <w:b/>
              </w:rPr>
              <w:t>AND</w:t>
            </w:r>
          </w:p>
        </w:tc>
      </w:tr>
      <w:tr w:rsidR="00EB6430" w:rsidRPr="008B02E0" w14:paraId="53C31160"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E03683F" w14:textId="77777777" w:rsidR="00EB6430" w:rsidRPr="008B02E0" w:rsidRDefault="00EB6430" w:rsidP="00AE5B32">
            <w:pPr>
              <w:pStyle w:val="TableText0"/>
              <w:keepLines/>
            </w:pPr>
            <w:r w:rsidRPr="008B02E0">
              <w:rPr>
                <w:b/>
              </w:rPr>
              <w:t>Clinical criteria:</w:t>
            </w:r>
          </w:p>
        </w:tc>
      </w:tr>
      <w:tr w:rsidR="00EB6430" w:rsidRPr="008B02E0" w14:paraId="78A420E1"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hideMark/>
          </w:tcPr>
          <w:p w14:paraId="7D7E7D91" w14:textId="31865382" w:rsidR="00EB6430" w:rsidRPr="008B02E0" w:rsidRDefault="00EB6430" w:rsidP="00AE5B32">
            <w:pPr>
              <w:pStyle w:val="TableText0"/>
            </w:pPr>
            <w:r w:rsidRPr="008B02E0">
              <w:t>Patient must not have previously received PBS</w:t>
            </w:r>
            <w:r w:rsidR="009E5502">
              <w:noBreakHyphen/>
            </w:r>
            <w:r w:rsidRPr="008B02E0">
              <w:t>subsidised therapy for this indication.</w:t>
            </w:r>
          </w:p>
        </w:tc>
      </w:tr>
      <w:tr w:rsidR="00EB6430" w:rsidRPr="008B02E0" w14:paraId="2C1329DB"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4B8E45A8" w14:textId="77777777" w:rsidR="00EB6430" w:rsidRPr="008B02E0" w:rsidRDefault="00EB6430" w:rsidP="00AE5B32">
            <w:pPr>
              <w:pStyle w:val="TableText0"/>
              <w:rPr>
                <w:b/>
                <w:bCs w:val="0"/>
              </w:rPr>
            </w:pPr>
            <w:r w:rsidRPr="008B02E0">
              <w:rPr>
                <w:b/>
                <w:bCs w:val="0"/>
              </w:rPr>
              <w:t>AND</w:t>
            </w:r>
          </w:p>
        </w:tc>
      </w:tr>
      <w:tr w:rsidR="00EB6430" w:rsidRPr="008B02E0" w14:paraId="15D633BA"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763978A4" w14:textId="77777777" w:rsidR="00EB6430" w:rsidRPr="008B02E0" w:rsidRDefault="00EB6430" w:rsidP="00AE5B32">
            <w:pPr>
              <w:pStyle w:val="TableText0"/>
              <w:rPr>
                <w:b/>
                <w:bCs w:val="0"/>
              </w:rPr>
            </w:pPr>
            <w:r w:rsidRPr="008B02E0">
              <w:rPr>
                <w:b/>
                <w:bCs w:val="0"/>
              </w:rPr>
              <w:t>Clinical criteria:</w:t>
            </w:r>
          </w:p>
        </w:tc>
      </w:tr>
      <w:tr w:rsidR="00EB6430" w:rsidRPr="008B02E0" w14:paraId="54B24D2F"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558B1BB2" w14:textId="07D21A5B" w:rsidR="00EB6430" w:rsidRPr="008B02E0" w:rsidRDefault="00EB6430" w:rsidP="00AE5B32">
            <w:pPr>
              <w:pStyle w:val="TableText0"/>
            </w:pPr>
            <w:r w:rsidRPr="008B02E0">
              <w:t>Patient must not have received prior PBS</w:t>
            </w:r>
            <w:r w:rsidR="009E5502">
              <w:noBreakHyphen/>
            </w:r>
            <w:r w:rsidRPr="008B02E0">
              <w:t>subsidised treatment with a programmed cell death</w:t>
            </w:r>
            <w:r w:rsidR="009E5502">
              <w:noBreakHyphen/>
            </w:r>
            <w:r w:rsidRPr="008B02E0">
              <w:t>1 (PD</w:t>
            </w:r>
            <w:r w:rsidR="009E5502">
              <w:noBreakHyphen/>
            </w:r>
            <w:r w:rsidRPr="008B02E0">
              <w:t>1) inhibitor or a programmed cell death ligand</w:t>
            </w:r>
            <w:r w:rsidR="009E5502">
              <w:noBreakHyphen/>
            </w:r>
            <w:r w:rsidRPr="008B02E0">
              <w:t>1 (PD</w:t>
            </w:r>
            <w:r w:rsidR="009E5502">
              <w:noBreakHyphen/>
            </w:r>
            <w:r w:rsidRPr="008B02E0">
              <w:t>L1) inhibitor for this condition.</w:t>
            </w:r>
          </w:p>
        </w:tc>
      </w:tr>
      <w:tr w:rsidR="00EB6430" w:rsidRPr="008B02E0" w14:paraId="7EB1024B"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5747F5E4" w14:textId="77777777" w:rsidR="00EB6430" w:rsidRPr="008B02E0" w:rsidRDefault="00EB6430" w:rsidP="00AE5B32">
            <w:pPr>
              <w:pStyle w:val="TableText0"/>
              <w:rPr>
                <w:b/>
                <w:bCs w:val="0"/>
              </w:rPr>
            </w:pPr>
            <w:r w:rsidRPr="008B02E0">
              <w:rPr>
                <w:b/>
                <w:bCs w:val="0"/>
              </w:rPr>
              <w:t>AND</w:t>
            </w:r>
          </w:p>
        </w:tc>
      </w:tr>
      <w:tr w:rsidR="00EB6430" w:rsidRPr="008B02E0" w14:paraId="2F35A222"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67B1E89C" w14:textId="77777777" w:rsidR="00EB6430" w:rsidRPr="008B02E0" w:rsidRDefault="00EB6430" w:rsidP="00AE5B32">
            <w:pPr>
              <w:pStyle w:val="TableText0"/>
              <w:rPr>
                <w:b/>
                <w:bCs w:val="0"/>
              </w:rPr>
            </w:pPr>
            <w:r w:rsidRPr="008B02E0">
              <w:rPr>
                <w:b/>
                <w:bCs w:val="0"/>
              </w:rPr>
              <w:t>Clinical criteria:</w:t>
            </w:r>
          </w:p>
        </w:tc>
      </w:tr>
      <w:tr w:rsidR="00EB6430" w:rsidRPr="008B02E0" w14:paraId="1F024A97"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799B6B0" w14:textId="77777777" w:rsidR="00EB6430" w:rsidRPr="008B02E0" w:rsidRDefault="00EB6430" w:rsidP="00AE5B32">
            <w:pPr>
              <w:pStyle w:val="TableText0"/>
            </w:pPr>
            <w:r w:rsidRPr="008B02E0">
              <w:t>The treatment must be initiated in combination with ipilimumab.</w:t>
            </w:r>
          </w:p>
        </w:tc>
      </w:tr>
      <w:tr w:rsidR="00EB6430" w:rsidRPr="008B02E0" w14:paraId="7989965C"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5F455BA" w14:textId="77777777" w:rsidR="00EB6430" w:rsidRPr="008B02E0" w:rsidRDefault="00EB6430" w:rsidP="00AE5B32">
            <w:pPr>
              <w:pStyle w:val="TableText0"/>
              <w:rPr>
                <w:b/>
                <w:bCs w:val="0"/>
              </w:rPr>
            </w:pPr>
            <w:r w:rsidRPr="008B02E0">
              <w:rPr>
                <w:b/>
                <w:bCs w:val="0"/>
              </w:rPr>
              <w:t>AND</w:t>
            </w:r>
          </w:p>
        </w:tc>
      </w:tr>
      <w:tr w:rsidR="00EB6430" w:rsidRPr="008B02E0" w14:paraId="585AF838"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2E5A46CD" w14:textId="77777777" w:rsidR="00EB6430" w:rsidRPr="008B02E0" w:rsidRDefault="00EB6430" w:rsidP="00AE5B32">
            <w:pPr>
              <w:pStyle w:val="TableText0"/>
              <w:rPr>
                <w:b/>
                <w:bCs w:val="0"/>
              </w:rPr>
            </w:pPr>
            <w:r w:rsidRPr="008B02E0">
              <w:rPr>
                <w:b/>
                <w:bCs w:val="0"/>
              </w:rPr>
              <w:t>Clinical criteria:</w:t>
            </w:r>
          </w:p>
        </w:tc>
      </w:tr>
      <w:tr w:rsidR="00EB6430" w:rsidRPr="008B02E0" w14:paraId="2A7E2F7F"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4F15CB4" w14:textId="039941B4" w:rsidR="00EB6430" w:rsidRPr="008B02E0" w:rsidRDefault="00EB6430" w:rsidP="00AE5B32">
            <w:pPr>
              <w:pStyle w:val="TableText0"/>
            </w:pPr>
            <w:r w:rsidRPr="008B02E0">
              <w:t>Patient must have mismatch repair deficient (dMMR) or microsatellite instability high (MSI</w:t>
            </w:r>
            <w:r w:rsidR="009E5502">
              <w:noBreakHyphen/>
            </w:r>
            <w:r w:rsidRPr="008B02E0">
              <w:t>H) colorectal cancer, as determined by a validated test.</w:t>
            </w:r>
          </w:p>
        </w:tc>
      </w:tr>
      <w:tr w:rsidR="00EB6430" w:rsidRPr="008B02E0" w14:paraId="45E4E429"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5F0E744" w14:textId="77777777" w:rsidR="00EB6430" w:rsidRPr="008B02E0" w:rsidRDefault="00EB6430" w:rsidP="00AE5B32">
            <w:pPr>
              <w:pStyle w:val="TableText0"/>
              <w:keepLines/>
            </w:pPr>
            <w:r w:rsidRPr="008B02E0">
              <w:rPr>
                <w:b/>
              </w:rPr>
              <w:t>Treatment criteria:</w:t>
            </w:r>
          </w:p>
        </w:tc>
      </w:tr>
      <w:tr w:rsidR="00EB6430" w:rsidRPr="008B02E0" w14:paraId="39C5FF61"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911C52B" w14:textId="77777777" w:rsidR="00EB6430" w:rsidRPr="008B02E0" w:rsidRDefault="00EB6430" w:rsidP="00AE5B32">
            <w:pPr>
              <w:pStyle w:val="TableText0"/>
            </w:pPr>
            <w:r w:rsidRPr="008B02E0">
              <w:t>Patients must only receive a maximum of 240 mg every three weeks for a maximum of four doses.</w:t>
            </w:r>
          </w:p>
        </w:tc>
      </w:tr>
      <w:tr w:rsidR="00EB6430" w:rsidRPr="008B02E0" w14:paraId="4C2B6471"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BE2F058" w14:textId="77777777" w:rsidR="00EB6430" w:rsidRPr="008B02E0" w:rsidRDefault="00EB6430" w:rsidP="00AE5B32">
            <w:pPr>
              <w:pStyle w:val="TableText0"/>
              <w:keepLines/>
            </w:pPr>
            <w:r w:rsidRPr="008B02E0">
              <w:rPr>
                <w:b/>
              </w:rPr>
              <w:t xml:space="preserve">Prescribing Instructions: </w:t>
            </w:r>
            <w:r w:rsidRPr="008B02E0">
              <w:t>In the first few months after start of immunotherapy, some patients can have a transient tumour flare with subsequent disease response. When progression is suspected, this should be confirmed through a confirmatory scan, taken at least 4 weeks later.</w:t>
            </w:r>
          </w:p>
        </w:tc>
      </w:tr>
      <w:tr w:rsidR="00EB6430" w:rsidRPr="008B02E0" w14:paraId="54651F30"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7B92249" w14:textId="77777777" w:rsidR="00EB6430" w:rsidRPr="008B02E0" w:rsidRDefault="00EB6430" w:rsidP="00AE5B32">
            <w:pPr>
              <w:pStyle w:val="TableText0"/>
              <w:keepLines/>
            </w:pPr>
            <w:r w:rsidRPr="008B02E0">
              <w:rPr>
                <w:b/>
              </w:rPr>
              <w:t xml:space="preserve">Administrative Advice: </w:t>
            </w:r>
            <w:r w:rsidRPr="008B02E0">
              <w:t>No increase in the maximum number of repeats may be authorised.</w:t>
            </w:r>
          </w:p>
        </w:tc>
      </w:tr>
      <w:tr w:rsidR="00EB6430" w:rsidRPr="008B02E0" w14:paraId="78BF7AA6"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66A5804" w14:textId="549B8DDF" w:rsidR="00EB6430" w:rsidRPr="008B02E0" w:rsidRDefault="00EB6430" w:rsidP="00AE5B32">
            <w:pPr>
              <w:pStyle w:val="TableText0"/>
              <w:keepLines/>
            </w:pPr>
            <w:r w:rsidRPr="008B02E0">
              <w:rPr>
                <w:b/>
              </w:rPr>
              <w:t>Caution:</w:t>
            </w:r>
            <w:r w:rsidRPr="008B02E0">
              <w:rPr>
                <w:bCs w:val="0"/>
                <w:color w:val="0066FF"/>
              </w:rPr>
              <w:t xml:space="preserve"> </w:t>
            </w:r>
            <w:r w:rsidRPr="008B02E0">
              <w:t>Combination treatment with ipilimumab and nivolumab is associated with an increased incidence and severity of immune</w:t>
            </w:r>
            <w:r w:rsidR="009E5502">
              <w:noBreakHyphen/>
            </w:r>
            <w:r w:rsidRPr="008B02E0">
              <w:t>related adverse reactions compared with monotherapy with these agents. Monitoring at least prior to each dose is recommended.</w:t>
            </w:r>
          </w:p>
        </w:tc>
      </w:tr>
      <w:tr w:rsidR="002919C8" w:rsidRPr="008B02E0" w14:paraId="3B8A9BEE"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08BC5161" w14:textId="77777777" w:rsidR="002919C8" w:rsidRPr="008B02E0" w:rsidRDefault="002919C8" w:rsidP="00AE5B32">
            <w:pPr>
              <w:pStyle w:val="TableText0"/>
              <w:keepNext w:val="0"/>
              <w:rPr>
                <w:b/>
              </w:rPr>
            </w:pPr>
          </w:p>
        </w:tc>
      </w:tr>
      <w:tr w:rsidR="00EB6430" w:rsidRPr="008B02E0" w14:paraId="48ADF56C"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64D13367" w14:textId="77777777" w:rsidR="00EB6430" w:rsidRPr="008B02E0" w:rsidRDefault="00EB6430" w:rsidP="00AE5B32">
            <w:pPr>
              <w:pStyle w:val="TableText0"/>
              <w:keepNext w:val="0"/>
            </w:pPr>
            <w:r w:rsidRPr="008B02E0">
              <w:rPr>
                <w:b/>
              </w:rPr>
              <w:t xml:space="preserve">Category / Program: </w:t>
            </w:r>
            <w:r w:rsidRPr="008B02E0">
              <w:t>Section 100 – Efficient Funding of Chemotherapy</w:t>
            </w:r>
          </w:p>
        </w:tc>
      </w:tr>
      <w:tr w:rsidR="00EB6430" w:rsidRPr="008B02E0" w14:paraId="0CB8F477"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54AD0580" w14:textId="77777777" w:rsidR="00EB6430" w:rsidRPr="008B02E0" w:rsidRDefault="00EB6430" w:rsidP="00AE5B32">
            <w:pPr>
              <w:pStyle w:val="TableText0"/>
              <w:keepNext w:val="0"/>
              <w:rPr>
                <w:b/>
              </w:rPr>
            </w:pPr>
            <w:r w:rsidRPr="008B02E0">
              <w:rPr>
                <w:b/>
              </w:rPr>
              <w:t xml:space="preserve">Prescriber type: </w:t>
            </w:r>
            <w:r w:rsidRPr="008B02E0">
              <w:fldChar w:fldCharType="begin">
                <w:ffData>
                  <w:name w:val="Check1"/>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Dental </w:t>
            </w:r>
            <w:r w:rsidRPr="008B02E0">
              <w:fldChar w:fldCharType="begin">
                <w:ffData>
                  <w:name w:val=""/>
                  <w:enabled/>
                  <w:calcOnExit w:val="0"/>
                  <w:checkBox>
                    <w:sizeAuto/>
                    <w:default w:val="1"/>
                  </w:checkBox>
                </w:ffData>
              </w:fldChar>
            </w:r>
            <w:r w:rsidRPr="008B02E0">
              <w:instrText xml:space="preserve"> FORMCHECKBOX </w:instrText>
            </w:r>
            <w:r w:rsidRPr="008B02E0">
              <w:fldChar w:fldCharType="separate"/>
            </w:r>
            <w:r w:rsidRPr="008B02E0">
              <w:fldChar w:fldCharType="end"/>
            </w:r>
            <w:r w:rsidRPr="008B02E0">
              <w:t xml:space="preserve">Medical Practitioners </w:t>
            </w:r>
            <w:r w:rsidRPr="008B02E0">
              <w:fldChar w:fldCharType="begin">
                <w:ffData>
                  <w:name w:val="Check3"/>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Nurse practitioners </w:t>
            </w:r>
            <w:r w:rsidRPr="008B02E0">
              <w:fldChar w:fldCharType="begin">
                <w:ffData>
                  <w:name w:val=""/>
                  <w:enabled/>
                  <w:calcOnExit w:val="0"/>
                  <w:checkBox>
                    <w:sizeAuto/>
                    <w:default w:val="0"/>
                  </w:checkBox>
                </w:ffData>
              </w:fldChar>
            </w:r>
            <w:r w:rsidRPr="008B02E0">
              <w:instrText xml:space="preserve"> FORMCHECKBOX </w:instrText>
            </w:r>
            <w:r w:rsidRPr="008B02E0">
              <w:fldChar w:fldCharType="separate"/>
            </w:r>
            <w:r w:rsidRPr="008B02E0">
              <w:fldChar w:fldCharType="end"/>
            </w:r>
            <w:r w:rsidRPr="008B02E0">
              <w:t xml:space="preserve">Optometrists </w:t>
            </w:r>
            <w:r w:rsidRPr="008B02E0">
              <w:fldChar w:fldCharType="begin">
                <w:ffData>
                  <w:name w:val="Check5"/>
                  <w:enabled/>
                  <w:calcOnExit w:val="0"/>
                  <w:checkBox>
                    <w:sizeAuto/>
                    <w:default w:val="0"/>
                  </w:checkBox>
                </w:ffData>
              </w:fldChar>
            </w:r>
            <w:r w:rsidRPr="008B02E0">
              <w:instrText xml:space="preserve"> FORMCHECKBOX </w:instrText>
            </w:r>
            <w:r w:rsidRPr="008B02E0">
              <w:fldChar w:fldCharType="separate"/>
            </w:r>
            <w:r w:rsidRPr="008B02E0">
              <w:fldChar w:fldCharType="end"/>
            </w:r>
          </w:p>
        </w:tc>
      </w:tr>
      <w:tr w:rsidR="00EB6430" w:rsidRPr="008B02E0" w14:paraId="15E7299B"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2E874176" w14:textId="77777777" w:rsidR="00EB6430" w:rsidRPr="008B02E0" w:rsidRDefault="00EB6430" w:rsidP="00AE5B32">
            <w:pPr>
              <w:pStyle w:val="TableText0"/>
              <w:keepNext w:val="0"/>
              <w:rPr>
                <w:rFonts w:eastAsia="Times New Roman"/>
              </w:rPr>
            </w:pPr>
            <w:r w:rsidRPr="008B02E0">
              <w:rPr>
                <w:b/>
              </w:rPr>
              <w:t xml:space="preserve">Restriction type: </w:t>
            </w:r>
            <w:r w:rsidRPr="008B02E0">
              <w:rPr>
                <w:rFonts w:eastAsia="Times New Roman"/>
              </w:rPr>
              <w:fldChar w:fldCharType="begin">
                <w:ffData>
                  <w:name w:val=""/>
                  <w:enabled/>
                  <w:calcOnExit w:val="0"/>
                  <w:checkBox>
                    <w:sizeAuto/>
                    <w:default w:val="1"/>
                  </w:checkBox>
                </w:ffData>
              </w:fldChar>
            </w:r>
            <w:r w:rsidRPr="008B02E0">
              <w:rPr>
                <w:rFonts w:eastAsia="Times New Roman"/>
              </w:rPr>
              <w:instrText xml:space="preserve"> FORMCHECKBOX </w:instrText>
            </w:r>
            <w:r w:rsidRPr="008B02E0">
              <w:rPr>
                <w:rFonts w:eastAsia="Times New Roman"/>
              </w:rPr>
            </w:r>
            <w:r w:rsidRPr="008B02E0">
              <w:rPr>
                <w:rFonts w:eastAsia="Times New Roman"/>
              </w:rPr>
              <w:fldChar w:fldCharType="separate"/>
            </w:r>
            <w:r w:rsidRPr="008B02E0">
              <w:rPr>
                <w:rFonts w:eastAsia="Times New Roman"/>
              </w:rPr>
              <w:fldChar w:fldCharType="end"/>
            </w:r>
            <w:r w:rsidRPr="008B02E0">
              <w:rPr>
                <w:rFonts w:eastAsia="Times New Roman"/>
              </w:rPr>
              <w:t xml:space="preserve">Authority Required (STREAMLINED) </w:t>
            </w:r>
          </w:p>
        </w:tc>
      </w:tr>
      <w:tr w:rsidR="00EB6430" w:rsidRPr="008B02E0" w14:paraId="40804B4D"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033DBB3" w14:textId="77777777" w:rsidR="00EB6430" w:rsidRPr="008B02E0" w:rsidRDefault="00EB6430" w:rsidP="00AE5B32">
            <w:pPr>
              <w:pStyle w:val="TableText0"/>
              <w:keepNext w:val="0"/>
            </w:pPr>
            <w:r w:rsidRPr="008B02E0">
              <w:rPr>
                <w:b/>
              </w:rPr>
              <w:t>Indication:</w:t>
            </w:r>
            <w:r w:rsidRPr="008B02E0">
              <w:t xml:space="preserve"> Microsatellite instability high or mismatch repair deficient unresectable or metastatic colorectal cancer</w:t>
            </w:r>
          </w:p>
        </w:tc>
      </w:tr>
      <w:tr w:rsidR="00EB6430" w:rsidRPr="008B02E0" w14:paraId="6401A9A7"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4D5AAAF" w14:textId="77777777" w:rsidR="00EB6430" w:rsidRPr="008B02E0" w:rsidRDefault="00EB6430" w:rsidP="00AE5B32">
            <w:pPr>
              <w:pStyle w:val="TableText0"/>
              <w:keepNext w:val="0"/>
            </w:pPr>
            <w:r w:rsidRPr="008B02E0">
              <w:rPr>
                <w:b/>
              </w:rPr>
              <w:t>Treatment Phase:</w:t>
            </w:r>
            <w:r w:rsidRPr="008B02E0">
              <w:t xml:space="preserve"> Continuing treatment</w:t>
            </w:r>
          </w:p>
        </w:tc>
      </w:tr>
      <w:tr w:rsidR="00EB6430" w:rsidRPr="008B02E0" w14:paraId="7148CEF3"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ED660B5" w14:textId="77777777" w:rsidR="00EB6430" w:rsidRPr="008B02E0" w:rsidRDefault="00EB6430" w:rsidP="00AE5B32">
            <w:pPr>
              <w:pStyle w:val="TableText0"/>
              <w:keepNext w:val="0"/>
            </w:pPr>
            <w:r w:rsidRPr="008B02E0">
              <w:rPr>
                <w:b/>
              </w:rPr>
              <w:t>Clinical criteria:</w:t>
            </w:r>
          </w:p>
        </w:tc>
      </w:tr>
      <w:tr w:rsidR="00EB6430" w:rsidRPr="008B02E0" w14:paraId="3605E0BF"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1384042" w14:textId="5040B206" w:rsidR="00EB6430" w:rsidRPr="008B02E0" w:rsidRDefault="00EB6430" w:rsidP="00AE5B32">
            <w:pPr>
              <w:pStyle w:val="TableText0"/>
              <w:keepNext w:val="0"/>
            </w:pPr>
            <w:r w:rsidRPr="008B02E0">
              <w:t>Patient must have previously received PBS</w:t>
            </w:r>
            <w:r w:rsidR="009E5502">
              <w:noBreakHyphen/>
            </w:r>
            <w:r w:rsidRPr="008B02E0">
              <w:t>subsidised treatment with this drug for this condition.</w:t>
            </w:r>
          </w:p>
        </w:tc>
      </w:tr>
      <w:tr w:rsidR="00EB6430" w:rsidRPr="008B02E0" w14:paraId="7E22A564"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A8BBEC7" w14:textId="77777777" w:rsidR="00EB6430" w:rsidRPr="008B02E0" w:rsidRDefault="00EB6430" w:rsidP="00AE5B32">
            <w:pPr>
              <w:pStyle w:val="TableText0"/>
              <w:keepNext w:val="0"/>
            </w:pPr>
            <w:r w:rsidRPr="008B02E0">
              <w:rPr>
                <w:b/>
              </w:rPr>
              <w:lastRenderedPageBreak/>
              <w:t>AND</w:t>
            </w:r>
          </w:p>
        </w:tc>
      </w:tr>
      <w:tr w:rsidR="00EB6430" w:rsidRPr="008B02E0" w14:paraId="53313228"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22FEA03" w14:textId="77777777" w:rsidR="00EB6430" w:rsidRPr="008B02E0" w:rsidRDefault="00EB6430" w:rsidP="00AE5B32">
            <w:pPr>
              <w:pStyle w:val="TableText0"/>
              <w:keepNext w:val="0"/>
            </w:pPr>
            <w:r w:rsidRPr="008B02E0">
              <w:rPr>
                <w:b/>
              </w:rPr>
              <w:t>Clinical criteria:</w:t>
            </w:r>
          </w:p>
        </w:tc>
      </w:tr>
      <w:tr w:rsidR="00EB6430" w:rsidRPr="008B02E0" w14:paraId="2EC465BA"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hideMark/>
          </w:tcPr>
          <w:p w14:paraId="215E03CC" w14:textId="0E408DCD" w:rsidR="00EB6430" w:rsidRPr="008B02E0" w:rsidRDefault="00EB6430" w:rsidP="00AE5B32">
            <w:pPr>
              <w:pStyle w:val="TableText0"/>
              <w:keepNext w:val="0"/>
            </w:pPr>
            <w:r w:rsidRPr="008B02E0">
              <w:t>Patient must have prescriber</w:t>
            </w:r>
            <w:r w:rsidR="009E5502">
              <w:noBreakHyphen/>
            </w:r>
            <w:r w:rsidRPr="008B02E0">
              <w:t>assessed clinical benefit and must be tolerating treatment.</w:t>
            </w:r>
          </w:p>
        </w:tc>
      </w:tr>
      <w:tr w:rsidR="00EB6430" w:rsidRPr="008B02E0" w14:paraId="15D47350"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F7F6863" w14:textId="77777777" w:rsidR="00EB6430" w:rsidRPr="008B02E0" w:rsidRDefault="00EB6430" w:rsidP="00AE5B32">
            <w:pPr>
              <w:pStyle w:val="TableText0"/>
              <w:keepNext w:val="0"/>
              <w:rPr>
                <w:b/>
                <w:bCs w:val="0"/>
              </w:rPr>
            </w:pPr>
            <w:r w:rsidRPr="008B02E0">
              <w:rPr>
                <w:b/>
                <w:bCs w:val="0"/>
              </w:rPr>
              <w:t>AND</w:t>
            </w:r>
          </w:p>
        </w:tc>
      </w:tr>
      <w:tr w:rsidR="00EB6430" w:rsidRPr="008B02E0" w14:paraId="664AE22D"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12587345" w14:textId="77777777" w:rsidR="00EB6430" w:rsidRPr="008B02E0" w:rsidRDefault="00EB6430" w:rsidP="00AE5B32">
            <w:pPr>
              <w:pStyle w:val="TableText0"/>
              <w:keepNext w:val="0"/>
              <w:rPr>
                <w:b/>
                <w:bCs w:val="0"/>
              </w:rPr>
            </w:pPr>
            <w:r w:rsidRPr="008B02E0">
              <w:rPr>
                <w:b/>
                <w:bCs w:val="0"/>
              </w:rPr>
              <w:t>Clinical criteria:</w:t>
            </w:r>
          </w:p>
        </w:tc>
      </w:tr>
      <w:tr w:rsidR="00EB6430" w:rsidRPr="008B02E0" w14:paraId="120B85BE"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61D3B675" w14:textId="7921FE9E" w:rsidR="00EB6430" w:rsidRPr="008B02E0" w:rsidRDefault="00EB6430" w:rsidP="00AE5B32">
            <w:pPr>
              <w:pStyle w:val="TableText0"/>
              <w:keepNext w:val="0"/>
            </w:pPr>
            <w:r w:rsidRPr="008B02E0">
              <w:t>The treatment must be the sole PBS</w:t>
            </w:r>
            <w:r w:rsidR="009E5502">
              <w:noBreakHyphen/>
            </w:r>
            <w:r w:rsidRPr="008B02E0">
              <w:t>subsidised therapy for this condition</w:t>
            </w:r>
          </w:p>
        </w:tc>
      </w:tr>
      <w:tr w:rsidR="00EB6430" w:rsidRPr="008B02E0" w14:paraId="7C131218"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F167854" w14:textId="77777777" w:rsidR="00EB6430" w:rsidRPr="008B02E0" w:rsidRDefault="00EB6430" w:rsidP="00AE5B32">
            <w:pPr>
              <w:pStyle w:val="TableText0"/>
              <w:keepNext w:val="0"/>
            </w:pPr>
            <w:r w:rsidRPr="008B02E0">
              <w:rPr>
                <w:b/>
              </w:rPr>
              <w:t>Treatment criteria:</w:t>
            </w:r>
          </w:p>
        </w:tc>
      </w:tr>
      <w:tr w:rsidR="00EB6430" w:rsidRPr="008B02E0" w14:paraId="5098111C"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2AA0BEC" w14:textId="77777777" w:rsidR="00EB6430" w:rsidRPr="008B02E0" w:rsidRDefault="00EB6430" w:rsidP="00AE5B32">
            <w:pPr>
              <w:pStyle w:val="TableText0"/>
              <w:keepNext w:val="0"/>
            </w:pPr>
            <w:r w:rsidRPr="008B02E0">
              <w:t>Patients must only receive a maximum of 240 mg every two weeks or 480 mg every four weeks under a weight based or flat dosing regimen.</w:t>
            </w:r>
          </w:p>
        </w:tc>
      </w:tr>
      <w:tr w:rsidR="00EB6430" w:rsidRPr="008B02E0" w14:paraId="32C832F7"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74D537BD" w14:textId="77777777" w:rsidR="00EB6430" w:rsidRPr="008B02E0" w:rsidRDefault="00EB6430" w:rsidP="00AE5B32">
            <w:pPr>
              <w:pStyle w:val="TableText0"/>
              <w:keepNext w:val="0"/>
              <w:rPr>
                <w:b/>
                <w:bCs w:val="0"/>
              </w:rPr>
            </w:pPr>
            <w:r w:rsidRPr="008B02E0">
              <w:rPr>
                <w:b/>
                <w:bCs w:val="0"/>
              </w:rPr>
              <w:t>AND</w:t>
            </w:r>
          </w:p>
        </w:tc>
      </w:tr>
      <w:tr w:rsidR="00EB6430" w:rsidRPr="008B02E0" w14:paraId="5ABA59A5"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4557F763" w14:textId="77777777" w:rsidR="00EB6430" w:rsidRPr="008B02E0" w:rsidRDefault="00EB6430" w:rsidP="00AE5B32">
            <w:pPr>
              <w:pStyle w:val="TableText0"/>
              <w:keepNext w:val="0"/>
              <w:rPr>
                <w:b/>
                <w:bCs w:val="0"/>
              </w:rPr>
            </w:pPr>
            <w:r w:rsidRPr="008B02E0">
              <w:rPr>
                <w:b/>
                <w:bCs w:val="0"/>
              </w:rPr>
              <w:t>Treatment criteria:</w:t>
            </w:r>
          </w:p>
        </w:tc>
      </w:tr>
      <w:tr w:rsidR="00EB6430" w:rsidRPr="008B02E0" w14:paraId="43C1C5A7"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tcPr>
          <w:p w14:paraId="3A0DF020" w14:textId="1D054798" w:rsidR="00EB6430" w:rsidRPr="008B02E0" w:rsidRDefault="00EB6430" w:rsidP="00AE5B32">
            <w:pPr>
              <w:pStyle w:val="TableText0"/>
              <w:keepNext w:val="0"/>
            </w:pPr>
            <w:r w:rsidRPr="008B02E0">
              <w:t>Patient must not be undergoing continuing PBS</w:t>
            </w:r>
            <w:r w:rsidR="009E5502">
              <w:noBreakHyphen/>
            </w:r>
            <w:r w:rsidRPr="008B02E0">
              <w:t>subsidised treatment where this benefit is extending treatment beyond 24 cumulative months from the first administered dose.</w:t>
            </w:r>
          </w:p>
        </w:tc>
      </w:tr>
      <w:tr w:rsidR="00EB6430" w:rsidRPr="008B02E0" w14:paraId="565DBB60" w14:textId="77777777" w:rsidTr="00D17F3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BC88330" w14:textId="77777777" w:rsidR="00EB6430" w:rsidRPr="008B02E0" w:rsidRDefault="00EB6430" w:rsidP="00AE5B32">
            <w:pPr>
              <w:pStyle w:val="TableText0"/>
              <w:keepNext w:val="0"/>
            </w:pPr>
            <w:r w:rsidRPr="008B02E0">
              <w:rPr>
                <w:b/>
              </w:rPr>
              <w:t xml:space="preserve">Administrative Advice: </w:t>
            </w:r>
            <w:r w:rsidRPr="008B02E0">
              <w:t>No increase in the maximum number of repeats may be authorised.</w:t>
            </w:r>
          </w:p>
        </w:tc>
      </w:tr>
    </w:tbl>
    <w:p w14:paraId="64EA444A" w14:textId="77777777" w:rsidR="00EB6430" w:rsidRPr="008B02E0" w:rsidRDefault="00EB6430" w:rsidP="00AE5B32">
      <w:pPr>
        <w:pStyle w:val="TableFigureFooter"/>
        <w:rPr>
          <w:bCs/>
          <w:szCs w:val="18"/>
        </w:rPr>
      </w:pPr>
    </w:p>
    <w:tbl>
      <w:tblPr>
        <w:tblpPr w:leftFromText="180" w:rightFromText="180" w:vertAnchor="text" w:horzAnchor="margin" w:tblpY="1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094"/>
        <w:gridCol w:w="3564"/>
        <w:gridCol w:w="1275"/>
        <w:gridCol w:w="1084"/>
      </w:tblGrid>
      <w:tr w:rsidR="00EB6430" w:rsidRPr="008B02E0" w14:paraId="06DF2FC8" w14:textId="77777777" w:rsidTr="00D17F3A">
        <w:trPr>
          <w:cantSplit/>
          <w:trHeight w:val="20"/>
        </w:trPr>
        <w:tc>
          <w:tcPr>
            <w:tcW w:w="1716" w:type="pct"/>
            <w:vAlign w:val="center"/>
          </w:tcPr>
          <w:p w14:paraId="0A4AB2BD" w14:textId="77777777" w:rsidR="00EB6430" w:rsidRPr="008B02E0" w:rsidRDefault="00EB6430" w:rsidP="00AE5B32">
            <w:pPr>
              <w:pStyle w:val="In-tableHeading"/>
              <w:keepNext w:val="0"/>
              <w:rPr>
                <w:lang w:val="en-AU"/>
              </w:rPr>
            </w:pPr>
            <w:r w:rsidRPr="008B02E0">
              <w:rPr>
                <w:lang w:val="en-AU"/>
              </w:rPr>
              <w:t>MEDICINAL PRODUCT</w:t>
            </w:r>
          </w:p>
          <w:p w14:paraId="6EB7A6B1" w14:textId="77777777" w:rsidR="00EB6430" w:rsidRPr="008B02E0" w:rsidRDefault="00EB6430" w:rsidP="00AE5B32">
            <w:pPr>
              <w:pStyle w:val="In-tableHeading"/>
              <w:keepNext w:val="0"/>
              <w:rPr>
                <w:lang w:val="en-AU"/>
              </w:rPr>
            </w:pPr>
            <w:r w:rsidRPr="008B02E0">
              <w:rPr>
                <w:lang w:val="en-AU"/>
              </w:rPr>
              <w:t>Form</w:t>
            </w:r>
          </w:p>
        </w:tc>
        <w:tc>
          <w:tcPr>
            <w:tcW w:w="1976" w:type="pct"/>
            <w:vAlign w:val="center"/>
          </w:tcPr>
          <w:p w14:paraId="1682D0AF" w14:textId="77777777" w:rsidR="00EB6430" w:rsidRPr="008B02E0" w:rsidRDefault="00EB6430" w:rsidP="00AE5B32">
            <w:pPr>
              <w:pStyle w:val="In-tableHeading"/>
              <w:keepNext w:val="0"/>
              <w:jc w:val="center"/>
              <w:rPr>
                <w:lang w:val="en-AU"/>
              </w:rPr>
            </w:pPr>
            <w:r w:rsidRPr="008B02E0">
              <w:rPr>
                <w:lang w:val="en-AU"/>
              </w:rPr>
              <w:t>Dispensed Price Max Amt</w:t>
            </w:r>
          </w:p>
        </w:tc>
        <w:tc>
          <w:tcPr>
            <w:tcW w:w="707" w:type="pct"/>
            <w:vAlign w:val="center"/>
          </w:tcPr>
          <w:p w14:paraId="338C9122" w14:textId="77777777" w:rsidR="00EB6430" w:rsidRPr="008B02E0" w:rsidRDefault="00EB6430" w:rsidP="00AE5B32">
            <w:pPr>
              <w:pStyle w:val="In-tableHeading"/>
              <w:keepNext w:val="0"/>
              <w:jc w:val="center"/>
              <w:rPr>
                <w:lang w:val="en-AU"/>
              </w:rPr>
            </w:pPr>
            <w:r w:rsidRPr="008B02E0">
              <w:rPr>
                <w:lang w:val="en-AU"/>
              </w:rPr>
              <w:t>Max. Amount</w:t>
            </w:r>
          </w:p>
        </w:tc>
        <w:tc>
          <w:tcPr>
            <w:tcW w:w="601" w:type="pct"/>
            <w:vAlign w:val="center"/>
          </w:tcPr>
          <w:p w14:paraId="32A88ABC" w14:textId="77777777" w:rsidR="00EB6430" w:rsidRPr="008B02E0" w:rsidRDefault="00EB6430" w:rsidP="00AE5B32">
            <w:pPr>
              <w:pStyle w:val="In-tableHeading"/>
              <w:keepNext w:val="0"/>
              <w:jc w:val="center"/>
              <w:rPr>
                <w:lang w:val="en-AU"/>
              </w:rPr>
            </w:pPr>
            <w:r w:rsidRPr="008B02E0">
              <w:rPr>
                <w:lang w:val="en-AU"/>
              </w:rPr>
              <w:t>№.of Rpts</w:t>
            </w:r>
          </w:p>
        </w:tc>
      </w:tr>
      <w:tr w:rsidR="00EB6430" w:rsidRPr="008B02E0" w14:paraId="70ADF36A" w14:textId="77777777" w:rsidTr="00D17F3A">
        <w:trPr>
          <w:cantSplit/>
          <w:trHeight w:val="20"/>
        </w:trPr>
        <w:tc>
          <w:tcPr>
            <w:tcW w:w="1716" w:type="pct"/>
            <w:vAlign w:val="center"/>
          </w:tcPr>
          <w:p w14:paraId="3B38CB32" w14:textId="77777777" w:rsidR="00EB6430" w:rsidRPr="008B02E0" w:rsidRDefault="00EB6430" w:rsidP="00AE5B32">
            <w:pPr>
              <w:pStyle w:val="TableText0"/>
              <w:keepNext w:val="0"/>
            </w:pPr>
            <w:r w:rsidRPr="008B02E0">
              <w:t>Ipilimumab, injection</w:t>
            </w:r>
          </w:p>
        </w:tc>
        <w:tc>
          <w:tcPr>
            <w:tcW w:w="1976" w:type="pct"/>
            <w:vAlign w:val="center"/>
          </w:tcPr>
          <w:p w14:paraId="0CD81835" w14:textId="3951E8FB"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80"/>
                <w14:textFill>
                  <w14:solidFill>
                    <w14:srgbClr w14:val="000000">
                      <w14:alpha w14:val="100000"/>
                    </w14:srgbClr>
                  </w14:solidFill>
                </w14:textFill>
              </w:rPr>
              <w:t>|||</w:t>
            </w:r>
            <w:r w:rsidR="00E11347" w:rsidRPr="00E11347">
              <w:rPr>
                <w:color w:val="000000"/>
                <w:spacing w:val="1"/>
                <w:shd w:val="solid" w:color="000000" w:fill="000000"/>
                <w:fitText w:val="330" w:id="-628963580"/>
                <w14:textFill>
                  <w14:solidFill>
                    <w14:srgbClr w14:val="000000">
                      <w14:alpha w14:val="100000"/>
                    </w14:srgbClr>
                  </w14:solidFill>
                </w14:textFill>
              </w:rPr>
              <w:t>|</w:t>
            </w:r>
            <w:r w:rsidRPr="008B02E0">
              <w:t xml:space="preserve"> </w:t>
            </w:r>
            <w:r w:rsidR="00795A08" w:rsidRPr="008B02E0">
              <w:t xml:space="preserve">effective </w:t>
            </w:r>
            <w:r w:rsidRPr="008B02E0">
              <w:t>price (Public)</w:t>
            </w:r>
          </w:p>
          <w:p w14:paraId="592550F7" w14:textId="6C1E12EA"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9"/>
                <w14:textFill>
                  <w14:solidFill>
                    <w14:srgbClr w14:val="000000">
                      <w14:alpha w14:val="100000"/>
                    </w14:srgbClr>
                  </w14:solidFill>
                </w14:textFill>
              </w:rPr>
              <w:t>|||</w:t>
            </w:r>
            <w:r w:rsidR="00E11347" w:rsidRPr="00E11347">
              <w:rPr>
                <w:color w:val="000000"/>
                <w:spacing w:val="1"/>
                <w:shd w:val="solid" w:color="000000" w:fill="000000"/>
                <w:fitText w:val="330" w:id="-628963579"/>
                <w14:textFill>
                  <w14:solidFill>
                    <w14:srgbClr w14:val="000000">
                      <w14:alpha w14:val="100000"/>
                    </w14:srgbClr>
                  </w14:solidFill>
                </w14:textFill>
              </w:rPr>
              <w:t>|</w:t>
            </w:r>
            <w:r w:rsidRPr="008B02E0">
              <w:t xml:space="preserve"> </w:t>
            </w:r>
            <w:r w:rsidR="00795A08" w:rsidRPr="008B02E0">
              <w:t xml:space="preserve">effective </w:t>
            </w:r>
            <w:r w:rsidRPr="008B02E0">
              <w:t>price (Private)</w:t>
            </w:r>
          </w:p>
        </w:tc>
        <w:tc>
          <w:tcPr>
            <w:tcW w:w="707" w:type="pct"/>
          </w:tcPr>
          <w:p w14:paraId="079FF7EA" w14:textId="77777777" w:rsidR="00EB6430" w:rsidRPr="008B02E0" w:rsidRDefault="00EB6430" w:rsidP="00AE5B32">
            <w:pPr>
              <w:pStyle w:val="TableText0"/>
              <w:keepNext w:val="0"/>
              <w:jc w:val="center"/>
            </w:pPr>
            <w:r w:rsidRPr="008B02E0">
              <w:t>120 mg</w:t>
            </w:r>
          </w:p>
        </w:tc>
        <w:tc>
          <w:tcPr>
            <w:tcW w:w="601" w:type="pct"/>
          </w:tcPr>
          <w:p w14:paraId="1EF679DE" w14:textId="77777777" w:rsidR="00EB6430" w:rsidRPr="008B02E0" w:rsidRDefault="00EB6430" w:rsidP="00AE5B32">
            <w:pPr>
              <w:pStyle w:val="TableText0"/>
              <w:keepNext w:val="0"/>
              <w:jc w:val="center"/>
            </w:pPr>
            <w:r w:rsidRPr="008B02E0">
              <w:t>3</w:t>
            </w:r>
          </w:p>
        </w:tc>
      </w:tr>
      <w:tr w:rsidR="00EB6430" w:rsidRPr="008B02E0" w14:paraId="706F19F6" w14:textId="77777777" w:rsidTr="00D17F3A">
        <w:trPr>
          <w:cantSplit/>
          <w:trHeight w:val="20"/>
        </w:trPr>
        <w:tc>
          <w:tcPr>
            <w:tcW w:w="5000" w:type="pct"/>
            <w:gridSpan w:val="4"/>
            <w:vAlign w:val="center"/>
          </w:tcPr>
          <w:p w14:paraId="5C602B6F" w14:textId="77777777" w:rsidR="00EB6430" w:rsidRPr="008B02E0" w:rsidRDefault="00EB6430" w:rsidP="00AE5B32">
            <w:pPr>
              <w:rPr>
                <w:b/>
              </w:rPr>
            </w:pPr>
            <w:r w:rsidRPr="008B02E0">
              <w:rPr>
                <w:rFonts w:ascii="Arial Narrow" w:eastAsiaTheme="majorEastAsia" w:hAnsi="Arial Narrow" w:cs="Times New Roman"/>
                <w:b/>
                <w:sz w:val="20"/>
              </w:rPr>
              <w:t>Available brands</w:t>
            </w:r>
            <w:r w:rsidRPr="008B02E0">
              <w:rPr>
                <w:b/>
              </w:rPr>
              <w:t xml:space="preserve"> </w:t>
            </w:r>
          </w:p>
        </w:tc>
      </w:tr>
      <w:tr w:rsidR="00EB6430" w:rsidRPr="008B02E0" w14:paraId="560E44C0" w14:textId="77777777" w:rsidTr="00D17F3A">
        <w:trPr>
          <w:cantSplit/>
          <w:trHeight w:val="20"/>
        </w:trPr>
        <w:tc>
          <w:tcPr>
            <w:tcW w:w="5000" w:type="pct"/>
            <w:gridSpan w:val="4"/>
            <w:vAlign w:val="center"/>
          </w:tcPr>
          <w:p w14:paraId="7143EDFF" w14:textId="77777777" w:rsidR="00EB6430" w:rsidRPr="008B02E0" w:rsidRDefault="00EB6430" w:rsidP="00AE5B32">
            <w:pPr>
              <w:pStyle w:val="TableText0"/>
              <w:keepNext w:val="0"/>
            </w:pPr>
            <w:r w:rsidRPr="008B02E0">
              <w:t>Yervoy (ipilimumab 50 mg/10 mL injection, 10 mL vial)</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EB6430" w:rsidRPr="008B02E0" w14:paraId="7BB99FBB"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7C704FFD" w14:textId="77777777" w:rsidR="00EB6430" w:rsidRPr="008B02E0" w:rsidRDefault="00EB6430" w:rsidP="00AE5B32">
            <w:pPr>
              <w:pStyle w:val="TableText0"/>
              <w:keepNext w:val="0"/>
              <w:rPr>
                <w:b/>
              </w:rPr>
            </w:pPr>
            <w:r w:rsidRPr="008B02E0">
              <w:rPr>
                <w:b/>
              </w:rPr>
              <w:t xml:space="preserve">Category / Program: </w:t>
            </w:r>
            <w:r w:rsidRPr="008B02E0">
              <w:rPr>
                <w:bCs w:val="0"/>
              </w:rPr>
              <w:t>Section 100 – Efficient Funding of Chemotherapy</w:t>
            </w:r>
          </w:p>
        </w:tc>
      </w:tr>
      <w:tr w:rsidR="00EB6430" w:rsidRPr="008B02E0" w14:paraId="60D88BA2"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1B31CED5" w14:textId="77777777" w:rsidR="00EB6430" w:rsidRPr="008B02E0" w:rsidRDefault="00EB6430" w:rsidP="00AE5B32">
            <w:pPr>
              <w:pStyle w:val="TableText0"/>
              <w:keepNext w:val="0"/>
              <w:rPr>
                <w:b/>
              </w:rPr>
            </w:pPr>
            <w:r w:rsidRPr="008B02E0">
              <w:rPr>
                <w:b/>
              </w:rPr>
              <w:t xml:space="preserve">Prescriber type: </w:t>
            </w:r>
            <w:r w:rsidRPr="008B02E0">
              <w:rPr>
                <w:b/>
              </w:rPr>
              <w:fldChar w:fldCharType="begin">
                <w:ffData>
                  <w:name w:val="Check1"/>
                  <w:enabled/>
                  <w:calcOnExit w:val="0"/>
                  <w:checkBox>
                    <w:sizeAuto/>
                    <w:default w:val="0"/>
                  </w:checkBox>
                </w:ffData>
              </w:fldChar>
            </w:r>
            <w:r w:rsidRPr="008B02E0">
              <w:rPr>
                <w:b/>
              </w:rPr>
              <w:instrText xml:space="preserve"> FORMCHECKBOX </w:instrText>
            </w:r>
            <w:r w:rsidRPr="008B02E0">
              <w:rPr>
                <w:b/>
              </w:rPr>
            </w:r>
            <w:r w:rsidRPr="008B02E0">
              <w:rPr>
                <w:b/>
              </w:rPr>
              <w:fldChar w:fldCharType="separate"/>
            </w:r>
            <w:r w:rsidRPr="008B02E0">
              <w:rPr>
                <w:b/>
              </w:rPr>
              <w:fldChar w:fldCharType="end"/>
            </w:r>
            <w:r w:rsidRPr="008B02E0">
              <w:rPr>
                <w:bCs w:val="0"/>
              </w:rPr>
              <w:t xml:space="preserve">Dental </w:t>
            </w:r>
            <w:r w:rsidRPr="008B02E0">
              <w:rPr>
                <w:bCs w:val="0"/>
              </w:rPr>
              <w:fldChar w:fldCharType="begin">
                <w:ffData>
                  <w:name w:val=""/>
                  <w:enabled/>
                  <w:calcOnExit w:val="0"/>
                  <w:checkBox>
                    <w:sizeAuto/>
                    <w:default w:val="1"/>
                  </w:checkBox>
                </w:ffData>
              </w:fldChar>
            </w:r>
            <w:r w:rsidRPr="008B02E0">
              <w:rPr>
                <w:bCs w:val="0"/>
              </w:rPr>
              <w:instrText xml:space="preserve"> FORMCHECKBOX </w:instrText>
            </w:r>
            <w:r w:rsidRPr="008B02E0">
              <w:rPr>
                <w:bCs w:val="0"/>
              </w:rPr>
            </w:r>
            <w:r w:rsidRPr="008B02E0">
              <w:rPr>
                <w:bCs w:val="0"/>
              </w:rPr>
              <w:fldChar w:fldCharType="separate"/>
            </w:r>
            <w:r w:rsidRPr="008B02E0">
              <w:rPr>
                <w:bCs w:val="0"/>
              </w:rPr>
              <w:fldChar w:fldCharType="end"/>
            </w:r>
            <w:r w:rsidRPr="008B02E0">
              <w:rPr>
                <w:bCs w:val="0"/>
              </w:rPr>
              <w:t xml:space="preserve">Medical Practitioners </w:t>
            </w:r>
            <w:r w:rsidRPr="008B02E0">
              <w:rPr>
                <w:bCs w:val="0"/>
              </w:rPr>
              <w:fldChar w:fldCharType="begin">
                <w:ffData>
                  <w:name w:val="Check3"/>
                  <w:enabled/>
                  <w:calcOnExit w:val="0"/>
                  <w:checkBox>
                    <w:sizeAuto/>
                    <w:default w:val="0"/>
                  </w:checkBox>
                </w:ffData>
              </w:fldChar>
            </w:r>
            <w:r w:rsidRPr="008B02E0">
              <w:rPr>
                <w:bCs w:val="0"/>
              </w:rPr>
              <w:instrText xml:space="preserve"> FORMCHECKBOX </w:instrText>
            </w:r>
            <w:r w:rsidRPr="008B02E0">
              <w:rPr>
                <w:bCs w:val="0"/>
              </w:rPr>
            </w:r>
            <w:r w:rsidRPr="008B02E0">
              <w:rPr>
                <w:bCs w:val="0"/>
              </w:rPr>
              <w:fldChar w:fldCharType="separate"/>
            </w:r>
            <w:r w:rsidRPr="008B02E0">
              <w:rPr>
                <w:bCs w:val="0"/>
              </w:rPr>
              <w:fldChar w:fldCharType="end"/>
            </w:r>
            <w:r w:rsidRPr="008B02E0">
              <w:rPr>
                <w:bCs w:val="0"/>
              </w:rPr>
              <w:t xml:space="preserve">Nurse practitioners </w:t>
            </w:r>
            <w:r w:rsidRPr="008B02E0">
              <w:rPr>
                <w:bCs w:val="0"/>
              </w:rPr>
              <w:fldChar w:fldCharType="begin">
                <w:ffData>
                  <w:name w:val=""/>
                  <w:enabled/>
                  <w:calcOnExit w:val="0"/>
                  <w:checkBox>
                    <w:sizeAuto/>
                    <w:default w:val="0"/>
                  </w:checkBox>
                </w:ffData>
              </w:fldChar>
            </w:r>
            <w:r w:rsidRPr="008B02E0">
              <w:rPr>
                <w:bCs w:val="0"/>
              </w:rPr>
              <w:instrText xml:space="preserve"> FORMCHECKBOX </w:instrText>
            </w:r>
            <w:r w:rsidRPr="008B02E0">
              <w:rPr>
                <w:bCs w:val="0"/>
              </w:rPr>
            </w:r>
            <w:r w:rsidRPr="008B02E0">
              <w:rPr>
                <w:bCs w:val="0"/>
              </w:rPr>
              <w:fldChar w:fldCharType="separate"/>
            </w:r>
            <w:r w:rsidRPr="008B02E0">
              <w:rPr>
                <w:bCs w:val="0"/>
              </w:rPr>
              <w:fldChar w:fldCharType="end"/>
            </w:r>
            <w:r w:rsidRPr="008B02E0">
              <w:rPr>
                <w:bCs w:val="0"/>
              </w:rPr>
              <w:t>Optometrists</w:t>
            </w:r>
            <w:r w:rsidRPr="008B02E0">
              <w:rPr>
                <w:b/>
              </w:rPr>
              <w:t xml:space="preserve"> </w:t>
            </w:r>
            <w:r w:rsidRPr="008B02E0">
              <w:rPr>
                <w:b/>
              </w:rPr>
              <w:fldChar w:fldCharType="begin">
                <w:ffData>
                  <w:name w:val="Check5"/>
                  <w:enabled/>
                  <w:calcOnExit w:val="0"/>
                  <w:checkBox>
                    <w:sizeAuto/>
                    <w:default w:val="0"/>
                  </w:checkBox>
                </w:ffData>
              </w:fldChar>
            </w:r>
            <w:r w:rsidRPr="008B02E0">
              <w:rPr>
                <w:b/>
              </w:rPr>
              <w:instrText xml:space="preserve"> FORMCHECKBOX </w:instrText>
            </w:r>
            <w:r w:rsidRPr="008B02E0">
              <w:rPr>
                <w:b/>
              </w:rPr>
            </w:r>
            <w:r w:rsidRPr="008B02E0">
              <w:rPr>
                <w:b/>
              </w:rPr>
              <w:fldChar w:fldCharType="separate"/>
            </w:r>
            <w:r w:rsidRPr="008B02E0">
              <w:rPr>
                <w:b/>
              </w:rPr>
              <w:fldChar w:fldCharType="end"/>
            </w:r>
          </w:p>
        </w:tc>
      </w:tr>
      <w:tr w:rsidR="00EB6430" w:rsidRPr="008B02E0" w14:paraId="1810BA96"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6E719FEA" w14:textId="77777777" w:rsidR="00EB6430" w:rsidRPr="008B02E0" w:rsidRDefault="00EB6430" w:rsidP="00AE5B32">
            <w:pPr>
              <w:pStyle w:val="TableText0"/>
              <w:keepNext w:val="0"/>
              <w:rPr>
                <w:b/>
              </w:rPr>
            </w:pPr>
            <w:r w:rsidRPr="008B02E0">
              <w:rPr>
                <w:b/>
              </w:rPr>
              <w:t xml:space="preserve">Restriction type: </w:t>
            </w:r>
            <w:r w:rsidRPr="008B02E0">
              <w:rPr>
                <w:b/>
              </w:rPr>
              <w:fldChar w:fldCharType="begin">
                <w:ffData>
                  <w:name w:val=""/>
                  <w:enabled/>
                  <w:calcOnExit w:val="0"/>
                  <w:checkBox>
                    <w:sizeAuto/>
                    <w:default w:val="1"/>
                  </w:checkBox>
                </w:ffData>
              </w:fldChar>
            </w:r>
            <w:r w:rsidRPr="008B02E0">
              <w:rPr>
                <w:b/>
              </w:rPr>
              <w:instrText xml:space="preserve"> FORMCHECKBOX </w:instrText>
            </w:r>
            <w:r w:rsidRPr="008B02E0">
              <w:rPr>
                <w:b/>
              </w:rPr>
            </w:r>
            <w:r w:rsidRPr="008B02E0">
              <w:rPr>
                <w:b/>
              </w:rPr>
              <w:fldChar w:fldCharType="separate"/>
            </w:r>
            <w:r w:rsidRPr="008B02E0">
              <w:rPr>
                <w:b/>
              </w:rPr>
              <w:fldChar w:fldCharType="end"/>
            </w:r>
            <w:r w:rsidRPr="008B02E0">
              <w:rPr>
                <w:bCs w:val="0"/>
              </w:rPr>
              <w:t>Authority Required (STREAMLINED)</w:t>
            </w:r>
            <w:r w:rsidRPr="008B02E0">
              <w:rPr>
                <w:b/>
              </w:rPr>
              <w:t xml:space="preserve"> </w:t>
            </w:r>
          </w:p>
        </w:tc>
      </w:tr>
      <w:tr w:rsidR="00EB6430" w:rsidRPr="008B02E0" w14:paraId="37F27289"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54D2D998" w14:textId="77777777" w:rsidR="00EB6430" w:rsidRPr="008B02E0" w:rsidRDefault="00EB6430" w:rsidP="00AE5B32">
            <w:pPr>
              <w:pStyle w:val="TableText0"/>
              <w:keepNext w:val="0"/>
              <w:rPr>
                <w:b/>
              </w:rPr>
            </w:pPr>
            <w:r w:rsidRPr="008B02E0">
              <w:rPr>
                <w:b/>
              </w:rPr>
              <w:t xml:space="preserve">Indication: </w:t>
            </w:r>
            <w:r w:rsidRPr="008B02E0">
              <w:rPr>
                <w:bCs w:val="0"/>
              </w:rPr>
              <w:t>Microsatellite instability high or mismatch repair deficient unresectable or metastatic colorectal cancer</w:t>
            </w:r>
          </w:p>
        </w:tc>
      </w:tr>
      <w:tr w:rsidR="00EB6430" w:rsidRPr="008B02E0" w14:paraId="659FE0CA"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6B20D532" w14:textId="77777777" w:rsidR="00EB6430" w:rsidRPr="008B02E0" w:rsidRDefault="00EB6430" w:rsidP="00AE5B32">
            <w:pPr>
              <w:pStyle w:val="TableText0"/>
              <w:keepNext w:val="0"/>
              <w:rPr>
                <w:b/>
              </w:rPr>
            </w:pPr>
            <w:r w:rsidRPr="008B02E0">
              <w:rPr>
                <w:b/>
              </w:rPr>
              <w:t xml:space="preserve">Treatment Phase: </w:t>
            </w:r>
            <w:r w:rsidRPr="008B02E0">
              <w:rPr>
                <w:bCs w:val="0"/>
              </w:rPr>
              <w:t>Initial treatment</w:t>
            </w:r>
          </w:p>
        </w:tc>
      </w:tr>
      <w:tr w:rsidR="00EB6430" w:rsidRPr="008B02E0" w14:paraId="54A4EF57"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417F8883" w14:textId="77777777" w:rsidR="00EB6430" w:rsidRPr="008B02E0" w:rsidRDefault="00EB6430" w:rsidP="00AE5B32">
            <w:pPr>
              <w:pStyle w:val="TableText0"/>
              <w:keepNext w:val="0"/>
              <w:rPr>
                <w:b/>
              </w:rPr>
            </w:pPr>
            <w:r w:rsidRPr="008B02E0">
              <w:rPr>
                <w:b/>
              </w:rPr>
              <w:t>Clinical criteria:</w:t>
            </w:r>
          </w:p>
        </w:tc>
      </w:tr>
      <w:tr w:rsidR="00EB6430" w:rsidRPr="008B02E0" w14:paraId="5A0118DB"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567ED012" w14:textId="77777777" w:rsidR="00EB6430" w:rsidRPr="008B02E0" w:rsidRDefault="00EB6430" w:rsidP="00AE5B32">
            <w:pPr>
              <w:pStyle w:val="TableText0"/>
              <w:keepNext w:val="0"/>
              <w:rPr>
                <w:bCs w:val="0"/>
              </w:rPr>
            </w:pPr>
            <w:r w:rsidRPr="008B02E0">
              <w:rPr>
                <w:bCs w:val="0"/>
              </w:rPr>
              <w:t>Patient must have a WHO performance status of 0 or 1.</w:t>
            </w:r>
          </w:p>
        </w:tc>
      </w:tr>
      <w:tr w:rsidR="00EB6430" w:rsidRPr="008B02E0" w14:paraId="2519012D"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77236CFC" w14:textId="77777777" w:rsidR="00EB6430" w:rsidRPr="008B02E0" w:rsidRDefault="00EB6430" w:rsidP="00AE5B32">
            <w:pPr>
              <w:pStyle w:val="TableText0"/>
              <w:keepNext w:val="0"/>
              <w:rPr>
                <w:b/>
              </w:rPr>
            </w:pPr>
            <w:r w:rsidRPr="008B02E0">
              <w:rPr>
                <w:b/>
              </w:rPr>
              <w:t>AND</w:t>
            </w:r>
          </w:p>
        </w:tc>
      </w:tr>
      <w:tr w:rsidR="00EB6430" w:rsidRPr="008B02E0" w14:paraId="2AC5B64A"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4B4ED81D" w14:textId="77777777" w:rsidR="00EB6430" w:rsidRPr="008B02E0" w:rsidRDefault="00EB6430" w:rsidP="00AE5B32">
            <w:pPr>
              <w:pStyle w:val="TableText0"/>
              <w:keepNext w:val="0"/>
              <w:rPr>
                <w:b/>
              </w:rPr>
            </w:pPr>
            <w:r w:rsidRPr="008B02E0">
              <w:rPr>
                <w:b/>
              </w:rPr>
              <w:t>Clinical criteria:</w:t>
            </w:r>
          </w:p>
        </w:tc>
      </w:tr>
      <w:tr w:rsidR="00EB6430" w:rsidRPr="008B02E0" w14:paraId="552BF6DD"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7DEF01FB" w14:textId="65AA8D52" w:rsidR="00EB6430" w:rsidRPr="008B02E0" w:rsidRDefault="00EB6430" w:rsidP="00AE5B32">
            <w:pPr>
              <w:pStyle w:val="TableText0"/>
              <w:keepNext w:val="0"/>
              <w:rPr>
                <w:bCs w:val="0"/>
              </w:rPr>
            </w:pPr>
            <w:r w:rsidRPr="008B02E0">
              <w:rPr>
                <w:bCs w:val="0"/>
              </w:rPr>
              <w:t>Patient must not have previously received PBS</w:t>
            </w:r>
            <w:r w:rsidR="009E5502">
              <w:rPr>
                <w:bCs w:val="0"/>
              </w:rPr>
              <w:noBreakHyphen/>
            </w:r>
            <w:r w:rsidRPr="008B02E0">
              <w:rPr>
                <w:bCs w:val="0"/>
              </w:rPr>
              <w:t>subsidised therapy for this indication.</w:t>
            </w:r>
          </w:p>
        </w:tc>
      </w:tr>
      <w:tr w:rsidR="00EB6430" w:rsidRPr="008B02E0" w14:paraId="2D26CABF"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12AA5FB8" w14:textId="77777777" w:rsidR="00EB6430" w:rsidRPr="008B02E0" w:rsidRDefault="00EB6430" w:rsidP="00AE5B32">
            <w:pPr>
              <w:pStyle w:val="TableText0"/>
              <w:keepNext w:val="0"/>
              <w:rPr>
                <w:b/>
              </w:rPr>
            </w:pPr>
            <w:r w:rsidRPr="008B02E0">
              <w:rPr>
                <w:b/>
              </w:rPr>
              <w:t>AND</w:t>
            </w:r>
          </w:p>
        </w:tc>
      </w:tr>
      <w:tr w:rsidR="00EB6430" w:rsidRPr="008B02E0" w14:paraId="6952042D"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443CBE01" w14:textId="77777777" w:rsidR="00EB6430" w:rsidRPr="008B02E0" w:rsidRDefault="00EB6430" w:rsidP="00AE5B32">
            <w:pPr>
              <w:pStyle w:val="TableText0"/>
              <w:keepNext w:val="0"/>
              <w:rPr>
                <w:b/>
              </w:rPr>
            </w:pPr>
            <w:r w:rsidRPr="008B02E0">
              <w:rPr>
                <w:b/>
              </w:rPr>
              <w:t>Clinical criteria:</w:t>
            </w:r>
          </w:p>
        </w:tc>
      </w:tr>
      <w:tr w:rsidR="00EB6430" w:rsidRPr="008B02E0" w14:paraId="192EA4A8"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0A772E0F" w14:textId="22B8ED47" w:rsidR="00EB6430" w:rsidRPr="008B02E0" w:rsidRDefault="00EB6430" w:rsidP="00AE5B32">
            <w:pPr>
              <w:pStyle w:val="TableText0"/>
              <w:keepNext w:val="0"/>
              <w:rPr>
                <w:bCs w:val="0"/>
              </w:rPr>
            </w:pPr>
            <w:r w:rsidRPr="008B02E0">
              <w:rPr>
                <w:bCs w:val="0"/>
              </w:rPr>
              <w:t>Patient must have mismatch repair deficient (dMMR) or microsatellite instability high (MSI</w:t>
            </w:r>
            <w:r w:rsidR="009E5502">
              <w:rPr>
                <w:bCs w:val="0"/>
              </w:rPr>
              <w:noBreakHyphen/>
            </w:r>
            <w:r w:rsidRPr="008B02E0">
              <w:rPr>
                <w:bCs w:val="0"/>
              </w:rPr>
              <w:t>H) colorectal cancer, as determined by a validated test.</w:t>
            </w:r>
          </w:p>
        </w:tc>
      </w:tr>
      <w:tr w:rsidR="00EB6430" w:rsidRPr="008B02E0" w14:paraId="2A539431"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2D6F8524" w14:textId="77777777" w:rsidR="00EB6430" w:rsidRPr="008B02E0" w:rsidRDefault="00EB6430" w:rsidP="00AE5B32">
            <w:pPr>
              <w:pStyle w:val="TableText0"/>
              <w:keepNext w:val="0"/>
              <w:rPr>
                <w:b/>
              </w:rPr>
            </w:pPr>
            <w:r w:rsidRPr="008B02E0">
              <w:rPr>
                <w:b/>
              </w:rPr>
              <w:t>AND</w:t>
            </w:r>
          </w:p>
        </w:tc>
      </w:tr>
      <w:tr w:rsidR="00EB6430" w:rsidRPr="008B02E0" w14:paraId="47B39F27"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6368D4AB" w14:textId="77777777" w:rsidR="00EB6430" w:rsidRPr="008B02E0" w:rsidRDefault="00EB6430" w:rsidP="00AE5B32">
            <w:pPr>
              <w:pStyle w:val="TableText0"/>
              <w:keepNext w:val="0"/>
              <w:rPr>
                <w:b/>
              </w:rPr>
            </w:pPr>
            <w:r w:rsidRPr="008B02E0">
              <w:rPr>
                <w:b/>
              </w:rPr>
              <w:t>Clinical criteria:</w:t>
            </w:r>
          </w:p>
        </w:tc>
      </w:tr>
      <w:tr w:rsidR="00EB6430" w:rsidRPr="008B02E0" w14:paraId="42244E96"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50ED7EBF" w14:textId="77777777" w:rsidR="00EB6430" w:rsidRPr="008B02E0" w:rsidRDefault="00EB6430" w:rsidP="00AE5B32">
            <w:pPr>
              <w:pStyle w:val="TableText0"/>
              <w:keepNext w:val="0"/>
              <w:rPr>
                <w:bCs w:val="0"/>
              </w:rPr>
            </w:pPr>
            <w:r w:rsidRPr="008B02E0">
              <w:rPr>
                <w:bCs w:val="0"/>
              </w:rPr>
              <w:t>The treatment must be initiated in combination with nivolumab.</w:t>
            </w:r>
          </w:p>
        </w:tc>
      </w:tr>
      <w:tr w:rsidR="00EB6430" w:rsidRPr="008B02E0" w14:paraId="23A0CF00"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05E7AB3C" w14:textId="77777777" w:rsidR="00EB6430" w:rsidRPr="008B02E0" w:rsidRDefault="00EB6430" w:rsidP="00AE5B32">
            <w:pPr>
              <w:pStyle w:val="TableText0"/>
              <w:keepNext w:val="0"/>
              <w:rPr>
                <w:b/>
              </w:rPr>
            </w:pPr>
            <w:r w:rsidRPr="008B02E0">
              <w:rPr>
                <w:b/>
              </w:rPr>
              <w:t>Treatment criteria:</w:t>
            </w:r>
          </w:p>
        </w:tc>
      </w:tr>
      <w:tr w:rsidR="00EB6430" w:rsidRPr="008B02E0" w14:paraId="64A8A985"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6B32014C" w14:textId="77777777" w:rsidR="00EB6430" w:rsidRPr="008B02E0" w:rsidRDefault="00EB6430" w:rsidP="00AE5B32">
            <w:pPr>
              <w:pStyle w:val="TableText0"/>
              <w:keepNext w:val="0"/>
              <w:rPr>
                <w:bCs w:val="0"/>
              </w:rPr>
            </w:pPr>
            <w:r w:rsidRPr="008B02E0">
              <w:rPr>
                <w:bCs w:val="0"/>
              </w:rPr>
              <w:t>Induction treatment with ipilimumab must not exceed a total of 4 doses at a maximum dose of 1 mg per kg every 3 weeks.</w:t>
            </w:r>
          </w:p>
          <w:p w14:paraId="7868B9B1" w14:textId="77777777" w:rsidR="00EB6430" w:rsidRPr="008B02E0" w:rsidRDefault="00EB6430" w:rsidP="00AE5B32">
            <w:pPr>
              <w:pStyle w:val="TableText0"/>
              <w:keepNext w:val="0"/>
              <w:rPr>
                <w:b/>
              </w:rPr>
            </w:pPr>
            <w:r w:rsidRPr="008B02E0">
              <w:rPr>
                <w:bCs w:val="0"/>
              </w:rPr>
              <w:t>The patient's body weight must be documented in the patient's medical records at the time treatment is initiated</w:t>
            </w:r>
            <w:r w:rsidRPr="008B02E0">
              <w:rPr>
                <w:b/>
              </w:rPr>
              <w:t>.</w:t>
            </w:r>
          </w:p>
        </w:tc>
      </w:tr>
      <w:tr w:rsidR="00EB6430" w:rsidRPr="008B02E0" w14:paraId="78FC9C44"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357C34A6" w14:textId="77777777" w:rsidR="00EB6430" w:rsidRPr="008B02E0" w:rsidRDefault="00EB6430" w:rsidP="00AE5B32">
            <w:pPr>
              <w:pStyle w:val="TableText0"/>
              <w:keepNext w:val="0"/>
              <w:rPr>
                <w:b/>
              </w:rPr>
            </w:pPr>
            <w:r w:rsidRPr="008B02E0">
              <w:rPr>
                <w:b/>
              </w:rPr>
              <w:t xml:space="preserve">Prescribing Instructions: </w:t>
            </w:r>
            <w:r w:rsidRPr="008B02E0">
              <w:rPr>
                <w:bCs w:val="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EB6430" w:rsidRPr="008B02E0" w14:paraId="46A8B1BC"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0E03E65A" w14:textId="77777777" w:rsidR="00EB6430" w:rsidRPr="008B02E0" w:rsidRDefault="00EB6430" w:rsidP="00AE5B32">
            <w:pPr>
              <w:pStyle w:val="TableText0"/>
              <w:keepNext w:val="0"/>
              <w:rPr>
                <w:b/>
              </w:rPr>
            </w:pPr>
            <w:r w:rsidRPr="008B02E0">
              <w:rPr>
                <w:b/>
              </w:rPr>
              <w:t xml:space="preserve">Administrative Advice: </w:t>
            </w:r>
            <w:r w:rsidRPr="008B02E0">
              <w:rPr>
                <w:bCs w:val="0"/>
              </w:rPr>
              <w:t>No increase in the maximum number of repeats may be authorised.</w:t>
            </w:r>
          </w:p>
        </w:tc>
      </w:tr>
      <w:tr w:rsidR="00EB6430" w:rsidRPr="008B02E0" w14:paraId="21E3AF93" w14:textId="77777777" w:rsidTr="00D17F3A">
        <w:trPr>
          <w:cantSplit/>
          <w:trHeight w:val="20"/>
        </w:trPr>
        <w:tc>
          <w:tcPr>
            <w:tcW w:w="5000" w:type="pct"/>
            <w:tcBorders>
              <w:top w:val="single" w:sz="4" w:space="0" w:color="auto"/>
              <w:left w:val="single" w:sz="4" w:space="0" w:color="auto"/>
              <w:bottom w:val="single" w:sz="4" w:space="0" w:color="auto"/>
              <w:right w:val="single" w:sz="4" w:space="0" w:color="auto"/>
            </w:tcBorders>
          </w:tcPr>
          <w:p w14:paraId="50B74520" w14:textId="08DA3F65" w:rsidR="00EB6430" w:rsidRPr="008B02E0" w:rsidRDefault="00EB6430" w:rsidP="00AE5B32">
            <w:pPr>
              <w:pStyle w:val="TableText0"/>
              <w:keepNext w:val="0"/>
              <w:rPr>
                <w:b/>
              </w:rPr>
            </w:pPr>
            <w:r w:rsidRPr="008B02E0">
              <w:rPr>
                <w:b/>
              </w:rPr>
              <w:lastRenderedPageBreak/>
              <w:t xml:space="preserve">Caution: </w:t>
            </w:r>
            <w:r w:rsidRPr="008B02E0">
              <w:rPr>
                <w:bCs w:val="0"/>
              </w:rPr>
              <w:t>Combination treatment with ipilimumab and nivolumab is associated with an increased incidence and severity of immune</w:t>
            </w:r>
            <w:r w:rsidR="009E5502">
              <w:rPr>
                <w:bCs w:val="0"/>
              </w:rPr>
              <w:noBreakHyphen/>
            </w:r>
            <w:r w:rsidRPr="008B02E0">
              <w:rPr>
                <w:bCs w:val="0"/>
              </w:rPr>
              <w:t>related adverse reactions compared with monotherapy with these agents. Monitoring at least prior to each dose is recommended.</w:t>
            </w:r>
          </w:p>
        </w:tc>
      </w:tr>
    </w:tbl>
    <w:p w14:paraId="78A3B3FE" w14:textId="26B732F7" w:rsidR="007A1D78" w:rsidRPr="008B02E0" w:rsidRDefault="00390BDD" w:rsidP="00AE5B32">
      <w:pPr>
        <w:pStyle w:val="3-BodyText"/>
      </w:pPr>
      <w:r w:rsidRPr="008B02E0">
        <w:t>The submission pro</w:t>
      </w:r>
      <w:r w:rsidR="00877C6A" w:rsidRPr="008B02E0">
        <w:t>po</w:t>
      </w:r>
      <w:r w:rsidRPr="008B02E0">
        <w:t>sed</w:t>
      </w:r>
      <w:r w:rsidR="00DE3B7B" w:rsidRPr="008B02E0">
        <w:t xml:space="preserve"> </w:t>
      </w:r>
      <w:r w:rsidR="007B4009" w:rsidRPr="008B02E0">
        <w:t xml:space="preserve">an </w:t>
      </w:r>
      <w:r w:rsidR="009675D5" w:rsidRPr="008B02E0">
        <w:t xml:space="preserve">effective </w:t>
      </w:r>
      <w:r w:rsidRPr="008B02E0">
        <w:t>ex</w:t>
      </w:r>
      <w:r w:rsidR="009E5502">
        <w:noBreakHyphen/>
      </w:r>
      <w:r w:rsidRPr="008B02E0">
        <w:t>manufacturer price</w:t>
      </w:r>
      <w:r w:rsidR="009675D5" w:rsidRPr="008B02E0">
        <w:t xml:space="preserve"> (EMP)</w:t>
      </w:r>
      <w:r w:rsidR="004167F5" w:rsidRPr="008B02E0">
        <w:t xml:space="preserve"> </w:t>
      </w:r>
      <w:r w:rsidR="00D27E8A" w:rsidRPr="008B02E0">
        <w:t xml:space="preserve">of </w:t>
      </w:r>
      <w:r w:rsidR="009675D5" w:rsidRPr="008B02E0">
        <w:t>$</w:t>
      </w:r>
      <w:r w:rsidR="00E11347" w:rsidRPr="00E11347">
        <w:rPr>
          <w:color w:val="000000"/>
          <w:w w:val="59"/>
          <w:shd w:val="solid" w:color="000000" w:fill="000000"/>
          <w:fitText w:val="460" w:id="-628963578"/>
          <w14:textFill>
            <w14:solidFill>
              <w14:srgbClr w14:val="000000">
                <w14:alpha w14:val="100000"/>
              </w14:srgbClr>
            </w14:solidFill>
          </w14:textFill>
        </w:rPr>
        <w:t>|||  ||</w:t>
      </w:r>
      <w:r w:rsidR="00E11347" w:rsidRPr="00E11347">
        <w:rPr>
          <w:color w:val="000000"/>
          <w:spacing w:val="5"/>
          <w:w w:val="59"/>
          <w:shd w:val="solid" w:color="000000" w:fill="000000"/>
          <w:fitText w:val="460" w:id="-628963578"/>
          <w14:textFill>
            <w14:solidFill>
              <w14:srgbClr w14:val="000000">
                <w14:alpha w14:val="100000"/>
              </w14:srgbClr>
            </w14:solidFill>
          </w14:textFill>
        </w:rPr>
        <w:t>|</w:t>
      </w:r>
      <w:r w:rsidR="009675D5" w:rsidRPr="008B02E0">
        <w:t xml:space="preserve"> </w:t>
      </w:r>
      <w:r w:rsidR="00D27E8A" w:rsidRPr="008B02E0">
        <w:t xml:space="preserve">per </w:t>
      </w:r>
      <w:r w:rsidR="009675D5" w:rsidRPr="008B02E0">
        <w:t>40</w:t>
      </w:r>
      <w:r w:rsidR="002919C8" w:rsidRPr="008B02E0">
        <w:t> </w:t>
      </w:r>
      <w:r w:rsidR="009675D5" w:rsidRPr="008B02E0">
        <w:t>mg</w:t>
      </w:r>
      <w:r w:rsidR="00D27E8A" w:rsidRPr="008B02E0">
        <w:t xml:space="preserve"> </w:t>
      </w:r>
      <w:r w:rsidR="004F7F21" w:rsidRPr="008B02E0">
        <w:t xml:space="preserve">vial </w:t>
      </w:r>
      <w:r w:rsidR="00D27E8A" w:rsidRPr="008B02E0">
        <w:t>of nivolumab</w:t>
      </w:r>
      <w:r w:rsidR="00D76080" w:rsidRPr="008B02E0">
        <w:t xml:space="preserve"> and </w:t>
      </w:r>
      <w:r w:rsidR="009675D5" w:rsidRPr="008B02E0">
        <w:t>$</w:t>
      </w:r>
      <w:r w:rsidR="00E11347" w:rsidRPr="00E11347">
        <w:rPr>
          <w:color w:val="000000"/>
          <w:w w:val="59"/>
          <w:shd w:val="solid" w:color="000000" w:fill="000000"/>
          <w:fitText w:val="460" w:id="-628963577"/>
          <w14:textFill>
            <w14:solidFill>
              <w14:srgbClr w14:val="000000">
                <w14:alpha w14:val="100000"/>
              </w14:srgbClr>
            </w14:solidFill>
          </w14:textFill>
        </w:rPr>
        <w:t>|||  ||</w:t>
      </w:r>
      <w:r w:rsidR="00E11347" w:rsidRPr="00E11347">
        <w:rPr>
          <w:color w:val="000000"/>
          <w:spacing w:val="5"/>
          <w:w w:val="59"/>
          <w:shd w:val="solid" w:color="000000" w:fill="000000"/>
          <w:fitText w:val="460" w:id="-628963577"/>
          <w14:textFill>
            <w14:solidFill>
              <w14:srgbClr w14:val="000000">
                <w14:alpha w14:val="100000"/>
              </w14:srgbClr>
            </w14:solidFill>
          </w14:textFill>
        </w:rPr>
        <w:t>|</w:t>
      </w:r>
      <w:r w:rsidR="00877C6A" w:rsidRPr="008B02E0">
        <w:t xml:space="preserve"> </w:t>
      </w:r>
      <w:r w:rsidR="00D27E8A" w:rsidRPr="008B02E0">
        <w:t xml:space="preserve">per </w:t>
      </w:r>
      <w:r w:rsidR="00877C6A" w:rsidRPr="008B02E0">
        <w:t>100</w:t>
      </w:r>
      <w:r w:rsidR="002919C8" w:rsidRPr="008B02E0">
        <w:t> </w:t>
      </w:r>
      <w:r w:rsidR="00877C6A" w:rsidRPr="008B02E0">
        <w:t>mg</w:t>
      </w:r>
      <w:r w:rsidR="004F7F21" w:rsidRPr="008B02E0">
        <w:t xml:space="preserve"> vial</w:t>
      </w:r>
      <w:r w:rsidR="00D27E8A" w:rsidRPr="008B02E0">
        <w:t xml:space="preserve"> of nivolumab</w:t>
      </w:r>
      <w:r w:rsidR="008B49C3" w:rsidRPr="008B02E0">
        <w:t xml:space="preserve"> and </w:t>
      </w:r>
      <w:r w:rsidR="00D76080" w:rsidRPr="008B02E0">
        <w:t xml:space="preserve">an </w:t>
      </w:r>
      <w:r w:rsidR="00CA6DE5" w:rsidRPr="008B02E0">
        <w:t>EMP of</w:t>
      </w:r>
      <w:r w:rsidR="00FD4551" w:rsidRPr="008B02E0">
        <w:t xml:space="preserve"> </w:t>
      </w:r>
      <w:r w:rsidR="00AC4659" w:rsidRPr="008B02E0">
        <w:t>$</w:t>
      </w:r>
      <w:r w:rsidR="00E11347" w:rsidRPr="00E11347">
        <w:rPr>
          <w:color w:val="000000"/>
          <w:w w:val="61"/>
          <w:shd w:val="solid" w:color="000000" w:fill="000000"/>
          <w:fitText w:val="475" w:id="-628963576"/>
          <w14:textFill>
            <w14:solidFill>
              <w14:srgbClr w14:val="000000">
                <w14:alpha w14:val="100000"/>
              </w14:srgbClr>
            </w14:solidFill>
          </w14:textFill>
        </w:rPr>
        <w:t>|||  ||</w:t>
      </w:r>
      <w:r w:rsidR="00E11347" w:rsidRPr="00E11347">
        <w:rPr>
          <w:color w:val="000000"/>
          <w:spacing w:val="5"/>
          <w:w w:val="61"/>
          <w:shd w:val="solid" w:color="000000" w:fill="000000"/>
          <w:fitText w:val="475" w:id="-628963576"/>
          <w14:textFill>
            <w14:solidFill>
              <w14:srgbClr w14:val="000000">
                <w14:alpha w14:val="100000"/>
              </w14:srgbClr>
            </w14:solidFill>
          </w14:textFill>
        </w:rPr>
        <w:t>|</w:t>
      </w:r>
      <w:r w:rsidR="00CC039E" w:rsidRPr="008B02E0">
        <w:t xml:space="preserve"> </w:t>
      </w:r>
      <w:r w:rsidR="008B49C3" w:rsidRPr="008B02E0">
        <w:t xml:space="preserve">per 50 mg vial for </w:t>
      </w:r>
      <w:r w:rsidR="00CC039E" w:rsidRPr="008B02E0">
        <w:t>ipilimumab.</w:t>
      </w:r>
      <w:r w:rsidR="00665596" w:rsidRPr="008B02E0">
        <w:t xml:space="preserve"> </w:t>
      </w:r>
      <w:r w:rsidR="00EB6430" w:rsidRPr="008B02E0">
        <w:t xml:space="preserve">The submission requested a </w:t>
      </w:r>
      <w:r w:rsidR="00E11347" w:rsidRPr="00E11347">
        <w:rPr>
          <w:color w:val="000000"/>
          <w:w w:val="61"/>
          <w:shd w:val="solid" w:color="000000" w:fill="000000"/>
          <w:fitText w:val="475" w:id="-628963575"/>
          <w14:textFill>
            <w14:solidFill>
              <w14:srgbClr w14:val="000000">
                <w14:alpha w14:val="100000"/>
              </w14:srgbClr>
            </w14:solidFill>
          </w14:textFill>
        </w:rPr>
        <w:t>|||  ||</w:t>
      </w:r>
      <w:r w:rsidR="00E11347" w:rsidRPr="00E11347">
        <w:rPr>
          <w:color w:val="000000"/>
          <w:spacing w:val="5"/>
          <w:w w:val="61"/>
          <w:shd w:val="solid" w:color="000000" w:fill="000000"/>
          <w:fitText w:val="475" w:id="-628963575"/>
          <w14:textFill>
            <w14:solidFill>
              <w14:srgbClr w14:val="000000">
                <w14:alpha w14:val="100000"/>
              </w14:srgbClr>
            </w14:solidFill>
          </w14:textFill>
        </w:rPr>
        <w:t>|</w:t>
      </w:r>
      <w:r w:rsidR="00EB6430" w:rsidRPr="00FD509B">
        <w:t>(40</w:t>
      </w:r>
      <w:r w:rsidR="002919C8" w:rsidRPr="00FD509B">
        <w:t> </w:t>
      </w:r>
      <w:r w:rsidR="00EB6430" w:rsidRPr="00FD509B">
        <w:t>mg $789.13, 100</w:t>
      </w:r>
      <w:r w:rsidR="002919C8" w:rsidRPr="00FD509B">
        <w:t> </w:t>
      </w:r>
      <w:r w:rsidR="00EB6430" w:rsidRPr="00FD509B">
        <w:t>mg $1,972.83)</w:t>
      </w:r>
      <w:r w:rsidR="00EB6430" w:rsidRPr="008B02E0">
        <w:t xml:space="preserve"> for nivolumab. Ipilimumab was </w:t>
      </w:r>
      <w:r w:rsidR="00E11347" w:rsidRPr="00E11347">
        <w:rPr>
          <w:color w:val="000000"/>
          <w:w w:val="61"/>
          <w:shd w:val="solid" w:color="000000" w:fill="000000"/>
          <w:fitText w:val="475" w:id="-628963574"/>
          <w14:textFill>
            <w14:solidFill>
              <w14:srgbClr w14:val="000000">
                <w14:alpha w14:val="100000"/>
              </w14:srgbClr>
            </w14:solidFill>
          </w14:textFill>
        </w:rPr>
        <w:t>|||  ||</w:t>
      </w:r>
      <w:r w:rsidR="00E11347" w:rsidRPr="00E11347">
        <w:rPr>
          <w:color w:val="000000"/>
          <w:spacing w:val="5"/>
          <w:w w:val="61"/>
          <w:shd w:val="solid" w:color="000000" w:fill="000000"/>
          <w:fitText w:val="475" w:id="-628963574"/>
          <w14:textFill>
            <w14:solidFill>
              <w14:srgbClr w14:val="000000">
                <w14:alpha w14:val="100000"/>
              </w14:srgbClr>
            </w14:solidFill>
          </w14:textFill>
        </w:rPr>
        <w:t>|</w:t>
      </w:r>
      <w:r w:rsidR="00EB6430" w:rsidRPr="008B02E0">
        <w:t xml:space="preserve">. </w:t>
      </w:r>
      <w:r w:rsidR="00577C6A" w:rsidRPr="008B02E0">
        <w:t xml:space="preserve">The submission </w:t>
      </w:r>
      <w:r w:rsidR="008116B0" w:rsidRPr="00B542C9">
        <w:rPr>
          <w:color w:val="000000"/>
          <w:w w:val="15"/>
          <w:shd w:val="solid" w:color="000000" w:fill="000000"/>
          <w:fitText w:val="-20" w:id="-626331904"/>
          <w14:textFill>
            <w14:solidFill>
              <w14:srgbClr w14:val="000000">
                <w14:alpha w14:val="100000"/>
              </w14:srgbClr>
            </w14:solidFill>
          </w14:textFill>
        </w:rPr>
        <w:t xml:space="preserve">|  </w:t>
      </w:r>
      <w:r w:rsidR="008116B0" w:rsidRPr="00B542C9">
        <w:rPr>
          <w:color w:val="000000"/>
          <w:spacing w:val="-69"/>
          <w:w w:val="15"/>
          <w:shd w:val="solid" w:color="000000" w:fill="000000"/>
          <w:fitText w:val="-20" w:id="-626331904"/>
          <w14:textFill>
            <w14:solidFill>
              <w14:srgbClr w14:val="000000">
                <w14:alpha w14:val="100000"/>
              </w14:srgbClr>
            </w14:solidFill>
          </w14:textFill>
        </w:rPr>
        <w:t>|</w:t>
      </w:r>
      <w:r w:rsidR="008116B0">
        <w:t xml:space="preserve"> </w:t>
      </w:r>
      <w:r w:rsidR="008116B0" w:rsidRPr="008116B0">
        <w:rPr>
          <w:color w:val="000000"/>
          <w:w w:val="31"/>
          <w:shd w:val="solid" w:color="000000" w:fill="000000"/>
          <w:fitText w:val="105" w:id="-626331903"/>
          <w14:textFill>
            <w14:solidFill>
              <w14:srgbClr w14:val="000000">
                <w14:alpha w14:val="100000"/>
              </w14:srgbClr>
            </w14:solidFill>
          </w14:textFill>
        </w:rPr>
        <w:t>|  |</w:t>
      </w:r>
      <w:r w:rsidR="00577C6A" w:rsidRPr="008B02E0">
        <w:t xml:space="preserve"> special pricing arrangement; however, it was noted that if the PBAC recommended price </w:t>
      </w:r>
      <w:r w:rsidR="002A23EB" w:rsidRPr="00B542C9">
        <w:rPr>
          <w:color w:val="000000"/>
          <w:w w:val="15"/>
          <w:shd w:val="solid" w:color="000000" w:fill="000000"/>
          <w:fitText w:val="-20" w:id="-626331648"/>
          <w14:textFill>
            <w14:solidFill>
              <w14:srgbClr w14:val="000000">
                <w14:alpha w14:val="100000"/>
              </w14:srgbClr>
            </w14:solidFill>
          </w14:textFill>
        </w:rPr>
        <w:t xml:space="preserve">|  </w:t>
      </w:r>
      <w:r w:rsidR="002A23EB" w:rsidRPr="00B542C9">
        <w:rPr>
          <w:color w:val="000000"/>
          <w:spacing w:val="-69"/>
          <w:w w:val="15"/>
          <w:shd w:val="solid" w:color="000000" w:fill="000000"/>
          <w:fitText w:val="-20" w:id="-626331648"/>
          <w14:textFill>
            <w14:solidFill>
              <w14:srgbClr w14:val="000000">
                <w14:alpha w14:val="100000"/>
              </w14:srgbClr>
            </w14:solidFill>
          </w14:textFill>
        </w:rPr>
        <w:t>|</w:t>
      </w:r>
      <w:r w:rsidR="002A23EB">
        <w:t xml:space="preserve"> </w:t>
      </w:r>
      <w:r w:rsidR="002A23EB" w:rsidRPr="00B542C9">
        <w:rPr>
          <w:color w:val="000000"/>
          <w:w w:val="15"/>
          <w:shd w:val="solid" w:color="000000" w:fill="000000"/>
          <w:fitText w:val="-20" w:id="-626331647"/>
          <w14:textFill>
            <w14:solidFill>
              <w14:srgbClr w14:val="000000">
                <w14:alpha w14:val="100000"/>
              </w14:srgbClr>
            </w14:solidFill>
          </w14:textFill>
        </w:rPr>
        <w:t xml:space="preserve">|  </w:t>
      </w:r>
      <w:r w:rsidR="002A23EB" w:rsidRPr="00B542C9">
        <w:rPr>
          <w:color w:val="000000"/>
          <w:spacing w:val="-69"/>
          <w:w w:val="15"/>
          <w:shd w:val="solid" w:color="000000" w:fill="000000"/>
          <w:fitText w:val="-20" w:id="-626331647"/>
          <w14:textFill>
            <w14:solidFill>
              <w14:srgbClr w14:val="000000">
                <w14:alpha w14:val="100000"/>
              </w14:srgbClr>
            </w14:solidFill>
          </w14:textFill>
        </w:rPr>
        <w:t>|</w:t>
      </w:r>
      <w:r w:rsidR="002A23EB">
        <w:t xml:space="preserve"> </w:t>
      </w:r>
      <w:r w:rsidR="00577C6A" w:rsidRPr="008B02E0">
        <w:t>the current published price, a special pricing arrangement will be requested.</w:t>
      </w:r>
    </w:p>
    <w:p w14:paraId="32C91D09" w14:textId="059D9867" w:rsidR="00486554" w:rsidRPr="008B02E0" w:rsidRDefault="009C7593" w:rsidP="00AE5B32">
      <w:pPr>
        <w:pStyle w:val="3-BodyText"/>
      </w:pPr>
      <w:r w:rsidRPr="008B02E0">
        <w:t>The i</w:t>
      </w:r>
      <w:r w:rsidR="00614F0A" w:rsidRPr="008B02E0">
        <w:t>nitiation treatment phase includes</w:t>
      </w:r>
      <w:r w:rsidR="007A1D78" w:rsidRPr="008B02E0">
        <w:t xml:space="preserve"> a </w:t>
      </w:r>
      <w:r w:rsidR="00E528F5" w:rsidRPr="008B02E0">
        <w:t>240 </w:t>
      </w:r>
      <w:r w:rsidR="007A1D78" w:rsidRPr="008B02E0">
        <w:t>mg dose of nivolumab plus ipilimumab at a dose of 1</w:t>
      </w:r>
      <w:r w:rsidR="00E528F5" w:rsidRPr="008B02E0">
        <w:t> </w:t>
      </w:r>
      <w:r w:rsidR="007A1D78" w:rsidRPr="008B02E0">
        <w:t>mg/kg intravenously every 3 weeks for a maximum of four doses. This is followed by the continuation phase of nivolumab monotherapy given as one of three options: (i) 3</w:t>
      </w:r>
      <w:r w:rsidR="00E528F5" w:rsidRPr="008B02E0">
        <w:t> </w:t>
      </w:r>
      <w:r w:rsidR="007A1D78" w:rsidRPr="008B02E0">
        <w:t xml:space="preserve">mg/kg every 2 weeks; (ii) </w:t>
      </w:r>
      <w:r w:rsidR="00E528F5" w:rsidRPr="008B02E0">
        <w:t>240 </w:t>
      </w:r>
      <w:r w:rsidR="007A1D78" w:rsidRPr="008B02E0">
        <w:t xml:space="preserve">mg every 2 weeks; (iii) </w:t>
      </w:r>
      <w:r w:rsidR="00E528F5" w:rsidRPr="008B02E0">
        <w:t>480 </w:t>
      </w:r>
      <w:r w:rsidR="007A1D78" w:rsidRPr="008B02E0">
        <w:t xml:space="preserve">mg every 4 weeks. </w:t>
      </w:r>
      <w:r w:rsidR="0050735E" w:rsidRPr="008B02E0">
        <w:t>A maximum treatment duration</w:t>
      </w:r>
      <w:r w:rsidR="007A1D78" w:rsidRPr="008B02E0">
        <w:t xml:space="preserve"> </w:t>
      </w:r>
      <w:r w:rsidR="0050735E" w:rsidRPr="008B02E0">
        <w:t xml:space="preserve">of </w:t>
      </w:r>
      <w:r w:rsidR="00486554" w:rsidRPr="008B02E0">
        <w:t>24 months</w:t>
      </w:r>
      <w:r w:rsidR="0006283E" w:rsidRPr="008B02E0">
        <w:t xml:space="preserve"> was proposed</w:t>
      </w:r>
      <w:r w:rsidR="007A1D78" w:rsidRPr="008B02E0">
        <w:t>.</w:t>
      </w:r>
      <w:r w:rsidR="00A00AFA" w:rsidRPr="008B02E0">
        <w:rPr>
          <w:rFonts w:cstheme="minorHAnsi"/>
          <w:iCs/>
        </w:rPr>
        <w:t xml:space="preserve"> </w:t>
      </w:r>
    </w:p>
    <w:p w14:paraId="5EDEBF33" w14:textId="02C94B6B" w:rsidR="00E56EA7" w:rsidRPr="008B02E0" w:rsidRDefault="00E56EA7" w:rsidP="00AE5B32">
      <w:pPr>
        <w:pStyle w:val="3-BodyText"/>
        <w:rPr>
          <w:iCs/>
        </w:rPr>
      </w:pPr>
      <w:r w:rsidRPr="008B02E0">
        <w:t xml:space="preserve">The submission stated that the proposed number of repeats for nivolumab was to match the maximum 4 ipilimumab doses in the initial period (3 repeats) and to facilitate 12 months of treatment in the continuing period (11 repeats). </w:t>
      </w:r>
    </w:p>
    <w:p w14:paraId="2E4D39C8" w14:textId="76162AC7" w:rsidR="00EB6430" w:rsidRPr="008B02E0" w:rsidRDefault="00486554" w:rsidP="00AE5B32">
      <w:pPr>
        <w:pStyle w:val="3-BodyText"/>
      </w:pPr>
      <w:r w:rsidRPr="008B02E0">
        <w:rPr>
          <w:rFonts w:cstheme="minorHAnsi"/>
        </w:rPr>
        <w:t>In addition to the maximum 24 months of treatment stopping rule</w:t>
      </w:r>
      <w:r w:rsidR="007B525A" w:rsidRPr="008B02E0">
        <w:rPr>
          <w:rFonts w:cstheme="minorHAnsi"/>
        </w:rPr>
        <w:t xml:space="preserve"> for continuing treatment</w:t>
      </w:r>
      <w:r w:rsidR="00604978" w:rsidRPr="008B02E0">
        <w:rPr>
          <w:rFonts w:cstheme="minorHAnsi"/>
        </w:rPr>
        <w:t xml:space="preserve"> (with nivolumab monotherapy)</w:t>
      </w:r>
      <w:r w:rsidRPr="008B02E0">
        <w:rPr>
          <w:rFonts w:cstheme="minorHAnsi"/>
        </w:rPr>
        <w:t xml:space="preserve">, the proposed </w:t>
      </w:r>
      <w:r w:rsidR="00604978" w:rsidRPr="008B02E0">
        <w:rPr>
          <w:rFonts w:cstheme="minorHAnsi"/>
        </w:rPr>
        <w:t xml:space="preserve">continuing </w:t>
      </w:r>
      <w:r w:rsidRPr="008B02E0">
        <w:rPr>
          <w:rFonts w:cstheme="minorHAnsi"/>
        </w:rPr>
        <w:t xml:space="preserve">restriction </w:t>
      </w:r>
      <w:r w:rsidR="009E5A2E" w:rsidRPr="008B02E0">
        <w:rPr>
          <w:rFonts w:cstheme="minorHAnsi"/>
        </w:rPr>
        <w:t xml:space="preserve">included </w:t>
      </w:r>
      <w:r w:rsidRPr="008B02E0">
        <w:rPr>
          <w:rFonts w:cstheme="minorHAnsi"/>
        </w:rPr>
        <w:t>a clinical criterion stating that patients must have ‘prescriber</w:t>
      </w:r>
      <w:r w:rsidR="009E5502">
        <w:rPr>
          <w:rFonts w:cstheme="minorHAnsi"/>
        </w:rPr>
        <w:noBreakHyphen/>
      </w:r>
      <w:r w:rsidRPr="008B02E0">
        <w:rPr>
          <w:rFonts w:cstheme="minorHAnsi"/>
        </w:rPr>
        <w:t xml:space="preserve">assessed clinical benefit and must be tolerating treatment’. This </w:t>
      </w:r>
      <w:r w:rsidR="00E528F5" w:rsidRPr="008B02E0">
        <w:rPr>
          <w:rFonts w:cstheme="minorHAnsi"/>
        </w:rPr>
        <w:t>c</w:t>
      </w:r>
      <w:r w:rsidRPr="008B02E0">
        <w:rPr>
          <w:rFonts w:cstheme="minorHAnsi"/>
        </w:rPr>
        <w:t>ould allow treatment beyond disease progression.</w:t>
      </w:r>
      <w:r w:rsidR="00E528F5" w:rsidRPr="008B02E0">
        <w:rPr>
          <w:rFonts w:cstheme="minorHAnsi"/>
        </w:rPr>
        <w:t xml:space="preserve"> </w:t>
      </w:r>
      <w:r w:rsidR="0017411D" w:rsidRPr="008B02E0">
        <w:rPr>
          <w:rFonts w:cstheme="minorHAnsi"/>
        </w:rPr>
        <w:t xml:space="preserve">The evaluation noted that </w:t>
      </w:r>
      <w:r w:rsidR="00AE62AE" w:rsidRPr="008B02E0">
        <w:rPr>
          <w:rFonts w:cstheme="minorHAnsi"/>
        </w:rPr>
        <w:t>n</w:t>
      </w:r>
      <w:r w:rsidR="0017082C" w:rsidRPr="008B02E0">
        <w:rPr>
          <w:rFonts w:cstheme="minorHAnsi"/>
        </w:rPr>
        <w:t>o evidence of a benefit of continuing treatment beyond disease progression was presented in the submission as patients in the key trial (CM</w:t>
      </w:r>
      <w:r w:rsidR="009E5502">
        <w:rPr>
          <w:rFonts w:cstheme="minorHAnsi"/>
        </w:rPr>
        <w:noBreakHyphen/>
      </w:r>
      <w:r w:rsidR="0017082C" w:rsidRPr="008B02E0">
        <w:rPr>
          <w:rFonts w:cstheme="minorHAnsi"/>
        </w:rPr>
        <w:t>8HW) discontinued treatment upon disease progression</w:t>
      </w:r>
      <w:r w:rsidR="0017082C" w:rsidRPr="008B02E0">
        <w:rPr>
          <w:rFonts w:cstheme="minorHAnsi"/>
          <w:iCs/>
        </w:rPr>
        <w:t xml:space="preserve">. </w:t>
      </w:r>
      <w:r w:rsidR="0017082C" w:rsidRPr="008B02E0">
        <w:rPr>
          <w:rFonts w:cstheme="minorHAnsi"/>
        </w:rPr>
        <w:t xml:space="preserve">The ESC considered that the PBS continuing restriction for nivolumab plus ipilimumab should align with the restriction </w:t>
      </w:r>
      <w:r w:rsidR="00DA7FED" w:rsidRPr="008B02E0">
        <w:rPr>
          <w:rFonts w:cstheme="minorHAnsi"/>
        </w:rPr>
        <w:t xml:space="preserve">for </w:t>
      </w:r>
      <w:r w:rsidR="0017082C" w:rsidRPr="008B02E0">
        <w:rPr>
          <w:rFonts w:cstheme="minorHAnsi"/>
        </w:rPr>
        <w:t>pembrolizumab, which states that patients ‘must not have progressive disease’.</w:t>
      </w:r>
      <w:r w:rsidR="0017082C" w:rsidRPr="008B02E0">
        <w:rPr>
          <w:rFonts w:cstheme="minorHAnsi"/>
          <w:iCs/>
        </w:rPr>
        <w:t xml:space="preserve"> </w:t>
      </w:r>
      <w:r w:rsidR="00FB7A02" w:rsidRPr="008B02E0">
        <w:rPr>
          <w:rFonts w:cstheme="minorHAnsi"/>
          <w:iCs/>
        </w:rPr>
        <w:t>The Pre</w:t>
      </w:r>
      <w:r w:rsidR="009E5502">
        <w:rPr>
          <w:rFonts w:cstheme="minorHAnsi"/>
          <w:iCs/>
        </w:rPr>
        <w:noBreakHyphen/>
      </w:r>
      <w:r w:rsidR="00FB7A02" w:rsidRPr="008B02E0">
        <w:rPr>
          <w:rFonts w:cstheme="minorHAnsi"/>
          <w:iCs/>
        </w:rPr>
        <w:t xml:space="preserve">PBAC Response maintained </w:t>
      </w:r>
      <w:r w:rsidR="00A27505" w:rsidRPr="008B02E0">
        <w:rPr>
          <w:rFonts w:cstheme="minorHAnsi"/>
          <w:iCs/>
        </w:rPr>
        <w:t>that the proposed wording</w:t>
      </w:r>
      <w:r w:rsidR="00C179BC" w:rsidRPr="008B02E0">
        <w:rPr>
          <w:rFonts w:cstheme="minorHAnsi"/>
          <w:iCs/>
        </w:rPr>
        <w:t xml:space="preserve"> for the continuing restriction is appropriate and </w:t>
      </w:r>
      <w:r w:rsidR="00D96816" w:rsidRPr="008B02E0">
        <w:rPr>
          <w:rFonts w:cstheme="minorHAnsi"/>
          <w:iCs/>
        </w:rPr>
        <w:t>noted that treatment beyond progression was permit</w:t>
      </w:r>
      <w:r w:rsidR="0010004D" w:rsidRPr="008B02E0">
        <w:rPr>
          <w:rFonts w:cstheme="minorHAnsi"/>
          <w:iCs/>
        </w:rPr>
        <w:t xml:space="preserve">ted </w:t>
      </w:r>
      <w:r w:rsidR="00060853" w:rsidRPr="008B02E0">
        <w:rPr>
          <w:rFonts w:cstheme="minorHAnsi"/>
          <w:iCs/>
        </w:rPr>
        <w:t xml:space="preserve">in the key trial </w:t>
      </w:r>
      <w:r w:rsidR="0010004D" w:rsidRPr="008B02E0">
        <w:rPr>
          <w:rFonts w:cstheme="minorHAnsi"/>
          <w:iCs/>
        </w:rPr>
        <w:t xml:space="preserve">under specific </w:t>
      </w:r>
      <w:r w:rsidR="00060853" w:rsidRPr="008B02E0">
        <w:rPr>
          <w:rFonts w:cstheme="minorHAnsi"/>
          <w:iCs/>
        </w:rPr>
        <w:t>circumstances</w:t>
      </w:r>
      <w:r w:rsidR="0002790F" w:rsidRPr="008B02E0">
        <w:rPr>
          <w:rFonts w:cstheme="minorHAnsi"/>
          <w:iCs/>
        </w:rPr>
        <w:t xml:space="preserve"> (Clinical Protocol, p143)</w:t>
      </w:r>
      <w:r w:rsidR="00C644A2" w:rsidRPr="008B02E0">
        <w:rPr>
          <w:rFonts w:cstheme="minorHAnsi"/>
          <w:iCs/>
        </w:rPr>
        <w:t>.</w:t>
      </w:r>
    </w:p>
    <w:p w14:paraId="56BF895B" w14:textId="067F6598" w:rsidR="00B570F2" w:rsidRPr="008B02E0" w:rsidRDefault="00F51549" w:rsidP="00AE5B32">
      <w:pPr>
        <w:pStyle w:val="3-BodyText"/>
        <w:rPr>
          <w:iCs/>
        </w:rPr>
      </w:pPr>
      <w:bookmarkStart w:id="11" w:name="_Ref200095408"/>
      <w:r w:rsidRPr="008B02E0">
        <w:t xml:space="preserve">The proposed restrictions </w:t>
      </w:r>
      <w:r w:rsidR="0086568E" w:rsidRPr="008B02E0">
        <w:t>included</w:t>
      </w:r>
      <w:r w:rsidRPr="008B02E0">
        <w:t xml:space="preserve"> the clinical criteria “Patient must have mismatch repair deficient (dMMR) or microsatellite instability high (MSI</w:t>
      </w:r>
      <w:r w:rsidR="009E5502">
        <w:noBreakHyphen/>
      </w:r>
      <w:r w:rsidRPr="008B02E0">
        <w:t xml:space="preserve">H) colorectal cancer, as determined by a validated test”. </w:t>
      </w:r>
      <w:r w:rsidR="00B86764" w:rsidRPr="008B02E0">
        <w:rPr>
          <w:iCs/>
        </w:rPr>
        <w:t xml:space="preserve">This is aligned with the approved TGA indication and the </w:t>
      </w:r>
      <w:r w:rsidR="00B86764" w:rsidRPr="008B02E0">
        <w:rPr>
          <w:iCs/>
          <w:color w:val="000000" w:themeColor="text1"/>
        </w:rPr>
        <w:t>CM</w:t>
      </w:r>
      <w:r w:rsidR="009E5502">
        <w:rPr>
          <w:iCs/>
          <w:color w:val="000000" w:themeColor="text1"/>
        </w:rPr>
        <w:noBreakHyphen/>
      </w:r>
      <w:r w:rsidR="00B86764" w:rsidRPr="008B02E0">
        <w:rPr>
          <w:iCs/>
          <w:color w:val="000000" w:themeColor="text1"/>
        </w:rPr>
        <w:t>8HW trial enrolment criteria</w:t>
      </w:r>
      <w:r w:rsidR="00B86764" w:rsidRPr="008B02E0">
        <w:rPr>
          <w:iCs/>
        </w:rPr>
        <w:t xml:space="preserve">. </w:t>
      </w:r>
      <w:r w:rsidR="00AD1D6B" w:rsidRPr="008B02E0">
        <w:rPr>
          <w:iCs/>
        </w:rPr>
        <w:t>T</w:t>
      </w:r>
      <w:r w:rsidR="00270154" w:rsidRPr="008B02E0">
        <w:rPr>
          <w:iCs/>
        </w:rPr>
        <w:t>he</w:t>
      </w:r>
      <w:r w:rsidR="00B86764" w:rsidRPr="008B02E0">
        <w:rPr>
          <w:iCs/>
        </w:rPr>
        <w:t xml:space="preserve"> testing for dMMR in CRC is routine clinical practice in Australia </w:t>
      </w:r>
      <w:r w:rsidR="003E6847" w:rsidRPr="008B02E0">
        <w:rPr>
          <w:rFonts w:ascii="Calibri" w:hAnsi="Calibri"/>
          <w:iCs/>
          <w:snapToGrid/>
        </w:rPr>
        <w:t xml:space="preserve">and is </w:t>
      </w:r>
      <w:r w:rsidR="003E6847" w:rsidRPr="008B02E0">
        <w:rPr>
          <w:iCs/>
        </w:rPr>
        <w:t>currently reimbursed under a general MBS item number for immunohistochemical (IHC) staining</w:t>
      </w:r>
      <w:r w:rsidR="00AD1D6B" w:rsidRPr="008B02E0">
        <w:rPr>
          <w:iCs/>
        </w:rPr>
        <w:t>.</w:t>
      </w:r>
      <w:r w:rsidR="003E6847" w:rsidRPr="008B02E0">
        <w:rPr>
          <w:iCs/>
        </w:rPr>
        <w:t xml:space="preserve"> </w:t>
      </w:r>
      <w:r w:rsidR="00AD1D6B" w:rsidRPr="008B02E0">
        <w:rPr>
          <w:iCs/>
        </w:rPr>
        <w:t xml:space="preserve">However, </w:t>
      </w:r>
      <w:r w:rsidR="003E6847" w:rsidRPr="008B02E0">
        <w:rPr>
          <w:iCs/>
        </w:rPr>
        <w:t>there</w:t>
      </w:r>
      <w:r w:rsidR="00DB51D1" w:rsidRPr="008B02E0">
        <w:rPr>
          <w:iCs/>
        </w:rPr>
        <w:t xml:space="preserve"> is</w:t>
      </w:r>
      <w:r w:rsidR="00BB705B" w:rsidRPr="008B02E0">
        <w:rPr>
          <w:iCs/>
        </w:rPr>
        <w:t xml:space="preserve"> currently</w:t>
      </w:r>
      <w:r w:rsidR="00DB51D1" w:rsidRPr="008B02E0">
        <w:rPr>
          <w:iCs/>
        </w:rPr>
        <w:t xml:space="preserve"> no MBS funded test to determine MSI</w:t>
      </w:r>
      <w:r w:rsidR="009E5502">
        <w:rPr>
          <w:iCs/>
        </w:rPr>
        <w:noBreakHyphen/>
      </w:r>
      <w:r w:rsidR="00DB51D1" w:rsidRPr="008B02E0">
        <w:rPr>
          <w:iCs/>
        </w:rPr>
        <w:t>H.</w:t>
      </w:r>
      <w:r w:rsidR="00B47987" w:rsidRPr="008B02E0">
        <w:rPr>
          <w:iCs/>
        </w:rPr>
        <w:t xml:space="preserve"> For </w:t>
      </w:r>
      <w:r w:rsidR="006F78B6" w:rsidRPr="008B02E0">
        <w:rPr>
          <w:iCs/>
        </w:rPr>
        <w:t xml:space="preserve">the previous </w:t>
      </w:r>
      <w:r w:rsidR="00B47987" w:rsidRPr="008B02E0">
        <w:rPr>
          <w:iCs/>
        </w:rPr>
        <w:t>considerations of pembrolizumab</w:t>
      </w:r>
      <w:r w:rsidR="005016F7" w:rsidRPr="008B02E0">
        <w:rPr>
          <w:iCs/>
        </w:rPr>
        <w:t xml:space="preserve"> in mCRC</w:t>
      </w:r>
      <w:r w:rsidR="00B059F4" w:rsidRPr="008B02E0">
        <w:rPr>
          <w:iCs/>
        </w:rPr>
        <w:t xml:space="preserve">, while TGA indicated for </w:t>
      </w:r>
      <w:r w:rsidR="00270154" w:rsidRPr="008B02E0">
        <w:rPr>
          <w:iCs/>
        </w:rPr>
        <w:t xml:space="preserve">both </w:t>
      </w:r>
      <w:r w:rsidR="009347BE" w:rsidRPr="008B02E0">
        <w:rPr>
          <w:iCs/>
        </w:rPr>
        <w:t>MSI</w:t>
      </w:r>
      <w:r w:rsidR="009E5502">
        <w:rPr>
          <w:iCs/>
        </w:rPr>
        <w:noBreakHyphen/>
      </w:r>
      <w:r w:rsidR="009347BE" w:rsidRPr="008B02E0">
        <w:rPr>
          <w:iCs/>
        </w:rPr>
        <w:t xml:space="preserve">H </w:t>
      </w:r>
      <w:r w:rsidR="00270154" w:rsidRPr="008B02E0">
        <w:rPr>
          <w:iCs/>
        </w:rPr>
        <w:t>and</w:t>
      </w:r>
      <w:r w:rsidR="009347BE" w:rsidRPr="008B02E0">
        <w:rPr>
          <w:iCs/>
        </w:rPr>
        <w:t xml:space="preserve"> dMMR, </w:t>
      </w:r>
      <w:r w:rsidR="00C530FD" w:rsidRPr="008B02E0">
        <w:rPr>
          <w:iCs/>
        </w:rPr>
        <w:t>the</w:t>
      </w:r>
      <w:r w:rsidR="006F78B6" w:rsidRPr="008B02E0">
        <w:rPr>
          <w:iCs/>
        </w:rPr>
        <w:t xml:space="preserve"> </w:t>
      </w:r>
      <w:r w:rsidR="00F01B0F" w:rsidRPr="008B02E0">
        <w:rPr>
          <w:iCs/>
        </w:rPr>
        <w:t>proposed population</w:t>
      </w:r>
      <w:r w:rsidR="003E13DC" w:rsidRPr="008B02E0">
        <w:rPr>
          <w:iCs/>
        </w:rPr>
        <w:t>s</w:t>
      </w:r>
      <w:r w:rsidR="00F01B0F" w:rsidRPr="008B02E0">
        <w:rPr>
          <w:iCs/>
        </w:rPr>
        <w:t xml:space="preserve"> </w:t>
      </w:r>
      <w:r w:rsidR="00BB705B" w:rsidRPr="008B02E0">
        <w:rPr>
          <w:iCs/>
        </w:rPr>
        <w:t>were for</w:t>
      </w:r>
      <w:r w:rsidR="002C2315" w:rsidRPr="008B02E0">
        <w:rPr>
          <w:iCs/>
        </w:rPr>
        <w:t xml:space="preserve"> dMMR mCRC onl</w:t>
      </w:r>
      <w:r w:rsidR="002172B5" w:rsidRPr="008B02E0">
        <w:rPr>
          <w:iCs/>
        </w:rPr>
        <w:t>y</w:t>
      </w:r>
      <w:r w:rsidR="00E0026C" w:rsidRPr="008B02E0">
        <w:rPr>
          <w:iCs/>
        </w:rPr>
        <w:t xml:space="preserve"> (</w:t>
      </w:r>
      <w:r w:rsidR="00D75FB7" w:rsidRPr="008B02E0">
        <w:rPr>
          <w:iCs/>
        </w:rPr>
        <w:t xml:space="preserve">pembrolizumab </w:t>
      </w:r>
      <w:r w:rsidR="002736EF" w:rsidRPr="008B02E0">
        <w:rPr>
          <w:iCs/>
        </w:rPr>
        <w:t>Pu</w:t>
      </w:r>
      <w:r w:rsidR="00FF498B" w:rsidRPr="008B02E0">
        <w:rPr>
          <w:iCs/>
        </w:rPr>
        <w:t>blic Summary Documents [PSD]</w:t>
      </w:r>
      <w:r w:rsidR="002736EF" w:rsidRPr="008B02E0">
        <w:rPr>
          <w:iCs/>
        </w:rPr>
        <w:t xml:space="preserve">, </w:t>
      </w:r>
      <w:r w:rsidR="008F0BE2" w:rsidRPr="008B02E0">
        <w:rPr>
          <w:iCs/>
        </w:rPr>
        <w:t>March 2019 and March 2021 PBAC meetings)</w:t>
      </w:r>
      <w:r w:rsidR="002172B5" w:rsidRPr="008B02E0">
        <w:rPr>
          <w:iCs/>
        </w:rPr>
        <w:t xml:space="preserve">. </w:t>
      </w:r>
      <w:r w:rsidR="008445D8" w:rsidRPr="008B02E0">
        <w:rPr>
          <w:iCs/>
        </w:rPr>
        <w:t>T</w:t>
      </w:r>
      <w:r w:rsidRPr="008B02E0">
        <w:rPr>
          <w:iCs/>
        </w:rPr>
        <w:t xml:space="preserve">he </w:t>
      </w:r>
      <w:r w:rsidR="008445D8" w:rsidRPr="008B02E0">
        <w:rPr>
          <w:iCs/>
        </w:rPr>
        <w:t xml:space="preserve">current </w:t>
      </w:r>
      <w:r w:rsidRPr="008B02E0">
        <w:rPr>
          <w:iCs/>
        </w:rPr>
        <w:t>pembrolizumab PBS listing requires</w:t>
      </w:r>
      <w:r w:rsidR="008445D8" w:rsidRPr="008B02E0">
        <w:rPr>
          <w:iCs/>
        </w:rPr>
        <w:t xml:space="preserve"> </w:t>
      </w:r>
      <w:r w:rsidRPr="008B02E0">
        <w:rPr>
          <w:iCs/>
        </w:rPr>
        <w:t xml:space="preserve">dMMR to be determined by </w:t>
      </w:r>
      <w:r w:rsidR="00C17BE4" w:rsidRPr="008B02E0">
        <w:rPr>
          <w:iCs/>
        </w:rPr>
        <w:t>an</w:t>
      </w:r>
      <w:r w:rsidRPr="008B02E0">
        <w:rPr>
          <w:iCs/>
        </w:rPr>
        <w:t xml:space="preserve"> immunohistochemistry test</w:t>
      </w:r>
      <w:r w:rsidR="00F25489" w:rsidRPr="008B02E0">
        <w:rPr>
          <w:iCs/>
        </w:rPr>
        <w:t xml:space="preserve">. </w:t>
      </w:r>
      <w:r w:rsidR="00873EEF" w:rsidRPr="008B02E0">
        <w:rPr>
          <w:iCs/>
        </w:rPr>
        <w:t>The ESC considered the inclusion of MSI</w:t>
      </w:r>
      <w:r w:rsidR="009E5502">
        <w:rPr>
          <w:iCs/>
        </w:rPr>
        <w:noBreakHyphen/>
      </w:r>
      <w:r w:rsidR="00873EEF" w:rsidRPr="008B02E0">
        <w:rPr>
          <w:iCs/>
        </w:rPr>
        <w:t>H in the restriction was likely reasonable. However, an</w:t>
      </w:r>
      <w:r w:rsidR="008B3098" w:rsidRPr="008B02E0">
        <w:rPr>
          <w:iCs/>
        </w:rPr>
        <w:t xml:space="preserve"> MSAC </w:t>
      </w:r>
      <w:r w:rsidR="000419C6" w:rsidRPr="008B02E0">
        <w:rPr>
          <w:iCs/>
        </w:rPr>
        <w:lastRenderedPageBreak/>
        <w:t>discussion paper (January 2020</w:t>
      </w:r>
      <w:r w:rsidR="00D55E7D" w:rsidRPr="008B02E0">
        <w:rPr>
          <w:rStyle w:val="FootnoteReference"/>
          <w:iCs/>
        </w:rPr>
        <w:footnoteReference w:id="2"/>
      </w:r>
      <w:r w:rsidR="000419C6" w:rsidRPr="008B02E0">
        <w:rPr>
          <w:iCs/>
        </w:rPr>
        <w:t xml:space="preserve">) notes that </w:t>
      </w:r>
      <w:r w:rsidR="000031F6" w:rsidRPr="008B02E0">
        <w:rPr>
          <w:iCs/>
        </w:rPr>
        <w:t xml:space="preserve">while the tests </w:t>
      </w:r>
      <w:r w:rsidR="005D5AAE" w:rsidRPr="008B02E0">
        <w:rPr>
          <w:iCs/>
        </w:rPr>
        <w:t>for</w:t>
      </w:r>
      <w:r w:rsidR="000031F6" w:rsidRPr="008B02E0">
        <w:rPr>
          <w:iCs/>
        </w:rPr>
        <w:t xml:space="preserve"> dMMR and MSI</w:t>
      </w:r>
      <w:r w:rsidR="009E5502">
        <w:rPr>
          <w:iCs/>
        </w:rPr>
        <w:noBreakHyphen/>
      </w:r>
      <w:r w:rsidR="000031F6" w:rsidRPr="008B02E0">
        <w:rPr>
          <w:iCs/>
        </w:rPr>
        <w:t>H are highly concordant, they are not interchangeable</w:t>
      </w:r>
      <w:r w:rsidR="002E3792" w:rsidRPr="008B02E0">
        <w:rPr>
          <w:iCs/>
        </w:rPr>
        <w:t xml:space="preserve"> (also see paragraph </w:t>
      </w:r>
      <w:r w:rsidR="002E3792" w:rsidRPr="008B02E0">
        <w:rPr>
          <w:iCs/>
        </w:rPr>
        <w:fldChar w:fldCharType="begin"/>
      </w:r>
      <w:r w:rsidR="002E3792" w:rsidRPr="008B02E0">
        <w:rPr>
          <w:iCs/>
        </w:rPr>
        <w:instrText xml:space="preserve"> REF _Ref200098084 \r \h </w:instrText>
      </w:r>
      <w:r w:rsidR="002E3792" w:rsidRPr="008B02E0">
        <w:rPr>
          <w:iCs/>
        </w:rPr>
      </w:r>
      <w:r w:rsidR="002E3792" w:rsidRPr="008B02E0">
        <w:rPr>
          <w:iCs/>
        </w:rPr>
        <w:fldChar w:fldCharType="separate"/>
      </w:r>
      <w:r w:rsidR="00B542C9">
        <w:rPr>
          <w:iCs/>
        </w:rPr>
        <w:t>4.5</w:t>
      </w:r>
      <w:r w:rsidR="002E3792" w:rsidRPr="008B02E0">
        <w:rPr>
          <w:iCs/>
        </w:rPr>
        <w:fldChar w:fldCharType="end"/>
      </w:r>
      <w:r w:rsidR="002E3792" w:rsidRPr="008B02E0">
        <w:rPr>
          <w:iCs/>
        </w:rPr>
        <w:t>)</w:t>
      </w:r>
      <w:r w:rsidR="000031F6" w:rsidRPr="008B02E0">
        <w:rPr>
          <w:iCs/>
        </w:rPr>
        <w:t>.</w:t>
      </w:r>
      <w:r w:rsidR="005B303F" w:rsidRPr="008B02E0">
        <w:rPr>
          <w:iCs/>
        </w:rPr>
        <w:t xml:space="preserve"> Therefore, the inclusion of </w:t>
      </w:r>
      <w:r w:rsidR="000275AE" w:rsidRPr="008B02E0">
        <w:rPr>
          <w:iCs/>
        </w:rPr>
        <w:t>MSI</w:t>
      </w:r>
      <w:r w:rsidR="009E5502">
        <w:rPr>
          <w:iCs/>
        </w:rPr>
        <w:noBreakHyphen/>
      </w:r>
      <w:r w:rsidR="000275AE" w:rsidRPr="008B02E0">
        <w:rPr>
          <w:iCs/>
        </w:rPr>
        <w:t xml:space="preserve">H CRC in the restriction </w:t>
      </w:r>
      <w:r w:rsidR="00830FB0" w:rsidRPr="008B02E0">
        <w:rPr>
          <w:iCs/>
        </w:rPr>
        <w:t>may</w:t>
      </w:r>
      <w:r w:rsidR="00D16A6F" w:rsidRPr="008B02E0">
        <w:rPr>
          <w:iCs/>
        </w:rPr>
        <w:t xml:space="preserve"> </w:t>
      </w:r>
      <w:r w:rsidR="000275AE" w:rsidRPr="008B02E0">
        <w:rPr>
          <w:iCs/>
        </w:rPr>
        <w:t>require a submission to MSAC.</w:t>
      </w:r>
      <w:r w:rsidR="004D5960" w:rsidRPr="008B02E0">
        <w:rPr>
          <w:iCs/>
        </w:rPr>
        <w:t xml:space="preserve"> </w:t>
      </w:r>
      <w:bookmarkEnd w:id="11"/>
      <w:r w:rsidR="0072412F" w:rsidRPr="008B02E0">
        <w:rPr>
          <w:iCs/>
        </w:rPr>
        <w:t xml:space="preserve"> </w:t>
      </w:r>
      <w:r w:rsidR="00260027" w:rsidRPr="008B02E0">
        <w:rPr>
          <w:iCs/>
        </w:rPr>
        <w:t>The Pre</w:t>
      </w:r>
      <w:r w:rsidR="009E5502">
        <w:rPr>
          <w:iCs/>
        </w:rPr>
        <w:noBreakHyphen/>
      </w:r>
      <w:r w:rsidR="00260027" w:rsidRPr="008B02E0">
        <w:rPr>
          <w:iCs/>
        </w:rPr>
        <w:t xml:space="preserve">PBAC </w:t>
      </w:r>
      <w:r w:rsidR="003B4BB7">
        <w:rPr>
          <w:iCs/>
        </w:rPr>
        <w:t>R</w:t>
      </w:r>
      <w:r w:rsidR="00260027" w:rsidRPr="008B02E0">
        <w:rPr>
          <w:iCs/>
        </w:rPr>
        <w:t>esponse stated</w:t>
      </w:r>
      <w:r w:rsidR="00B30062" w:rsidRPr="008B02E0">
        <w:rPr>
          <w:iCs/>
        </w:rPr>
        <w:t xml:space="preserve"> that in Australia</w:t>
      </w:r>
      <w:r w:rsidR="0001646A" w:rsidRPr="008B02E0">
        <w:rPr>
          <w:iCs/>
        </w:rPr>
        <w:t>,</w:t>
      </w:r>
      <w:r w:rsidR="00260027" w:rsidRPr="008B02E0">
        <w:rPr>
          <w:iCs/>
        </w:rPr>
        <w:t xml:space="preserve"> </w:t>
      </w:r>
      <w:r w:rsidR="001D5C46" w:rsidRPr="008B02E0">
        <w:rPr>
          <w:iCs/>
        </w:rPr>
        <w:t>MMR testing via IHC</w:t>
      </w:r>
      <w:r w:rsidR="00B30062" w:rsidRPr="008B02E0">
        <w:rPr>
          <w:iCs/>
        </w:rPr>
        <w:t xml:space="preserve"> staining</w:t>
      </w:r>
      <w:r w:rsidR="001D5C46" w:rsidRPr="008B02E0">
        <w:rPr>
          <w:iCs/>
        </w:rPr>
        <w:t xml:space="preserve"> is standard for all CRC diagnoses</w:t>
      </w:r>
      <w:r w:rsidR="00B30062" w:rsidRPr="008B02E0">
        <w:rPr>
          <w:iCs/>
        </w:rPr>
        <w:t xml:space="preserve"> and consistent with</w:t>
      </w:r>
      <w:r w:rsidR="006D6B17" w:rsidRPr="008B02E0">
        <w:rPr>
          <w:iCs/>
        </w:rPr>
        <w:t xml:space="preserve"> the</w:t>
      </w:r>
      <w:r w:rsidR="00B30062" w:rsidRPr="008B02E0">
        <w:rPr>
          <w:iCs/>
        </w:rPr>
        <w:t xml:space="preserve"> </w:t>
      </w:r>
      <w:r w:rsidR="001D5C46" w:rsidRPr="008B02E0">
        <w:rPr>
          <w:iCs/>
        </w:rPr>
        <w:t>Royal College of Pathologists of Australasia (RCPA) guidelines</w:t>
      </w:r>
      <w:r w:rsidR="00496892" w:rsidRPr="008B02E0">
        <w:rPr>
          <w:rStyle w:val="FootnoteReference"/>
          <w:iCs/>
        </w:rPr>
        <w:footnoteReference w:id="3"/>
      </w:r>
      <w:r w:rsidR="001D5C46" w:rsidRPr="008B02E0">
        <w:rPr>
          <w:iCs/>
        </w:rPr>
        <w:t xml:space="preserve">. </w:t>
      </w:r>
      <w:r w:rsidR="00270641" w:rsidRPr="008B02E0">
        <w:rPr>
          <w:iCs/>
        </w:rPr>
        <w:t xml:space="preserve">The Response </w:t>
      </w:r>
      <w:r w:rsidR="006D6B17" w:rsidRPr="008B02E0">
        <w:rPr>
          <w:iCs/>
        </w:rPr>
        <w:t xml:space="preserve">also </w:t>
      </w:r>
      <w:r w:rsidR="00270641" w:rsidRPr="008B02E0">
        <w:rPr>
          <w:iCs/>
        </w:rPr>
        <w:t>stated that a</w:t>
      </w:r>
      <w:r w:rsidR="001D5C46" w:rsidRPr="008B02E0">
        <w:rPr>
          <w:iCs/>
        </w:rPr>
        <w:t xml:space="preserve">dvisory </w:t>
      </w:r>
      <w:r w:rsidR="00270641" w:rsidRPr="008B02E0">
        <w:rPr>
          <w:iCs/>
        </w:rPr>
        <w:t>b</w:t>
      </w:r>
      <w:r w:rsidR="001D5C46" w:rsidRPr="008B02E0">
        <w:rPr>
          <w:iCs/>
        </w:rPr>
        <w:t>oard discussions indicated that MSI testing is mainly used when MMR results are indeterminate to ensure the eligible patient population can be accurately identified.</w:t>
      </w:r>
      <w:r w:rsidR="006348F4" w:rsidRPr="008B02E0">
        <w:rPr>
          <w:iCs/>
        </w:rPr>
        <w:t xml:space="preserve"> The Response also noted that the c</w:t>
      </w:r>
      <w:r w:rsidR="001D5C46" w:rsidRPr="008B02E0">
        <w:rPr>
          <w:iCs/>
        </w:rPr>
        <w:t xml:space="preserve">osts for MSI testing vary, with some public patients receiving MSI testing at no cost through state hospital funding. Other funding sources include hospital/research budgets and platforms </w:t>
      </w:r>
      <w:r w:rsidR="006348F4" w:rsidRPr="008B02E0">
        <w:rPr>
          <w:iCs/>
        </w:rPr>
        <w:t>such as</w:t>
      </w:r>
      <w:r w:rsidR="001D5C46" w:rsidRPr="008B02E0">
        <w:rPr>
          <w:iCs/>
        </w:rPr>
        <w:t xml:space="preserve"> OMICO/Cancer Screening Program</w:t>
      </w:r>
      <w:r w:rsidR="006348F4" w:rsidRPr="008B02E0">
        <w:rPr>
          <w:iCs/>
        </w:rPr>
        <w:t>.</w:t>
      </w:r>
      <w:r w:rsidR="00B570F2" w:rsidRPr="008B02E0">
        <w:rPr>
          <w:iCs/>
        </w:rPr>
        <w:t xml:space="preserve"> </w:t>
      </w:r>
    </w:p>
    <w:p w14:paraId="6826A686" w14:textId="0A5C2DAE" w:rsidR="005F3E80" w:rsidRPr="008B02E0" w:rsidRDefault="005F3E80" w:rsidP="00AE5B32">
      <w:pPr>
        <w:pStyle w:val="3-BodyText"/>
        <w:rPr>
          <w:iCs/>
        </w:rPr>
      </w:pPr>
      <w:r w:rsidRPr="008B02E0">
        <w:t>The proposed restrictions in the submission contained the clinical criteria “Patient must not have received prior PBS</w:t>
      </w:r>
      <w:r w:rsidR="009E5502">
        <w:noBreakHyphen/>
      </w:r>
      <w:r w:rsidRPr="008B02E0">
        <w:t>subsidised treatment with a programmed cell death</w:t>
      </w:r>
      <w:r w:rsidR="009E5502">
        <w:noBreakHyphen/>
      </w:r>
      <w:r w:rsidRPr="008B02E0">
        <w:t>1 (PD</w:t>
      </w:r>
      <w:r w:rsidR="009E5502">
        <w:noBreakHyphen/>
      </w:r>
      <w:r w:rsidRPr="008B02E0">
        <w:t>1) inhibitor or a programmed cell death ligand</w:t>
      </w:r>
      <w:r w:rsidR="009E5502">
        <w:noBreakHyphen/>
      </w:r>
      <w:r w:rsidRPr="008B02E0">
        <w:t>1 (PD</w:t>
      </w:r>
      <w:r w:rsidR="009E5502">
        <w:noBreakHyphen/>
      </w:r>
      <w:r w:rsidRPr="008B02E0">
        <w:t>L1) inhibitor for this condition”</w:t>
      </w:r>
      <w:r w:rsidR="00D210EF" w:rsidRPr="008B02E0">
        <w:t xml:space="preserve">. </w:t>
      </w:r>
      <w:r w:rsidR="00D210EF" w:rsidRPr="008B02E0">
        <w:rPr>
          <w:iCs/>
        </w:rPr>
        <w:t xml:space="preserve">The ESC </w:t>
      </w:r>
      <w:r w:rsidR="00A22100" w:rsidRPr="008B02E0">
        <w:rPr>
          <w:iCs/>
        </w:rPr>
        <w:t xml:space="preserve">considered that the restriction should also </w:t>
      </w:r>
      <w:r w:rsidRPr="008B02E0">
        <w:rPr>
          <w:iCs/>
        </w:rPr>
        <w:t>require once in a lifetime use, as is stated in the treatment criteria for pembrolizumab.</w:t>
      </w:r>
      <w:r w:rsidR="008B26A2" w:rsidRPr="008B02E0">
        <w:t xml:space="preserve"> </w:t>
      </w:r>
    </w:p>
    <w:p w14:paraId="2DF90862" w14:textId="0550BE81" w:rsidR="00FE6478" w:rsidRPr="008B02E0" w:rsidRDefault="00FE6478" w:rsidP="00AE5B32">
      <w:pPr>
        <w:pStyle w:val="3-BodyText"/>
        <w:numPr>
          <w:ilvl w:val="0"/>
          <w:numId w:val="0"/>
        </w:numPr>
        <w:ind w:left="720"/>
        <w:rPr>
          <w:i/>
        </w:rPr>
      </w:pPr>
      <w:r w:rsidRPr="008B02E0">
        <w:rPr>
          <w:i/>
        </w:rPr>
        <w:t>For more detail on PBAC’s view, see section 7 PBAC outcome.</w:t>
      </w:r>
    </w:p>
    <w:p w14:paraId="7075B85C" w14:textId="62A47B7B" w:rsidR="00B50DB8" w:rsidRPr="008B02E0" w:rsidDel="00195452" w:rsidRDefault="00203181" w:rsidP="00AE5B32">
      <w:pPr>
        <w:pStyle w:val="2-SectionHeading"/>
      </w:pPr>
      <w:bookmarkStart w:id="12" w:name="_Toc198731735"/>
      <w:r w:rsidRPr="008B02E0" w:rsidDel="00195452">
        <w:t xml:space="preserve">Population and </w:t>
      </w:r>
      <w:r w:rsidR="008E0D3C" w:rsidRPr="008B02E0" w:rsidDel="00195452">
        <w:t>d</w:t>
      </w:r>
      <w:r w:rsidRPr="008B02E0" w:rsidDel="00195452">
        <w:t>isease</w:t>
      </w:r>
      <w:bookmarkEnd w:id="12"/>
    </w:p>
    <w:p w14:paraId="7546C254" w14:textId="77777777" w:rsidR="00EB6430" w:rsidRPr="008B02E0" w:rsidRDefault="00EB6430" w:rsidP="00AE5B32">
      <w:pPr>
        <w:pStyle w:val="3-BodyText"/>
      </w:pPr>
      <w:r w:rsidRPr="008B02E0">
        <w:t>CRC is the fourth most common cancer type in Australia</w:t>
      </w:r>
      <w:r w:rsidRPr="008B02E0">
        <w:rPr>
          <w:rStyle w:val="FootnoteReference"/>
        </w:rPr>
        <w:footnoteReference w:id="4"/>
      </w:r>
      <w:r w:rsidRPr="008B02E0">
        <w:t xml:space="preserve"> and the second leading cause of cancer death</w:t>
      </w:r>
      <w:r w:rsidRPr="008B02E0">
        <w:rPr>
          <w:rStyle w:val="FootnoteReference"/>
        </w:rPr>
        <w:footnoteReference w:id="5"/>
      </w:r>
      <w:r w:rsidRPr="008B02E0">
        <w:t>. Men are 1.4 times more likely to be diagnosed with CRC and 1.3 times more likely to die from CRC. In Australia, 17.7% of CRC cases are diagnosed with metastases</w:t>
      </w:r>
      <w:r w:rsidRPr="008B02E0">
        <w:rPr>
          <w:rStyle w:val="FootnoteReference"/>
        </w:rPr>
        <w:footnoteReference w:id="6"/>
      </w:r>
      <w:r w:rsidRPr="008B02E0">
        <w:t>. mCRC is considered incurable.</w:t>
      </w:r>
    </w:p>
    <w:p w14:paraId="3699F4B2" w14:textId="5E46AE00" w:rsidR="00EB6430" w:rsidRPr="008B02E0" w:rsidRDefault="00EB6430" w:rsidP="00AE5B32">
      <w:pPr>
        <w:pStyle w:val="3-BodyText"/>
      </w:pPr>
      <w:r w:rsidRPr="008B02E0">
        <w:t xml:space="preserve">The </w:t>
      </w:r>
      <w:r w:rsidR="00BB2A9A" w:rsidRPr="008B02E0">
        <w:t>mismatch repair (</w:t>
      </w:r>
      <w:r w:rsidRPr="008B02E0">
        <w:t>MMR</w:t>
      </w:r>
      <w:r w:rsidR="00BB2A9A" w:rsidRPr="008B02E0">
        <w:t>)</w:t>
      </w:r>
      <w:r w:rsidRPr="008B02E0">
        <w:t xml:space="preserve"> system is composed of four proteins (</w:t>
      </w:r>
      <w:r w:rsidRPr="008B02E0">
        <w:rPr>
          <w:i/>
          <w:iCs/>
        </w:rPr>
        <w:t>MLH1, MSH2, MSH6</w:t>
      </w:r>
      <w:r w:rsidRPr="008B02E0">
        <w:t xml:space="preserve">, and </w:t>
      </w:r>
      <w:r w:rsidRPr="008B02E0">
        <w:rPr>
          <w:i/>
          <w:iCs/>
        </w:rPr>
        <w:t>PMS2</w:t>
      </w:r>
      <w:r w:rsidRPr="008B02E0">
        <w:t>) interacting together to recognise any deoxyribonucleic acid (DNA) mismatches during replication. dMMR can be sporadic or hereditary in nature</w:t>
      </w:r>
      <w:r w:rsidRPr="008B02E0">
        <w:rPr>
          <w:rStyle w:val="FootnoteReference"/>
        </w:rPr>
        <w:footnoteReference w:id="7"/>
      </w:r>
      <w:r w:rsidRPr="008B02E0">
        <w:t xml:space="preserve"> and result</w:t>
      </w:r>
      <w:r w:rsidR="00840CDF" w:rsidRPr="008B02E0">
        <w:t>s</w:t>
      </w:r>
      <w:r w:rsidRPr="008B02E0">
        <w:t xml:space="preserve"> in a cancer with a 10</w:t>
      </w:r>
      <w:r w:rsidR="009E5502">
        <w:noBreakHyphen/>
      </w:r>
      <w:r w:rsidRPr="008B02E0">
        <w:t xml:space="preserve"> to 100</w:t>
      </w:r>
      <w:r w:rsidR="009E5502">
        <w:noBreakHyphen/>
      </w:r>
      <w:r w:rsidRPr="008B02E0">
        <w:t>fold increase in the mutation rate</w:t>
      </w:r>
      <w:bookmarkStart w:id="13" w:name="_Hlk197937746"/>
      <w:r w:rsidRPr="008B02E0">
        <w:t xml:space="preserve">, leading </w:t>
      </w:r>
      <w:bookmarkEnd w:id="13"/>
      <w:r w:rsidRPr="008B02E0">
        <w:t xml:space="preserve">to the </w:t>
      </w:r>
      <w:r w:rsidRPr="008B02E0">
        <w:lastRenderedPageBreak/>
        <w:t xml:space="preserve">accumulation of frameshift mutations in microsatellites, </w:t>
      </w:r>
      <w:r w:rsidR="00F635E5" w:rsidRPr="008B02E0">
        <w:t>leading to</w:t>
      </w:r>
      <w:r w:rsidRPr="008B02E0">
        <w:t xml:space="preserve"> genetic instability</w:t>
      </w:r>
      <w:r w:rsidRPr="008B02E0">
        <w:rPr>
          <w:rStyle w:val="FootnoteReference"/>
        </w:rPr>
        <w:footnoteReference w:id="8"/>
      </w:r>
      <w:r w:rsidRPr="008B02E0">
        <w:t>, the MSI</w:t>
      </w:r>
      <w:r w:rsidR="009E5502">
        <w:noBreakHyphen/>
      </w:r>
      <w:r w:rsidRPr="008B02E0">
        <w:t>H phenotype. dMMR tumours exhibit significant gene upregulation of immune checkpoint proteins, including PD</w:t>
      </w:r>
      <w:r w:rsidR="009E5502">
        <w:noBreakHyphen/>
      </w:r>
      <w:r w:rsidRPr="008B02E0">
        <w:t xml:space="preserve">L1, which enables them to survive the immune response. Evidence suggests that dMMR is a predictive biomarker for the efficacy of immunotherapy treatment regimens, including </w:t>
      </w:r>
      <w:r w:rsidR="00CC7C74" w:rsidRPr="008B02E0">
        <w:t>programmed cell death</w:t>
      </w:r>
      <w:r w:rsidR="009E5502">
        <w:noBreakHyphen/>
      </w:r>
      <w:r w:rsidR="00CC7C74" w:rsidRPr="008B02E0">
        <w:t>1 (</w:t>
      </w:r>
      <w:r w:rsidRPr="008B02E0">
        <w:t>PD</w:t>
      </w:r>
      <w:r w:rsidR="009E5502">
        <w:noBreakHyphen/>
      </w:r>
      <w:r w:rsidRPr="008B02E0">
        <w:t>1</w:t>
      </w:r>
      <w:r w:rsidR="00CC7C74" w:rsidRPr="008B02E0">
        <w:t>)</w:t>
      </w:r>
      <w:r w:rsidRPr="008B02E0">
        <w:t xml:space="preserve"> inhibitors (nivolumab, pembrolizumab, dostarlimab) and CTLA</w:t>
      </w:r>
      <w:r w:rsidR="009E5502">
        <w:noBreakHyphen/>
      </w:r>
      <w:r w:rsidRPr="008B02E0">
        <w:t>4 inhibitors (ipilimumab, though recommended only in combination with nivolumab). MSI</w:t>
      </w:r>
      <w:r w:rsidR="009E5502">
        <w:noBreakHyphen/>
      </w:r>
      <w:r w:rsidRPr="008B02E0">
        <w:t>H/dMMR mCRC are also generally less responsive to conventional chemotherapy than patients with microsatellite stable (MSS)/ proficient mismatch repair (pMMR) mCRC. Prior to the availability of immunotherapies, median survival for MSI</w:t>
      </w:r>
      <w:r w:rsidR="009E5502">
        <w:noBreakHyphen/>
      </w:r>
      <w:r w:rsidRPr="008B02E0">
        <w:t>H/dMMR mCRC in Australia was less than 2 years (10.1 to 17.3 months)</w:t>
      </w:r>
      <w:r w:rsidR="007F7B04" w:rsidRPr="008B02E0">
        <w:t>.</w:t>
      </w:r>
      <w:r w:rsidRPr="008B02E0">
        <w:rPr>
          <w:rStyle w:val="FootnoteReference"/>
        </w:rPr>
        <w:footnoteReference w:id="9"/>
      </w:r>
      <w:r w:rsidRPr="008B02E0">
        <w:t xml:space="preserve">  </w:t>
      </w:r>
    </w:p>
    <w:p w14:paraId="4B4D24F5" w14:textId="0A1FDC48" w:rsidR="00EB6430" w:rsidRPr="008B02E0" w:rsidRDefault="00EB6430" w:rsidP="00AE5B32">
      <w:pPr>
        <w:pStyle w:val="3-BodyText"/>
      </w:pPr>
      <w:r w:rsidRPr="008B02E0">
        <w:t>For the subset of patients with hereditary MSI</w:t>
      </w:r>
      <w:r w:rsidR="009E5502">
        <w:noBreakHyphen/>
      </w:r>
      <w:r w:rsidRPr="008B02E0">
        <w:t>H/dMMR mCRC, this usually arises from Lynch syndrome, an autosomal dominant disorder which results in an increased risk of developing colorectal and other cancers. Lynch syndrome patients tend to differ in characteristics from sporadic MSI</w:t>
      </w:r>
      <w:r w:rsidR="009E5502">
        <w:noBreakHyphen/>
      </w:r>
      <w:r w:rsidRPr="008B02E0">
        <w:t>H/dMMR patients, being diagnosed with CRC at a younger age, having a similar distribution of right and left</w:t>
      </w:r>
      <w:r w:rsidR="009E5502">
        <w:noBreakHyphen/>
      </w:r>
      <w:r w:rsidRPr="008B02E0">
        <w:t>sided tumours (sporadic MSI cancers are predominantly found in the right side of the colon)</w:t>
      </w:r>
      <w:r w:rsidRPr="008B02E0">
        <w:rPr>
          <w:rStyle w:val="FootnoteReference"/>
        </w:rPr>
        <w:footnoteReference w:id="10"/>
      </w:r>
      <w:r w:rsidRPr="008B02E0">
        <w:t xml:space="preserve"> and being less likely to have </w:t>
      </w:r>
      <w:r w:rsidRPr="008B02E0">
        <w:rPr>
          <w:i/>
          <w:iCs/>
        </w:rPr>
        <w:t>BRAF</w:t>
      </w:r>
      <w:r w:rsidRPr="008B02E0">
        <w:t xml:space="preserve"> mutations</w:t>
      </w:r>
      <w:r w:rsidRPr="008B02E0">
        <w:rPr>
          <w:rStyle w:val="FootnoteReference"/>
        </w:rPr>
        <w:footnoteReference w:id="11"/>
      </w:r>
      <w:r w:rsidRPr="008B02E0">
        <w:t>. The difference in these characteristics potentially results in different prognoses and responses to treatment for Lynch syndrome patients compared to sporadic MSI</w:t>
      </w:r>
      <w:r w:rsidR="009E5502">
        <w:noBreakHyphen/>
      </w:r>
      <w:r w:rsidRPr="008B02E0">
        <w:t>H/dMMR.</w:t>
      </w:r>
    </w:p>
    <w:p w14:paraId="48B08D40" w14:textId="470E47E0" w:rsidR="00EB6430" w:rsidRPr="008B02E0" w:rsidRDefault="00EB6430" w:rsidP="00AE5B32">
      <w:pPr>
        <w:pStyle w:val="3-BodyText"/>
      </w:pPr>
      <w:r w:rsidRPr="008B02E0">
        <w:rPr>
          <w:iCs/>
        </w:rPr>
        <w:t xml:space="preserve">The </w:t>
      </w:r>
      <w:r w:rsidR="00223D3F" w:rsidRPr="008B02E0">
        <w:rPr>
          <w:iCs/>
        </w:rPr>
        <w:t>percentage of</w:t>
      </w:r>
      <w:r w:rsidRPr="008B02E0">
        <w:rPr>
          <w:iCs/>
        </w:rPr>
        <w:t xml:space="preserve"> mCRC</w:t>
      </w:r>
      <w:r w:rsidR="00223D3F" w:rsidRPr="008B02E0">
        <w:rPr>
          <w:iCs/>
        </w:rPr>
        <w:t xml:space="preserve"> that are dMMR</w:t>
      </w:r>
      <w:r w:rsidRPr="008B02E0">
        <w:rPr>
          <w:iCs/>
        </w:rPr>
        <w:t xml:space="preserve"> is uncertain, with estimates ranging </w:t>
      </w:r>
      <w:r w:rsidR="00CC0381" w:rsidRPr="008B02E0">
        <w:rPr>
          <w:iCs/>
        </w:rPr>
        <w:t xml:space="preserve">between </w:t>
      </w:r>
      <w:r w:rsidRPr="008B02E0">
        <w:rPr>
          <w:iCs/>
        </w:rPr>
        <w:t>3.5%</w:t>
      </w:r>
      <w:r w:rsidRPr="008B02E0">
        <w:rPr>
          <w:rStyle w:val="FootnoteReference"/>
          <w:iCs/>
        </w:rPr>
        <w:footnoteReference w:id="12"/>
      </w:r>
      <w:r w:rsidRPr="008B02E0">
        <w:rPr>
          <w:iCs/>
        </w:rPr>
        <w:t xml:space="preserve"> to 7%</w:t>
      </w:r>
      <w:r w:rsidRPr="008B02E0">
        <w:rPr>
          <w:rStyle w:val="FootnoteReference"/>
          <w:iCs/>
        </w:rPr>
        <w:footnoteReference w:id="13"/>
      </w:r>
      <w:r w:rsidRPr="008B02E0">
        <w:rPr>
          <w:iCs/>
        </w:rPr>
        <w:t xml:space="preserve">. </w:t>
      </w:r>
      <w:r w:rsidRPr="008B02E0">
        <w:t xml:space="preserve">Testing in </w:t>
      </w:r>
      <w:r w:rsidR="003B3B10" w:rsidRPr="008B02E0">
        <w:t xml:space="preserve">the </w:t>
      </w:r>
      <w:r w:rsidRPr="008B02E0">
        <w:t>CM</w:t>
      </w:r>
      <w:r w:rsidR="009E5502">
        <w:noBreakHyphen/>
      </w:r>
      <w:r w:rsidRPr="008B02E0">
        <w:t xml:space="preserve">8HW </w:t>
      </w:r>
      <w:r w:rsidR="005E1C1E" w:rsidRPr="008B02E0">
        <w:t xml:space="preserve">clinical </w:t>
      </w:r>
      <w:r w:rsidR="003B3B10" w:rsidRPr="008B02E0">
        <w:t xml:space="preserve">trial </w:t>
      </w:r>
      <w:r w:rsidRPr="008B02E0">
        <w:t>was done using heterogeneous, local standard</w:t>
      </w:r>
      <w:r w:rsidR="009E5502">
        <w:noBreakHyphen/>
      </w:r>
      <w:r w:rsidRPr="008B02E0">
        <w:t>of</w:t>
      </w:r>
      <w:r w:rsidR="009E5502">
        <w:noBreakHyphen/>
      </w:r>
      <w:r w:rsidRPr="008B02E0">
        <w:t xml:space="preserve">care testing and included Australian sites. In Australia, MMR status testing is recommended for all CRC tumours, and 83% of patients in the Treatment of Recurrent and Advanced Colorectal Cancer (TRACC) registry have known MMR status (Wong et al., 2024). </w:t>
      </w:r>
    </w:p>
    <w:p w14:paraId="3827A91E" w14:textId="7C67233B" w:rsidR="00EB6430" w:rsidRPr="008B02E0" w:rsidRDefault="00EB6430" w:rsidP="00AE5B32">
      <w:pPr>
        <w:pStyle w:val="3-BodyText"/>
        <w:rPr>
          <w:iCs/>
        </w:rPr>
      </w:pPr>
      <w:bookmarkStart w:id="14" w:name="_Ref200098084"/>
      <w:r w:rsidRPr="008B02E0">
        <w:lastRenderedPageBreak/>
        <w:t xml:space="preserve">MMR status is typically confirmed by IHC staining, which can detect variants in </w:t>
      </w:r>
      <w:r w:rsidRPr="008B02E0">
        <w:rPr>
          <w:i/>
          <w:iCs/>
        </w:rPr>
        <w:t>MLH1</w:t>
      </w:r>
      <w:r w:rsidRPr="008B02E0">
        <w:t xml:space="preserve">, </w:t>
      </w:r>
      <w:r w:rsidRPr="008B02E0">
        <w:rPr>
          <w:i/>
          <w:iCs/>
        </w:rPr>
        <w:t>MSH2, MSH6</w:t>
      </w:r>
      <w:r w:rsidRPr="008B02E0">
        <w:t xml:space="preserve">, and </w:t>
      </w:r>
      <w:r w:rsidRPr="008B02E0">
        <w:rPr>
          <w:i/>
          <w:iCs/>
        </w:rPr>
        <w:t>PMS2</w:t>
      </w:r>
      <w:r w:rsidRPr="008B02E0">
        <w:t xml:space="preserve">. In Australia, this is funded through the MBS (item number 73354). </w:t>
      </w:r>
      <w:r w:rsidR="00FD0B50" w:rsidRPr="008B02E0">
        <w:rPr>
          <w:iCs/>
        </w:rPr>
        <w:t>While most tumours with MSI</w:t>
      </w:r>
      <w:r w:rsidR="009E5502">
        <w:rPr>
          <w:iCs/>
        </w:rPr>
        <w:noBreakHyphen/>
      </w:r>
      <w:r w:rsidR="00FD0B50" w:rsidRPr="008B02E0">
        <w:rPr>
          <w:iCs/>
        </w:rPr>
        <w:t>H can be identified through dMMR, some MSI</w:t>
      </w:r>
      <w:r w:rsidR="009E5502">
        <w:rPr>
          <w:iCs/>
        </w:rPr>
        <w:noBreakHyphen/>
      </w:r>
      <w:r w:rsidR="00FD0B50" w:rsidRPr="008B02E0">
        <w:rPr>
          <w:iCs/>
        </w:rPr>
        <w:t xml:space="preserve">H patients may show normal protein expression (pMMR) and will not be identified through IHC staining. </w:t>
      </w:r>
      <w:r w:rsidRPr="008B02E0">
        <w:rPr>
          <w:iCs/>
        </w:rPr>
        <w:t>MSI</w:t>
      </w:r>
      <w:r w:rsidR="009E5502">
        <w:rPr>
          <w:iCs/>
        </w:rPr>
        <w:noBreakHyphen/>
      </w:r>
      <w:r w:rsidRPr="008B02E0">
        <w:rPr>
          <w:iCs/>
        </w:rPr>
        <w:t>H can</w:t>
      </w:r>
      <w:r w:rsidR="00FD0B50" w:rsidRPr="008B02E0">
        <w:rPr>
          <w:iCs/>
        </w:rPr>
        <w:t xml:space="preserve"> </w:t>
      </w:r>
      <w:r w:rsidR="00B91F30" w:rsidRPr="008B02E0">
        <w:rPr>
          <w:iCs/>
        </w:rPr>
        <w:t xml:space="preserve">also </w:t>
      </w:r>
      <w:r w:rsidRPr="008B02E0">
        <w:rPr>
          <w:iCs/>
        </w:rPr>
        <w:t>be detected through polymerase chain reaction (PCR) testing, and there have been developments in next</w:t>
      </w:r>
      <w:r w:rsidR="009E5502">
        <w:rPr>
          <w:iCs/>
        </w:rPr>
        <w:noBreakHyphen/>
      </w:r>
      <w:r w:rsidRPr="008B02E0">
        <w:rPr>
          <w:iCs/>
        </w:rPr>
        <w:t>generation sequencing (NGS) for both MSI</w:t>
      </w:r>
      <w:r w:rsidR="009E5502">
        <w:rPr>
          <w:iCs/>
        </w:rPr>
        <w:noBreakHyphen/>
      </w:r>
      <w:r w:rsidRPr="008B02E0">
        <w:rPr>
          <w:iCs/>
        </w:rPr>
        <w:t>H and dMMR. MSI</w:t>
      </w:r>
      <w:r w:rsidR="009E5502">
        <w:rPr>
          <w:iCs/>
        </w:rPr>
        <w:noBreakHyphen/>
      </w:r>
      <w:r w:rsidRPr="008B02E0">
        <w:rPr>
          <w:iCs/>
        </w:rPr>
        <w:t>H PCR testing and NGS are not routinely funded on the MBS, and usage in Australia is unclear</w:t>
      </w:r>
      <w:r w:rsidRPr="008B02E0">
        <w:rPr>
          <w:rStyle w:val="FootnoteReference"/>
          <w:iCs/>
        </w:rPr>
        <w:footnoteReference w:id="14"/>
      </w:r>
      <w:r w:rsidRPr="008B02E0">
        <w:rPr>
          <w:iCs/>
        </w:rPr>
        <w:t>. Concordance between MSI</w:t>
      </w:r>
      <w:r w:rsidR="009E5502">
        <w:rPr>
          <w:iCs/>
        </w:rPr>
        <w:noBreakHyphen/>
      </w:r>
      <w:r w:rsidRPr="008B02E0">
        <w:rPr>
          <w:iCs/>
        </w:rPr>
        <w:t>H and dMMR</w:t>
      </w:r>
      <w:r w:rsidR="00FD0B50" w:rsidRPr="008B02E0">
        <w:rPr>
          <w:iCs/>
        </w:rPr>
        <w:t xml:space="preserve"> testing</w:t>
      </w:r>
      <w:r w:rsidRPr="008B02E0">
        <w:rPr>
          <w:iCs/>
        </w:rPr>
        <w:t xml:space="preserve"> has been shown to vary in colorectal cancer, with some published </w:t>
      </w:r>
      <w:r w:rsidR="00FD0B50" w:rsidRPr="008B02E0">
        <w:rPr>
          <w:iCs/>
        </w:rPr>
        <w:t xml:space="preserve">concordance </w:t>
      </w:r>
      <w:r w:rsidRPr="008B02E0">
        <w:rPr>
          <w:iCs/>
        </w:rPr>
        <w:t>rates ranging from 82% to 99% depending upon the type of tests conducted</w:t>
      </w:r>
      <w:r w:rsidRPr="008B02E0">
        <w:rPr>
          <w:rStyle w:val="FootnoteReference"/>
          <w:iCs/>
        </w:rPr>
        <w:footnoteReference w:id="15"/>
      </w:r>
      <w:r w:rsidRPr="008B02E0">
        <w:rPr>
          <w:iCs/>
          <w:vertAlign w:val="superscript"/>
        </w:rPr>
        <w:t>,7</w:t>
      </w:r>
      <w:r w:rsidRPr="008B02E0">
        <w:rPr>
          <w:iCs/>
        </w:rPr>
        <w:t>.</w:t>
      </w:r>
      <w:bookmarkEnd w:id="14"/>
    </w:p>
    <w:p w14:paraId="7621B35A" w14:textId="768FD494" w:rsidR="00EB6430" w:rsidRPr="008B02E0" w:rsidDel="00195452" w:rsidRDefault="00EB6430" w:rsidP="00AE5B32">
      <w:pPr>
        <w:pStyle w:val="3-BodyText"/>
        <w:rPr>
          <w:color w:val="0066FF"/>
        </w:rPr>
      </w:pPr>
      <w:r w:rsidRPr="008B02E0">
        <w:t>Nivolumab is a fully human immunoglobulin G4 (IgG4) monoclonal antibody which binds to the PD</w:t>
      </w:r>
      <w:r w:rsidR="009E5502">
        <w:noBreakHyphen/>
      </w:r>
      <w:r w:rsidRPr="008B02E0">
        <w:t>1 receptor and blocks its interaction with PD</w:t>
      </w:r>
      <w:r w:rsidR="009E5502">
        <w:noBreakHyphen/>
      </w:r>
      <w:r w:rsidRPr="008B02E0">
        <w:t>L1 and PD</w:t>
      </w:r>
      <w:r w:rsidR="009E5502">
        <w:noBreakHyphen/>
      </w:r>
      <w:r w:rsidRPr="008B02E0">
        <w:t>L2. The PD</w:t>
      </w:r>
      <w:r w:rsidR="009E5502">
        <w:noBreakHyphen/>
      </w:r>
      <w:r w:rsidRPr="008B02E0">
        <w:t>1 receptor is a negative regulator of T</w:t>
      </w:r>
      <w:r w:rsidR="009E5502">
        <w:noBreakHyphen/>
      </w:r>
      <w:r w:rsidRPr="008B02E0">
        <w:t>cell activity and has been shown to play a role in controlling T</w:t>
      </w:r>
      <w:r w:rsidR="009E5502">
        <w:noBreakHyphen/>
      </w:r>
      <w:r w:rsidRPr="008B02E0">
        <w:t>cell immune responses. Engagement of PD</w:t>
      </w:r>
      <w:r w:rsidR="009E5502">
        <w:noBreakHyphen/>
      </w:r>
      <w:r w:rsidRPr="008B02E0">
        <w:t>1 with the ligands PD</w:t>
      </w:r>
      <w:r w:rsidR="009E5502">
        <w:noBreakHyphen/>
      </w:r>
      <w:r w:rsidRPr="008B02E0">
        <w:t>L1 and PD</w:t>
      </w:r>
      <w:r w:rsidR="009E5502">
        <w:noBreakHyphen/>
      </w:r>
      <w:r w:rsidRPr="008B02E0">
        <w:t>L2, which are expressed in antigen presenting cells, results in inhibition of T</w:t>
      </w:r>
      <w:r w:rsidR="009E5502">
        <w:noBreakHyphen/>
      </w:r>
      <w:r w:rsidRPr="008B02E0">
        <w:t>cell proliferation and cytokine secretion. Nivolumab potentiates T</w:t>
      </w:r>
      <w:r w:rsidR="009E5502">
        <w:noBreakHyphen/>
      </w:r>
      <w:r w:rsidRPr="008B02E0">
        <w:t>cell responses, including anti</w:t>
      </w:r>
      <w:r w:rsidR="009E5502">
        <w:noBreakHyphen/>
      </w:r>
      <w:r w:rsidRPr="008B02E0">
        <w:t>tumour responses, by blocking PD</w:t>
      </w:r>
      <w:r w:rsidR="009E5502">
        <w:noBreakHyphen/>
      </w:r>
      <w:r w:rsidRPr="008B02E0">
        <w:t>1 from binding to PD</w:t>
      </w:r>
      <w:r w:rsidR="009E5502">
        <w:noBreakHyphen/>
      </w:r>
      <w:r w:rsidRPr="008B02E0">
        <w:t>L1 and PD</w:t>
      </w:r>
      <w:r w:rsidR="009E5502">
        <w:noBreakHyphen/>
      </w:r>
      <w:r w:rsidRPr="008B02E0">
        <w:t>L2 ligands and restoring the immune response against the tumour.</w:t>
      </w:r>
      <w:r w:rsidRPr="008B02E0" w:rsidDel="00195452">
        <w:rPr>
          <w:color w:val="0066FF"/>
        </w:rPr>
        <w:t xml:space="preserve"> </w:t>
      </w:r>
    </w:p>
    <w:p w14:paraId="11FCAAEE" w14:textId="139573D7" w:rsidR="007627BE" w:rsidRPr="008B02E0" w:rsidRDefault="00EB6430" w:rsidP="00AE5B32">
      <w:pPr>
        <w:pStyle w:val="3-BodyText"/>
        <w:rPr>
          <w:color w:val="0066FF"/>
        </w:rPr>
      </w:pPr>
      <w:r w:rsidRPr="008B02E0">
        <w:t>Ipilimumab is a fully human monoclonal antibody which binds to the cytotoxic T lymphocyte</w:t>
      </w:r>
      <w:r w:rsidR="009E5502">
        <w:noBreakHyphen/>
      </w:r>
      <w:r w:rsidRPr="008B02E0">
        <w:t>associated antigen 4 (CTLA</w:t>
      </w:r>
      <w:r w:rsidR="009E5502">
        <w:noBreakHyphen/>
      </w:r>
      <w:r w:rsidRPr="008B02E0">
        <w:t>4). CTLA</w:t>
      </w:r>
      <w:r w:rsidR="009E5502">
        <w:noBreakHyphen/>
      </w:r>
      <w:r w:rsidRPr="008B02E0">
        <w:t>4 is a regulator of T</w:t>
      </w:r>
      <w:r w:rsidR="009E5502">
        <w:noBreakHyphen/>
      </w:r>
      <w:r w:rsidRPr="008B02E0">
        <w:t>cell activity. By blocking T</w:t>
      </w:r>
      <w:r w:rsidR="009E5502">
        <w:noBreakHyphen/>
      </w:r>
      <w:r w:rsidRPr="008B02E0">
        <w:t>cell inhibitory signals induced by the CTLA</w:t>
      </w:r>
      <w:r w:rsidR="009E5502">
        <w:noBreakHyphen/>
      </w:r>
      <w:r w:rsidRPr="008B02E0">
        <w:t>4 pathway, ipilimumab increases the number of tumour reactive T effector cells able to mount a direct T</w:t>
      </w:r>
      <w:r w:rsidR="009E5502">
        <w:noBreakHyphen/>
      </w:r>
      <w:r w:rsidRPr="008B02E0">
        <w:t xml:space="preserve">cell immune attack against tumour cells. Nivolumab and ipilimumab </w:t>
      </w:r>
      <w:r w:rsidR="0047080B" w:rsidRPr="008B02E0">
        <w:t xml:space="preserve">may enhance the immune response against </w:t>
      </w:r>
      <w:r w:rsidR="00BA6C43" w:rsidRPr="008B02E0">
        <w:t>tumours</w:t>
      </w:r>
      <w:r w:rsidR="0047080B" w:rsidRPr="008B02E0">
        <w:t xml:space="preserve"> through complementary mechanisms of action.</w:t>
      </w:r>
    </w:p>
    <w:p w14:paraId="317B0960" w14:textId="05396356" w:rsidR="00FD2DA8" w:rsidRPr="008B02E0" w:rsidRDefault="00B91F30" w:rsidP="00AE5B32">
      <w:pPr>
        <w:pStyle w:val="3-BodyText"/>
        <w:rPr>
          <w:color w:val="0066FF"/>
        </w:rPr>
      </w:pPr>
      <w:bookmarkStart w:id="15" w:name="_Hlk198671596"/>
      <w:r w:rsidRPr="008B02E0">
        <w:rPr>
          <w:iCs/>
        </w:rPr>
        <w:t xml:space="preserve">The National Comprehensive Cancer Network (NCCN) </w:t>
      </w:r>
      <w:r w:rsidR="001E6673" w:rsidRPr="008B02E0">
        <w:rPr>
          <w:iCs/>
        </w:rPr>
        <w:t xml:space="preserve">2025 </w:t>
      </w:r>
      <w:r w:rsidRPr="008B02E0">
        <w:rPr>
          <w:iCs/>
        </w:rPr>
        <w:t>Guideline</w:t>
      </w:r>
      <w:r w:rsidR="00D10033" w:rsidRPr="008B02E0">
        <w:rPr>
          <w:iCs/>
        </w:rPr>
        <w:t>s</w:t>
      </w:r>
      <w:r w:rsidRPr="008B02E0">
        <w:rPr>
          <w:iCs/>
        </w:rPr>
        <w:t xml:space="preserve"> for Colon Cancer</w:t>
      </w:r>
      <w:r w:rsidRPr="008B02E0">
        <w:rPr>
          <w:rStyle w:val="FootnoteReference"/>
          <w:iCs/>
        </w:rPr>
        <w:footnoteReference w:id="16"/>
      </w:r>
      <w:r w:rsidRPr="008B02E0">
        <w:rPr>
          <w:iCs/>
        </w:rPr>
        <w:t xml:space="preserve"> </w:t>
      </w:r>
      <w:r w:rsidR="002F2AED" w:rsidRPr="008B02E0">
        <w:rPr>
          <w:iCs/>
        </w:rPr>
        <w:t xml:space="preserve">recommends </w:t>
      </w:r>
      <w:r w:rsidRPr="008B02E0">
        <w:rPr>
          <w:iCs/>
        </w:rPr>
        <w:t xml:space="preserve">immune check point inhibitors </w:t>
      </w:r>
      <w:r w:rsidR="00FD2DA8" w:rsidRPr="008B02E0">
        <w:rPr>
          <w:iCs/>
        </w:rPr>
        <w:t>includ</w:t>
      </w:r>
      <w:r w:rsidR="002F2AED" w:rsidRPr="008B02E0">
        <w:rPr>
          <w:iCs/>
        </w:rPr>
        <w:t>ing pembrolizumab</w:t>
      </w:r>
      <w:r w:rsidR="00EB6AEB" w:rsidRPr="008B02E0">
        <w:rPr>
          <w:iCs/>
        </w:rPr>
        <w:t xml:space="preserve"> </w:t>
      </w:r>
      <w:r w:rsidR="002F2AED" w:rsidRPr="008B02E0">
        <w:rPr>
          <w:iCs/>
        </w:rPr>
        <w:t xml:space="preserve">and </w:t>
      </w:r>
      <w:r w:rsidR="00FD2DA8" w:rsidRPr="008B02E0">
        <w:rPr>
          <w:iCs/>
        </w:rPr>
        <w:t xml:space="preserve">nivolumab </w:t>
      </w:r>
      <w:r w:rsidR="002F2AED" w:rsidRPr="008B02E0">
        <w:rPr>
          <w:iCs/>
        </w:rPr>
        <w:t>with or without</w:t>
      </w:r>
      <w:r w:rsidR="00FD2DA8" w:rsidRPr="008B02E0">
        <w:rPr>
          <w:iCs/>
        </w:rPr>
        <w:t xml:space="preserve"> ipilimumab</w:t>
      </w:r>
      <w:r w:rsidR="00EB6AEB" w:rsidRPr="008B02E0">
        <w:rPr>
          <w:iCs/>
        </w:rPr>
        <w:t>,</w:t>
      </w:r>
      <w:r w:rsidR="00FD2DA8" w:rsidRPr="008B02E0">
        <w:rPr>
          <w:iCs/>
        </w:rPr>
        <w:t xml:space="preserve"> for first line treatment of MSI</w:t>
      </w:r>
      <w:r w:rsidR="009E5502">
        <w:rPr>
          <w:iCs/>
        </w:rPr>
        <w:noBreakHyphen/>
      </w:r>
      <w:r w:rsidR="00FD2DA8" w:rsidRPr="008B02E0">
        <w:rPr>
          <w:iCs/>
        </w:rPr>
        <w:t xml:space="preserve">H/dMMR mCRC. </w:t>
      </w:r>
      <w:r w:rsidR="00592CF4" w:rsidRPr="008B02E0">
        <w:rPr>
          <w:iCs/>
        </w:rPr>
        <w:t xml:space="preserve">The Guideline </w:t>
      </w:r>
      <w:r w:rsidR="00C35061" w:rsidRPr="008B02E0">
        <w:rPr>
          <w:iCs/>
        </w:rPr>
        <w:t>state</w:t>
      </w:r>
      <w:r w:rsidR="007A5DDB" w:rsidRPr="008B02E0">
        <w:rPr>
          <w:iCs/>
        </w:rPr>
        <w:t>s</w:t>
      </w:r>
      <w:r w:rsidR="00C35061" w:rsidRPr="008B02E0">
        <w:rPr>
          <w:iCs/>
        </w:rPr>
        <w:t xml:space="preserve"> “combination of PD</w:t>
      </w:r>
      <w:r w:rsidR="009E5502">
        <w:rPr>
          <w:iCs/>
        </w:rPr>
        <w:noBreakHyphen/>
      </w:r>
      <w:r w:rsidR="00C35061" w:rsidRPr="008B02E0">
        <w:rPr>
          <w:iCs/>
        </w:rPr>
        <w:t>L1/CTLA</w:t>
      </w:r>
      <w:r w:rsidR="009E5502">
        <w:rPr>
          <w:iCs/>
        </w:rPr>
        <w:noBreakHyphen/>
      </w:r>
      <w:r w:rsidR="00C35061" w:rsidRPr="008B02E0">
        <w:rPr>
          <w:iCs/>
        </w:rPr>
        <w:t xml:space="preserve">4 blockade has been associated with improved survival in unresectable or metastatic CRC but also higher toxicity”. </w:t>
      </w:r>
    </w:p>
    <w:p w14:paraId="35CC5A6D" w14:textId="795B7F74" w:rsidR="00FE6478" w:rsidRPr="008B02E0" w:rsidDel="00195452" w:rsidRDefault="00FE6478" w:rsidP="00AE5B32">
      <w:pPr>
        <w:pStyle w:val="3-BodyText"/>
        <w:numPr>
          <w:ilvl w:val="0"/>
          <w:numId w:val="0"/>
        </w:numPr>
        <w:ind w:left="720"/>
        <w:rPr>
          <w:i/>
          <w:iCs/>
        </w:rPr>
      </w:pPr>
      <w:r w:rsidRPr="008B02E0">
        <w:rPr>
          <w:i/>
          <w:iCs/>
        </w:rPr>
        <w:t>For more detail on PBAC’s view, see section 7 PBAC outcome.</w:t>
      </w:r>
    </w:p>
    <w:p w14:paraId="51E5AE96" w14:textId="2539AA49" w:rsidR="00B50DB8" w:rsidRPr="008B02E0" w:rsidRDefault="00B50DB8" w:rsidP="00AE5B32">
      <w:pPr>
        <w:pStyle w:val="2-SectionHeading"/>
      </w:pPr>
      <w:bookmarkStart w:id="16" w:name="_Toc198731736"/>
      <w:bookmarkEnd w:id="15"/>
      <w:r w:rsidRPr="008B02E0">
        <w:lastRenderedPageBreak/>
        <w:t>Comparator</w:t>
      </w:r>
      <w:bookmarkEnd w:id="16"/>
    </w:p>
    <w:p w14:paraId="3AE79DD6" w14:textId="15845605" w:rsidR="00EB6430" w:rsidRPr="008B02E0" w:rsidRDefault="00EB6430" w:rsidP="00AE5B32">
      <w:pPr>
        <w:pStyle w:val="3-BodyText"/>
        <w:rPr>
          <w:snapToGrid/>
          <w:color w:val="0066FF"/>
        </w:rPr>
      </w:pPr>
      <w:bookmarkStart w:id="17" w:name="_Ref107305381"/>
      <w:r w:rsidRPr="008B02E0">
        <w:t>The submission nominated pembrolizumab as the main comparator</w:t>
      </w:r>
      <w:r w:rsidRPr="008B02E0">
        <w:rPr>
          <w:iCs/>
        </w:rPr>
        <w:t>.</w:t>
      </w:r>
      <w:r w:rsidRPr="008B02E0">
        <w:t xml:space="preserve"> Pembrolizumab is PBS listed </w:t>
      </w:r>
      <w:r w:rsidR="00381AD3" w:rsidRPr="008B02E0">
        <w:t xml:space="preserve">as a </w:t>
      </w:r>
      <w:r w:rsidRPr="008B02E0">
        <w:t>first</w:t>
      </w:r>
      <w:r w:rsidR="009E5502">
        <w:noBreakHyphen/>
      </w:r>
      <w:r w:rsidRPr="008B02E0">
        <w:t xml:space="preserve">line therapy for dMMR unresectable or metastatic CRC. </w:t>
      </w:r>
      <w:r w:rsidR="000021A6" w:rsidRPr="008B02E0">
        <w:rPr>
          <w:iCs/>
        </w:rPr>
        <w:t>The ESC considered this appropriate</w:t>
      </w:r>
      <w:r w:rsidR="000021A6" w:rsidRPr="008B02E0">
        <w:t>.</w:t>
      </w:r>
    </w:p>
    <w:p w14:paraId="2DE32655" w14:textId="5A305A82" w:rsidR="00FE6478" w:rsidRPr="008B02E0" w:rsidRDefault="00FE6478" w:rsidP="00AE5B32">
      <w:pPr>
        <w:pStyle w:val="3-BodyText"/>
        <w:numPr>
          <w:ilvl w:val="0"/>
          <w:numId w:val="0"/>
        </w:numPr>
        <w:ind w:left="720"/>
        <w:rPr>
          <w:i/>
          <w:iCs/>
          <w:snapToGrid/>
        </w:rPr>
      </w:pPr>
      <w:r w:rsidRPr="008B02E0">
        <w:rPr>
          <w:i/>
          <w:iCs/>
          <w:snapToGrid/>
        </w:rPr>
        <w:t>For more detail on PBAC’s view, see section 7 PBAC outcome.</w:t>
      </w:r>
    </w:p>
    <w:p w14:paraId="7F9C27C8" w14:textId="3B122F9A" w:rsidR="00223D5A" w:rsidRPr="008B02E0" w:rsidRDefault="00223D5A" w:rsidP="00AE5B32">
      <w:pPr>
        <w:pStyle w:val="2-SectionHeading"/>
        <w:numPr>
          <w:ilvl w:val="0"/>
          <w:numId w:val="1"/>
        </w:numPr>
      </w:pPr>
      <w:bookmarkStart w:id="18" w:name="_Toc198731737"/>
      <w:bookmarkStart w:id="19" w:name="_Toc22897640"/>
      <w:bookmarkEnd w:id="17"/>
      <w:r w:rsidRPr="008B02E0">
        <w:t>Consideration of the evidence</w:t>
      </w:r>
      <w:bookmarkEnd w:id="18"/>
    </w:p>
    <w:p w14:paraId="5258AC40" w14:textId="77777777" w:rsidR="00FF6700" w:rsidRPr="008B02E0" w:rsidRDefault="00FF6700" w:rsidP="00AE5B32">
      <w:pPr>
        <w:pStyle w:val="4-SubsectionHeading"/>
      </w:pPr>
      <w:bookmarkStart w:id="20" w:name="_Hlk76375935"/>
      <w:bookmarkStart w:id="21" w:name="_Toc198731738"/>
      <w:r w:rsidRPr="008B02E0">
        <w:t>Sponsor hearing</w:t>
      </w:r>
    </w:p>
    <w:p w14:paraId="75552FE2" w14:textId="1D741E7E" w:rsidR="006E1ED6" w:rsidRPr="008B02E0" w:rsidRDefault="00FF6700" w:rsidP="00AE5B32">
      <w:pPr>
        <w:numPr>
          <w:ilvl w:val="1"/>
          <w:numId w:val="1"/>
        </w:numPr>
        <w:spacing w:after="120"/>
        <w:rPr>
          <w:rFonts w:asciiTheme="minorHAnsi" w:hAnsiTheme="minorHAnsi"/>
          <w:bCs/>
          <w:iCs/>
          <w:snapToGrid w:val="0"/>
        </w:rPr>
      </w:pPr>
      <w:r w:rsidRPr="008B02E0">
        <w:rPr>
          <w:rFonts w:asciiTheme="minorHAnsi" w:hAnsiTheme="minorHAnsi"/>
          <w:bCs/>
          <w:iCs/>
          <w:snapToGrid w:val="0"/>
        </w:rPr>
        <w:t>There was no hearing for this item</w:t>
      </w:r>
      <w:r w:rsidR="006E1ED6" w:rsidRPr="008B02E0">
        <w:rPr>
          <w:rFonts w:asciiTheme="minorHAnsi" w:hAnsiTheme="minorHAnsi"/>
          <w:bCs/>
          <w:iCs/>
          <w:snapToGrid w:val="0"/>
        </w:rPr>
        <w:t>.</w:t>
      </w:r>
    </w:p>
    <w:p w14:paraId="06109ACE" w14:textId="310A5B16" w:rsidR="00FF6700" w:rsidRPr="008B02E0" w:rsidRDefault="00FF6700" w:rsidP="00AE5B32">
      <w:pPr>
        <w:pStyle w:val="4-SubsectionHeading"/>
      </w:pPr>
      <w:r w:rsidRPr="008B02E0">
        <w:t>Consumer comments</w:t>
      </w:r>
    </w:p>
    <w:bookmarkEnd w:id="20"/>
    <w:p w14:paraId="7A254F1E" w14:textId="3C89BC6D" w:rsidR="00E765E9" w:rsidRPr="008B02E0" w:rsidRDefault="00E765E9" w:rsidP="00AE5B32">
      <w:pPr>
        <w:numPr>
          <w:ilvl w:val="1"/>
          <w:numId w:val="1"/>
        </w:numPr>
        <w:spacing w:after="120"/>
        <w:rPr>
          <w:rFonts w:asciiTheme="minorHAnsi" w:hAnsiTheme="minorHAnsi"/>
          <w:bCs/>
          <w:iCs/>
          <w:snapToGrid w:val="0"/>
        </w:rPr>
      </w:pPr>
      <w:r w:rsidRPr="008B02E0">
        <w:rPr>
          <w:rFonts w:asciiTheme="minorHAnsi" w:hAnsiTheme="minorHAnsi"/>
          <w:bCs/>
          <w:iCs/>
          <w:snapToGrid w:val="0"/>
        </w:rPr>
        <w:t xml:space="preserve">The PBAC noted and welcomed the input from health professionals (3), </w:t>
      </w:r>
      <w:r w:rsidR="005D5845" w:rsidRPr="008B02E0">
        <w:rPr>
          <w:rFonts w:asciiTheme="minorHAnsi" w:hAnsiTheme="minorHAnsi"/>
          <w:bCs/>
          <w:iCs/>
          <w:snapToGrid w:val="0"/>
        </w:rPr>
        <w:t xml:space="preserve">individuals (8) and </w:t>
      </w:r>
      <w:r w:rsidR="00B9395C" w:rsidRPr="008B02E0">
        <w:rPr>
          <w:rFonts w:asciiTheme="minorHAnsi" w:hAnsiTheme="minorHAnsi"/>
          <w:bCs/>
          <w:iCs/>
          <w:snapToGrid w:val="0"/>
        </w:rPr>
        <w:t>consumer</w:t>
      </w:r>
      <w:r w:rsidR="005D5845" w:rsidRPr="008B02E0">
        <w:rPr>
          <w:rFonts w:asciiTheme="minorHAnsi" w:hAnsiTheme="minorHAnsi"/>
          <w:bCs/>
          <w:iCs/>
          <w:snapToGrid w:val="0"/>
        </w:rPr>
        <w:t xml:space="preserve"> (</w:t>
      </w:r>
      <w:r w:rsidR="000E4A15" w:rsidRPr="008B02E0">
        <w:rPr>
          <w:rFonts w:asciiTheme="minorHAnsi" w:hAnsiTheme="minorHAnsi"/>
          <w:bCs/>
          <w:iCs/>
          <w:snapToGrid w:val="0"/>
        </w:rPr>
        <w:t>2</w:t>
      </w:r>
      <w:r w:rsidR="005D5845" w:rsidRPr="008B02E0">
        <w:rPr>
          <w:rFonts w:asciiTheme="minorHAnsi" w:hAnsiTheme="minorHAnsi"/>
          <w:bCs/>
          <w:iCs/>
          <w:snapToGrid w:val="0"/>
        </w:rPr>
        <w:t xml:space="preserve">) and </w:t>
      </w:r>
      <w:r w:rsidR="00B9395C" w:rsidRPr="008B02E0">
        <w:rPr>
          <w:rFonts w:asciiTheme="minorHAnsi" w:hAnsiTheme="minorHAnsi"/>
          <w:bCs/>
          <w:iCs/>
          <w:snapToGrid w:val="0"/>
        </w:rPr>
        <w:t>medical (1)</w:t>
      </w:r>
      <w:r w:rsidR="005D5845" w:rsidRPr="008B02E0">
        <w:rPr>
          <w:rFonts w:asciiTheme="minorHAnsi" w:hAnsiTheme="minorHAnsi"/>
          <w:bCs/>
          <w:iCs/>
          <w:snapToGrid w:val="0"/>
        </w:rPr>
        <w:t xml:space="preserve"> organisations</w:t>
      </w:r>
      <w:r w:rsidR="00E03630" w:rsidRPr="008B02E0">
        <w:rPr>
          <w:rFonts w:asciiTheme="minorHAnsi" w:hAnsiTheme="minorHAnsi"/>
          <w:bCs/>
          <w:iCs/>
          <w:snapToGrid w:val="0"/>
        </w:rPr>
        <w:t>, including</w:t>
      </w:r>
      <w:r w:rsidR="008F2605" w:rsidRPr="008B02E0">
        <w:rPr>
          <w:rFonts w:asciiTheme="minorHAnsi" w:hAnsiTheme="minorHAnsi"/>
          <w:bCs/>
          <w:iCs/>
          <w:snapToGrid w:val="0"/>
        </w:rPr>
        <w:t xml:space="preserve"> </w:t>
      </w:r>
      <w:r w:rsidR="00E03630" w:rsidRPr="008B02E0">
        <w:rPr>
          <w:rFonts w:asciiTheme="minorHAnsi" w:hAnsiTheme="minorHAnsi"/>
          <w:bCs/>
          <w:iCs/>
          <w:snapToGrid w:val="0"/>
        </w:rPr>
        <w:t>Rare Cancers Australia, Bowel Cancer Australia, and the Medical Oncology Group Australia (MOGA),</w:t>
      </w:r>
      <w:r w:rsidR="005D5845" w:rsidRPr="008B02E0">
        <w:rPr>
          <w:rFonts w:asciiTheme="minorHAnsi" w:hAnsiTheme="minorHAnsi"/>
          <w:bCs/>
          <w:iCs/>
          <w:snapToGrid w:val="0"/>
        </w:rPr>
        <w:t xml:space="preserve"> </w:t>
      </w:r>
      <w:r w:rsidRPr="008B02E0">
        <w:rPr>
          <w:rFonts w:asciiTheme="minorHAnsi" w:hAnsiTheme="minorHAnsi"/>
          <w:bCs/>
          <w:iCs/>
          <w:snapToGrid w:val="0"/>
        </w:rPr>
        <w:t>via the Consumer Comments facility on the PBS website.</w:t>
      </w:r>
    </w:p>
    <w:p w14:paraId="05F09936" w14:textId="610170EC" w:rsidR="00A179DE" w:rsidRPr="008B02E0" w:rsidRDefault="00CC0A38" w:rsidP="00AE5B32">
      <w:pPr>
        <w:numPr>
          <w:ilvl w:val="1"/>
          <w:numId w:val="1"/>
        </w:numPr>
        <w:spacing w:after="120"/>
        <w:rPr>
          <w:rFonts w:asciiTheme="minorHAnsi" w:hAnsiTheme="minorHAnsi"/>
          <w:bCs/>
          <w:iCs/>
          <w:snapToGrid w:val="0"/>
        </w:rPr>
      </w:pPr>
      <w:r w:rsidRPr="008B02E0">
        <w:rPr>
          <w:rFonts w:asciiTheme="minorHAnsi" w:hAnsiTheme="minorHAnsi"/>
          <w:bCs/>
          <w:iCs/>
          <w:snapToGrid w:val="0"/>
        </w:rPr>
        <w:t>The PBAC acknowledged input from h</w:t>
      </w:r>
      <w:r w:rsidR="00140F8A" w:rsidRPr="008B02E0">
        <w:rPr>
          <w:rFonts w:asciiTheme="minorHAnsi" w:hAnsiTheme="minorHAnsi"/>
          <w:bCs/>
          <w:iCs/>
          <w:snapToGrid w:val="0"/>
        </w:rPr>
        <w:t>ealth care professionals</w:t>
      </w:r>
      <w:r w:rsidR="001C5334" w:rsidRPr="008B02E0">
        <w:rPr>
          <w:rFonts w:asciiTheme="minorHAnsi" w:hAnsiTheme="minorHAnsi"/>
          <w:bCs/>
          <w:iCs/>
          <w:snapToGrid w:val="0"/>
        </w:rPr>
        <w:t xml:space="preserve"> discuss</w:t>
      </w:r>
      <w:r w:rsidR="00D20445" w:rsidRPr="008B02E0">
        <w:rPr>
          <w:rFonts w:asciiTheme="minorHAnsi" w:hAnsiTheme="minorHAnsi"/>
          <w:bCs/>
          <w:iCs/>
          <w:snapToGrid w:val="0"/>
        </w:rPr>
        <w:t>ing</w:t>
      </w:r>
      <w:r w:rsidR="001C5334" w:rsidRPr="008B02E0">
        <w:rPr>
          <w:rFonts w:asciiTheme="minorHAnsi" w:hAnsiTheme="minorHAnsi"/>
          <w:bCs/>
          <w:iCs/>
          <w:snapToGrid w:val="0"/>
        </w:rPr>
        <w:t xml:space="preserve"> the </w:t>
      </w:r>
      <w:r w:rsidR="00C26AE4" w:rsidRPr="008B02E0">
        <w:rPr>
          <w:rFonts w:asciiTheme="minorHAnsi" w:hAnsiTheme="minorHAnsi"/>
          <w:bCs/>
          <w:iCs/>
          <w:snapToGrid w:val="0"/>
        </w:rPr>
        <w:t xml:space="preserve">current </w:t>
      </w:r>
      <w:r w:rsidR="001C5334" w:rsidRPr="008B02E0">
        <w:rPr>
          <w:rFonts w:asciiTheme="minorHAnsi" w:hAnsiTheme="minorHAnsi"/>
          <w:bCs/>
          <w:iCs/>
          <w:snapToGrid w:val="0"/>
        </w:rPr>
        <w:t xml:space="preserve">treatment </w:t>
      </w:r>
      <w:r w:rsidR="00711D47" w:rsidRPr="008B02E0">
        <w:rPr>
          <w:rFonts w:asciiTheme="minorHAnsi" w:hAnsiTheme="minorHAnsi"/>
          <w:bCs/>
          <w:iCs/>
          <w:snapToGrid w:val="0"/>
        </w:rPr>
        <w:t>of</w:t>
      </w:r>
      <w:r w:rsidR="001C5334" w:rsidRPr="008B02E0">
        <w:rPr>
          <w:rFonts w:asciiTheme="minorHAnsi" w:hAnsiTheme="minorHAnsi"/>
          <w:bCs/>
          <w:iCs/>
          <w:snapToGrid w:val="0"/>
        </w:rPr>
        <w:t xml:space="preserve"> </w:t>
      </w:r>
      <w:r w:rsidR="007B4697" w:rsidRPr="008B02E0">
        <w:rPr>
          <w:rFonts w:asciiTheme="minorHAnsi" w:hAnsiTheme="minorHAnsi"/>
          <w:bCs/>
          <w:iCs/>
          <w:snapToGrid w:val="0"/>
        </w:rPr>
        <w:t>MSI</w:t>
      </w:r>
      <w:r w:rsidR="009E5502">
        <w:rPr>
          <w:rFonts w:asciiTheme="minorHAnsi" w:hAnsiTheme="minorHAnsi"/>
          <w:bCs/>
          <w:iCs/>
          <w:snapToGrid w:val="0"/>
        </w:rPr>
        <w:noBreakHyphen/>
      </w:r>
      <w:r w:rsidR="007B4697" w:rsidRPr="008B02E0">
        <w:rPr>
          <w:rFonts w:asciiTheme="minorHAnsi" w:hAnsiTheme="minorHAnsi"/>
          <w:bCs/>
          <w:iCs/>
          <w:snapToGrid w:val="0"/>
        </w:rPr>
        <w:t xml:space="preserve">H or dMMR </w:t>
      </w:r>
      <w:r w:rsidR="003F4063" w:rsidRPr="008B02E0">
        <w:rPr>
          <w:rFonts w:asciiTheme="minorHAnsi" w:hAnsiTheme="minorHAnsi"/>
          <w:bCs/>
          <w:iCs/>
          <w:snapToGrid w:val="0"/>
        </w:rPr>
        <w:t>metastatic or unresectable CRC</w:t>
      </w:r>
      <w:r w:rsidR="00BA68CA" w:rsidRPr="008B02E0">
        <w:rPr>
          <w:rFonts w:asciiTheme="minorHAnsi" w:hAnsiTheme="minorHAnsi"/>
          <w:bCs/>
          <w:iCs/>
          <w:snapToGrid w:val="0"/>
        </w:rPr>
        <w:t xml:space="preserve"> with single agent pembrolizumab</w:t>
      </w:r>
      <w:r w:rsidR="00014122" w:rsidRPr="008B02E0">
        <w:rPr>
          <w:rFonts w:asciiTheme="minorHAnsi" w:hAnsiTheme="minorHAnsi"/>
          <w:bCs/>
          <w:iCs/>
          <w:snapToGrid w:val="0"/>
        </w:rPr>
        <w:t xml:space="preserve">, </w:t>
      </w:r>
      <w:r w:rsidR="00E55D40" w:rsidRPr="008B02E0">
        <w:rPr>
          <w:rFonts w:asciiTheme="minorHAnsi" w:hAnsiTheme="minorHAnsi"/>
          <w:bCs/>
          <w:iCs/>
          <w:snapToGrid w:val="0"/>
        </w:rPr>
        <w:t>however noted that patients continue to experience high rates of disease recurrence within 2 years</w:t>
      </w:r>
      <w:r w:rsidR="00072A91" w:rsidRPr="008B02E0">
        <w:rPr>
          <w:rFonts w:asciiTheme="minorHAnsi" w:hAnsiTheme="minorHAnsi"/>
          <w:bCs/>
          <w:iCs/>
          <w:snapToGrid w:val="0"/>
        </w:rPr>
        <w:t xml:space="preserve"> and a</w:t>
      </w:r>
      <w:r w:rsidR="00711D47" w:rsidRPr="008B02E0">
        <w:rPr>
          <w:rFonts w:asciiTheme="minorHAnsi" w:hAnsiTheme="minorHAnsi"/>
          <w:bCs/>
          <w:iCs/>
          <w:snapToGrid w:val="0"/>
        </w:rPr>
        <w:t xml:space="preserve"> </w:t>
      </w:r>
      <w:r w:rsidR="00072A91" w:rsidRPr="008B02E0">
        <w:rPr>
          <w:rFonts w:asciiTheme="minorHAnsi" w:hAnsiTheme="minorHAnsi"/>
          <w:bCs/>
          <w:iCs/>
          <w:snapToGrid w:val="0"/>
        </w:rPr>
        <w:t>poor response to therapy</w:t>
      </w:r>
      <w:r w:rsidR="00161805" w:rsidRPr="008B02E0">
        <w:rPr>
          <w:rFonts w:asciiTheme="minorHAnsi" w:hAnsiTheme="minorHAnsi"/>
          <w:bCs/>
          <w:iCs/>
          <w:snapToGrid w:val="0"/>
        </w:rPr>
        <w:t xml:space="preserve">, </w:t>
      </w:r>
      <w:r w:rsidR="00480637" w:rsidRPr="008B02E0">
        <w:rPr>
          <w:rFonts w:asciiTheme="minorHAnsi" w:hAnsiTheme="minorHAnsi"/>
          <w:bCs/>
          <w:iCs/>
          <w:snapToGrid w:val="0"/>
        </w:rPr>
        <w:t xml:space="preserve">and discussed the importance of </w:t>
      </w:r>
      <w:r w:rsidR="00B429AB" w:rsidRPr="008B02E0">
        <w:rPr>
          <w:rFonts w:asciiTheme="minorHAnsi" w:hAnsiTheme="minorHAnsi"/>
          <w:bCs/>
          <w:iCs/>
          <w:snapToGrid w:val="0"/>
        </w:rPr>
        <w:t>additional treatment option</w:t>
      </w:r>
      <w:r w:rsidR="00E55D40" w:rsidRPr="008B02E0">
        <w:rPr>
          <w:rFonts w:asciiTheme="minorHAnsi" w:hAnsiTheme="minorHAnsi"/>
          <w:bCs/>
          <w:iCs/>
          <w:snapToGrid w:val="0"/>
        </w:rPr>
        <w:t>s</w:t>
      </w:r>
      <w:r w:rsidR="00B429AB" w:rsidRPr="008B02E0">
        <w:rPr>
          <w:rFonts w:asciiTheme="minorHAnsi" w:hAnsiTheme="minorHAnsi"/>
          <w:bCs/>
          <w:iCs/>
          <w:snapToGrid w:val="0"/>
        </w:rPr>
        <w:t>.</w:t>
      </w:r>
      <w:r w:rsidR="00C82B55" w:rsidRPr="008B02E0">
        <w:rPr>
          <w:rFonts w:asciiTheme="minorHAnsi" w:hAnsiTheme="minorHAnsi"/>
          <w:bCs/>
          <w:iCs/>
          <w:snapToGrid w:val="0"/>
        </w:rPr>
        <w:t xml:space="preserve"> </w:t>
      </w:r>
      <w:r w:rsidR="00D94F49" w:rsidRPr="008B02E0">
        <w:rPr>
          <w:rFonts w:asciiTheme="minorHAnsi" w:hAnsiTheme="minorHAnsi"/>
          <w:bCs/>
          <w:iCs/>
          <w:snapToGrid w:val="0"/>
        </w:rPr>
        <w:t xml:space="preserve">The </w:t>
      </w:r>
      <w:r w:rsidR="00A36638" w:rsidRPr="008B02E0">
        <w:rPr>
          <w:rFonts w:asciiTheme="minorHAnsi" w:hAnsiTheme="minorHAnsi"/>
          <w:bCs/>
          <w:iCs/>
          <w:snapToGrid w:val="0"/>
        </w:rPr>
        <w:t>input</w:t>
      </w:r>
      <w:r w:rsidR="008F518E" w:rsidRPr="008B02E0">
        <w:rPr>
          <w:rFonts w:asciiTheme="minorHAnsi" w:hAnsiTheme="minorHAnsi"/>
          <w:bCs/>
          <w:iCs/>
          <w:snapToGrid w:val="0"/>
        </w:rPr>
        <w:t xml:space="preserve"> noted the increased </w:t>
      </w:r>
      <w:r w:rsidR="00BD64A0" w:rsidRPr="008B02E0">
        <w:rPr>
          <w:rFonts w:asciiTheme="minorHAnsi" w:hAnsiTheme="minorHAnsi"/>
          <w:bCs/>
          <w:iCs/>
          <w:snapToGrid w:val="0"/>
        </w:rPr>
        <w:t>risk</w:t>
      </w:r>
      <w:r w:rsidR="008F518E" w:rsidRPr="008B02E0">
        <w:rPr>
          <w:rFonts w:asciiTheme="minorHAnsi" w:hAnsiTheme="minorHAnsi"/>
          <w:bCs/>
          <w:iCs/>
          <w:snapToGrid w:val="0"/>
        </w:rPr>
        <w:t xml:space="preserve"> of immunotherapy related toxicity associated with </w:t>
      </w:r>
      <w:r w:rsidR="00A36638" w:rsidRPr="008B02E0">
        <w:rPr>
          <w:rFonts w:asciiTheme="minorHAnsi" w:hAnsiTheme="minorHAnsi"/>
          <w:bCs/>
          <w:iCs/>
          <w:snapToGrid w:val="0"/>
        </w:rPr>
        <w:t>the combination of nivolumab plus ipilimumab</w:t>
      </w:r>
      <w:r w:rsidR="008F518E" w:rsidRPr="008B02E0">
        <w:rPr>
          <w:rFonts w:asciiTheme="minorHAnsi" w:hAnsiTheme="minorHAnsi"/>
          <w:bCs/>
          <w:iCs/>
          <w:snapToGrid w:val="0"/>
        </w:rPr>
        <w:t xml:space="preserve"> versus </w:t>
      </w:r>
      <w:r w:rsidR="00806C25" w:rsidRPr="008B02E0">
        <w:rPr>
          <w:rFonts w:asciiTheme="minorHAnsi" w:hAnsiTheme="minorHAnsi"/>
          <w:bCs/>
          <w:iCs/>
          <w:snapToGrid w:val="0"/>
        </w:rPr>
        <w:t>single agent immunotherapy, however considered that the regimen</w:t>
      </w:r>
      <w:r w:rsidR="00A36638" w:rsidRPr="008B02E0">
        <w:rPr>
          <w:rFonts w:asciiTheme="minorHAnsi" w:hAnsiTheme="minorHAnsi"/>
          <w:bCs/>
          <w:iCs/>
          <w:snapToGrid w:val="0"/>
        </w:rPr>
        <w:t xml:space="preserve"> </w:t>
      </w:r>
      <w:r w:rsidR="00BD64A0" w:rsidRPr="008B02E0">
        <w:rPr>
          <w:rFonts w:asciiTheme="minorHAnsi" w:hAnsiTheme="minorHAnsi"/>
          <w:bCs/>
          <w:iCs/>
          <w:snapToGrid w:val="0"/>
        </w:rPr>
        <w:t>would be</w:t>
      </w:r>
      <w:r w:rsidR="00A36638" w:rsidRPr="008B02E0">
        <w:rPr>
          <w:rFonts w:asciiTheme="minorHAnsi" w:hAnsiTheme="minorHAnsi"/>
          <w:bCs/>
          <w:iCs/>
          <w:snapToGrid w:val="0"/>
        </w:rPr>
        <w:t xml:space="preserve"> well tolerated</w:t>
      </w:r>
      <w:r w:rsidR="00A3374F" w:rsidRPr="008B02E0">
        <w:rPr>
          <w:rFonts w:asciiTheme="minorHAnsi" w:hAnsiTheme="minorHAnsi"/>
          <w:bCs/>
          <w:iCs/>
          <w:snapToGrid w:val="0"/>
        </w:rPr>
        <w:t xml:space="preserve"> with reduced dosing of </w:t>
      </w:r>
      <w:r w:rsidR="009B3570" w:rsidRPr="008B02E0">
        <w:rPr>
          <w:rFonts w:asciiTheme="minorHAnsi" w:hAnsiTheme="minorHAnsi"/>
          <w:bCs/>
          <w:iCs/>
          <w:snapToGrid w:val="0"/>
        </w:rPr>
        <w:t>ipilimumab</w:t>
      </w:r>
      <w:r w:rsidR="00DF07AD" w:rsidRPr="008B02E0">
        <w:rPr>
          <w:rFonts w:asciiTheme="minorHAnsi" w:hAnsiTheme="minorHAnsi"/>
          <w:bCs/>
          <w:iCs/>
          <w:snapToGrid w:val="0"/>
        </w:rPr>
        <w:t xml:space="preserve"> and </w:t>
      </w:r>
      <w:r w:rsidR="008A0D90" w:rsidRPr="008B02E0">
        <w:rPr>
          <w:rFonts w:asciiTheme="minorHAnsi" w:hAnsiTheme="minorHAnsi"/>
          <w:bCs/>
          <w:iCs/>
          <w:snapToGrid w:val="0"/>
        </w:rPr>
        <w:t xml:space="preserve">would </w:t>
      </w:r>
      <w:r w:rsidR="00CC6305" w:rsidRPr="008B02E0">
        <w:rPr>
          <w:rFonts w:asciiTheme="minorHAnsi" w:hAnsiTheme="minorHAnsi"/>
          <w:bCs/>
          <w:iCs/>
          <w:snapToGrid w:val="0"/>
        </w:rPr>
        <w:t>overall result in meaningful</w:t>
      </w:r>
      <w:r w:rsidR="008A0D90" w:rsidRPr="008B02E0">
        <w:rPr>
          <w:rFonts w:asciiTheme="minorHAnsi" w:hAnsiTheme="minorHAnsi"/>
          <w:bCs/>
          <w:iCs/>
          <w:snapToGrid w:val="0"/>
        </w:rPr>
        <w:t xml:space="preserve"> </w:t>
      </w:r>
      <w:r w:rsidR="00CC6305" w:rsidRPr="008B02E0">
        <w:rPr>
          <w:rFonts w:asciiTheme="minorHAnsi" w:hAnsiTheme="minorHAnsi"/>
          <w:bCs/>
          <w:iCs/>
          <w:snapToGrid w:val="0"/>
        </w:rPr>
        <w:t>clinical</w:t>
      </w:r>
      <w:r w:rsidR="00DF07AD" w:rsidRPr="008B02E0">
        <w:rPr>
          <w:rFonts w:asciiTheme="minorHAnsi" w:hAnsiTheme="minorHAnsi"/>
          <w:bCs/>
          <w:iCs/>
          <w:snapToGrid w:val="0"/>
        </w:rPr>
        <w:t xml:space="preserve"> benefits for patients</w:t>
      </w:r>
      <w:r w:rsidR="00806C25" w:rsidRPr="008B02E0">
        <w:rPr>
          <w:rFonts w:asciiTheme="minorHAnsi" w:hAnsiTheme="minorHAnsi"/>
          <w:bCs/>
          <w:iCs/>
          <w:snapToGrid w:val="0"/>
        </w:rPr>
        <w:t>.</w:t>
      </w:r>
      <w:r w:rsidR="003F17BC" w:rsidRPr="008B02E0">
        <w:rPr>
          <w:rFonts w:asciiTheme="minorHAnsi" w:hAnsiTheme="minorHAnsi"/>
          <w:bCs/>
          <w:iCs/>
          <w:snapToGrid w:val="0"/>
        </w:rPr>
        <w:t xml:space="preserve"> </w:t>
      </w:r>
      <w:r w:rsidR="00FE1C3E" w:rsidRPr="008B02E0">
        <w:rPr>
          <w:rFonts w:asciiTheme="minorHAnsi" w:hAnsiTheme="minorHAnsi"/>
          <w:bCs/>
          <w:iCs/>
          <w:snapToGrid w:val="0"/>
        </w:rPr>
        <w:t>Input from o</w:t>
      </w:r>
      <w:r w:rsidR="003F17BC" w:rsidRPr="008B02E0">
        <w:rPr>
          <w:rFonts w:asciiTheme="minorHAnsi" w:hAnsiTheme="minorHAnsi"/>
          <w:bCs/>
          <w:iCs/>
          <w:snapToGrid w:val="0"/>
        </w:rPr>
        <w:t xml:space="preserve">ne health professional </w:t>
      </w:r>
      <w:r w:rsidR="00FE1C3E" w:rsidRPr="008B02E0">
        <w:rPr>
          <w:rFonts w:asciiTheme="minorHAnsi" w:hAnsiTheme="minorHAnsi"/>
          <w:bCs/>
          <w:iCs/>
          <w:snapToGrid w:val="0"/>
        </w:rPr>
        <w:t>expressed</w:t>
      </w:r>
      <w:r w:rsidR="003A6C7B" w:rsidRPr="008B02E0">
        <w:rPr>
          <w:rFonts w:asciiTheme="minorHAnsi" w:hAnsiTheme="minorHAnsi"/>
          <w:bCs/>
          <w:iCs/>
          <w:snapToGrid w:val="0"/>
        </w:rPr>
        <w:t xml:space="preserve"> the</w:t>
      </w:r>
      <w:r w:rsidR="00A95696" w:rsidRPr="008B02E0">
        <w:rPr>
          <w:rFonts w:asciiTheme="minorHAnsi" w:hAnsiTheme="minorHAnsi"/>
          <w:bCs/>
          <w:iCs/>
          <w:snapToGrid w:val="0"/>
        </w:rPr>
        <w:t>ir</w:t>
      </w:r>
      <w:r w:rsidR="00FE1C3E" w:rsidRPr="008B02E0">
        <w:rPr>
          <w:rFonts w:asciiTheme="minorHAnsi" w:hAnsiTheme="minorHAnsi"/>
          <w:bCs/>
          <w:iCs/>
          <w:snapToGrid w:val="0"/>
        </w:rPr>
        <w:t xml:space="preserve"> </w:t>
      </w:r>
      <w:r w:rsidR="002B6FF6" w:rsidRPr="008B02E0">
        <w:rPr>
          <w:rFonts w:asciiTheme="minorHAnsi" w:hAnsiTheme="minorHAnsi"/>
          <w:bCs/>
          <w:iCs/>
          <w:snapToGrid w:val="0"/>
        </w:rPr>
        <w:t xml:space="preserve">support </w:t>
      </w:r>
      <w:r w:rsidR="003909A6" w:rsidRPr="008B02E0">
        <w:rPr>
          <w:rFonts w:asciiTheme="minorHAnsi" w:hAnsiTheme="minorHAnsi"/>
          <w:bCs/>
          <w:iCs/>
          <w:snapToGrid w:val="0"/>
        </w:rPr>
        <w:t xml:space="preserve">for broad access </w:t>
      </w:r>
      <w:r w:rsidR="00E17904" w:rsidRPr="008B02E0">
        <w:rPr>
          <w:rFonts w:asciiTheme="minorHAnsi" w:hAnsiTheme="minorHAnsi"/>
          <w:bCs/>
          <w:iCs/>
          <w:snapToGrid w:val="0"/>
        </w:rPr>
        <w:t xml:space="preserve">of nivolumab plus ipilimumab </w:t>
      </w:r>
      <w:r w:rsidR="001A58F9" w:rsidRPr="008B02E0">
        <w:rPr>
          <w:rFonts w:asciiTheme="minorHAnsi" w:hAnsiTheme="minorHAnsi"/>
          <w:bCs/>
          <w:iCs/>
          <w:snapToGrid w:val="0"/>
        </w:rPr>
        <w:t>across</w:t>
      </w:r>
      <w:r w:rsidR="003909A6" w:rsidRPr="008B02E0">
        <w:rPr>
          <w:rFonts w:asciiTheme="minorHAnsi" w:hAnsiTheme="minorHAnsi"/>
          <w:bCs/>
          <w:iCs/>
          <w:snapToGrid w:val="0"/>
        </w:rPr>
        <w:t xml:space="preserve"> </w:t>
      </w:r>
      <w:r w:rsidR="00BC40B8" w:rsidRPr="008B02E0">
        <w:rPr>
          <w:rFonts w:asciiTheme="minorHAnsi" w:hAnsiTheme="minorHAnsi"/>
          <w:bCs/>
          <w:iCs/>
          <w:snapToGrid w:val="0"/>
        </w:rPr>
        <w:t xml:space="preserve">all types of </w:t>
      </w:r>
      <w:r w:rsidR="003909A6" w:rsidRPr="008B02E0">
        <w:rPr>
          <w:rFonts w:asciiTheme="minorHAnsi" w:hAnsiTheme="minorHAnsi"/>
          <w:bCs/>
          <w:iCs/>
          <w:snapToGrid w:val="0"/>
        </w:rPr>
        <w:t>unresectable advanced and metastatic cancer</w:t>
      </w:r>
      <w:r w:rsidR="001034FD" w:rsidRPr="008B02E0">
        <w:rPr>
          <w:rFonts w:asciiTheme="minorHAnsi" w:hAnsiTheme="minorHAnsi"/>
          <w:bCs/>
          <w:iCs/>
          <w:snapToGrid w:val="0"/>
        </w:rPr>
        <w:t xml:space="preserve"> (not organ</w:t>
      </w:r>
      <w:r w:rsidR="009E5502">
        <w:rPr>
          <w:rFonts w:asciiTheme="minorHAnsi" w:hAnsiTheme="minorHAnsi"/>
          <w:bCs/>
          <w:iCs/>
          <w:snapToGrid w:val="0"/>
        </w:rPr>
        <w:noBreakHyphen/>
      </w:r>
      <w:r w:rsidR="001034FD" w:rsidRPr="008B02E0">
        <w:rPr>
          <w:rFonts w:asciiTheme="minorHAnsi" w:hAnsiTheme="minorHAnsi"/>
          <w:bCs/>
          <w:iCs/>
          <w:snapToGrid w:val="0"/>
        </w:rPr>
        <w:t>specific)</w:t>
      </w:r>
      <w:r w:rsidR="000A4F55" w:rsidRPr="008B02E0">
        <w:rPr>
          <w:rFonts w:asciiTheme="minorHAnsi" w:hAnsiTheme="minorHAnsi"/>
          <w:bCs/>
          <w:iCs/>
          <w:snapToGrid w:val="0"/>
        </w:rPr>
        <w:t xml:space="preserve">. </w:t>
      </w:r>
    </w:p>
    <w:p w14:paraId="38556BFF" w14:textId="4AA63A80" w:rsidR="00543EB0" w:rsidRPr="008B02E0" w:rsidRDefault="008F1A14" w:rsidP="00AE5B32">
      <w:pPr>
        <w:numPr>
          <w:ilvl w:val="1"/>
          <w:numId w:val="1"/>
        </w:numPr>
        <w:spacing w:after="120"/>
        <w:rPr>
          <w:rFonts w:asciiTheme="minorHAnsi" w:hAnsiTheme="minorHAnsi"/>
          <w:bCs/>
          <w:iCs/>
          <w:snapToGrid w:val="0"/>
        </w:rPr>
      </w:pPr>
      <w:r w:rsidRPr="008B02E0">
        <w:rPr>
          <w:rFonts w:asciiTheme="minorHAnsi" w:hAnsiTheme="minorHAnsi"/>
          <w:bCs/>
          <w:iCs/>
          <w:snapToGrid w:val="0"/>
        </w:rPr>
        <w:t xml:space="preserve">The PBAC also appreciated </w:t>
      </w:r>
      <w:r w:rsidR="00E55C24" w:rsidRPr="008B02E0">
        <w:rPr>
          <w:rFonts w:asciiTheme="minorHAnsi" w:hAnsiTheme="minorHAnsi"/>
          <w:bCs/>
          <w:iCs/>
          <w:snapToGrid w:val="0"/>
        </w:rPr>
        <w:t>comments</w:t>
      </w:r>
      <w:r w:rsidRPr="008B02E0">
        <w:rPr>
          <w:rFonts w:asciiTheme="minorHAnsi" w:hAnsiTheme="minorHAnsi"/>
          <w:bCs/>
          <w:iCs/>
          <w:snapToGrid w:val="0"/>
        </w:rPr>
        <w:t xml:space="preserve"> from individuals</w:t>
      </w:r>
      <w:r w:rsidR="00E55C24" w:rsidRPr="008B02E0">
        <w:rPr>
          <w:rFonts w:asciiTheme="minorHAnsi" w:hAnsiTheme="minorHAnsi"/>
          <w:bCs/>
          <w:iCs/>
          <w:snapToGrid w:val="0"/>
        </w:rPr>
        <w:t xml:space="preserve"> wanting access to </w:t>
      </w:r>
      <w:r w:rsidR="007B2C52" w:rsidRPr="008B02E0">
        <w:rPr>
          <w:rFonts w:asciiTheme="minorHAnsi" w:hAnsiTheme="minorHAnsi"/>
          <w:bCs/>
          <w:iCs/>
          <w:snapToGrid w:val="0"/>
        </w:rPr>
        <w:t xml:space="preserve">nivolumab plus ipilimumab </w:t>
      </w:r>
      <w:r w:rsidR="00FE27CB" w:rsidRPr="008B02E0">
        <w:rPr>
          <w:rFonts w:asciiTheme="minorHAnsi" w:hAnsiTheme="minorHAnsi"/>
          <w:bCs/>
          <w:iCs/>
          <w:snapToGrid w:val="0"/>
        </w:rPr>
        <w:t>that described</w:t>
      </w:r>
      <w:r w:rsidR="007B2C52" w:rsidRPr="008B02E0">
        <w:rPr>
          <w:rFonts w:asciiTheme="minorHAnsi" w:hAnsiTheme="minorHAnsi"/>
          <w:bCs/>
          <w:iCs/>
          <w:snapToGrid w:val="0"/>
        </w:rPr>
        <w:t xml:space="preserve"> experiencing several side effects from </w:t>
      </w:r>
      <w:r w:rsidR="00BC34B3" w:rsidRPr="008B02E0">
        <w:rPr>
          <w:rFonts w:asciiTheme="minorHAnsi" w:hAnsiTheme="minorHAnsi"/>
          <w:bCs/>
          <w:iCs/>
          <w:snapToGrid w:val="0"/>
        </w:rPr>
        <w:t>current therapies, particular</w:t>
      </w:r>
      <w:r w:rsidR="00EF5E4F" w:rsidRPr="008B02E0">
        <w:rPr>
          <w:rFonts w:asciiTheme="minorHAnsi" w:hAnsiTheme="minorHAnsi"/>
          <w:bCs/>
          <w:iCs/>
          <w:snapToGrid w:val="0"/>
        </w:rPr>
        <w:t>ly</w:t>
      </w:r>
      <w:r w:rsidR="00BC34B3" w:rsidRPr="008B02E0">
        <w:rPr>
          <w:rFonts w:asciiTheme="minorHAnsi" w:hAnsiTheme="minorHAnsi"/>
          <w:bCs/>
          <w:iCs/>
          <w:snapToGrid w:val="0"/>
        </w:rPr>
        <w:t xml:space="preserve"> </w:t>
      </w:r>
      <w:r w:rsidR="000664FE" w:rsidRPr="008B02E0">
        <w:rPr>
          <w:rFonts w:asciiTheme="minorHAnsi" w:hAnsiTheme="minorHAnsi"/>
          <w:bCs/>
          <w:iCs/>
          <w:snapToGrid w:val="0"/>
        </w:rPr>
        <w:t>chemotherapy</w:t>
      </w:r>
      <w:r w:rsidR="00820686" w:rsidRPr="008B02E0">
        <w:rPr>
          <w:rFonts w:asciiTheme="minorHAnsi" w:hAnsiTheme="minorHAnsi"/>
          <w:bCs/>
          <w:iCs/>
          <w:snapToGrid w:val="0"/>
        </w:rPr>
        <w:t xml:space="preserve">, and emphasised the need for additional </w:t>
      </w:r>
      <w:r w:rsidR="00A34327" w:rsidRPr="008B02E0">
        <w:rPr>
          <w:rFonts w:asciiTheme="minorHAnsi" w:hAnsiTheme="minorHAnsi"/>
          <w:bCs/>
          <w:iCs/>
          <w:snapToGrid w:val="0"/>
        </w:rPr>
        <w:t>treatment options</w:t>
      </w:r>
      <w:r w:rsidR="00820686" w:rsidRPr="008B02E0">
        <w:rPr>
          <w:rFonts w:asciiTheme="minorHAnsi" w:hAnsiTheme="minorHAnsi"/>
          <w:bCs/>
          <w:iCs/>
          <w:snapToGrid w:val="0"/>
        </w:rPr>
        <w:t xml:space="preserve"> in the advanced setting</w:t>
      </w:r>
      <w:r w:rsidR="00BC34B3" w:rsidRPr="008B02E0">
        <w:rPr>
          <w:rFonts w:asciiTheme="minorHAnsi" w:hAnsiTheme="minorHAnsi"/>
          <w:bCs/>
          <w:iCs/>
          <w:snapToGrid w:val="0"/>
        </w:rPr>
        <w:t>.</w:t>
      </w:r>
      <w:r w:rsidR="0069631B" w:rsidRPr="008B02E0">
        <w:rPr>
          <w:rFonts w:asciiTheme="minorHAnsi" w:hAnsiTheme="minorHAnsi"/>
          <w:bCs/>
          <w:iCs/>
          <w:snapToGrid w:val="0"/>
        </w:rPr>
        <w:t xml:space="preserve"> </w:t>
      </w:r>
      <w:r w:rsidR="00820686" w:rsidRPr="008B02E0">
        <w:rPr>
          <w:rFonts w:asciiTheme="minorHAnsi" w:hAnsiTheme="minorHAnsi"/>
          <w:bCs/>
          <w:iCs/>
          <w:snapToGrid w:val="0"/>
        </w:rPr>
        <w:t>I</w:t>
      </w:r>
      <w:r w:rsidR="004C6FFA" w:rsidRPr="008B02E0">
        <w:rPr>
          <w:rFonts w:asciiTheme="minorHAnsi" w:hAnsiTheme="minorHAnsi"/>
          <w:bCs/>
          <w:iCs/>
          <w:snapToGrid w:val="0"/>
        </w:rPr>
        <w:t>ndividuals</w:t>
      </w:r>
      <w:r w:rsidR="00820686" w:rsidRPr="008B02E0">
        <w:rPr>
          <w:rFonts w:asciiTheme="minorHAnsi" w:hAnsiTheme="minorHAnsi"/>
          <w:bCs/>
          <w:iCs/>
          <w:snapToGrid w:val="0"/>
        </w:rPr>
        <w:t xml:space="preserve"> also</w:t>
      </w:r>
      <w:r w:rsidR="004C6FFA" w:rsidRPr="008B02E0">
        <w:rPr>
          <w:rFonts w:asciiTheme="minorHAnsi" w:hAnsiTheme="minorHAnsi"/>
          <w:bCs/>
          <w:iCs/>
          <w:snapToGrid w:val="0"/>
        </w:rPr>
        <w:t xml:space="preserve"> described the</w:t>
      </w:r>
      <w:r w:rsidR="0055480B" w:rsidRPr="008B02E0">
        <w:rPr>
          <w:rFonts w:asciiTheme="minorHAnsi" w:hAnsiTheme="minorHAnsi"/>
          <w:bCs/>
          <w:iCs/>
          <w:snapToGrid w:val="0"/>
        </w:rPr>
        <w:t xml:space="preserve"> significant emotional and psychological challenges associated with</w:t>
      </w:r>
      <w:r w:rsidR="00A34327" w:rsidRPr="008B02E0">
        <w:rPr>
          <w:rFonts w:asciiTheme="minorHAnsi" w:hAnsiTheme="minorHAnsi"/>
          <w:bCs/>
          <w:iCs/>
          <w:snapToGrid w:val="0"/>
        </w:rPr>
        <w:t xml:space="preserve"> a</w:t>
      </w:r>
      <w:r w:rsidR="0055480B" w:rsidRPr="008B02E0">
        <w:rPr>
          <w:rFonts w:asciiTheme="minorHAnsi" w:hAnsiTheme="minorHAnsi"/>
          <w:bCs/>
          <w:iCs/>
          <w:snapToGrid w:val="0"/>
        </w:rPr>
        <w:t xml:space="preserve"> CRC</w:t>
      </w:r>
      <w:r w:rsidR="00FD7553" w:rsidRPr="008B02E0">
        <w:rPr>
          <w:rFonts w:asciiTheme="minorHAnsi" w:hAnsiTheme="minorHAnsi"/>
          <w:bCs/>
          <w:iCs/>
          <w:snapToGrid w:val="0"/>
        </w:rPr>
        <w:t xml:space="preserve"> </w:t>
      </w:r>
      <w:r w:rsidR="00A34327" w:rsidRPr="008B02E0">
        <w:rPr>
          <w:rFonts w:asciiTheme="minorHAnsi" w:hAnsiTheme="minorHAnsi"/>
          <w:bCs/>
          <w:iCs/>
          <w:snapToGrid w:val="0"/>
        </w:rPr>
        <w:t xml:space="preserve">diagnosis </w:t>
      </w:r>
      <w:r w:rsidR="00227CAD" w:rsidRPr="008B02E0">
        <w:rPr>
          <w:rFonts w:asciiTheme="minorHAnsi" w:hAnsiTheme="minorHAnsi"/>
          <w:bCs/>
          <w:iCs/>
          <w:snapToGrid w:val="0"/>
        </w:rPr>
        <w:t xml:space="preserve">and noted that </w:t>
      </w:r>
      <w:r w:rsidR="0069631B" w:rsidRPr="008B02E0">
        <w:rPr>
          <w:rFonts w:asciiTheme="minorHAnsi" w:hAnsiTheme="minorHAnsi"/>
          <w:bCs/>
          <w:iCs/>
          <w:snapToGrid w:val="0"/>
        </w:rPr>
        <w:t xml:space="preserve">nivolumab plus ipilimumab </w:t>
      </w:r>
      <w:r w:rsidR="00A24A3D" w:rsidRPr="008B02E0">
        <w:rPr>
          <w:rFonts w:asciiTheme="minorHAnsi" w:hAnsiTheme="minorHAnsi"/>
          <w:bCs/>
          <w:iCs/>
          <w:snapToGrid w:val="0"/>
        </w:rPr>
        <w:t>had the potential to</w:t>
      </w:r>
      <w:r w:rsidR="0069631B" w:rsidRPr="008B02E0">
        <w:rPr>
          <w:rFonts w:asciiTheme="minorHAnsi" w:hAnsiTheme="minorHAnsi"/>
          <w:bCs/>
          <w:iCs/>
          <w:snapToGrid w:val="0"/>
        </w:rPr>
        <w:t xml:space="preserve"> extend and improve their quality of life. </w:t>
      </w:r>
      <w:r w:rsidR="008B392D" w:rsidRPr="008B02E0">
        <w:rPr>
          <w:rFonts w:asciiTheme="minorHAnsi" w:hAnsiTheme="minorHAnsi"/>
          <w:bCs/>
          <w:iCs/>
          <w:snapToGrid w:val="0"/>
        </w:rPr>
        <w:t>The PBAC noted one individual</w:t>
      </w:r>
      <w:r w:rsidR="00E50F7D" w:rsidRPr="008B02E0">
        <w:rPr>
          <w:rFonts w:asciiTheme="minorHAnsi" w:hAnsiTheme="minorHAnsi"/>
          <w:bCs/>
          <w:iCs/>
          <w:snapToGrid w:val="0"/>
        </w:rPr>
        <w:t xml:space="preserve"> with experience of taking nivolumab plus ipilimumab for </w:t>
      </w:r>
      <w:r w:rsidR="0079311F" w:rsidRPr="008B02E0">
        <w:rPr>
          <w:rFonts w:asciiTheme="minorHAnsi" w:hAnsiTheme="minorHAnsi"/>
          <w:bCs/>
          <w:iCs/>
          <w:snapToGrid w:val="0"/>
        </w:rPr>
        <w:t>metastatic CRC</w:t>
      </w:r>
      <w:r w:rsidR="0080107C" w:rsidRPr="008B02E0">
        <w:rPr>
          <w:rFonts w:asciiTheme="minorHAnsi" w:hAnsiTheme="minorHAnsi"/>
          <w:bCs/>
          <w:iCs/>
          <w:snapToGrid w:val="0"/>
        </w:rPr>
        <w:t xml:space="preserve">, </w:t>
      </w:r>
      <w:r w:rsidR="008777BD" w:rsidRPr="008B02E0">
        <w:rPr>
          <w:rFonts w:asciiTheme="minorHAnsi" w:hAnsiTheme="minorHAnsi"/>
          <w:bCs/>
          <w:iCs/>
          <w:snapToGrid w:val="0"/>
        </w:rPr>
        <w:t>highlight</w:t>
      </w:r>
      <w:r w:rsidR="00A24A3D" w:rsidRPr="008B02E0">
        <w:rPr>
          <w:rFonts w:asciiTheme="minorHAnsi" w:hAnsiTheme="minorHAnsi"/>
          <w:bCs/>
          <w:iCs/>
          <w:snapToGrid w:val="0"/>
        </w:rPr>
        <w:t>ed</w:t>
      </w:r>
      <w:r w:rsidR="008777BD" w:rsidRPr="008B02E0">
        <w:rPr>
          <w:rFonts w:asciiTheme="minorHAnsi" w:hAnsiTheme="minorHAnsi"/>
          <w:bCs/>
          <w:iCs/>
          <w:snapToGrid w:val="0"/>
        </w:rPr>
        <w:t xml:space="preserve"> </w:t>
      </w:r>
      <w:r w:rsidR="0043118A" w:rsidRPr="008B02E0">
        <w:rPr>
          <w:rFonts w:asciiTheme="minorHAnsi" w:hAnsiTheme="minorHAnsi"/>
          <w:bCs/>
          <w:iCs/>
          <w:snapToGrid w:val="0"/>
        </w:rPr>
        <w:t xml:space="preserve">the </w:t>
      </w:r>
      <w:r w:rsidR="004E76D3" w:rsidRPr="008B02E0">
        <w:rPr>
          <w:rFonts w:asciiTheme="minorHAnsi" w:hAnsiTheme="minorHAnsi"/>
          <w:bCs/>
          <w:iCs/>
          <w:snapToGrid w:val="0"/>
        </w:rPr>
        <w:t xml:space="preserve">significant </w:t>
      </w:r>
      <w:r w:rsidR="0043118A" w:rsidRPr="008B02E0">
        <w:rPr>
          <w:rFonts w:asciiTheme="minorHAnsi" w:hAnsiTheme="minorHAnsi"/>
          <w:bCs/>
          <w:iCs/>
          <w:snapToGrid w:val="0"/>
        </w:rPr>
        <w:t xml:space="preserve">survival advantage </w:t>
      </w:r>
      <w:r w:rsidR="007F0B04" w:rsidRPr="008B02E0">
        <w:rPr>
          <w:rFonts w:asciiTheme="minorHAnsi" w:hAnsiTheme="minorHAnsi"/>
          <w:bCs/>
          <w:iCs/>
          <w:snapToGrid w:val="0"/>
        </w:rPr>
        <w:t>of</w:t>
      </w:r>
      <w:r w:rsidR="0043118A" w:rsidRPr="008B02E0">
        <w:rPr>
          <w:rFonts w:asciiTheme="minorHAnsi" w:hAnsiTheme="minorHAnsi"/>
          <w:bCs/>
          <w:iCs/>
          <w:snapToGrid w:val="0"/>
        </w:rPr>
        <w:t xml:space="preserve"> treatment</w:t>
      </w:r>
      <w:r w:rsidR="00936ACF" w:rsidRPr="008B02E0">
        <w:rPr>
          <w:rFonts w:asciiTheme="minorHAnsi" w:hAnsiTheme="minorHAnsi"/>
          <w:bCs/>
          <w:iCs/>
          <w:snapToGrid w:val="0"/>
        </w:rPr>
        <w:t>, noting no</w:t>
      </w:r>
      <w:r w:rsidR="00E30A00" w:rsidRPr="008B02E0">
        <w:rPr>
          <w:rFonts w:asciiTheme="minorHAnsi" w:hAnsiTheme="minorHAnsi"/>
          <w:bCs/>
          <w:iCs/>
          <w:snapToGrid w:val="0"/>
        </w:rPr>
        <w:t xml:space="preserve"> major</w:t>
      </w:r>
      <w:r w:rsidR="00936ACF" w:rsidRPr="008B02E0">
        <w:rPr>
          <w:rFonts w:asciiTheme="minorHAnsi" w:hAnsiTheme="minorHAnsi"/>
          <w:bCs/>
          <w:iCs/>
          <w:snapToGrid w:val="0"/>
        </w:rPr>
        <w:t xml:space="preserve"> </w:t>
      </w:r>
      <w:r w:rsidR="006D26EA" w:rsidRPr="008B02E0">
        <w:rPr>
          <w:rFonts w:asciiTheme="minorHAnsi" w:hAnsiTheme="minorHAnsi"/>
          <w:bCs/>
          <w:iCs/>
          <w:snapToGrid w:val="0"/>
        </w:rPr>
        <w:t>tolerability concerns.</w:t>
      </w:r>
      <w:r w:rsidR="006670FB" w:rsidRPr="008B02E0">
        <w:rPr>
          <w:rFonts w:asciiTheme="minorHAnsi" w:hAnsiTheme="minorHAnsi"/>
          <w:bCs/>
          <w:iCs/>
          <w:snapToGrid w:val="0"/>
        </w:rPr>
        <w:t xml:space="preserve"> The individual </w:t>
      </w:r>
      <w:r w:rsidR="00A07823" w:rsidRPr="008B02E0">
        <w:rPr>
          <w:rFonts w:asciiTheme="minorHAnsi" w:hAnsiTheme="minorHAnsi"/>
          <w:bCs/>
          <w:iCs/>
          <w:snapToGrid w:val="0"/>
        </w:rPr>
        <w:t xml:space="preserve">also </w:t>
      </w:r>
      <w:r w:rsidR="006670FB" w:rsidRPr="008B02E0">
        <w:rPr>
          <w:rFonts w:asciiTheme="minorHAnsi" w:hAnsiTheme="minorHAnsi"/>
          <w:bCs/>
          <w:iCs/>
          <w:snapToGrid w:val="0"/>
        </w:rPr>
        <w:t xml:space="preserve">noted the high cost of </w:t>
      </w:r>
      <w:r w:rsidR="00751596" w:rsidRPr="008B02E0">
        <w:rPr>
          <w:rFonts w:asciiTheme="minorHAnsi" w:hAnsiTheme="minorHAnsi"/>
          <w:bCs/>
          <w:iCs/>
          <w:snapToGrid w:val="0"/>
        </w:rPr>
        <w:t>therapy</w:t>
      </w:r>
      <w:r w:rsidR="000A5362" w:rsidRPr="008B02E0">
        <w:rPr>
          <w:rFonts w:asciiTheme="minorHAnsi" w:hAnsiTheme="minorHAnsi"/>
          <w:bCs/>
          <w:iCs/>
          <w:snapToGrid w:val="0"/>
        </w:rPr>
        <w:t>.</w:t>
      </w:r>
      <w:r w:rsidR="00C94AF7" w:rsidRPr="008B02E0">
        <w:rPr>
          <w:rFonts w:asciiTheme="minorHAnsi" w:hAnsiTheme="minorHAnsi"/>
          <w:bCs/>
          <w:iCs/>
          <w:snapToGrid w:val="0"/>
        </w:rPr>
        <w:t xml:space="preserve"> </w:t>
      </w:r>
      <w:r w:rsidR="00817CE4" w:rsidRPr="008B02E0">
        <w:rPr>
          <w:rFonts w:asciiTheme="minorHAnsi" w:hAnsiTheme="minorHAnsi"/>
          <w:bCs/>
          <w:iCs/>
          <w:snapToGrid w:val="0"/>
        </w:rPr>
        <w:t xml:space="preserve">The PBAC </w:t>
      </w:r>
      <w:r w:rsidR="008F118E" w:rsidRPr="008B02E0">
        <w:rPr>
          <w:rFonts w:asciiTheme="minorHAnsi" w:hAnsiTheme="minorHAnsi"/>
          <w:bCs/>
          <w:iCs/>
          <w:snapToGrid w:val="0"/>
        </w:rPr>
        <w:t xml:space="preserve">also </w:t>
      </w:r>
      <w:r w:rsidR="004B06AF" w:rsidRPr="008B02E0">
        <w:rPr>
          <w:rFonts w:asciiTheme="minorHAnsi" w:hAnsiTheme="minorHAnsi"/>
          <w:bCs/>
          <w:iCs/>
          <w:snapToGrid w:val="0"/>
        </w:rPr>
        <w:t>acknowledged</w:t>
      </w:r>
      <w:r w:rsidR="00B50473" w:rsidRPr="008B02E0">
        <w:rPr>
          <w:rFonts w:asciiTheme="minorHAnsi" w:hAnsiTheme="minorHAnsi"/>
          <w:bCs/>
          <w:iCs/>
          <w:snapToGrid w:val="0"/>
        </w:rPr>
        <w:t xml:space="preserve"> comments from carers and other individuals, noting the significant side effects</w:t>
      </w:r>
      <w:r w:rsidR="00CE00A5" w:rsidRPr="008B02E0">
        <w:rPr>
          <w:rFonts w:asciiTheme="minorHAnsi" w:hAnsiTheme="minorHAnsi"/>
          <w:bCs/>
          <w:iCs/>
          <w:snapToGrid w:val="0"/>
        </w:rPr>
        <w:t xml:space="preserve"> experienced</w:t>
      </w:r>
      <w:r w:rsidR="00B50473" w:rsidRPr="008B02E0">
        <w:rPr>
          <w:rFonts w:asciiTheme="minorHAnsi" w:hAnsiTheme="minorHAnsi"/>
          <w:bCs/>
          <w:iCs/>
          <w:snapToGrid w:val="0"/>
        </w:rPr>
        <w:t xml:space="preserve"> </w:t>
      </w:r>
      <w:r w:rsidR="00ED565E" w:rsidRPr="008B02E0">
        <w:rPr>
          <w:rFonts w:asciiTheme="minorHAnsi" w:hAnsiTheme="minorHAnsi"/>
          <w:bCs/>
          <w:iCs/>
          <w:snapToGrid w:val="0"/>
        </w:rPr>
        <w:t>from chemotherap</w:t>
      </w:r>
      <w:r w:rsidR="000C53AB" w:rsidRPr="008B02E0">
        <w:rPr>
          <w:rFonts w:asciiTheme="minorHAnsi" w:hAnsiTheme="minorHAnsi"/>
          <w:bCs/>
          <w:iCs/>
          <w:snapToGrid w:val="0"/>
        </w:rPr>
        <w:t>y</w:t>
      </w:r>
      <w:r w:rsidR="009215B8" w:rsidRPr="008B02E0">
        <w:rPr>
          <w:rFonts w:asciiTheme="minorHAnsi" w:hAnsiTheme="minorHAnsi"/>
          <w:bCs/>
          <w:iCs/>
          <w:snapToGrid w:val="0"/>
        </w:rPr>
        <w:t xml:space="preserve"> and the </w:t>
      </w:r>
      <w:r w:rsidR="008A37B6" w:rsidRPr="008B02E0">
        <w:rPr>
          <w:rFonts w:asciiTheme="minorHAnsi" w:hAnsiTheme="minorHAnsi"/>
          <w:bCs/>
          <w:iCs/>
          <w:snapToGrid w:val="0"/>
        </w:rPr>
        <w:t xml:space="preserve">continued incidence of disease </w:t>
      </w:r>
      <w:r w:rsidR="009215B8" w:rsidRPr="008B02E0">
        <w:rPr>
          <w:rFonts w:asciiTheme="minorHAnsi" w:hAnsiTheme="minorHAnsi"/>
          <w:bCs/>
          <w:iCs/>
          <w:snapToGrid w:val="0"/>
        </w:rPr>
        <w:t xml:space="preserve">recurrence </w:t>
      </w:r>
      <w:r w:rsidR="008A37B6" w:rsidRPr="008B02E0">
        <w:rPr>
          <w:rFonts w:asciiTheme="minorHAnsi" w:hAnsiTheme="minorHAnsi"/>
          <w:bCs/>
          <w:iCs/>
          <w:snapToGrid w:val="0"/>
        </w:rPr>
        <w:t>in patients following therapy,</w:t>
      </w:r>
      <w:r w:rsidR="00CA6E34" w:rsidRPr="008B02E0">
        <w:rPr>
          <w:rFonts w:asciiTheme="minorHAnsi" w:hAnsiTheme="minorHAnsi"/>
          <w:bCs/>
          <w:iCs/>
          <w:snapToGrid w:val="0"/>
        </w:rPr>
        <w:t xml:space="preserve"> and </w:t>
      </w:r>
      <w:r w:rsidR="00A01BDA" w:rsidRPr="008B02E0">
        <w:rPr>
          <w:rFonts w:asciiTheme="minorHAnsi" w:hAnsiTheme="minorHAnsi"/>
          <w:bCs/>
          <w:iCs/>
          <w:snapToGrid w:val="0"/>
        </w:rPr>
        <w:t>considered that the</w:t>
      </w:r>
      <w:r w:rsidR="008F118E" w:rsidRPr="008B02E0">
        <w:rPr>
          <w:rFonts w:asciiTheme="minorHAnsi" w:hAnsiTheme="minorHAnsi"/>
          <w:bCs/>
          <w:iCs/>
          <w:snapToGrid w:val="0"/>
        </w:rPr>
        <w:t xml:space="preserve"> improved </w:t>
      </w:r>
      <w:r w:rsidR="008A37B6" w:rsidRPr="008B02E0">
        <w:rPr>
          <w:rFonts w:asciiTheme="minorHAnsi" w:hAnsiTheme="minorHAnsi"/>
          <w:bCs/>
          <w:iCs/>
          <w:snapToGrid w:val="0"/>
        </w:rPr>
        <w:t xml:space="preserve">efficacy and </w:t>
      </w:r>
      <w:r w:rsidR="008F118E" w:rsidRPr="008B02E0">
        <w:rPr>
          <w:rFonts w:asciiTheme="minorHAnsi" w:hAnsiTheme="minorHAnsi"/>
          <w:bCs/>
          <w:iCs/>
          <w:snapToGrid w:val="0"/>
        </w:rPr>
        <w:t xml:space="preserve">tolerability </w:t>
      </w:r>
      <w:r w:rsidR="008A37B6" w:rsidRPr="008B02E0">
        <w:rPr>
          <w:rFonts w:asciiTheme="minorHAnsi" w:hAnsiTheme="minorHAnsi"/>
          <w:bCs/>
          <w:iCs/>
          <w:snapToGrid w:val="0"/>
        </w:rPr>
        <w:t>of</w:t>
      </w:r>
      <w:r w:rsidR="008F118E" w:rsidRPr="008B02E0">
        <w:rPr>
          <w:rFonts w:asciiTheme="minorHAnsi" w:hAnsiTheme="minorHAnsi"/>
          <w:bCs/>
          <w:iCs/>
          <w:snapToGrid w:val="0"/>
        </w:rPr>
        <w:t xml:space="preserve"> immunotherapy would have significant </w:t>
      </w:r>
      <w:r w:rsidR="008A37B6" w:rsidRPr="008B02E0">
        <w:rPr>
          <w:rFonts w:asciiTheme="minorHAnsi" w:hAnsiTheme="minorHAnsi"/>
          <w:bCs/>
          <w:iCs/>
          <w:snapToGrid w:val="0"/>
        </w:rPr>
        <w:t xml:space="preserve">clinical and </w:t>
      </w:r>
      <w:r w:rsidR="008F118E" w:rsidRPr="008B02E0">
        <w:rPr>
          <w:rFonts w:asciiTheme="minorHAnsi" w:hAnsiTheme="minorHAnsi"/>
          <w:bCs/>
          <w:iCs/>
          <w:snapToGrid w:val="0"/>
        </w:rPr>
        <w:t>quality of life benefits for patients with CRC.</w:t>
      </w:r>
    </w:p>
    <w:p w14:paraId="10F651E5" w14:textId="6DB8C30A" w:rsidR="00A501E1" w:rsidRPr="008B02E0" w:rsidRDefault="00C601AE" w:rsidP="00AE5B32">
      <w:pPr>
        <w:numPr>
          <w:ilvl w:val="1"/>
          <w:numId w:val="1"/>
        </w:numPr>
        <w:spacing w:after="120"/>
        <w:rPr>
          <w:rFonts w:asciiTheme="minorHAnsi" w:hAnsiTheme="minorHAnsi"/>
          <w:bCs/>
          <w:iCs/>
          <w:snapToGrid w:val="0"/>
        </w:rPr>
      </w:pPr>
      <w:r w:rsidRPr="008B02E0">
        <w:rPr>
          <w:rFonts w:asciiTheme="minorHAnsi" w:hAnsiTheme="minorHAnsi"/>
          <w:bCs/>
          <w:iCs/>
          <w:snapToGrid w:val="0"/>
        </w:rPr>
        <w:lastRenderedPageBreak/>
        <w:t>The</w:t>
      </w:r>
      <w:r w:rsidR="00A3549E" w:rsidRPr="008B02E0">
        <w:rPr>
          <w:rFonts w:asciiTheme="minorHAnsi" w:hAnsiTheme="minorHAnsi"/>
          <w:bCs/>
          <w:iCs/>
          <w:snapToGrid w:val="0"/>
        </w:rPr>
        <w:t xml:space="preserve"> PBAC noted advice received from</w:t>
      </w:r>
      <w:r w:rsidRPr="008B02E0">
        <w:rPr>
          <w:rFonts w:asciiTheme="minorHAnsi" w:hAnsiTheme="minorHAnsi"/>
          <w:bCs/>
          <w:iCs/>
          <w:snapToGrid w:val="0"/>
        </w:rPr>
        <w:t xml:space="preserve"> consumer organisations </w:t>
      </w:r>
      <w:r w:rsidR="00A3549E" w:rsidRPr="008B02E0">
        <w:rPr>
          <w:rFonts w:asciiTheme="minorHAnsi" w:hAnsiTheme="minorHAnsi"/>
          <w:bCs/>
          <w:iCs/>
          <w:snapToGrid w:val="0"/>
        </w:rPr>
        <w:t>support</w:t>
      </w:r>
      <w:r w:rsidR="00CB394B" w:rsidRPr="008B02E0">
        <w:rPr>
          <w:rFonts w:asciiTheme="minorHAnsi" w:hAnsiTheme="minorHAnsi"/>
          <w:bCs/>
          <w:iCs/>
          <w:snapToGrid w:val="0"/>
        </w:rPr>
        <w:t xml:space="preserve">ing </w:t>
      </w:r>
      <w:r w:rsidR="006A327A">
        <w:rPr>
          <w:rFonts w:asciiTheme="minorHAnsi" w:hAnsiTheme="minorHAnsi"/>
          <w:bCs/>
          <w:iCs/>
          <w:snapToGrid w:val="0"/>
        </w:rPr>
        <w:t>this</w:t>
      </w:r>
      <w:r w:rsidR="00A3549E" w:rsidRPr="008B02E0">
        <w:rPr>
          <w:rFonts w:asciiTheme="minorHAnsi" w:hAnsiTheme="minorHAnsi"/>
          <w:bCs/>
          <w:iCs/>
          <w:snapToGrid w:val="0"/>
        </w:rPr>
        <w:t xml:space="preserve"> </w:t>
      </w:r>
      <w:r w:rsidR="00646612" w:rsidRPr="008B02E0">
        <w:rPr>
          <w:rFonts w:asciiTheme="minorHAnsi" w:hAnsiTheme="minorHAnsi"/>
          <w:bCs/>
          <w:iCs/>
          <w:snapToGrid w:val="0"/>
        </w:rPr>
        <w:t>listing of nivolumab plus ipilimumab</w:t>
      </w:r>
      <w:r w:rsidR="00A3549E" w:rsidRPr="008B02E0">
        <w:rPr>
          <w:rFonts w:asciiTheme="minorHAnsi" w:hAnsiTheme="minorHAnsi"/>
          <w:bCs/>
          <w:iCs/>
          <w:snapToGrid w:val="0"/>
        </w:rPr>
        <w:t xml:space="preserve">. </w:t>
      </w:r>
      <w:r w:rsidR="00C724D6" w:rsidRPr="008B02E0">
        <w:rPr>
          <w:rFonts w:asciiTheme="minorHAnsi" w:hAnsiTheme="minorHAnsi"/>
          <w:bCs/>
          <w:iCs/>
          <w:snapToGrid w:val="0"/>
        </w:rPr>
        <w:t xml:space="preserve">The input highlighted the </w:t>
      </w:r>
      <w:r w:rsidR="00732674" w:rsidRPr="008B02E0">
        <w:rPr>
          <w:rFonts w:asciiTheme="minorHAnsi" w:hAnsiTheme="minorHAnsi"/>
          <w:bCs/>
          <w:iCs/>
          <w:snapToGrid w:val="0"/>
        </w:rPr>
        <w:t xml:space="preserve">need for </w:t>
      </w:r>
      <w:r w:rsidR="00794A54" w:rsidRPr="008B02E0">
        <w:rPr>
          <w:rFonts w:asciiTheme="minorHAnsi" w:hAnsiTheme="minorHAnsi"/>
          <w:bCs/>
          <w:iCs/>
          <w:snapToGrid w:val="0"/>
        </w:rPr>
        <w:t xml:space="preserve">additional therapies for these patients and the </w:t>
      </w:r>
      <w:r w:rsidR="00C724D6" w:rsidRPr="008B02E0">
        <w:rPr>
          <w:rFonts w:asciiTheme="minorHAnsi" w:hAnsiTheme="minorHAnsi"/>
          <w:bCs/>
          <w:iCs/>
          <w:snapToGrid w:val="0"/>
        </w:rPr>
        <w:t xml:space="preserve">positive results of the </w:t>
      </w:r>
      <w:r w:rsidR="00250B2E" w:rsidRPr="008B02E0">
        <w:rPr>
          <w:rFonts w:asciiTheme="minorHAnsi" w:hAnsiTheme="minorHAnsi"/>
          <w:bCs/>
          <w:iCs/>
          <w:snapToGrid w:val="0"/>
        </w:rPr>
        <w:t>CM</w:t>
      </w:r>
      <w:r w:rsidR="009E5502">
        <w:rPr>
          <w:rFonts w:asciiTheme="minorHAnsi" w:hAnsiTheme="minorHAnsi"/>
          <w:bCs/>
          <w:iCs/>
          <w:snapToGrid w:val="0"/>
        </w:rPr>
        <w:noBreakHyphen/>
      </w:r>
      <w:r w:rsidR="00250B2E" w:rsidRPr="008B02E0">
        <w:rPr>
          <w:rFonts w:asciiTheme="minorHAnsi" w:hAnsiTheme="minorHAnsi"/>
          <w:bCs/>
          <w:iCs/>
          <w:snapToGrid w:val="0"/>
        </w:rPr>
        <w:t>8HW</w:t>
      </w:r>
      <w:r w:rsidR="00C724D6" w:rsidRPr="008B02E0">
        <w:rPr>
          <w:rFonts w:asciiTheme="minorHAnsi" w:hAnsiTheme="minorHAnsi"/>
          <w:bCs/>
          <w:iCs/>
          <w:snapToGrid w:val="0"/>
        </w:rPr>
        <w:t xml:space="preserve"> trial showing a </w:t>
      </w:r>
      <w:r w:rsidR="00250B2E" w:rsidRPr="008B02E0">
        <w:rPr>
          <w:rFonts w:asciiTheme="minorHAnsi" w:hAnsiTheme="minorHAnsi"/>
          <w:bCs/>
          <w:iCs/>
          <w:snapToGrid w:val="0"/>
        </w:rPr>
        <w:t>progression free survival</w:t>
      </w:r>
      <w:r w:rsidR="00C724D6" w:rsidRPr="008B02E0">
        <w:rPr>
          <w:rFonts w:asciiTheme="minorHAnsi" w:hAnsiTheme="minorHAnsi"/>
          <w:bCs/>
          <w:iCs/>
          <w:snapToGrid w:val="0"/>
        </w:rPr>
        <w:t xml:space="preserve"> benefit </w:t>
      </w:r>
      <w:r w:rsidR="00304474" w:rsidRPr="008B02E0">
        <w:rPr>
          <w:rFonts w:asciiTheme="minorHAnsi" w:hAnsiTheme="minorHAnsi"/>
          <w:bCs/>
          <w:iCs/>
          <w:snapToGrid w:val="0"/>
        </w:rPr>
        <w:t xml:space="preserve">compared with chemotherapy </w:t>
      </w:r>
      <w:r w:rsidR="00C724D6" w:rsidRPr="008B02E0">
        <w:rPr>
          <w:rFonts w:asciiTheme="minorHAnsi" w:hAnsiTheme="minorHAnsi"/>
          <w:bCs/>
          <w:iCs/>
          <w:snapToGrid w:val="0"/>
        </w:rPr>
        <w:t>for this patient group</w:t>
      </w:r>
      <w:r w:rsidR="00523A26" w:rsidRPr="008B02E0">
        <w:rPr>
          <w:rFonts w:asciiTheme="minorHAnsi" w:hAnsiTheme="minorHAnsi"/>
          <w:bCs/>
          <w:iCs/>
          <w:snapToGrid w:val="0"/>
        </w:rPr>
        <w:t xml:space="preserve">. </w:t>
      </w:r>
      <w:r w:rsidR="00F751F0" w:rsidRPr="008B02E0">
        <w:rPr>
          <w:rFonts w:asciiTheme="minorHAnsi" w:hAnsiTheme="minorHAnsi"/>
          <w:bCs/>
          <w:iCs/>
          <w:snapToGrid w:val="0"/>
        </w:rPr>
        <w:t xml:space="preserve">Input noted </w:t>
      </w:r>
      <w:r w:rsidR="00F630CB" w:rsidRPr="008B02E0">
        <w:rPr>
          <w:rFonts w:asciiTheme="minorHAnsi" w:hAnsiTheme="minorHAnsi"/>
          <w:bCs/>
          <w:iCs/>
          <w:snapToGrid w:val="0"/>
        </w:rPr>
        <w:t>possible side effects, however stated that patients report</w:t>
      </w:r>
      <w:r w:rsidR="00C94AF7" w:rsidRPr="008B02E0">
        <w:rPr>
          <w:rFonts w:asciiTheme="minorHAnsi" w:hAnsiTheme="minorHAnsi"/>
          <w:bCs/>
          <w:iCs/>
          <w:snapToGrid w:val="0"/>
        </w:rPr>
        <w:t>ed</w:t>
      </w:r>
      <w:r w:rsidR="00F630CB" w:rsidRPr="008B02E0">
        <w:rPr>
          <w:rFonts w:asciiTheme="minorHAnsi" w:hAnsiTheme="minorHAnsi"/>
          <w:bCs/>
          <w:iCs/>
          <w:snapToGrid w:val="0"/>
        </w:rPr>
        <w:t xml:space="preserve"> these to be manageable and </w:t>
      </w:r>
      <w:r w:rsidR="00C94AF7" w:rsidRPr="008B02E0">
        <w:rPr>
          <w:rFonts w:asciiTheme="minorHAnsi" w:hAnsiTheme="minorHAnsi"/>
          <w:bCs/>
          <w:iCs/>
          <w:snapToGrid w:val="0"/>
        </w:rPr>
        <w:t>d</w:t>
      </w:r>
      <w:r w:rsidR="00D84EFB" w:rsidRPr="008B02E0">
        <w:rPr>
          <w:rFonts w:asciiTheme="minorHAnsi" w:hAnsiTheme="minorHAnsi"/>
          <w:bCs/>
          <w:iCs/>
          <w:snapToGrid w:val="0"/>
        </w:rPr>
        <w:t>o not outweigh the potential benefits of treatment.</w:t>
      </w:r>
      <w:r w:rsidR="00C94AF7" w:rsidRPr="008B02E0">
        <w:rPr>
          <w:rFonts w:asciiTheme="minorHAnsi" w:hAnsiTheme="minorHAnsi"/>
          <w:bCs/>
          <w:iCs/>
          <w:snapToGrid w:val="0"/>
        </w:rPr>
        <w:t xml:space="preserve"> </w:t>
      </w:r>
      <w:r w:rsidR="005F5BC2" w:rsidRPr="008B02E0">
        <w:rPr>
          <w:rFonts w:asciiTheme="minorHAnsi" w:hAnsiTheme="minorHAnsi"/>
          <w:bCs/>
          <w:iCs/>
          <w:snapToGrid w:val="0"/>
        </w:rPr>
        <w:t xml:space="preserve">Patient </w:t>
      </w:r>
      <w:r w:rsidR="00010314" w:rsidRPr="008B02E0">
        <w:rPr>
          <w:rFonts w:asciiTheme="minorHAnsi" w:hAnsiTheme="minorHAnsi"/>
          <w:bCs/>
          <w:iCs/>
          <w:snapToGrid w:val="0"/>
        </w:rPr>
        <w:t>comments</w:t>
      </w:r>
      <w:r w:rsidR="008D5721" w:rsidRPr="008B02E0">
        <w:rPr>
          <w:rFonts w:asciiTheme="minorHAnsi" w:hAnsiTheme="minorHAnsi"/>
          <w:bCs/>
          <w:iCs/>
          <w:snapToGrid w:val="0"/>
        </w:rPr>
        <w:t xml:space="preserve"> accom</w:t>
      </w:r>
      <w:r w:rsidR="00F9116C" w:rsidRPr="008B02E0">
        <w:rPr>
          <w:rFonts w:asciiTheme="minorHAnsi" w:hAnsiTheme="minorHAnsi"/>
          <w:bCs/>
          <w:iCs/>
          <w:snapToGrid w:val="0"/>
        </w:rPr>
        <w:t xml:space="preserve">panied </w:t>
      </w:r>
      <w:r w:rsidR="0078454C" w:rsidRPr="008B02E0">
        <w:rPr>
          <w:rFonts w:asciiTheme="minorHAnsi" w:hAnsiTheme="minorHAnsi"/>
          <w:bCs/>
          <w:iCs/>
          <w:snapToGrid w:val="0"/>
        </w:rPr>
        <w:t xml:space="preserve">the </w:t>
      </w:r>
      <w:r w:rsidR="00010314" w:rsidRPr="008B02E0">
        <w:rPr>
          <w:rFonts w:asciiTheme="minorHAnsi" w:hAnsiTheme="minorHAnsi"/>
          <w:bCs/>
          <w:iCs/>
          <w:snapToGrid w:val="0"/>
        </w:rPr>
        <w:t>input</w:t>
      </w:r>
      <w:r w:rsidR="0078454C" w:rsidRPr="008B02E0">
        <w:rPr>
          <w:rFonts w:asciiTheme="minorHAnsi" w:hAnsiTheme="minorHAnsi"/>
          <w:bCs/>
          <w:iCs/>
          <w:snapToGrid w:val="0"/>
        </w:rPr>
        <w:t xml:space="preserve"> from Bowel Cancer Australia, </w:t>
      </w:r>
      <w:r w:rsidR="00D54297" w:rsidRPr="008B02E0">
        <w:rPr>
          <w:rFonts w:asciiTheme="minorHAnsi" w:hAnsiTheme="minorHAnsi"/>
          <w:bCs/>
          <w:iCs/>
          <w:snapToGrid w:val="0"/>
        </w:rPr>
        <w:t xml:space="preserve">which </w:t>
      </w:r>
      <w:r w:rsidR="00613CEB" w:rsidRPr="008B02E0">
        <w:rPr>
          <w:rFonts w:asciiTheme="minorHAnsi" w:hAnsiTheme="minorHAnsi"/>
          <w:bCs/>
          <w:iCs/>
          <w:snapToGrid w:val="0"/>
        </w:rPr>
        <w:t>discussed the devastating</w:t>
      </w:r>
      <w:r w:rsidR="000D47E0" w:rsidRPr="008B02E0">
        <w:rPr>
          <w:rFonts w:asciiTheme="minorHAnsi" w:hAnsiTheme="minorHAnsi"/>
          <w:bCs/>
          <w:iCs/>
          <w:snapToGrid w:val="0"/>
        </w:rPr>
        <w:t xml:space="preserve"> physical and mental</w:t>
      </w:r>
      <w:r w:rsidR="00613CEB" w:rsidRPr="008B02E0">
        <w:rPr>
          <w:rFonts w:asciiTheme="minorHAnsi" w:hAnsiTheme="minorHAnsi"/>
          <w:bCs/>
          <w:iCs/>
          <w:snapToGrid w:val="0"/>
        </w:rPr>
        <w:t xml:space="preserve"> impact</w:t>
      </w:r>
      <w:r w:rsidR="000D47E0" w:rsidRPr="008B02E0">
        <w:rPr>
          <w:rFonts w:asciiTheme="minorHAnsi" w:hAnsiTheme="minorHAnsi"/>
          <w:bCs/>
          <w:iCs/>
          <w:snapToGrid w:val="0"/>
        </w:rPr>
        <w:t xml:space="preserve"> </w:t>
      </w:r>
      <w:r w:rsidR="00613CEB" w:rsidRPr="008B02E0">
        <w:rPr>
          <w:rFonts w:asciiTheme="minorHAnsi" w:hAnsiTheme="minorHAnsi"/>
          <w:bCs/>
          <w:iCs/>
          <w:snapToGrid w:val="0"/>
        </w:rPr>
        <w:t>of a CRC diagnosis</w:t>
      </w:r>
      <w:r w:rsidR="00BE0017" w:rsidRPr="008B02E0">
        <w:rPr>
          <w:rFonts w:asciiTheme="minorHAnsi" w:hAnsiTheme="minorHAnsi"/>
          <w:bCs/>
          <w:iCs/>
          <w:snapToGrid w:val="0"/>
        </w:rPr>
        <w:t xml:space="preserve"> and the difficult side effects associated with initial </w:t>
      </w:r>
      <w:r w:rsidR="00285173" w:rsidRPr="008B02E0">
        <w:rPr>
          <w:rFonts w:asciiTheme="minorHAnsi" w:hAnsiTheme="minorHAnsi"/>
          <w:bCs/>
          <w:iCs/>
          <w:snapToGrid w:val="0"/>
        </w:rPr>
        <w:t xml:space="preserve">treatment with </w:t>
      </w:r>
      <w:r w:rsidR="00BE0017" w:rsidRPr="008B02E0">
        <w:rPr>
          <w:rFonts w:asciiTheme="minorHAnsi" w:hAnsiTheme="minorHAnsi"/>
          <w:bCs/>
          <w:iCs/>
          <w:snapToGrid w:val="0"/>
        </w:rPr>
        <w:t xml:space="preserve">chemotherapy. </w:t>
      </w:r>
      <w:r w:rsidR="00836BB1" w:rsidRPr="008B02E0">
        <w:rPr>
          <w:rFonts w:asciiTheme="minorHAnsi" w:hAnsiTheme="minorHAnsi"/>
          <w:bCs/>
          <w:iCs/>
          <w:snapToGrid w:val="0"/>
        </w:rPr>
        <w:t xml:space="preserve">One individual described </w:t>
      </w:r>
      <w:r w:rsidR="00FA2D62" w:rsidRPr="008B02E0">
        <w:rPr>
          <w:rFonts w:asciiTheme="minorHAnsi" w:hAnsiTheme="minorHAnsi"/>
          <w:bCs/>
          <w:iCs/>
          <w:snapToGrid w:val="0"/>
        </w:rPr>
        <w:t xml:space="preserve">their experience </w:t>
      </w:r>
      <w:r w:rsidR="00B22F14" w:rsidRPr="008B02E0">
        <w:rPr>
          <w:rFonts w:asciiTheme="minorHAnsi" w:hAnsiTheme="minorHAnsi"/>
          <w:bCs/>
          <w:iCs/>
          <w:snapToGrid w:val="0"/>
        </w:rPr>
        <w:t xml:space="preserve">of taking nivolumab with ipilimumab </w:t>
      </w:r>
      <w:r w:rsidR="00C2702A" w:rsidRPr="008B02E0">
        <w:rPr>
          <w:rFonts w:asciiTheme="minorHAnsi" w:hAnsiTheme="minorHAnsi"/>
          <w:bCs/>
          <w:iCs/>
          <w:snapToGrid w:val="0"/>
        </w:rPr>
        <w:t>for metastatic CRC</w:t>
      </w:r>
      <w:r w:rsidR="00E91484" w:rsidRPr="008B02E0">
        <w:rPr>
          <w:rFonts w:asciiTheme="minorHAnsi" w:hAnsiTheme="minorHAnsi"/>
          <w:bCs/>
          <w:iCs/>
          <w:snapToGrid w:val="0"/>
        </w:rPr>
        <w:t>,</w:t>
      </w:r>
      <w:r w:rsidR="00C2702A" w:rsidRPr="008B02E0">
        <w:rPr>
          <w:rFonts w:asciiTheme="minorHAnsi" w:hAnsiTheme="minorHAnsi"/>
          <w:bCs/>
          <w:iCs/>
          <w:snapToGrid w:val="0"/>
        </w:rPr>
        <w:t xml:space="preserve"> </w:t>
      </w:r>
      <w:r w:rsidR="00B22F14" w:rsidRPr="008B02E0">
        <w:rPr>
          <w:rFonts w:asciiTheme="minorHAnsi" w:hAnsiTheme="minorHAnsi"/>
          <w:bCs/>
          <w:iCs/>
          <w:snapToGrid w:val="0"/>
        </w:rPr>
        <w:t xml:space="preserve">as part of </w:t>
      </w:r>
      <w:r w:rsidR="00C2702A" w:rsidRPr="008B02E0">
        <w:rPr>
          <w:rFonts w:asciiTheme="minorHAnsi" w:hAnsiTheme="minorHAnsi"/>
          <w:bCs/>
          <w:iCs/>
          <w:snapToGrid w:val="0"/>
        </w:rPr>
        <w:t>a</w:t>
      </w:r>
      <w:r w:rsidR="00B22F14" w:rsidRPr="008B02E0">
        <w:rPr>
          <w:rFonts w:asciiTheme="minorHAnsi" w:hAnsiTheme="minorHAnsi"/>
          <w:bCs/>
          <w:iCs/>
          <w:snapToGrid w:val="0"/>
        </w:rPr>
        <w:t xml:space="preserve"> clinical trial, </w:t>
      </w:r>
      <w:r w:rsidR="00E62795" w:rsidRPr="008B02E0">
        <w:rPr>
          <w:rFonts w:asciiTheme="minorHAnsi" w:hAnsiTheme="minorHAnsi"/>
          <w:bCs/>
          <w:iCs/>
          <w:snapToGrid w:val="0"/>
        </w:rPr>
        <w:t xml:space="preserve">and emphasised the </w:t>
      </w:r>
      <w:r w:rsidR="00845E33" w:rsidRPr="008B02E0">
        <w:rPr>
          <w:rFonts w:asciiTheme="minorHAnsi" w:hAnsiTheme="minorHAnsi"/>
          <w:bCs/>
          <w:iCs/>
          <w:snapToGrid w:val="0"/>
        </w:rPr>
        <w:t>extended</w:t>
      </w:r>
      <w:r w:rsidR="00E62795" w:rsidRPr="008B02E0">
        <w:rPr>
          <w:rFonts w:asciiTheme="minorHAnsi" w:hAnsiTheme="minorHAnsi"/>
          <w:bCs/>
          <w:iCs/>
          <w:snapToGrid w:val="0"/>
        </w:rPr>
        <w:t xml:space="preserve"> survival </w:t>
      </w:r>
      <w:r w:rsidR="00845E33" w:rsidRPr="008B02E0">
        <w:rPr>
          <w:rFonts w:asciiTheme="minorHAnsi" w:hAnsiTheme="minorHAnsi"/>
          <w:bCs/>
          <w:iCs/>
          <w:snapToGrid w:val="0"/>
        </w:rPr>
        <w:t xml:space="preserve">experienced </w:t>
      </w:r>
      <w:r w:rsidR="00495B01" w:rsidRPr="008B02E0">
        <w:rPr>
          <w:rFonts w:asciiTheme="minorHAnsi" w:hAnsiTheme="minorHAnsi"/>
          <w:bCs/>
          <w:iCs/>
          <w:snapToGrid w:val="0"/>
        </w:rPr>
        <w:t xml:space="preserve">and </w:t>
      </w:r>
      <w:r w:rsidR="00E91484" w:rsidRPr="008B02E0">
        <w:rPr>
          <w:rFonts w:asciiTheme="minorHAnsi" w:hAnsiTheme="minorHAnsi"/>
          <w:bCs/>
          <w:iCs/>
          <w:snapToGrid w:val="0"/>
        </w:rPr>
        <w:t>reporting having</w:t>
      </w:r>
      <w:r w:rsidR="00495B01" w:rsidRPr="008B02E0">
        <w:rPr>
          <w:rFonts w:asciiTheme="minorHAnsi" w:hAnsiTheme="minorHAnsi"/>
          <w:bCs/>
          <w:iCs/>
          <w:snapToGrid w:val="0"/>
        </w:rPr>
        <w:t xml:space="preserve"> a complete metabolic response to treatment</w:t>
      </w:r>
      <w:r w:rsidR="00845E33" w:rsidRPr="008B02E0">
        <w:rPr>
          <w:rFonts w:asciiTheme="minorHAnsi" w:hAnsiTheme="minorHAnsi"/>
          <w:bCs/>
          <w:iCs/>
          <w:snapToGrid w:val="0"/>
        </w:rPr>
        <w:t xml:space="preserve">. </w:t>
      </w:r>
    </w:p>
    <w:p w14:paraId="1F8427C1" w14:textId="1055CD3D" w:rsidR="002A716A" w:rsidRPr="008B02E0" w:rsidRDefault="00696808" w:rsidP="00AE5B32">
      <w:pPr>
        <w:pStyle w:val="3-BodyText"/>
        <w:rPr>
          <w:bCs/>
        </w:rPr>
      </w:pPr>
      <w:r w:rsidRPr="008B02E0">
        <w:t xml:space="preserve">The MOGA also expressed its strong support for the </w:t>
      </w:r>
      <w:r w:rsidRPr="008B02E0">
        <w:rPr>
          <w:bCs/>
          <w:iCs/>
        </w:rPr>
        <w:t xml:space="preserve">nivolumab plus ipilimumab </w:t>
      </w:r>
      <w:r w:rsidRPr="008B02E0">
        <w:t>submission, categorising it as one of the therapies of “</w:t>
      </w:r>
      <w:r w:rsidR="004F1713" w:rsidRPr="008B02E0">
        <w:t>Highest Priority”</w:t>
      </w:r>
      <w:r w:rsidRPr="008B02E0">
        <w:t xml:space="preserve"> on the basis of the </w:t>
      </w:r>
      <w:r w:rsidR="004F1713" w:rsidRPr="008B02E0">
        <w:t>CM</w:t>
      </w:r>
      <w:r w:rsidR="009E5502">
        <w:noBreakHyphen/>
      </w:r>
      <w:r w:rsidR="004F1713" w:rsidRPr="008B02E0">
        <w:t>8HW</w:t>
      </w:r>
      <w:r w:rsidRPr="008B02E0">
        <w:t xml:space="preserve"> trial. The PBAC noted that the MOGA presented a European Society for Medical Oncology Magnitude of Clinical Benefit Scale (ESMO</w:t>
      </w:r>
      <w:r w:rsidR="009E5502">
        <w:noBreakHyphen/>
      </w:r>
      <w:r w:rsidRPr="008B02E0">
        <w:t xml:space="preserve">MCBS) for </w:t>
      </w:r>
      <w:r w:rsidR="0078116F" w:rsidRPr="008B02E0">
        <w:t>nivolumab</w:t>
      </w:r>
      <w:r w:rsidRPr="008B02E0">
        <w:t xml:space="preserve"> in combination with </w:t>
      </w:r>
      <w:r w:rsidR="0078116F" w:rsidRPr="008B02E0">
        <w:rPr>
          <w:bCs/>
          <w:iCs/>
        </w:rPr>
        <w:t>ipilimumab</w:t>
      </w:r>
      <w:r w:rsidRPr="008B02E0">
        <w:t xml:space="preserve">, which was limited to </w:t>
      </w:r>
      <w:r w:rsidR="004F1713" w:rsidRPr="008B02E0">
        <w:t>4</w:t>
      </w:r>
      <w:r w:rsidRPr="008B02E0">
        <w:t xml:space="preserve"> (out of a maximum of 5, where 5 and 4 represent the grades with substantial improvement)</w:t>
      </w:r>
      <w:r w:rsidR="0078116F" w:rsidRPr="008B02E0">
        <w:t>,</w:t>
      </w:r>
      <w:r w:rsidRPr="008B02E0">
        <w:rPr>
          <w:rStyle w:val="FootnoteReference"/>
          <w:bCs/>
        </w:rPr>
        <w:footnoteReference w:id="17"/>
      </w:r>
      <w:r w:rsidRPr="008B02E0">
        <w:t xml:space="preserve"> based on a comparison with </w:t>
      </w:r>
      <w:r w:rsidR="00D4443F" w:rsidRPr="008B02E0">
        <w:t>chemotherapy</w:t>
      </w:r>
      <w:r w:rsidRPr="008B02E0">
        <w:t xml:space="preserve">.  </w:t>
      </w:r>
    </w:p>
    <w:p w14:paraId="609C0765" w14:textId="68C88461" w:rsidR="00B60939" w:rsidRPr="008B02E0" w:rsidRDefault="00B60939" w:rsidP="00AE5B32">
      <w:pPr>
        <w:pStyle w:val="4-SubsectionHeading"/>
      </w:pPr>
      <w:r w:rsidRPr="008B02E0">
        <w:t xml:space="preserve">Clinical </w:t>
      </w:r>
      <w:r w:rsidR="00D5243B" w:rsidRPr="008B02E0">
        <w:t>studies</w:t>
      </w:r>
      <w:bookmarkEnd w:id="19"/>
      <w:bookmarkEnd w:id="21"/>
    </w:p>
    <w:p w14:paraId="62D99241" w14:textId="2312BCB6" w:rsidR="00EB6430" w:rsidRPr="008B02E0" w:rsidRDefault="009C7836" w:rsidP="00AE5B32">
      <w:pPr>
        <w:pStyle w:val="3-BodyText"/>
        <w:rPr>
          <w:color w:val="0066FF"/>
        </w:rPr>
      </w:pPr>
      <w:bookmarkStart w:id="22" w:name="_Hlk107307804"/>
      <w:r w:rsidRPr="008B02E0">
        <w:t>No head</w:t>
      </w:r>
      <w:r w:rsidR="009E5502">
        <w:noBreakHyphen/>
      </w:r>
      <w:r w:rsidRPr="008B02E0">
        <w:t>to</w:t>
      </w:r>
      <w:r w:rsidR="009E5502">
        <w:noBreakHyphen/>
      </w:r>
      <w:r w:rsidRPr="008B02E0">
        <w:t xml:space="preserve">head trials comparing </w:t>
      </w:r>
      <w:r w:rsidR="00254757" w:rsidRPr="008B02E0">
        <w:t xml:space="preserve">nivolumab plus ipilimumab </w:t>
      </w:r>
      <w:r w:rsidR="006B2563" w:rsidRPr="008B02E0">
        <w:t xml:space="preserve">with pembrolizumab </w:t>
      </w:r>
      <w:r w:rsidR="00254757" w:rsidRPr="008B02E0">
        <w:t>were identified.</w:t>
      </w:r>
      <w:r w:rsidR="00254757" w:rsidRPr="008B02E0">
        <w:rPr>
          <w:color w:val="0066FF"/>
        </w:rPr>
        <w:t xml:space="preserve"> </w:t>
      </w:r>
      <w:r w:rsidR="00EB6430" w:rsidRPr="008B02E0">
        <w:rPr>
          <w:snapToGrid/>
        </w:rPr>
        <w:t xml:space="preserve">The submission was based on two </w:t>
      </w:r>
      <w:r w:rsidR="00577EBD" w:rsidRPr="008B02E0">
        <w:rPr>
          <w:snapToGrid/>
        </w:rPr>
        <w:t xml:space="preserve">clinical </w:t>
      </w:r>
      <w:r w:rsidR="00EB6430" w:rsidRPr="008B02E0">
        <w:rPr>
          <w:snapToGrid/>
        </w:rPr>
        <w:t xml:space="preserve">trials in </w:t>
      </w:r>
      <w:r w:rsidR="00EB6430" w:rsidRPr="008B02E0">
        <w:rPr>
          <w:color w:val="000000" w:themeColor="text1"/>
        </w:rPr>
        <w:t>MSI</w:t>
      </w:r>
      <w:r w:rsidR="009E5502">
        <w:rPr>
          <w:color w:val="000000" w:themeColor="text1"/>
        </w:rPr>
        <w:noBreakHyphen/>
      </w:r>
      <w:r w:rsidR="00EB6430" w:rsidRPr="008B02E0">
        <w:rPr>
          <w:color w:val="000000" w:themeColor="text1"/>
        </w:rPr>
        <w:t>H/dMMR mCRC</w:t>
      </w:r>
      <w:r w:rsidR="006E6F4C" w:rsidRPr="008B02E0">
        <w:rPr>
          <w:color w:val="000000" w:themeColor="text1"/>
        </w:rPr>
        <w:t xml:space="preserve"> </w:t>
      </w:r>
      <w:r w:rsidR="002B1FD6" w:rsidRPr="008B02E0">
        <w:rPr>
          <w:color w:val="000000" w:themeColor="text1"/>
        </w:rPr>
        <w:t xml:space="preserve">and conducted </w:t>
      </w:r>
      <w:r w:rsidR="00FD2DA8" w:rsidRPr="008B02E0">
        <w:rPr>
          <w:color w:val="000000" w:themeColor="text1"/>
        </w:rPr>
        <w:t>Bucher and matching</w:t>
      </w:r>
      <w:r w:rsidR="009E5502">
        <w:rPr>
          <w:color w:val="000000" w:themeColor="text1"/>
        </w:rPr>
        <w:noBreakHyphen/>
      </w:r>
      <w:r w:rsidR="00FD2DA8" w:rsidRPr="008B02E0">
        <w:rPr>
          <w:color w:val="000000" w:themeColor="text1"/>
        </w:rPr>
        <w:t>adjusted</w:t>
      </w:r>
      <w:r w:rsidR="00EB6430" w:rsidRPr="008B02E0">
        <w:rPr>
          <w:color w:val="000000" w:themeColor="text1"/>
        </w:rPr>
        <w:t xml:space="preserve"> indirect </w:t>
      </w:r>
      <w:r w:rsidR="005E5BAE" w:rsidRPr="008B02E0">
        <w:rPr>
          <w:color w:val="000000" w:themeColor="text1"/>
        </w:rPr>
        <w:t xml:space="preserve">treatment </w:t>
      </w:r>
      <w:r w:rsidR="00EB6430" w:rsidRPr="008B02E0">
        <w:rPr>
          <w:color w:val="000000" w:themeColor="text1"/>
        </w:rPr>
        <w:t>comparison</w:t>
      </w:r>
      <w:r w:rsidR="00FD2DA8" w:rsidRPr="008B02E0">
        <w:rPr>
          <w:color w:val="000000" w:themeColor="text1"/>
        </w:rPr>
        <w:t>s</w:t>
      </w:r>
      <w:r w:rsidR="00EB6430" w:rsidRPr="008B02E0">
        <w:rPr>
          <w:color w:val="000000" w:themeColor="text1"/>
        </w:rPr>
        <w:t xml:space="preserve"> </w:t>
      </w:r>
      <w:r w:rsidR="005E5BAE" w:rsidRPr="008B02E0">
        <w:rPr>
          <w:color w:val="000000" w:themeColor="text1"/>
        </w:rPr>
        <w:t xml:space="preserve">(ITCs) </w:t>
      </w:r>
      <w:r w:rsidR="00EB6430" w:rsidRPr="008B02E0">
        <w:rPr>
          <w:color w:val="000000" w:themeColor="text1"/>
        </w:rPr>
        <w:t>between nivolumab plus ipilimumab and pembrolizumab</w:t>
      </w:r>
      <w:r w:rsidR="00674809" w:rsidRPr="008B02E0">
        <w:rPr>
          <w:color w:val="000000" w:themeColor="text1"/>
        </w:rPr>
        <w:t>,</w:t>
      </w:r>
      <w:r w:rsidR="00EB6430" w:rsidRPr="008B02E0">
        <w:rPr>
          <w:color w:val="000000" w:themeColor="text1"/>
        </w:rPr>
        <w:t xml:space="preserve"> using chemotherapy as the common comparator</w:t>
      </w:r>
      <w:r w:rsidR="00674809" w:rsidRPr="008B02E0">
        <w:rPr>
          <w:color w:val="000000" w:themeColor="text1"/>
        </w:rPr>
        <w:t>. The clinical trials included</w:t>
      </w:r>
      <w:r w:rsidR="00EB6430" w:rsidRPr="008B02E0">
        <w:rPr>
          <w:color w:val="000000" w:themeColor="text1"/>
        </w:rPr>
        <w:t>:</w:t>
      </w:r>
      <w:r w:rsidR="00EB6430" w:rsidRPr="008B02E0">
        <w:rPr>
          <w:snapToGrid/>
        </w:rPr>
        <w:t xml:space="preserve"> </w:t>
      </w:r>
    </w:p>
    <w:p w14:paraId="4FCCAAAB" w14:textId="39E453DF" w:rsidR="00EB6430" w:rsidRPr="008B02E0" w:rsidRDefault="00EB6430" w:rsidP="00AE5B32">
      <w:pPr>
        <w:pStyle w:val="ListParagraph"/>
        <w:numPr>
          <w:ilvl w:val="0"/>
          <w:numId w:val="8"/>
        </w:numPr>
        <w:ind w:left="993" w:hanging="284"/>
        <w:rPr>
          <w:color w:val="000000" w:themeColor="text1"/>
        </w:rPr>
      </w:pPr>
      <w:bookmarkStart w:id="23" w:name="_Hlk198634688"/>
      <w:r w:rsidRPr="008B02E0">
        <w:rPr>
          <w:color w:val="000000" w:themeColor="text1"/>
        </w:rPr>
        <w:t>CheckMate 8HW (CM</w:t>
      </w:r>
      <w:r w:rsidR="009E5502">
        <w:rPr>
          <w:color w:val="000000" w:themeColor="text1"/>
        </w:rPr>
        <w:noBreakHyphen/>
      </w:r>
      <w:r w:rsidRPr="008B02E0">
        <w:rPr>
          <w:color w:val="000000" w:themeColor="text1"/>
        </w:rPr>
        <w:t>8HW)</w:t>
      </w:r>
      <w:r w:rsidR="005B4DDC" w:rsidRPr="008B02E0">
        <w:rPr>
          <w:color w:val="000000" w:themeColor="text1"/>
        </w:rPr>
        <w:t xml:space="preserve"> </w:t>
      </w:r>
      <w:r w:rsidR="00E857D4" w:rsidRPr="008B02E0">
        <w:rPr>
          <w:color w:val="000000" w:themeColor="text1"/>
        </w:rPr>
        <w:t>wa</w:t>
      </w:r>
      <w:r w:rsidR="005B4DDC" w:rsidRPr="008B02E0">
        <w:rPr>
          <w:color w:val="000000" w:themeColor="text1"/>
        </w:rPr>
        <w:t>s a Phase III</w:t>
      </w:r>
      <w:r w:rsidR="0010428F" w:rsidRPr="008B02E0">
        <w:rPr>
          <w:color w:val="000000" w:themeColor="text1"/>
        </w:rPr>
        <w:t>, randomised, open</w:t>
      </w:r>
      <w:r w:rsidR="009E5502">
        <w:rPr>
          <w:color w:val="000000" w:themeColor="text1"/>
        </w:rPr>
        <w:noBreakHyphen/>
      </w:r>
      <w:r w:rsidR="0010428F" w:rsidRPr="008B02E0">
        <w:rPr>
          <w:color w:val="000000" w:themeColor="text1"/>
        </w:rPr>
        <w:t>label</w:t>
      </w:r>
      <w:r w:rsidR="005B4DDC" w:rsidRPr="008B02E0">
        <w:rPr>
          <w:color w:val="000000" w:themeColor="text1"/>
        </w:rPr>
        <w:t xml:space="preserve"> clinical trial </w:t>
      </w:r>
      <w:r w:rsidR="00E857D4" w:rsidRPr="008B02E0">
        <w:rPr>
          <w:color w:val="000000" w:themeColor="text1"/>
        </w:rPr>
        <w:t>comparing</w:t>
      </w:r>
      <w:r w:rsidR="003770EE" w:rsidRPr="008B02E0">
        <w:rPr>
          <w:color w:val="000000" w:themeColor="text1"/>
        </w:rPr>
        <w:t xml:space="preserve"> the efficacy and safety of</w:t>
      </w:r>
      <w:r w:rsidRPr="008B02E0">
        <w:rPr>
          <w:color w:val="000000" w:themeColor="text1"/>
        </w:rPr>
        <w:t xml:space="preserve"> nivolumab plus ipilimumab, nivolumab monotherapy and chemotherapy</w:t>
      </w:r>
      <w:r w:rsidR="00C50649" w:rsidRPr="008B02E0">
        <w:rPr>
          <w:color w:val="000000" w:themeColor="text1"/>
        </w:rPr>
        <w:t xml:space="preserve"> in first and subsequent </w:t>
      </w:r>
      <w:r w:rsidR="00AA773D" w:rsidRPr="008B02E0">
        <w:rPr>
          <w:color w:val="000000" w:themeColor="text1"/>
        </w:rPr>
        <w:t xml:space="preserve">lines of </w:t>
      </w:r>
      <w:r w:rsidR="00C50649" w:rsidRPr="008B02E0">
        <w:rPr>
          <w:color w:val="000000" w:themeColor="text1"/>
        </w:rPr>
        <w:t xml:space="preserve">treatment </w:t>
      </w:r>
      <w:r w:rsidR="00F92107" w:rsidRPr="008B02E0">
        <w:rPr>
          <w:color w:val="000000" w:themeColor="text1"/>
        </w:rPr>
        <w:t>in patient</w:t>
      </w:r>
      <w:r w:rsidR="002D0BA2" w:rsidRPr="008B02E0">
        <w:rPr>
          <w:color w:val="000000" w:themeColor="text1"/>
        </w:rPr>
        <w:t>s</w:t>
      </w:r>
      <w:r w:rsidR="00F92107" w:rsidRPr="008B02E0">
        <w:rPr>
          <w:color w:val="000000" w:themeColor="text1"/>
        </w:rPr>
        <w:t xml:space="preserve"> with MSI</w:t>
      </w:r>
      <w:r w:rsidR="009E5502">
        <w:rPr>
          <w:color w:val="000000" w:themeColor="text1"/>
        </w:rPr>
        <w:noBreakHyphen/>
      </w:r>
      <w:r w:rsidR="00F92107" w:rsidRPr="008B02E0">
        <w:rPr>
          <w:color w:val="000000" w:themeColor="text1"/>
        </w:rPr>
        <w:t>H/dMMR mCRC</w:t>
      </w:r>
      <w:r w:rsidRPr="008B02E0">
        <w:rPr>
          <w:color w:val="000000" w:themeColor="text1"/>
        </w:rPr>
        <w:t>.</w:t>
      </w:r>
      <w:r w:rsidR="002D0BA2" w:rsidRPr="008B02E0">
        <w:rPr>
          <w:color w:val="000000" w:themeColor="text1"/>
        </w:rPr>
        <w:t xml:space="preserve"> </w:t>
      </w:r>
      <w:r w:rsidRPr="008B02E0">
        <w:rPr>
          <w:color w:val="000000" w:themeColor="text1"/>
        </w:rPr>
        <w:t>The main results reported in the submission were from those requiring first line treatment</w:t>
      </w:r>
      <w:bookmarkStart w:id="24" w:name="_Hlk197938118"/>
      <w:r w:rsidRPr="008B02E0">
        <w:rPr>
          <w:color w:val="000000" w:themeColor="text1"/>
        </w:rPr>
        <w:t>, comparing nivolumab plus ipilimumab versus chemotherapy</w:t>
      </w:r>
      <w:bookmarkEnd w:id="24"/>
      <w:r w:rsidRPr="008B02E0">
        <w:rPr>
          <w:color w:val="000000" w:themeColor="text1"/>
        </w:rPr>
        <w:t xml:space="preserve">, and </w:t>
      </w:r>
    </w:p>
    <w:p w14:paraId="79BC40E7" w14:textId="62818332" w:rsidR="00EB6430" w:rsidRPr="008B02E0" w:rsidRDefault="00EB6430" w:rsidP="00AE5B32">
      <w:pPr>
        <w:pStyle w:val="ListParagraph"/>
        <w:numPr>
          <w:ilvl w:val="0"/>
          <w:numId w:val="8"/>
        </w:numPr>
        <w:ind w:left="993" w:hanging="284"/>
        <w:rPr>
          <w:color w:val="000000" w:themeColor="text1"/>
        </w:rPr>
      </w:pPr>
      <w:r w:rsidRPr="008B02E0">
        <w:rPr>
          <w:color w:val="000000" w:themeColor="text1"/>
        </w:rPr>
        <w:t>KEYNOTE 177 (KN</w:t>
      </w:r>
      <w:r w:rsidR="009E5502">
        <w:rPr>
          <w:color w:val="000000" w:themeColor="text1"/>
        </w:rPr>
        <w:noBreakHyphen/>
      </w:r>
      <w:r w:rsidRPr="008B02E0">
        <w:rPr>
          <w:color w:val="000000" w:themeColor="text1"/>
        </w:rPr>
        <w:t>177)</w:t>
      </w:r>
      <w:r w:rsidR="0065439F" w:rsidRPr="008B02E0">
        <w:rPr>
          <w:color w:val="000000" w:themeColor="text1"/>
        </w:rPr>
        <w:t xml:space="preserve"> was a Phase III</w:t>
      </w:r>
      <w:r w:rsidR="00E236CB" w:rsidRPr="008B02E0">
        <w:rPr>
          <w:color w:val="000000" w:themeColor="text1"/>
        </w:rPr>
        <w:t>, randomised, open</w:t>
      </w:r>
      <w:r w:rsidR="009E5502">
        <w:rPr>
          <w:color w:val="000000" w:themeColor="text1"/>
        </w:rPr>
        <w:noBreakHyphen/>
      </w:r>
      <w:r w:rsidR="00E236CB" w:rsidRPr="008B02E0">
        <w:rPr>
          <w:color w:val="000000" w:themeColor="text1"/>
        </w:rPr>
        <w:t xml:space="preserve">label clinical trial </w:t>
      </w:r>
      <w:r w:rsidRPr="008B02E0">
        <w:rPr>
          <w:color w:val="000000" w:themeColor="text1"/>
        </w:rPr>
        <w:t>comparing</w:t>
      </w:r>
      <w:r w:rsidR="008C4165" w:rsidRPr="008B02E0">
        <w:rPr>
          <w:color w:val="000000" w:themeColor="text1"/>
        </w:rPr>
        <w:t xml:space="preserve"> the efficacy and safety of</w:t>
      </w:r>
      <w:r w:rsidRPr="008B02E0">
        <w:rPr>
          <w:color w:val="000000" w:themeColor="text1"/>
        </w:rPr>
        <w:t xml:space="preserve"> pembrolizumab and chemotherapy in first line therapy for MSI</w:t>
      </w:r>
      <w:r w:rsidR="009E5502">
        <w:rPr>
          <w:color w:val="000000" w:themeColor="text1"/>
        </w:rPr>
        <w:noBreakHyphen/>
      </w:r>
      <w:r w:rsidRPr="008B02E0">
        <w:rPr>
          <w:color w:val="000000" w:themeColor="text1"/>
        </w:rPr>
        <w:t xml:space="preserve">H/dMMR mCRC. </w:t>
      </w:r>
      <w:r w:rsidRPr="008B02E0">
        <w:rPr>
          <w:iCs/>
          <w:color w:val="000000" w:themeColor="text1"/>
        </w:rPr>
        <w:t>This trial formed the basis of the PBAC recommendation for pembrolizumab in unresectable dMMR mCRC in March 2021</w:t>
      </w:r>
      <w:bookmarkEnd w:id="23"/>
      <w:r w:rsidRPr="008B02E0">
        <w:rPr>
          <w:iCs/>
          <w:color w:val="000000" w:themeColor="text1"/>
        </w:rPr>
        <w:t>.</w:t>
      </w:r>
    </w:p>
    <w:p w14:paraId="4612D581" w14:textId="7B113719" w:rsidR="00EB6430" w:rsidRPr="008B02E0" w:rsidRDefault="00EB6430" w:rsidP="00AE5B32">
      <w:pPr>
        <w:pStyle w:val="3-BodyText"/>
        <w:rPr>
          <w:color w:val="0066FF"/>
        </w:rPr>
      </w:pPr>
      <w:r w:rsidRPr="008B02E0">
        <w:rPr>
          <w:color w:val="000000" w:themeColor="text1"/>
        </w:rPr>
        <w:t>S</w:t>
      </w:r>
      <w:r w:rsidRPr="008B02E0">
        <w:t>upplementary evidence was also presented from CheckMate 142 (CM</w:t>
      </w:r>
      <w:r w:rsidR="009E5502">
        <w:noBreakHyphen/>
      </w:r>
      <w:r w:rsidRPr="008B02E0">
        <w:t xml:space="preserve">142), a </w:t>
      </w:r>
      <w:r w:rsidR="00CF3E80" w:rsidRPr="008B02E0">
        <w:t>P</w:t>
      </w:r>
      <w:r w:rsidRPr="008B02E0">
        <w:t xml:space="preserve">hase II, </w:t>
      </w:r>
      <w:r w:rsidR="00CF3E80" w:rsidRPr="008B02E0">
        <w:t>open</w:t>
      </w:r>
      <w:r w:rsidR="009E5502">
        <w:noBreakHyphen/>
      </w:r>
      <w:r w:rsidR="00CF3E80" w:rsidRPr="008B02E0">
        <w:t xml:space="preserve">label, </w:t>
      </w:r>
      <w:r w:rsidRPr="008B02E0">
        <w:t>non</w:t>
      </w:r>
      <w:r w:rsidR="009E5502">
        <w:noBreakHyphen/>
      </w:r>
      <w:r w:rsidRPr="008B02E0">
        <w:t xml:space="preserve">comparative study of nivolumab (both as monotherapy and </w:t>
      </w:r>
      <w:r w:rsidRPr="008B02E0">
        <w:lastRenderedPageBreak/>
        <w:t xml:space="preserve">in combination with other therapies, including ipilimumab) </w:t>
      </w:r>
      <w:r w:rsidR="00C07778" w:rsidRPr="008B02E0">
        <w:rPr>
          <w:color w:val="000000" w:themeColor="text1"/>
        </w:rPr>
        <w:t xml:space="preserve">in first and subsequent lines of </w:t>
      </w:r>
      <w:r w:rsidRPr="008B02E0">
        <w:t>treatment of MSI</w:t>
      </w:r>
      <w:r w:rsidR="009E5502">
        <w:noBreakHyphen/>
      </w:r>
      <w:r w:rsidRPr="008B02E0">
        <w:t>H/dMMR mCRC</w:t>
      </w:r>
      <w:r w:rsidRPr="008B02E0">
        <w:rPr>
          <w:iCs/>
        </w:rPr>
        <w:t>. Only CM</w:t>
      </w:r>
      <w:r w:rsidR="009E5502">
        <w:rPr>
          <w:iCs/>
        </w:rPr>
        <w:noBreakHyphen/>
      </w:r>
      <w:r w:rsidRPr="008B02E0">
        <w:rPr>
          <w:iCs/>
        </w:rPr>
        <w:t>142 Cohort 3 data</w:t>
      </w:r>
      <w:r w:rsidR="00C07778" w:rsidRPr="008B02E0">
        <w:rPr>
          <w:iCs/>
        </w:rPr>
        <w:t xml:space="preserve"> (first</w:t>
      </w:r>
      <w:r w:rsidR="009E5502">
        <w:rPr>
          <w:iCs/>
        </w:rPr>
        <w:noBreakHyphen/>
      </w:r>
      <w:r w:rsidR="00C07778" w:rsidRPr="008B02E0">
        <w:rPr>
          <w:iCs/>
        </w:rPr>
        <w:t>line treatment with nivolumab plus ipilimumab)</w:t>
      </w:r>
      <w:r w:rsidRPr="008B02E0">
        <w:rPr>
          <w:iCs/>
        </w:rPr>
        <w:t xml:space="preserve"> were presented in </w:t>
      </w:r>
      <w:r w:rsidR="00C07778" w:rsidRPr="008B02E0">
        <w:rPr>
          <w:iCs/>
        </w:rPr>
        <w:t xml:space="preserve">the clinical evaluation of </w:t>
      </w:r>
      <w:r w:rsidRPr="008B02E0">
        <w:rPr>
          <w:iCs/>
        </w:rPr>
        <w:t>the submission, and no formal comparison between the CM</w:t>
      </w:r>
      <w:r w:rsidR="009E5502">
        <w:rPr>
          <w:iCs/>
        </w:rPr>
        <w:noBreakHyphen/>
      </w:r>
      <w:r w:rsidRPr="008B02E0">
        <w:rPr>
          <w:iCs/>
        </w:rPr>
        <w:t xml:space="preserve">142 </w:t>
      </w:r>
      <w:r w:rsidR="00C07778" w:rsidRPr="008B02E0">
        <w:rPr>
          <w:iCs/>
        </w:rPr>
        <w:t xml:space="preserve">Cohort 3 </w:t>
      </w:r>
      <w:r w:rsidRPr="008B02E0">
        <w:rPr>
          <w:iCs/>
        </w:rPr>
        <w:t>data and pembrolizumab was presented.</w:t>
      </w:r>
    </w:p>
    <w:p w14:paraId="5B958BCE" w14:textId="35AC52B0" w:rsidR="00EB6430" w:rsidRPr="008B02E0" w:rsidRDefault="00EB6430" w:rsidP="00AE5B32">
      <w:pPr>
        <w:pStyle w:val="3-BodyText"/>
      </w:pPr>
      <w:r w:rsidRPr="008B02E0">
        <w:rPr>
          <w:snapToGrid/>
        </w:rPr>
        <w:t xml:space="preserve">Details of the studies presented in the submission are provided in </w:t>
      </w:r>
      <w:r w:rsidRPr="008B02E0">
        <w:rPr>
          <w:snapToGrid/>
        </w:rPr>
        <w:fldChar w:fldCharType="begin"/>
      </w:r>
      <w:r w:rsidRPr="008B02E0">
        <w:rPr>
          <w:snapToGrid/>
        </w:rPr>
        <w:instrText xml:space="preserve"> REF _Ref104803956 \h </w:instrText>
      </w:r>
      <w:r w:rsidRPr="008B02E0">
        <w:rPr>
          <w:snapToGrid/>
        </w:rPr>
      </w:r>
      <w:r w:rsidRPr="008B02E0">
        <w:rPr>
          <w:snapToGrid/>
        </w:rPr>
        <w:fldChar w:fldCharType="separate"/>
      </w:r>
      <w:r w:rsidR="00B542C9" w:rsidRPr="008B02E0">
        <w:t xml:space="preserve">Table </w:t>
      </w:r>
      <w:r w:rsidR="00B542C9">
        <w:rPr>
          <w:noProof/>
        </w:rPr>
        <w:t>2</w:t>
      </w:r>
      <w:r w:rsidRPr="008B02E0">
        <w:rPr>
          <w:snapToGrid/>
        </w:rPr>
        <w:fldChar w:fldCharType="end"/>
      </w:r>
      <w:r w:rsidRPr="008B02E0">
        <w:rPr>
          <w:snapToGrid/>
        </w:rPr>
        <w:t>.</w:t>
      </w:r>
    </w:p>
    <w:p w14:paraId="132144CA" w14:textId="7F4666A5" w:rsidR="00EB6430" w:rsidRPr="008B02E0" w:rsidRDefault="00EB6430" w:rsidP="00AE5B32">
      <w:pPr>
        <w:pStyle w:val="TableFigureHeading"/>
        <w:rPr>
          <w:rStyle w:val="CommentReference"/>
          <w:b/>
          <w:szCs w:val="24"/>
        </w:rPr>
      </w:pPr>
      <w:bookmarkStart w:id="25" w:name="_Ref104803956"/>
      <w:r w:rsidRPr="008B02E0">
        <w:t xml:space="preserve">Table </w:t>
      </w:r>
      <w:r w:rsidR="008258C7">
        <w:fldChar w:fldCharType="begin"/>
      </w:r>
      <w:r w:rsidR="008258C7">
        <w:instrText xml:space="preserve"> SEQ Table \* ARABIC </w:instrText>
      </w:r>
      <w:r w:rsidR="008258C7">
        <w:fldChar w:fldCharType="separate"/>
      </w:r>
      <w:r w:rsidR="00B542C9">
        <w:rPr>
          <w:noProof/>
        </w:rPr>
        <w:t>2</w:t>
      </w:r>
      <w:r w:rsidR="008258C7">
        <w:rPr>
          <w:noProof/>
        </w:rPr>
        <w:fldChar w:fldCharType="end"/>
      </w:r>
      <w:bookmarkEnd w:id="25"/>
      <w:r w:rsidRPr="008B02E0">
        <w:t>:</w:t>
      </w:r>
      <w:r w:rsidRPr="008B02E0">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EB6430" w:rsidRPr="008B02E0" w14:paraId="27EC9783" w14:textId="77777777" w:rsidTr="00D17F3A">
        <w:trPr>
          <w:tblHeader/>
        </w:trPr>
        <w:tc>
          <w:tcPr>
            <w:tcW w:w="796" w:type="pct"/>
            <w:vAlign w:val="center"/>
          </w:tcPr>
          <w:p w14:paraId="7E58C2E2" w14:textId="77777777" w:rsidR="00EB6430" w:rsidRPr="008B02E0" w:rsidRDefault="00EB6430" w:rsidP="00AE5B32">
            <w:pPr>
              <w:pStyle w:val="In-tableHeading"/>
              <w:rPr>
                <w:lang w:val="en-AU"/>
              </w:rPr>
            </w:pPr>
            <w:r w:rsidRPr="008B02E0">
              <w:rPr>
                <w:lang w:val="en-AU"/>
              </w:rPr>
              <w:t>Trial ID</w:t>
            </w:r>
          </w:p>
        </w:tc>
        <w:tc>
          <w:tcPr>
            <w:tcW w:w="3027" w:type="pct"/>
            <w:vAlign w:val="center"/>
          </w:tcPr>
          <w:p w14:paraId="2E395F93" w14:textId="77777777" w:rsidR="00EB6430" w:rsidRPr="008B02E0" w:rsidRDefault="00EB6430" w:rsidP="00AE5B32">
            <w:pPr>
              <w:pStyle w:val="In-tableHeading"/>
              <w:rPr>
                <w:lang w:val="en-AU"/>
              </w:rPr>
            </w:pPr>
            <w:r w:rsidRPr="008B02E0">
              <w:rPr>
                <w:lang w:val="en-AU"/>
              </w:rPr>
              <w:t>Protocol title/ Publication title</w:t>
            </w:r>
          </w:p>
        </w:tc>
        <w:tc>
          <w:tcPr>
            <w:tcW w:w="1177" w:type="pct"/>
            <w:vAlign w:val="center"/>
          </w:tcPr>
          <w:p w14:paraId="6A144D76" w14:textId="77777777" w:rsidR="00EB6430" w:rsidRPr="008B02E0" w:rsidRDefault="00EB6430" w:rsidP="00AE5B32">
            <w:pPr>
              <w:pStyle w:val="In-tableHeading"/>
              <w:rPr>
                <w:lang w:val="en-AU"/>
              </w:rPr>
            </w:pPr>
            <w:r w:rsidRPr="008B02E0">
              <w:rPr>
                <w:lang w:val="en-AU"/>
              </w:rPr>
              <w:t>Publication citation</w:t>
            </w:r>
          </w:p>
        </w:tc>
      </w:tr>
      <w:tr w:rsidR="00EB6430" w:rsidRPr="008B02E0" w14:paraId="313499E9" w14:textId="77777777" w:rsidTr="004E603D">
        <w:tc>
          <w:tcPr>
            <w:tcW w:w="796" w:type="pct"/>
            <w:tcBorders>
              <w:bottom w:val="nil"/>
            </w:tcBorders>
            <w:vAlign w:val="center"/>
          </w:tcPr>
          <w:p w14:paraId="3A7D48CB" w14:textId="77777777" w:rsidR="00EB6430" w:rsidRPr="008B02E0" w:rsidRDefault="00EB6430" w:rsidP="00AE5B32">
            <w:pPr>
              <w:pStyle w:val="TableText0"/>
            </w:pPr>
            <w:r w:rsidRPr="008B02E0">
              <w:t>CheckMate 8HW</w:t>
            </w:r>
          </w:p>
          <w:p w14:paraId="735E632B" w14:textId="77777777" w:rsidR="00EB6430" w:rsidRPr="008B02E0" w:rsidRDefault="00EB6430" w:rsidP="00AE5B32">
            <w:pPr>
              <w:pStyle w:val="TableText0"/>
            </w:pPr>
            <w:r w:rsidRPr="008B02E0">
              <w:t>(NCT04008030)</w:t>
            </w:r>
          </w:p>
        </w:tc>
        <w:tc>
          <w:tcPr>
            <w:tcW w:w="3027" w:type="pct"/>
            <w:tcBorders>
              <w:bottom w:val="nil"/>
            </w:tcBorders>
            <w:vAlign w:val="center"/>
          </w:tcPr>
          <w:p w14:paraId="070F5725" w14:textId="4C025021" w:rsidR="00EB6430" w:rsidRPr="008B02E0" w:rsidRDefault="00EB6430" w:rsidP="00AE5B32">
            <w:pPr>
              <w:pStyle w:val="TableText0"/>
              <w:rPr>
                <w:i/>
                <w:iCs/>
                <w:szCs w:val="18"/>
              </w:rPr>
            </w:pPr>
            <w:r w:rsidRPr="008B02E0">
              <w:rPr>
                <w:szCs w:val="18"/>
              </w:rPr>
              <w:t>A Phase 3 Randomized Clinical Trial of Nivolumab Alone, Nivolumab in Combination with Ipilimumab, or Investigator’s Choice Chemotherapy in Participants With Microsatellite Instability High (MSI</w:t>
            </w:r>
            <w:r w:rsidR="009E5502">
              <w:rPr>
                <w:szCs w:val="18"/>
              </w:rPr>
              <w:noBreakHyphen/>
            </w:r>
            <w:r w:rsidRPr="008B02E0">
              <w:rPr>
                <w:szCs w:val="18"/>
              </w:rPr>
              <w:t xml:space="preserve">H) Or Mismatch Repair Deficient (dMMR) Metastatic Colorectal Cancer. </w:t>
            </w:r>
            <w:r w:rsidRPr="008B02E0">
              <w:rPr>
                <w:i/>
                <w:iCs/>
                <w:szCs w:val="18"/>
              </w:rPr>
              <w:t>Interim Clinical Study Report for Study CA2098HW</w:t>
            </w:r>
          </w:p>
          <w:p w14:paraId="728ED6EB" w14:textId="77777777" w:rsidR="00EB6430" w:rsidRPr="008B02E0" w:rsidRDefault="00EB6430" w:rsidP="00AE5B32">
            <w:pPr>
              <w:pStyle w:val="TableText0"/>
              <w:rPr>
                <w:szCs w:val="18"/>
              </w:rPr>
            </w:pPr>
          </w:p>
        </w:tc>
        <w:tc>
          <w:tcPr>
            <w:tcW w:w="1177" w:type="pct"/>
            <w:tcBorders>
              <w:bottom w:val="nil"/>
            </w:tcBorders>
          </w:tcPr>
          <w:p w14:paraId="6CD7E337" w14:textId="77777777" w:rsidR="00EB6430" w:rsidRPr="008B02E0" w:rsidRDefault="00EB6430" w:rsidP="00AE5B32">
            <w:pPr>
              <w:pStyle w:val="TableText0"/>
            </w:pPr>
            <w:r w:rsidRPr="008B02E0">
              <w:t>7</w:t>
            </w:r>
            <w:r w:rsidRPr="008B02E0">
              <w:rPr>
                <w:vertAlign w:val="superscript"/>
              </w:rPr>
              <w:t>th</w:t>
            </w:r>
            <w:r w:rsidRPr="008B02E0">
              <w:t xml:space="preserve"> February 2024</w:t>
            </w:r>
          </w:p>
        </w:tc>
      </w:tr>
      <w:tr w:rsidR="00EB6430" w:rsidRPr="008B02E0" w14:paraId="4A61EAF1" w14:textId="77777777" w:rsidTr="004E603D">
        <w:tc>
          <w:tcPr>
            <w:tcW w:w="796" w:type="pct"/>
            <w:tcBorders>
              <w:top w:val="nil"/>
              <w:bottom w:val="nil"/>
            </w:tcBorders>
            <w:vAlign w:val="center"/>
          </w:tcPr>
          <w:p w14:paraId="4A014CE5" w14:textId="77777777" w:rsidR="00EB6430" w:rsidRPr="008B02E0" w:rsidRDefault="00EB6430" w:rsidP="00AE5B32">
            <w:pPr>
              <w:pStyle w:val="TableText0"/>
              <w:keepNext w:val="0"/>
            </w:pPr>
          </w:p>
        </w:tc>
        <w:tc>
          <w:tcPr>
            <w:tcW w:w="3027" w:type="pct"/>
            <w:tcBorders>
              <w:top w:val="nil"/>
              <w:bottom w:val="nil"/>
            </w:tcBorders>
            <w:vAlign w:val="center"/>
          </w:tcPr>
          <w:p w14:paraId="2EEFD172" w14:textId="261C5768" w:rsidR="00EB6430" w:rsidRPr="008B02E0" w:rsidRDefault="00EB6430" w:rsidP="00AE5B32">
            <w:pPr>
              <w:pStyle w:val="TableText0"/>
              <w:keepNext w:val="0"/>
              <w:rPr>
                <w:i/>
                <w:iCs/>
                <w:szCs w:val="18"/>
              </w:rPr>
            </w:pPr>
            <w:r w:rsidRPr="008B02E0">
              <w:rPr>
                <w:szCs w:val="18"/>
              </w:rPr>
              <w:t>A Phase 3 Randomized Clinical Trial of Nivolumab Alone, Nivolumab in Combination with Ipilimumab, or Investigator’s Choice Chemotherapy in Participants With Microsatellite Instability High (MSI</w:t>
            </w:r>
            <w:r w:rsidR="009E5502">
              <w:rPr>
                <w:szCs w:val="18"/>
              </w:rPr>
              <w:noBreakHyphen/>
            </w:r>
            <w:r w:rsidRPr="008B02E0">
              <w:rPr>
                <w:szCs w:val="18"/>
              </w:rPr>
              <w:t xml:space="preserve">H) Or Mismatch Repair Deficient (dMMR) Metastatic Colorectal Cancer. </w:t>
            </w:r>
            <w:r w:rsidRPr="008B02E0">
              <w:rPr>
                <w:i/>
                <w:iCs/>
                <w:szCs w:val="18"/>
              </w:rPr>
              <w:t>Primary Clinical Study Report for Study CA2098HW</w:t>
            </w:r>
          </w:p>
          <w:p w14:paraId="4142DD9A" w14:textId="77777777" w:rsidR="00EB6430" w:rsidRPr="008B02E0" w:rsidRDefault="00EB6430" w:rsidP="00AE5B32">
            <w:pPr>
              <w:pStyle w:val="TableText0"/>
              <w:keepNext w:val="0"/>
              <w:rPr>
                <w:szCs w:val="18"/>
              </w:rPr>
            </w:pPr>
          </w:p>
        </w:tc>
        <w:tc>
          <w:tcPr>
            <w:tcW w:w="1177" w:type="pct"/>
            <w:tcBorders>
              <w:top w:val="nil"/>
              <w:bottom w:val="nil"/>
            </w:tcBorders>
          </w:tcPr>
          <w:p w14:paraId="3D3C38F5" w14:textId="77777777" w:rsidR="00EB6430" w:rsidRPr="008B02E0" w:rsidRDefault="00EB6430" w:rsidP="00AE5B32">
            <w:pPr>
              <w:pStyle w:val="TableText0"/>
              <w:keepNext w:val="0"/>
              <w:rPr>
                <w:i/>
                <w:szCs w:val="18"/>
              </w:rPr>
            </w:pPr>
            <w:r w:rsidRPr="008B02E0">
              <w:rPr>
                <w:szCs w:val="18"/>
              </w:rPr>
              <w:t>6th December 2024</w:t>
            </w:r>
          </w:p>
        </w:tc>
      </w:tr>
      <w:tr w:rsidR="00EB6430" w:rsidRPr="008B02E0" w14:paraId="26FE765B" w14:textId="77777777" w:rsidTr="004E603D">
        <w:tc>
          <w:tcPr>
            <w:tcW w:w="796" w:type="pct"/>
            <w:tcBorders>
              <w:top w:val="nil"/>
              <w:bottom w:val="nil"/>
            </w:tcBorders>
            <w:vAlign w:val="center"/>
          </w:tcPr>
          <w:p w14:paraId="297EF485" w14:textId="77777777" w:rsidR="00EB6430" w:rsidRPr="008B02E0" w:rsidRDefault="00EB6430" w:rsidP="00AE5B32">
            <w:pPr>
              <w:pStyle w:val="TableText0"/>
              <w:keepNext w:val="0"/>
            </w:pPr>
          </w:p>
        </w:tc>
        <w:tc>
          <w:tcPr>
            <w:tcW w:w="3027" w:type="pct"/>
            <w:tcBorders>
              <w:top w:val="nil"/>
              <w:bottom w:val="nil"/>
            </w:tcBorders>
            <w:vAlign w:val="center"/>
          </w:tcPr>
          <w:p w14:paraId="06776B69" w14:textId="6CBC3AF6" w:rsidR="00EB6430" w:rsidRPr="008B02E0" w:rsidRDefault="00EB6430" w:rsidP="00AE5B32">
            <w:pPr>
              <w:pStyle w:val="TableText0"/>
              <w:keepNext w:val="0"/>
              <w:rPr>
                <w:rFonts w:eastAsiaTheme="minorHAnsi"/>
              </w:rPr>
            </w:pPr>
            <w:r w:rsidRPr="008B02E0">
              <w:rPr>
                <w:rFonts w:eastAsiaTheme="minorHAnsi"/>
              </w:rPr>
              <w:t>André, Thierry, et al. Nivolumab plus Ipilimumab in Microsatellite</w:t>
            </w:r>
            <w:r w:rsidR="009E5502">
              <w:rPr>
                <w:rFonts w:eastAsiaTheme="minorHAnsi"/>
              </w:rPr>
              <w:noBreakHyphen/>
            </w:r>
            <w:r w:rsidRPr="008B02E0">
              <w:rPr>
                <w:rFonts w:eastAsiaTheme="minorHAnsi"/>
              </w:rPr>
              <w:t>Instability–High Metastatic Colorectal Cancer.</w:t>
            </w:r>
          </w:p>
          <w:p w14:paraId="2E604D7F" w14:textId="77777777" w:rsidR="00EB6430" w:rsidRPr="008B02E0" w:rsidRDefault="00EB6430" w:rsidP="00AE5B32">
            <w:pPr>
              <w:pStyle w:val="TableText0"/>
              <w:keepNext w:val="0"/>
              <w:rPr>
                <w:szCs w:val="18"/>
              </w:rPr>
            </w:pPr>
          </w:p>
        </w:tc>
        <w:tc>
          <w:tcPr>
            <w:tcW w:w="1177" w:type="pct"/>
            <w:tcBorders>
              <w:top w:val="nil"/>
              <w:bottom w:val="nil"/>
            </w:tcBorders>
          </w:tcPr>
          <w:p w14:paraId="3F89DD60" w14:textId="7B1D5A3C" w:rsidR="00EB6430" w:rsidRPr="008B02E0" w:rsidRDefault="00EB6430" w:rsidP="00AE5B32">
            <w:pPr>
              <w:pStyle w:val="TableText0"/>
              <w:keepNext w:val="0"/>
              <w:rPr>
                <w:iCs/>
                <w:szCs w:val="18"/>
              </w:rPr>
            </w:pPr>
            <w:r w:rsidRPr="008B02E0">
              <w:rPr>
                <w:i/>
                <w:szCs w:val="18"/>
              </w:rPr>
              <w:t>NEJM</w:t>
            </w:r>
            <w:r w:rsidRPr="008B02E0">
              <w:rPr>
                <w:iCs/>
                <w:szCs w:val="18"/>
              </w:rPr>
              <w:t xml:space="preserve"> 2024</w:t>
            </w:r>
            <w:r w:rsidR="005E7D8A" w:rsidRPr="008B02E0">
              <w:rPr>
                <w:iCs/>
                <w:szCs w:val="18"/>
              </w:rPr>
              <w:t>a</w:t>
            </w:r>
            <w:r w:rsidRPr="008B02E0">
              <w:rPr>
                <w:iCs/>
                <w:szCs w:val="18"/>
              </w:rPr>
              <w:t>; 391(21):2014</w:t>
            </w:r>
            <w:r w:rsidR="009E5502">
              <w:rPr>
                <w:iCs/>
                <w:szCs w:val="18"/>
              </w:rPr>
              <w:noBreakHyphen/>
            </w:r>
            <w:r w:rsidRPr="008B02E0">
              <w:rPr>
                <w:iCs/>
                <w:szCs w:val="18"/>
              </w:rPr>
              <w:t>2026</w:t>
            </w:r>
          </w:p>
        </w:tc>
      </w:tr>
      <w:tr w:rsidR="00EB6430" w:rsidRPr="008B02E0" w14:paraId="40AE8F9A" w14:textId="77777777" w:rsidTr="004E603D">
        <w:tc>
          <w:tcPr>
            <w:tcW w:w="796" w:type="pct"/>
            <w:tcBorders>
              <w:top w:val="nil"/>
              <w:bottom w:val="nil"/>
            </w:tcBorders>
            <w:vAlign w:val="center"/>
          </w:tcPr>
          <w:p w14:paraId="0B0F49AB" w14:textId="77777777" w:rsidR="00EB6430" w:rsidRPr="008B02E0" w:rsidRDefault="00EB6430" w:rsidP="00AE5B32">
            <w:pPr>
              <w:pStyle w:val="TableText0"/>
              <w:keepNext w:val="0"/>
            </w:pPr>
          </w:p>
        </w:tc>
        <w:tc>
          <w:tcPr>
            <w:tcW w:w="3027" w:type="pct"/>
            <w:tcBorders>
              <w:top w:val="nil"/>
              <w:bottom w:val="nil"/>
            </w:tcBorders>
            <w:vAlign w:val="center"/>
          </w:tcPr>
          <w:p w14:paraId="6489D8F8" w14:textId="232FC192" w:rsidR="00EB6430" w:rsidRPr="008B02E0" w:rsidRDefault="00EB6430" w:rsidP="00AE5B32">
            <w:pPr>
              <w:pStyle w:val="TableText0"/>
              <w:keepNext w:val="0"/>
              <w:rPr>
                <w:rFonts w:eastAsiaTheme="minorHAnsi"/>
              </w:rPr>
            </w:pPr>
            <w:r w:rsidRPr="008B02E0">
              <w:rPr>
                <w:rFonts w:eastAsiaTheme="minorHAnsi"/>
              </w:rPr>
              <w:t>Lonardi, S. et al. Health</w:t>
            </w:r>
            <w:r w:rsidR="009E5502">
              <w:rPr>
                <w:rFonts w:eastAsiaTheme="minorHAnsi"/>
              </w:rPr>
              <w:noBreakHyphen/>
            </w:r>
            <w:r w:rsidRPr="008B02E0">
              <w:rPr>
                <w:rFonts w:eastAsiaTheme="minorHAnsi"/>
              </w:rPr>
              <w:t>related quality of life (HRQoL) with first</w:t>
            </w:r>
            <w:r w:rsidR="009E5502">
              <w:rPr>
                <w:rFonts w:eastAsiaTheme="minorHAnsi"/>
              </w:rPr>
              <w:noBreakHyphen/>
            </w:r>
            <w:r w:rsidRPr="008B02E0">
              <w:rPr>
                <w:rFonts w:eastAsiaTheme="minorHAnsi"/>
              </w:rPr>
              <w:t>line (1L) nivolumab (NIVO) plus ipilimumab (IPI) vs chemotherapy (chemo) in patients (pts) with microsatellite instability</w:t>
            </w:r>
            <w:r w:rsidR="009E5502">
              <w:rPr>
                <w:rFonts w:eastAsiaTheme="minorHAnsi"/>
              </w:rPr>
              <w:noBreakHyphen/>
            </w:r>
            <w:r w:rsidRPr="008B02E0">
              <w:rPr>
                <w:rFonts w:eastAsiaTheme="minorHAnsi"/>
              </w:rPr>
              <w:t>high (MSI</w:t>
            </w:r>
            <w:r w:rsidR="009E5502">
              <w:rPr>
                <w:rFonts w:eastAsiaTheme="minorHAnsi"/>
              </w:rPr>
              <w:noBreakHyphen/>
            </w:r>
            <w:r w:rsidRPr="008B02E0">
              <w:rPr>
                <w:rFonts w:eastAsiaTheme="minorHAnsi"/>
              </w:rPr>
              <w:t>H)/mismatch repair</w:t>
            </w:r>
            <w:r w:rsidR="009E5502">
              <w:rPr>
                <w:rFonts w:eastAsiaTheme="minorHAnsi"/>
              </w:rPr>
              <w:noBreakHyphen/>
            </w:r>
            <w:r w:rsidRPr="008B02E0">
              <w:rPr>
                <w:rFonts w:eastAsiaTheme="minorHAnsi"/>
              </w:rPr>
              <w:t>deficient (dMMR) metastatic colorectal cancer (mCRC): CheckMate 8HW</w:t>
            </w:r>
          </w:p>
          <w:p w14:paraId="1755969C" w14:textId="77777777" w:rsidR="00EB6430" w:rsidRPr="008B02E0" w:rsidRDefault="00EB6430" w:rsidP="00AE5B32">
            <w:pPr>
              <w:pStyle w:val="TableText0"/>
              <w:keepNext w:val="0"/>
              <w:rPr>
                <w:szCs w:val="18"/>
              </w:rPr>
            </w:pPr>
          </w:p>
        </w:tc>
        <w:tc>
          <w:tcPr>
            <w:tcW w:w="1177" w:type="pct"/>
            <w:tcBorders>
              <w:top w:val="nil"/>
              <w:bottom w:val="nil"/>
            </w:tcBorders>
          </w:tcPr>
          <w:p w14:paraId="497FA375" w14:textId="79C38533" w:rsidR="00EB6430" w:rsidRPr="008B02E0" w:rsidRDefault="00EB6430" w:rsidP="00AE5B32">
            <w:pPr>
              <w:pStyle w:val="TableText0"/>
              <w:keepNext w:val="0"/>
              <w:rPr>
                <w:iCs/>
                <w:szCs w:val="18"/>
              </w:rPr>
            </w:pPr>
            <w:r w:rsidRPr="008B02E0">
              <w:rPr>
                <w:i/>
                <w:szCs w:val="18"/>
              </w:rPr>
              <w:t xml:space="preserve">Annals of Oncology </w:t>
            </w:r>
            <w:r w:rsidRPr="008B02E0">
              <w:rPr>
                <w:iCs/>
                <w:szCs w:val="18"/>
              </w:rPr>
              <w:t>2024, 35(S1):S1</w:t>
            </w:r>
            <w:r w:rsidR="009E5502">
              <w:rPr>
                <w:iCs/>
                <w:szCs w:val="18"/>
              </w:rPr>
              <w:noBreakHyphen/>
            </w:r>
            <w:r w:rsidRPr="008B02E0">
              <w:rPr>
                <w:iCs/>
                <w:szCs w:val="18"/>
              </w:rPr>
              <w:t>S2</w:t>
            </w:r>
          </w:p>
        </w:tc>
      </w:tr>
      <w:tr w:rsidR="00EB6430" w:rsidRPr="008B02E0" w14:paraId="67E48992" w14:textId="77777777" w:rsidTr="004E603D">
        <w:tc>
          <w:tcPr>
            <w:tcW w:w="796" w:type="pct"/>
            <w:tcBorders>
              <w:top w:val="nil"/>
              <w:bottom w:val="single" w:sz="4" w:space="0" w:color="auto"/>
            </w:tcBorders>
            <w:vAlign w:val="center"/>
          </w:tcPr>
          <w:p w14:paraId="03C7E775" w14:textId="77777777" w:rsidR="00EB6430" w:rsidRPr="008B02E0" w:rsidRDefault="00EB6430" w:rsidP="00AE5B32">
            <w:pPr>
              <w:pStyle w:val="TableText0"/>
              <w:keepNext w:val="0"/>
            </w:pPr>
          </w:p>
        </w:tc>
        <w:tc>
          <w:tcPr>
            <w:tcW w:w="3027" w:type="pct"/>
            <w:tcBorders>
              <w:top w:val="nil"/>
              <w:bottom w:val="single" w:sz="4" w:space="0" w:color="auto"/>
            </w:tcBorders>
            <w:vAlign w:val="center"/>
          </w:tcPr>
          <w:p w14:paraId="2707252F" w14:textId="6699D645" w:rsidR="00EB6430" w:rsidRPr="008B02E0" w:rsidRDefault="00EB6430" w:rsidP="00AE5B32">
            <w:pPr>
              <w:pStyle w:val="TableText0"/>
              <w:keepNext w:val="0"/>
              <w:rPr>
                <w:szCs w:val="18"/>
              </w:rPr>
            </w:pPr>
            <w:r w:rsidRPr="008B02E0">
              <w:rPr>
                <w:rFonts w:eastAsiaTheme="minorHAnsi"/>
              </w:rPr>
              <w:t>André, Thierry, et al. Nivolumab plus ipilimumab versus nivolumab in microsatellite instability</w:t>
            </w:r>
            <w:r w:rsidR="009E5502">
              <w:rPr>
                <w:rFonts w:eastAsiaTheme="minorHAnsi"/>
              </w:rPr>
              <w:noBreakHyphen/>
            </w:r>
            <w:r w:rsidRPr="008B02E0">
              <w:rPr>
                <w:rFonts w:eastAsiaTheme="minorHAnsi"/>
              </w:rPr>
              <w:t>high metastatic colorectal cancer (CheckMate 8HW): a randomised, open</w:t>
            </w:r>
            <w:r w:rsidR="009E5502">
              <w:rPr>
                <w:rFonts w:eastAsiaTheme="minorHAnsi"/>
              </w:rPr>
              <w:noBreakHyphen/>
            </w:r>
            <w:r w:rsidRPr="008B02E0">
              <w:rPr>
                <w:rFonts w:eastAsiaTheme="minorHAnsi"/>
              </w:rPr>
              <w:t xml:space="preserve">label, phase 3 trial. </w:t>
            </w:r>
          </w:p>
        </w:tc>
        <w:tc>
          <w:tcPr>
            <w:tcW w:w="1177" w:type="pct"/>
            <w:tcBorders>
              <w:top w:val="nil"/>
              <w:bottom w:val="single" w:sz="4" w:space="0" w:color="auto"/>
            </w:tcBorders>
          </w:tcPr>
          <w:p w14:paraId="582A3FF5" w14:textId="3331E189" w:rsidR="00EB6430" w:rsidRPr="008B02E0" w:rsidRDefault="00EB6430" w:rsidP="00AE5B32">
            <w:pPr>
              <w:pStyle w:val="TableText0"/>
              <w:keepNext w:val="0"/>
              <w:rPr>
                <w:szCs w:val="18"/>
              </w:rPr>
            </w:pPr>
            <w:r w:rsidRPr="008B02E0">
              <w:rPr>
                <w:rFonts w:eastAsiaTheme="minorHAnsi"/>
                <w:i/>
                <w:iCs/>
              </w:rPr>
              <w:t>The Lancet</w:t>
            </w:r>
            <w:r w:rsidRPr="008B02E0">
              <w:rPr>
                <w:rFonts w:eastAsiaTheme="minorHAnsi"/>
              </w:rPr>
              <w:t xml:space="preserve"> 2025; 405(10476):383</w:t>
            </w:r>
            <w:r w:rsidR="009E5502">
              <w:rPr>
                <w:rFonts w:eastAsiaTheme="minorHAnsi"/>
              </w:rPr>
              <w:noBreakHyphen/>
            </w:r>
            <w:r w:rsidRPr="008B02E0">
              <w:rPr>
                <w:rFonts w:eastAsiaTheme="minorHAnsi"/>
              </w:rPr>
              <w:t>395</w:t>
            </w:r>
          </w:p>
        </w:tc>
      </w:tr>
      <w:tr w:rsidR="00EB6430" w:rsidRPr="008B02E0" w14:paraId="2BFB8522" w14:textId="77777777" w:rsidTr="004E603D">
        <w:tc>
          <w:tcPr>
            <w:tcW w:w="796" w:type="pct"/>
            <w:tcBorders>
              <w:bottom w:val="nil"/>
            </w:tcBorders>
            <w:vAlign w:val="center"/>
          </w:tcPr>
          <w:p w14:paraId="457E91A3" w14:textId="77777777" w:rsidR="00EB6430" w:rsidRPr="008B02E0" w:rsidRDefault="00EB6430" w:rsidP="00AE5B32">
            <w:pPr>
              <w:pStyle w:val="TableText0"/>
              <w:keepNext w:val="0"/>
            </w:pPr>
            <w:r w:rsidRPr="008B02E0">
              <w:t>CheckMate 142 (NCT04008030)</w:t>
            </w:r>
          </w:p>
          <w:p w14:paraId="23A5EDC3" w14:textId="77777777" w:rsidR="00EB6430" w:rsidRPr="008B02E0" w:rsidRDefault="00EB6430" w:rsidP="00AE5B32">
            <w:pPr>
              <w:pStyle w:val="TableText0"/>
              <w:keepNext w:val="0"/>
            </w:pPr>
            <w:r w:rsidRPr="008B02E0">
              <w:t>Cohort 3</w:t>
            </w:r>
          </w:p>
        </w:tc>
        <w:tc>
          <w:tcPr>
            <w:tcW w:w="3027" w:type="pct"/>
            <w:tcBorders>
              <w:bottom w:val="nil"/>
            </w:tcBorders>
            <w:vAlign w:val="center"/>
          </w:tcPr>
          <w:p w14:paraId="2F9F199F" w14:textId="2BF302B0" w:rsidR="00EB6430" w:rsidRPr="008B02E0" w:rsidRDefault="00EB6430" w:rsidP="00AE5B32">
            <w:pPr>
              <w:pStyle w:val="TableText0"/>
              <w:keepNext w:val="0"/>
            </w:pPr>
            <w:r w:rsidRPr="008B02E0">
              <w:rPr>
                <w:rFonts w:eastAsiaTheme="minorHAnsi"/>
              </w:rPr>
              <w:t>Lenz</w:t>
            </w:r>
            <w:r w:rsidRPr="008B02E0">
              <w:t>, Heinz</w:t>
            </w:r>
            <w:r w:rsidR="009E5502">
              <w:noBreakHyphen/>
            </w:r>
            <w:r w:rsidRPr="008B02E0">
              <w:t>Josef, et al. First</w:t>
            </w:r>
            <w:r w:rsidR="009E5502">
              <w:noBreakHyphen/>
            </w:r>
            <w:r w:rsidRPr="008B02E0">
              <w:t>line nivolumab plus low</w:t>
            </w:r>
            <w:r w:rsidR="009E5502">
              <w:noBreakHyphen/>
            </w:r>
            <w:r w:rsidRPr="008B02E0">
              <w:t>dose ipilimumab for microsatellite instability</w:t>
            </w:r>
            <w:r w:rsidR="009E5502">
              <w:noBreakHyphen/>
            </w:r>
            <w:r w:rsidRPr="008B02E0">
              <w:t>high/mismatch repair</w:t>
            </w:r>
            <w:r w:rsidR="009E5502">
              <w:noBreakHyphen/>
            </w:r>
            <w:r w:rsidRPr="008B02E0">
              <w:t>deficient metastatic colorectal cancer: the phase II CheckMate 142 study.</w:t>
            </w:r>
          </w:p>
          <w:p w14:paraId="05A6C30E" w14:textId="77777777" w:rsidR="00EB6430" w:rsidRPr="008B02E0" w:rsidRDefault="00EB6430" w:rsidP="00AE5B32">
            <w:pPr>
              <w:pStyle w:val="TableText0"/>
              <w:keepNext w:val="0"/>
            </w:pPr>
          </w:p>
        </w:tc>
        <w:tc>
          <w:tcPr>
            <w:tcW w:w="1177" w:type="pct"/>
            <w:tcBorders>
              <w:bottom w:val="nil"/>
            </w:tcBorders>
          </w:tcPr>
          <w:p w14:paraId="69959ED7" w14:textId="32DC2E54" w:rsidR="00EB6430" w:rsidRPr="008B02E0" w:rsidRDefault="00EB6430" w:rsidP="00AE5B32">
            <w:pPr>
              <w:pStyle w:val="TableText0"/>
              <w:keepNext w:val="0"/>
            </w:pPr>
            <w:r w:rsidRPr="008B02E0">
              <w:rPr>
                <w:i/>
                <w:iCs/>
              </w:rPr>
              <w:t>Journal of Clinical Oncology</w:t>
            </w:r>
            <w:r w:rsidRPr="008B02E0">
              <w:t xml:space="preserve"> 2022; 40(2): 161</w:t>
            </w:r>
            <w:r w:rsidR="009E5502">
              <w:noBreakHyphen/>
            </w:r>
            <w:r w:rsidRPr="008B02E0">
              <w:t>170</w:t>
            </w:r>
          </w:p>
        </w:tc>
      </w:tr>
      <w:tr w:rsidR="00EB6430" w:rsidRPr="008B02E0" w14:paraId="6E502177" w14:textId="77777777" w:rsidTr="004E603D">
        <w:tc>
          <w:tcPr>
            <w:tcW w:w="796" w:type="pct"/>
            <w:tcBorders>
              <w:top w:val="nil"/>
              <w:bottom w:val="nil"/>
            </w:tcBorders>
            <w:vAlign w:val="center"/>
          </w:tcPr>
          <w:p w14:paraId="6B2F39D2" w14:textId="77777777" w:rsidR="00EB6430" w:rsidRPr="008B02E0" w:rsidRDefault="00EB6430" w:rsidP="00AE5B32">
            <w:pPr>
              <w:pStyle w:val="TableText0"/>
              <w:keepNext w:val="0"/>
            </w:pPr>
          </w:p>
        </w:tc>
        <w:tc>
          <w:tcPr>
            <w:tcW w:w="3027" w:type="pct"/>
            <w:tcBorders>
              <w:top w:val="nil"/>
              <w:bottom w:val="nil"/>
            </w:tcBorders>
            <w:vAlign w:val="center"/>
          </w:tcPr>
          <w:p w14:paraId="0DCA30A4" w14:textId="5B1BDBF8" w:rsidR="00EB6430" w:rsidRPr="008B02E0" w:rsidRDefault="00EB6430" w:rsidP="00AE5B32">
            <w:pPr>
              <w:pStyle w:val="TableText0"/>
              <w:keepNext w:val="0"/>
            </w:pPr>
            <w:r w:rsidRPr="008B02E0">
              <w:rPr>
                <w:rFonts w:eastAsiaTheme="minorHAnsi"/>
              </w:rPr>
              <w:t>Lenz</w:t>
            </w:r>
            <w:r w:rsidRPr="008B02E0">
              <w:t>, Heinz</w:t>
            </w:r>
            <w:r w:rsidR="009E5502">
              <w:noBreakHyphen/>
            </w:r>
            <w:r w:rsidRPr="008B02E0">
              <w:t>Josef, et al. First</w:t>
            </w:r>
            <w:r w:rsidR="009E5502">
              <w:noBreakHyphen/>
            </w:r>
            <w:r w:rsidRPr="008B02E0">
              <w:t>line (1L) nivolumab (NIVO) + ipilimumab (IPI) in patients (pts) with microsatellite instability</w:t>
            </w:r>
            <w:r w:rsidR="009E5502">
              <w:noBreakHyphen/>
            </w:r>
            <w:r w:rsidRPr="008B02E0">
              <w:t>high/mismatch repair deficient (MSI</w:t>
            </w:r>
            <w:r w:rsidR="009E5502">
              <w:noBreakHyphen/>
            </w:r>
            <w:r w:rsidRPr="008B02E0">
              <w:t>H/dMMR) metastatic colorectal cancer (mCRC): 64</w:t>
            </w:r>
            <w:r w:rsidR="009E5502">
              <w:noBreakHyphen/>
            </w:r>
            <w:r w:rsidRPr="008B02E0">
              <w:t>month (mo) follow</w:t>
            </w:r>
            <w:r w:rsidR="009E5502">
              <w:noBreakHyphen/>
            </w:r>
            <w:r w:rsidRPr="008B02E0">
              <w:t>up from CheckMate 142.</w:t>
            </w:r>
            <w:r w:rsidRPr="008B02E0">
              <w:rPr>
                <w:vertAlign w:val="superscript"/>
              </w:rPr>
              <w:t xml:space="preserve"> a</w:t>
            </w:r>
          </w:p>
          <w:p w14:paraId="20B8C717" w14:textId="77777777" w:rsidR="00EB6430" w:rsidRPr="008B02E0" w:rsidRDefault="00EB6430" w:rsidP="00AE5B32">
            <w:pPr>
              <w:pStyle w:val="TableText0"/>
              <w:keepNext w:val="0"/>
              <w:rPr>
                <w:rFonts w:eastAsiaTheme="minorHAnsi"/>
                <w:i/>
                <w:iCs/>
              </w:rPr>
            </w:pPr>
          </w:p>
        </w:tc>
        <w:tc>
          <w:tcPr>
            <w:tcW w:w="1177" w:type="pct"/>
            <w:tcBorders>
              <w:top w:val="nil"/>
              <w:bottom w:val="nil"/>
            </w:tcBorders>
          </w:tcPr>
          <w:p w14:paraId="6BBA8A14" w14:textId="67AC28DF" w:rsidR="00EB6430" w:rsidRPr="008B02E0" w:rsidRDefault="00EB6430" w:rsidP="00AE5B32">
            <w:pPr>
              <w:pStyle w:val="TableText0"/>
              <w:keepNext w:val="0"/>
              <w:rPr>
                <w:i/>
                <w:iCs/>
              </w:rPr>
            </w:pPr>
            <w:r w:rsidRPr="008B02E0">
              <w:rPr>
                <w:i/>
                <w:iCs/>
              </w:rPr>
              <w:t xml:space="preserve">Journal of Clinical Oncology </w:t>
            </w:r>
            <w:r w:rsidRPr="008B02E0">
              <w:t>2023;</w:t>
            </w:r>
            <w:r w:rsidRPr="008B02E0">
              <w:rPr>
                <w:i/>
                <w:iCs/>
              </w:rPr>
              <w:t xml:space="preserve"> </w:t>
            </w:r>
            <w:r w:rsidRPr="008B02E0">
              <w:t>41(16 supp): 3550</w:t>
            </w:r>
            <w:r w:rsidR="009E5502">
              <w:noBreakHyphen/>
            </w:r>
            <w:r w:rsidRPr="008B02E0">
              <w:t>3550</w:t>
            </w:r>
            <w:r w:rsidRPr="008B02E0">
              <w:rPr>
                <w:i/>
                <w:iCs/>
              </w:rPr>
              <w:t>.</w:t>
            </w:r>
          </w:p>
        </w:tc>
      </w:tr>
      <w:tr w:rsidR="00EB6430" w:rsidRPr="008B02E0" w14:paraId="17A1F86A" w14:textId="77777777" w:rsidTr="004E603D">
        <w:tc>
          <w:tcPr>
            <w:tcW w:w="796" w:type="pct"/>
            <w:tcBorders>
              <w:top w:val="single" w:sz="4" w:space="0" w:color="auto"/>
              <w:bottom w:val="nil"/>
            </w:tcBorders>
            <w:vAlign w:val="center"/>
          </w:tcPr>
          <w:p w14:paraId="1320CA58" w14:textId="77777777" w:rsidR="00EB6430" w:rsidRPr="008B02E0" w:rsidRDefault="00EB6430" w:rsidP="00AE5B32">
            <w:pPr>
              <w:pStyle w:val="TableText0"/>
              <w:keepNext w:val="0"/>
            </w:pPr>
            <w:r w:rsidRPr="008B02E0">
              <w:t>KEYNOTE 177 (NCT02563002)</w:t>
            </w:r>
          </w:p>
        </w:tc>
        <w:tc>
          <w:tcPr>
            <w:tcW w:w="3027" w:type="pct"/>
            <w:tcBorders>
              <w:top w:val="single" w:sz="4" w:space="0" w:color="auto"/>
              <w:bottom w:val="nil"/>
            </w:tcBorders>
            <w:vAlign w:val="center"/>
          </w:tcPr>
          <w:p w14:paraId="6BFF4C09" w14:textId="366A97F2" w:rsidR="00EB6430" w:rsidRPr="008B02E0" w:rsidRDefault="00EB6430" w:rsidP="00AE5B32">
            <w:pPr>
              <w:pStyle w:val="TableText0"/>
              <w:keepNext w:val="0"/>
              <w:rPr>
                <w:rFonts w:eastAsiaTheme="minorHAnsi"/>
              </w:rPr>
            </w:pPr>
            <w:r w:rsidRPr="008B02E0">
              <w:rPr>
                <w:rFonts w:eastAsiaTheme="minorHAnsi"/>
              </w:rPr>
              <w:t>André, Thierry, et al. Pembrolizumab in microsatellite</w:t>
            </w:r>
            <w:r w:rsidR="009E5502">
              <w:rPr>
                <w:rFonts w:eastAsiaTheme="minorHAnsi"/>
              </w:rPr>
              <w:noBreakHyphen/>
            </w:r>
            <w:r w:rsidRPr="008B02E0">
              <w:rPr>
                <w:rFonts w:eastAsiaTheme="minorHAnsi"/>
              </w:rPr>
              <w:t>instability–high advanced colorectal cancer.</w:t>
            </w:r>
          </w:p>
          <w:p w14:paraId="3C14ECB5" w14:textId="77777777" w:rsidR="00EB6430" w:rsidRPr="008B02E0" w:rsidRDefault="00EB6430" w:rsidP="00AE5B32">
            <w:pPr>
              <w:pStyle w:val="TableText0"/>
              <w:keepNext w:val="0"/>
            </w:pPr>
          </w:p>
        </w:tc>
        <w:tc>
          <w:tcPr>
            <w:tcW w:w="1177" w:type="pct"/>
            <w:tcBorders>
              <w:top w:val="single" w:sz="4" w:space="0" w:color="auto"/>
              <w:bottom w:val="nil"/>
            </w:tcBorders>
          </w:tcPr>
          <w:p w14:paraId="09C9A3EA" w14:textId="5AD6D1A5" w:rsidR="00EB6430" w:rsidRPr="008B02E0" w:rsidRDefault="00EB6430" w:rsidP="00AE5B32">
            <w:pPr>
              <w:pStyle w:val="TableText0"/>
              <w:keepNext w:val="0"/>
            </w:pPr>
            <w:r w:rsidRPr="008B02E0">
              <w:rPr>
                <w:rFonts w:eastAsiaTheme="minorHAnsi"/>
                <w:i/>
                <w:iCs/>
              </w:rPr>
              <w:t>NEJM</w:t>
            </w:r>
            <w:r w:rsidRPr="008B02E0">
              <w:rPr>
                <w:rFonts w:eastAsiaTheme="minorHAnsi"/>
              </w:rPr>
              <w:t xml:space="preserve"> 2020; 383(23): 2207</w:t>
            </w:r>
            <w:r w:rsidR="009E5502">
              <w:rPr>
                <w:rFonts w:eastAsiaTheme="minorHAnsi"/>
              </w:rPr>
              <w:noBreakHyphen/>
            </w:r>
            <w:r w:rsidRPr="008B02E0">
              <w:rPr>
                <w:rFonts w:eastAsiaTheme="minorHAnsi"/>
              </w:rPr>
              <w:t>2218</w:t>
            </w:r>
          </w:p>
        </w:tc>
      </w:tr>
      <w:tr w:rsidR="00EB6430" w:rsidRPr="008B02E0" w14:paraId="04E81FA4" w14:textId="77777777" w:rsidTr="004E603D">
        <w:tc>
          <w:tcPr>
            <w:tcW w:w="796" w:type="pct"/>
            <w:tcBorders>
              <w:top w:val="nil"/>
              <w:bottom w:val="nil"/>
            </w:tcBorders>
            <w:vAlign w:val="center"/>
          </w:tcPr>
          <w:p w14:paraId="3BC3BB06" w14:textId="77777777" w:rsidR="00EB6430" w:rsidRPr="008B02E0" w:rsidRDefault="00EB6430" w:rsidP="00AE5B32">
            <w:pPr>
              <w:pStyle w:val="TableText0"/>
              <w:keepNext w:val="0"/>
            </w:pPr>
          </w:p>
        </w:tc>
        <w:tc>
          <w:tcPr>
            <w:tcW w:w="3027" w:type="pct"/>
            <w:tcBorders>
              <w:top w:val="nil"/>
              <w:bottom w:val="nil"/>
            </w:tcBorders>
            <w:vAlign w:val="center"/>
          </w:tcPr>
          <w:p w14:paraId="5EEA97B7" w14:textId="396C3466" w:rsidR="00EB6430" w:rsidRPr="008B02E0" w:rsidRDefault="00EB6430" w:rsidP="00AE5B32">
            <w:pPr>
              <w:pStyle w:val="TableText0"/>
              <w:keepNext w:val="0"/>
              <w:rPr>
                <w:rFonts w:eastAsiaTheme="minorHAnsi"/>
              </w:rPr>
            </w:pPr>
            <w:r w:rsidRPr="008B02E0">
              <w:rPr>
                <w:rFonts w:eastAsiaTheme="minorHAnsi"/>
              </w:rPr>
              <w:t>André, T., et al. Pembrolizumab versus chemotherapy in microsatellite instability</w:t>
            </w:r>
            <w:r w:rsidR="009E5502">
              <w:rPr>
                <w:rFonts w:eastAsiaTheme="minorHAnsi"/>
              </w:rPr>
              <w:noBreakHyphen/>
            </w:r>
            <w:r w:rsidRPr="008B02E0">
              <w:rPr>
                <w:rFonts w:eastAsiaTheme="minorHAnsi"/>
              </w:rPr>
              <w:t>high or mismatch repair</w:t>
            </w:r>
            <w:r w:rsidR="009E5502">
              <w:rPr>
                <w:rFonts w:eastAsiaTheme="minorHAnsi"/>
              </w:rPr>
              <w:noBreakHyphen/>
            </w:r>
            <w:r w:rsidRPr="008B02E0">
              <w:rPr>
                <w:rFonts w:eastAsiaTheme="minorHAnsi"/>
              </w:rPr>
              <w:t>deficient metastatic colorectal cancer: 5</w:t>
            </w:r>
            <w:r w:rsidR="009E5502">
              <w:rPr>
                <w:rFonts w:eastAsiaTheme="minorHAnsi"/>
              </w:rPr>
              <w:noBreakHyphen/>
            </w:r>
            <w:r w:rsidRPr="008B02E0">
              <w:rPr>
                <w:rFonts w:eastAsiaTheme="minorHAnsi"/>
              </w:rPr>
              <w:t>year follow</w:t>
            </w:r>
            <w:r w:rsidR="009E5502">
              <w:rPr>
                <w:rFonts w:eastAsiaTheme="minorHAnsi"/>
              </w:rPr>
              <w:noBreakHyphen/>
            </w:r>
            <w:r w:rsidRPr="008B02E0">
              <w:rPr>
                <w:rFonts w:eastAsiaTheme="minorHAnsi"/>
              </w:rPr>
              <w:t>up from the randomized phase III KEYNOTE</w:t>
            </w:r>
            <w:r w:rsidR="009E5502">
              <w:rPr>
                <w:rFonts w:eastAsiaTheme="minorHAnsi"/>
              </w:rPr>
              <w:noBreakHyphen/>
            </w:r>
            <w:r w:rsidRPr="008B02E0">
              <w:rPr>
                <w:rFonts w:eastAsiaTheme="minorHAnsi"/>
              </w:rPr>
              <w:t>177 study.</w:t>
            </w:r>
          </w:p>
          <w:p w14:paraId="68CB2CB5" w14:textId="77777777" w:rsidR="00EB6430" w:rsidRPr="008B02E0" w:rsidRDefault="00EB6430" w:rsidP="00AE5B32">
            <w:pPr>
              <w:pStyle w:val="TableText0"/>
              <w:keepNext w:val="0"/>
              <w:rPr>
                <w:szCs w:val="18"/>
              </w:rPr>
            </w:pPr>
          </w:p>
        </w:tc>
        <w:tc>
          <w:tcPr>
            <w:tcW w:w="1177" w:type="pct"/>
            <w:tcBorders>
              <w:top w:val="nil"/>
              <w:bottom w:val="nil"/>
            </w:tcBorders>
          </w:tcPr>
          <w:p w14:paraId="557F04CD" w14:textId="64DADBBA" w:rsidR="00EB6430" w:rsidRPr="008B02E0" w:rsidRDefault="00EB6430" w:rsidP="00AE5B32">
            <w:pPr>
              <w:pStyle w:val="TableText0"/>
              <w:keepNext w:val="0"/>
              <w:rPr>
                <w:i/>
                <w:szCs w:val="18"/>
              </w:rPr>
            </w:pPr>
            <w:r w:rsidRPr="008B02E0">
              <w:rPr>
                <w:i/>
                <w:szCs w:val="18"/>
              </w:rPr>
              <w:t xml:space="preserve">Annals of Oncology </w:t>
            </w:r>
            <w:r w:rsidRPr="008B02E0">
              <w:rPr>
                <w:iCs/>
                <w:szCs w:val="18"/>
              </w:rPr>
              <w:t>2024</w:t>
            </w:r>
            <w:r w:rsidR="005E7D8A" w:rsidRPr="008B02E0">
              <w:rPr>
                <w:iCs/>
                <w:szCs w:val="18"/>
              </w:rPr>
              <w:t>b</w:t>
            </w:r>
            <w:r w:rsidRPr="008B02E0">
              <w:rPr>
                <w:iCs/>
                <w:szCs w:val="18"/>
              </w:rPr>
              <w:t>; 36(3):277</w:t>
            </w:r>
            <w:r w:rsidR="009E5502">
              <w:rPr>
                <w:iCs/>
                <w:szCs w:val="18"/>
              </w:rPr>
              <w:noBreakHyphen/>
            </w:r>
            <w:r w:rsidRPr="008B02E0">
              <w:rPr>
                <w:iCs/>
                <w:szCs w:val="18"/>
              </w:rPr>
              <w:t>284</w:t>
            </w:r>
          </w:p>
        </w:tc>
      </w:tr>
      <w:tr w:rsidR="00EB6430" w:rsidRPr="008B02E0" w14:paraId="7E30E371" w14:textId="77777777" w:rsidTr="004E603D">
        <w:tc>
          <w:tcPr>
            <w:tcW w:w="796" w:type="pct"/>
            <w:tcBorders>
              <w:top w:val="nil"/>
              <w:bottom w:val="nil"/>
            </w:tcBorders>
            <w:vAlign w:val="center"/>
          </w:tcPr>
          <w:p w14:paraId="58129105" w14:textId="77777777" w:rsidR="00EB6430" w:rsidRPr="008B02E0" w:rsidRDefault="00EB6430" w:rsidP="00AE5B32">
            <w:pPr>
              <w:pStyle w:val="TableText0"/>
              <w:keepNext w:val="0"/>
            </w:pPr>
          </w:p>
        </w:tc>
        <w:tc>
          <w:tcPr>
            <w:tcW w:w="3027" w:type="pct"/>
            <w:tcBorders>
              <w:top w:val="nil"/>
              <w:bottom w:val="nil"/>
            </w:tcBorders>
            <w:vAlign w:val="center"/>
          </w:tcPr>
          <w:p w14:paraId="5B5260BB" w14:textId="26C8A990" w:rsidR="00EB6430" w:rsidRPr="008B02E0" w:rsidRDefault="00EB6430" w:rsidP="00AE5B32">
            <w:pPr>
              <w:pStyle w:val="TableText0"/>
              <w:keepNext w:val="0"/>
              <w:rPr>
                <w:rFonts w:eastAsiaTheme="minorHAnsi"/>
              </w:rPr>
            </w:pPr>
            <w:r w:rsidRPr="008B02E0">
              <w:rPr>
                <w:rFonts w:eastAsiaTheme="minorHAnsi"/>
              </w:rPr>
              <w:t>Diaz, Luis A., et al. Pembrolizumab versus chemotherapy for microsatellite instability</w:t>
            </w:r>
            <w:r w:rsidR="009E5502">
              <w:rPr>
                <w:rFonts w:eastAsiaTheme="minorHAnsi"/>
              </w:rPr>
              <w:noBreakHyphen/>
            </w:r>
            <w:r w:rsidRPr="008B02E0">
              <w:rPr>
                <w:rFonts w:eastAsiaTheme="minorHAnsi"/>
              </w:rPr>
              <w:t>high or mismatch repair</w:t>
            </w:r>
            <w:r w:rsidR="009E5502">
              <w:rPr>
                <w:rFonts w:eastAsiaTheme="minorHAnsi"/>
              </w:rPr>
              <w:noBreakHyphen/>
            </w:r>
            <w:r w:rsidRPr="008B02E0">
              <w:rPr>
                <w:rFonts w:eastAsiaTheme="minorHAnsi"/>
              </w:rPr>
              <w:t>deficient metastatic colorectal cancer (KEYNOTE</w:t>
            </w:r>
            <w:r w:rsidR="009E5502">
              <w:rPr>
                <w:rFonts w:eastAsiaTheme="minorHAnsi"/>
              </w:rPr>
              <w:noBreakHyphen/>
            </w:r>
            <w:r w:rsidRPr="008B02E0">
              <w:rPr>
                <w:rFonts w:eastAsiaTheme="minorHAnsi"/>
              </w:rPr>
              <w:t>177): final analysis of a randomised, open</w:t>
            </w:r>
            <w:r w:rsidR="009E5502">
              <w:rPr>
                <w:rFonts w:eastAsiaTheme="minorHAnsi"/>
              </w:rPr>
              <w:noBreakHyphen/>
            </w:r>
            <w:r w:rsidRPr="008B02E0">
              <w:rPr>
                <w:rFonts w:eastAsiaTheme="minorHAnsi"/>
              </w:rPr>
              <w:t>label, phase 3 study.</w:t>
            </w:r>
          </w:p>
          <w:p w14:paraId="0255BFB4" w14:textId="77777777" w:rsidR="00EB6430" w:rsidRPr="008B02E0" w:rsidRDefault="00EB6430" w:rsidP="00AE5B32">
            <w:pPr>
              <w:pStyle w:val="TableText0"/>
              <w:keepNext w:val="0"/>
              <w:rPr>
                <w:szCs w:val="18"/>
              </w:rPr>
            </w:pPr>
          </w:p>
        </w:tc>
        <w:tc>
          <w:tcPr>
            <w:tcW w:w="1177" w:type="pct"/>
            <w:tcBorders>
              <w:top w:val="nil"/>
              <w:bottom w:val="nil"/>
            </w:tcBorders>
          </w:tcPr>
          <w:p w14:paraId="2EA800BB" w14:textId="3F96CF3B" w:rsidR="00EB6430" w:rsidRPr="008B02E0" w:rsidRDefault="00EB6430" w:rsidP="00AE5B32">
            <w:pPr>
              <w:pStyle w:val="TableText0"/>
              <w:keepNext w:val="0"/>
            </w:pPr>
            <w:r w:rsidRPr="008B02E0">
              <w:rPr>
                <w:i/>
                <w:szCs w:val="18"/>
              </w:rPr>
              <w:t>The Lancet Oncology</w:t>
            </w:r>
            <w:r w:rsidRPr="008B02E0">
              <w:rPr>
                <w:szCs w:val="18"/>
              </w:rPr>
              <w:t xml:space="preserve"> 2022; 23(5):659</w:t>
            </w:r>
            <w:r w:rsidR="009E5502">
              <w:rPr>
                <w:szCs w:val="18"/>
              </w:rPr>
              <w:noBreakHyphen/>
            </w:r>
            <w:r w:rsidRPr="008B02E0">
              <w:rPr>
                <w:szCs w:val="18"/>
              </w:rPr>
              <w:t>670.</w:t>
            </w:r>
          </w:p>
        </w:tc>
      </w:tr>
      <w:tr w:rsidR="00EB6430" w:rsidRPr="008B02E0" w14:paraId="51DDE49B" w14:textId="77777777" w:rsidTr="004E603D">
        <w:tc>
          <w:tcPr>
            <w:tcW w:w="796" w:type="pct"/>
            <w:tcBorders>
              <w:top w:val="nil"/>
              <w:bottom w:val="single" w:sz="4" w:space="0" w:color="auto"/>
            </w:tcBorders>
            <w:vAlign w:val="center"/>
          </w:tcPr>
          <w:p w14:paraId="34927145" w14:textId="77777777" w:rsidR="00EB6430" w:rsidRPr="008B02E0" w:rsidRDefault="00EB6430" w:rsidP="00AE5B32">
            <w:pPr>
              <w:pStyle w:val="TableText0"/>
              <w:keepNext w:val="0"/>
            </w:pPr>
          </w:p>
        </w:tc>
        <w:tc>
          <w:tcPr>
            <w:tcW w:w="3027" w:type="pct"/>
            <w:tcBorders>
              <w:top w:val="nil"/>
              <w:bottom w:val="single" w:sz="4" w:space="0" w:color="auto"/>
            </w:tcBorders>
            <w:vAlign w:val="center"/>
          </w:tcPr>
          <w:p w14:paraId="71102A6C" w14:textId="137A5A42" w:rsidR="00EB6430" w:rsidRPr="008B02E0" w:rsidRDefault="00EB6430" w:rsidP="00AE5B32">
            <w:pPr>
              <w:pStyle w:val="TableText0"/>
              <w:keepNext w:val="0"/>
              <w:rPr>
                <w:rFonts w:eastAsiaTheme="minorHAnsi"/>
              </w:rPr>
            </w:pPr>
            <w:r w:rsidRPr="008B02E0">
              <w:rPr>
                <w:rFonts w:eastAsiaTheme="minorHAnsi"/>
              </w:rPr>
              <w:t>Andre T, Amonkar M, Norquist JM, Shiu KK, Kim TW, Jensen BV, Jensen LH, Punt CJA, Smith D, Garcia</w:t>
            </w:r>
            <w:r w:rsidR="009E5502">
              <w:rPr>
                <w:rFonts w:eastAsiaTheme="minorHAnsi"/>
              </w:rPr>
              <w:noBreakHyphen/>
            </w:r>
            <w:r w:rsidRPr="008B02E0">
              <w:rPr>
                <w:rFonts w:eastAsiaTheme="minorHAnsi"/>
              </w:rPr>
              <w:t>Carbonero R, Sevilla I, De La Fouchardiere C, Rivera F, Elez E, Diaz LA Jr, Yoshino T, Van Cutsem E, Yang P, Farooqui M, Le DT. Health</w:t>
            </w:r>
            <w:r w:rsidR="009E5502">
              <w:rPr>
                <w:rFonts w:eastAsiaTheme="minorHAnsi"/>
              </w:rPr>
              <w:noBreakHyphen/>
            </w:r>
            <w:r w:rsidRPr="008B02E0">
              <w:rPr>
                <w:rFonts w:eastAsiaTheme="minorHAnsi"/>
              </w:rPr>
              <w:t>related quality of life in patients with microsatellite instability</w:t>
            </w:r>
            <w:r w:rsidR="009E5502">
              <w:rPr>
                <w:rFonts w:eastAsiaTheme="minorHAnsi"/>
              </w:rPr>
              <w:noBreakHyphen/>
            </w:r>
            <w:r w:rsidRPr="008B02E0">
              <w:rPr>
                <w:rFonts w:eastAsiaTheme="minorHAnsi"/>
              </w:rPr>
              <w:t>high or mismatch repair deficient metastatic colorectal cancer treated with first</w:t>
            </w:r>
            <w:r w:rsidR="009E5502">
              <w:rPr>
                <w:rFonts w:eastAsiaTheme="minorHAnsi"/>
              </w:rPr>
              <w:noBreakHyphen/>
            </w:r>
            <w:r w:rsidRPr="008B02E0">
              <w:rPr>
                <w:rFonts w:eastAsiaTheme="minorHAnsi"/>
              </w:rPr>
              <w:t>line pembrolizumab versus chemotherapy (KEYNOTE</w:t>
            </w:r>
            <w:r w:rsidR="009E5502">
              <w:rPr>
                <w:rFonts w:eastAsiaTheme="minorHAnsi"/>
              </w:rPr>
              <w:noBreakHyphen/>
            </w:r>
            <w:r w:rsidRPr="008B02E0">
              <w:rPr>
                <w:rFonts w:eastAsiaTheme="minorHAnsi"/>
              </w:rPr>
              <w:t>177): an open</w:t>
            </w:r>
            <w:r w:rsidR="009E5502">
              <w:rPr>
                <w:rFonts w:eastAsiaTheme="minorHAnsi"/>
              </w:rPr>
              <w:noBreakHyphen/>
            </w:r>
            <w:r w:rsidRPr="008B02E0">
              <w:rPr>
                <w:rFonts w:eastAsiaTheme="minorHAnsi"/>
              </w:rPr>
              <w:t>label, randomised, phase 3 trial. Lancet Oncol. 2021 May;22(5):665</w:t>
            </w:r>
            <w:r w:rsidR="009E5502">
              <w:rPr>
                <w:rFonts w:eastAsiaTheme="minorHAnsi"/>
              </w:rPr>
              <w:noBreakHyphen/>
            </w:r>
            <w:r w:rsidRPr="008B02E0">
              <w:rPr>
                <w:rFonts w:eastAsiaTheme="minorHAnsi"/>
              </w:rPr>
              <w:t>677</w:t>
            </w:r>
            <w:r w:rsidRPr="008B02E0">
              <w:rPr>
                <w:vertAlign w:val="superscript"/>
              </w:rPr>
              <w:t xml:space="preserve"> a</w:t>
            </w:r>
          </w:p>
        </w:tc>
        <w:tc>
          <w:tcPr>
            <w:tcW w:w="1177" w:type="pct"/>
            <w:tcBorders>
              <w:top w:val="nil"/>
              <w:bottom w:val="single" w:sz="4" w:space="0" w:color="auto"/>
            </w:tcBorders>
          </w:tcPr>
          <w:p w14:paraId="14386095" w14:textId="135F2BE2" w:rsidR="00EB6430" w:rsidRPr="008B02E0" w:rsidRDefault="00EB6430" w:rsidP="00AE5B32">
            <w:pPr>
              <w:pStyle w:val="TableText0"/>
              <w:keepNext w:val="0"/>
              <w:rPr>
                <w:i/>
                <w:szCs w:val="18"/>
              </w:rPr>
            </w:pPr>
            <w:r w:rsidRPr="008B02E0">
              <w:rPr>
                <w:i/>
                <w:szCs w:val="18"/>
              </w:rPr>
              <w:t>The Lancet Oncology</w:t>
            </w:r>
            <w:r w:rsidRPr="008B02E0">
              <w:rPr>
                <w:szCs w:val="18"/>
              </w:rPr>
              <w:t xml:space="preserve"> 2021; 22(5):665</w:t>
            </w:r>
            <w:r w:rsidR="009E5502">
              <w:rPr>
                <w:szCs w:val="18"/>
              </w:rPr>
              <w:noBreakHyphen/>
            </w:r>
            <w:r w:rsidRPr="008B02E0">
              <w:rPr>
                <w:szCs w:val="18"/>
              </w:rPr>
              <w:t>677.</w:t>
            </w:r>
          </w:p>
        </w:tc>
      </w:tr>
    </w:tbl>
    <w:p w14:paraId="09B148F3" w14:textId="73759F24" w:rsidR="00EB6430" w:rsidRPr="008B02E0" w:rsidRDefault="00EB6430" w:rsidP="00AE5B32">
      <w:pPr>
        <w:pStyle w:val="FooterTableFigure"/>
        <w:rPr>
          <w:iCs/>
        </w:rPr>
      </w:pPr>
      <w:r w:rsidRPr="008B02E0">
        <w:t>Source: Table 16, pp45</w:t>
      </w:r>
      <w:r w:rsidR="009E5502">
        <w:noBreakHyphen/>
      </w:r>
      <w:r w:rsidRPr="008B02E0">
        <w:t>46 of the submission</w:t>
      </w:r>
      <w:r w:rsidR="005E7D8A" w:rsidRPr="008B02E0">
        <w:t xml:space="preserve"> and </w:t>
      </w:r>
      <w:r w:rsidRPr="008B02E0">
        <w:rPr>
          <w:iCs/>
        </w:rPr>
        <w:t>identified during the evaluation</w:t>
      </w:r>
      <w:r w:rsidR="005E7D8A" w:rsidRPr="008B02E0">
        <w:rPr>
          <w:vertAlign w:val="superscript"/>
        </w:rPr>
        <w:t xml:space="preserve"> </w:t>
      </w:r>
    </w:p>
    <w:p w14:paraId="7E6C1A7A" w14:textId="334AD58F" w:rsidR="00EB6430" w:rsidRPr="008B02E0" w:rsidRDefault="00EB6430" w:rsidP="00AE5B32">
      <w:pPr>
        <w:pStyle w:val="3-BodyText"/>
        <w:rPr>
          <w:color w:val="0066FF"/>
        </w:rPr>
      </w:pPr>
      <w:r w:rsidRPr="008B02E0">
        <w:t xml:space="preserve">The key features of the studies/included evidence are summarised in </w:t>
      </w:r>
      <w:r w:rsidRPr="008B02E0">
        <w:fldChar w:fldCharType="begin"/>
      </w:r>
      <w:r w:rsidRPr="008B02E0">
        <w:instrText xml:space="preserve"> REF _Ref104804098 \h  \* MERGEFORMAT </w:instrText>
      </w:r>
      <w:r w:rsidRPr="008B02E0">
        <w:fldChar w:fldCharType="separate"/>
      </w:r>
      <w:r w:rsidR="00B542C9" w:rsidRPr="00B542C9">
        <w:t>Table 3</w:t>
      </w:r>
      <w:r w:rsidRPr="008B02E0">
        <w:fldChar w:fldCharType="end"/>
      </w:r>
      <w:r w:rsidRPr="008B02E0">
        <w:t>.</w:t>
      </w:r>
    </w:p>
    <w:p w14:paraId="1440BF52" w14:textId="264C542F" w:rsidR="00EB6430" w:rsidRPr="008B02E0" w:rsidRDefault="00EB6430" w:rsidP="008A327D">
      <w:pPr>
        <w:pStyle w:val="Caption"/>
        <w:rPr>
          <w:rStyle w:val="CommentReference"/>
          <w:rFonts w:eastAsiaTheme="majorEastAsia" w:cstheme="majorBidi"/>
          <w:b/>
          <w:szCs w:val="24"/>
        </w:rPr>
      </w:pPr>
      <w:bookmarkStart w:id="26" w:name="_Ref104804098"/>
      <w:r w:rsidRPr="008B02E0">
        <w:rPr>
          <w:rStyle w:val="CommentReference"/>
          <w:rFonts w:eastAsiaTheme="majorEastAsia" w:cstheme="majorBidi"/>
          <w:b/>
          <w:szCs w:val="24"/>
        </w:rPr>
        <w:lastRenderedPageBreak/>
        <w:t xml:space="preserve">Table </w:t>
      </w:r>
      <w:r w:rsidRPr="008B02E0">
        <w:rPr>
          <w:rStyle w:val="CommentReference"/>
          <w:rFonts w:eastAsiaTheme="majorEastAsia" w:cstheme="majorBidi"/>
          <w:b/>
          <w:szCs w:val="24"/>
        </w:rPr>
        <w:fldChar w:fldCharType="begin"/>
      </w:r>
      <w:r w:rsidRPr="008B02E0">
        <w:rPr>
          <w:rStyle w:val="CommentReference"/>
          <w:rFonts w:eastAsiaTheme="majorEastAsia" w:cstheme="majorBidi"/>
          <w:b/>
          <w:szCs w:val="24"/>
        </w:rPr>
        <w:instrText xml:space="preserve"> SEQ Table \* ARABIC </w:instrText>
      </w:r>
      <w:r w:rsidRPr="008B02E0">
        <w:rPr>
          <w:rStyle w:val="CommentReference"/>
          <w:rFonts w:eastAsiaTheme="majorEastAsia" w:cstheme="majorBidi"/>
          <w:b/>
          <w:szCs w:val="24"/>
        </w:rPr>
        <w:fldChar w:fldCharType="separate"/>
      </w:r>
      <w:r w:rsidR="00B542C9">
        <w:rPr>
          <w:rStyle w:val="CommentReference"/>
          <w:rFonts w:eastAsiaTheme="majorEastAsia" w:cstheme="majorBidi"/>
          <w:b/>
          <w:noProof/>
          <w:szCs w:val="24"/>
        </w:rPr>
        <w:t>3</w:t>
      </w:r>
      <w:r w:rsidRPr="008B02E0">
        <w:rPr>
          <w:rStyle w:val="CommentReference"/>
          <w:rFonts w:eastAsiaTheme="majorEastAsia" w:cstheme="majorBidi"/>
          <w:b/>
          <w:szCs w:val="24"/>
        </w:rPr>
        <w:fldChar w:fldCharType="end"/>
      </w:r>
      <w:bookmarkEnd w:id="26"/>
      <w:r w:rsidRPr="008B02E0">
        <w:rPr>
          <w:rStyle w:val="CommentReference"/>
          <w:rFonts w:eastAsiaTheme="majorEastAsia" w:cstheme="majorBidi"/>
          <w:b/>
          <w:szCs w:val="24"/>
        </w:rPr>
        <w:t>: Key features of the included evidence</w:t>
      </w:r>
    </w:p>
    <w:tbl>
      <w:tblP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17"/>
        <w:gridCol w:w="389"/>
        <w:gridCol w:w="1451"/>
        <w:gridCol w:w="496"/>
        <w:gridCol w:w="2381"/>
        <w:gridCol w:w="1104"/>
        <w:gridCol w:w="968"/>
        <w:gridCol w:w="1754"/>
      </w:tblGrid>
      <w:tr w:rsidR="00DB4F99" w:rsidRPr="008B02E0" w14:paraId="4E0DDC46" w14:textId="77777777" w:rsidTr="00D17F3A">
        <w:trPr>
          <w:cantSplit/>
          <w:tblHeader/>
        </w:trPr>
        <w:tc>
          <w:tcPr>
            <w:tcW w:w="436" w:type="pct"/>
            <w:vAlign w:val="center"/>
          </w:tcPr>
          <w:p w14:paraId="12F87027" w14:textId="77777777" w:rsidR="00EB6430" w:rsidRPr="008B02E0" w:rsidRDefault="00EB6430" w:rsidP="008A327D">
            <w:pPr>
              <w:pStyle w:val="In-tableHeading"/>
              <w:keepLines/>
              <w:rPr>
                <w:lang w:val="en-AU"/>
              </w:rPr>
            </w:pPr>
            <w:r w:rsidRPr="008B02E0">
              <w:rPr>
                <w:lang w:val="en-AU"/>
              </w:rPr>
              <w:t>Trial</w:t>
            </w:r>
          </w:p>
        </w:tc>
        <w:tc>
          <w:tcPr>
            <w:tcW w:w="208" w:type="pct"/>
            <w:vAlign w:val="center"/>
          </w:tcPr>
          <w:p w14:paraId="5FF346F5" w14:textId="77777777" w:rsidR="00EB6430" w:rsidRPr="008B02E0" w:rsidRDefault="00EB6430" w:rsidP="008A327D">
            <w:pPr>
              <w:pStyle w:val="In-tableHeading"/>
              <w:keepLines/>
              <w:jc w:val="center"/>
              <w:rPr>
                <w:lang w:val="en-AU"/>
              </w:rPr>
            </w:pPr>
            <w:r w:rsidRPr="008B02E0">
              <w:rPr>
                <w:lang w:val="en-AU"/>
              </w:rPr>
              <w:t>N</w:t>
            </w:r>
          </w:p>
        </w:tc>
        <w:tc>
          <w:tcPr>
            <w:tcW w:w="775" w:type="pct"/>
            <w:vAlign w:val="center"/>
          </w:tcPr>
          <w:p w14:paraId="12F60717" w14:textId="77777777" w:rsidR="00EB6430" w:rsidRPr="008B02E0" w:rsidRDefault="00EB6430" w:rsidP="008A327D">
            <w:pPr>
              <w:pStyle w:val="In-tableHeading"/>
              <w:keepLines/>
              <w:jc w:val="center"/>
              <w:rPr>
                <w:lang w:val="en-AU"/>
              </w:rPr>
            </w:pPr>
            <w:r w:rsidRPr="008B02E0">
              <w:rPr>
                <w:lang w:val="en-AU"/>
              </w:rPr>
              <w:t>Design/ duration</w:t>
            </w:r>
          </w:p>
        </w:tc>
        <w:tc>
          <w:tcPr>
            <w:tcW w:w="265" w:type="pct"/>
            <w:vAlign w:val="center"/>
          </w:tcPr>
          <w:p w14:paraId="037AA7EB" w14:textId="77777777" w:rsidR="00EB6430" w:rsidRPr="008B02E0" w:rsidRDefault="00EB6430" w:rsidP="008A327D">
            <w:pPr>
              <w:pStyle w:val="In-tableHeading"/>
              <w:keepLines/>
              <w:jc w:val="center"/>
              <w:rPr>
                <w:lang w:val="en-AU"/>
              </w:rPr>
            </w:pPr>
            <w:r w:rsidRPr="008B02E0">
              <w:rPr>
                <w:lang w:val="en-AU"/>
              </w:rPr>
              <w:t>Bias</w:t>
            </w:r>
          </w:p>
        </w:tc>
        <w:tc>
          <w:tcPr>
            <w:tcW w:w="1272" w:type="pct"/>
          </w:tcPr>
          <w:p w14:paraId="13889C72" w14:textId="77777777" w:rsidR="00EB6430" w:rsidRPr="008B02E0" w:rsidRDefault="00EB6430" w:rsidP="008A327D">
            <w:pPr>
              <w:pStyle w:val="In-tableHeading"/>
              <w:keepLines/>
              <w:jc w:val="center"/>
              <w:rPr>
                <w:lang w:val="en-AU"/>
              </w:rPr>
            </w:pPr>
            <w:r w:rsidRPr="008B02E0">
              <w:rPr>
                <w:lang w:val="en-AU"/>
              </w:rPr>
              <w:t>Treatment arms</w:t>
            </w:r>
          </w:p>
        </w:tc>
        <w:tc>
          <w:tcPr>
            <w:tcW w:w="590" w:type="pct"/>
            <w:vAlign w:val="center"/>
          </w:tcPr>
          <w:p w14:paraId="7AE66C1F" w14:textId="77777777" w:rsidR="00EB6430" w:rsidRPr="008B02E0" w:rsidRDefault="00EB6430" w:rsidP="008A327D">
            <w:pPr>
              <w:pStyle w:val="In-tableHeading"/>
              <w:keepLines/>
              <w:jc w:val="center"/>
              <w:rPr>
                <w:lang w:val="en-AU"/>
              </w:rPr>
            </w:pPr>
            <w:r w:rsidRPr="008B02E0">
              <w:rPr>
                <w:lang w:val="en-AU"/>
              </w:rPr>
              <w:t>Patient population</w:t>
            </w:r>
          </w:p>
        </w:tc>
        <w:tc>
          <w:tcPr>
            <w:tcW w:w="517" w:type="pct"/>
            <w:vAlign w:val="center"/>
          </w:tcPr>
          <w:p w14:paraId="74CECFA1" w14:textId="77777777" w:rsidR="00EB6430" w:rsidRPr="008B02E0" w:rsidRDefault="00EB6430" w:rsidP="008A327D">
            <w:pPr>
              <w:pStyle w:val="In-tableHeading"/>
              <w:keepLines/>
              <w:jc w:val="center"/>
              <w:rPr>
                <w:lang w:val="en-AU"/>
              </w:rPr>
            </w:pPr>
            <w:r w:rsidRPr="008B02E0">
              <w:rPr>
                <w:lang w:val="en-AU"/>
              </w:rPr>
              <w:t>Outcome(s)</w:t>
            </w:r>
          </w:p>
        </w:tc>
        <w:tc>
          <w:tcPr>
            <w:tcW w:w="937" w:type="pct"/>
            <w:vAlign w:val="center"/>
          </w:tcPr>
          <w:p w14:paraId="3D0042C2" w14:textId="77777777" w:rsidR="00EB6430" w:rsidRPr="008B02E0" w:rsidRDefault="00EB6430" w:rsidP="008A327D">
            <w:pPr>
              <w:pStyle w:val="In-tableHeading"/>
              <w:keepLines/>
              <w:jc w:val="center"/>
              <w:rPr>
                <w:lang w:val="en-AU"/>
              </w:rPr>
            </w:pPr>
            <w:r w:rsidRPr="008B02E0">
              <w:rPr>
                <w:lang w:val="en-AU"/>
              </w:rPr>
              <w:t>Use in modelled evaluation</w:t>
            </w:r>
          </w:p>
        </w:tc>
      </w:tr>
      <w:tr w:rsidR="00EB6430" w:rsidRPr="008B02E0" w14:paraId="145BC220" w14:textId="77777777" w:rsidTr="00D17F3A">
        <w:trPr>
          <w:cantSplit/>
        </w:trPr>
        <w:tc>
          <w:tcPr>
            <w:tcW w:w="5000" w:type="pct"/>
            <w:gridSpan w:val="8"/>
          </w:tcPr>
          <w:p w14:paraId="04C8546E" w14:textId="77777777" w:rsidR="00EB6430" w:rsidRPr="008B02E0" w:rsidRDefault="00EB6430" w:rsidP="008A327D">
            <w:pPr>
              <w:pStyle w:val="In-tableHeading"/>
              <w:keepLines/>
              <w:rPr>
                <w:lang w:val="en-AU"/>
              </w:rPr>
            </w:pPr>
            <w:r w:rsidRPr="008B02E0">
              <w:rPr>
                <w:lang w:val="en-AU"/>
              </w:rPr>
              <w:t>Nivolumab plus ipilimumab vs nivolumab monotherapy vs standard chemotherapy</w:t>
            </w:r>
          </w:p>
        </w:tc>
      </w:tr>
      <w:tr w:rsidR="00EB6430" w:rsidRPr="008B02E0" w14:paraId="485F6274" w14:textId="77777777" w:rsidTr="00D17F3A">
        <w:trPr>
          <w:cantSplit/>
        </w:trPr>
        <w:tc>
          <w:tcPr>
            <w:tcW w:w="436" w:type="pct"/>
            <w:vAlign w:val="center"/>
          </w:tcPr>
          <w:p w14:paraId="1F330804" w14:textId="475C481D" w:rsidR="00EB6430" w:rsidRPr="008B02E0" w:rsidRDefault="00EB6430" w:rsidP="008A327D">
            <w:pPr>
              <w:pStyle w:val="TableText0"/>
              <w:keepLines/>
            </w:pPr>
            <w:r w:rsidRPr="008B02E0">
              <w:t>CM</w:t>
            </w:r>
            <w:r w:rsidR="009E5502">
              <w:noBreakHyphen/>
            </w:r>
            <w:r w:rsidRPr="008B02E0">
              <w:t>8HW</w:t>
            </w:r>
          </w:p>
        </w:tc>
        <w:tc>
          <w:tcPr>
            <w:tcW w:w="208" w:type="pct"/>
            <w:vAlign w:val="center"/>
          </w:tcPr>
          <w:p w14:paraId="03C73263" w14:textId="77777777" w:rsidR="00EB6430" w:rsidRPr="008B02E0" w:rsidRDefault="00EB6430" w:rsidP="008A327D">
            <w:pPr>
              <w:pStyle w:val="TableText0"/>
              <w:keepLines/>
            </w:pPr>
            <w:r w:rsidRPr="008B02E0">
              <w:t>1L 303</w:t>
            </w:r>
            <w:r w:rsidRPr="008B02E0">
              <w:rPr>
                <w:vertAlign w:val="superscript"/>
              </w:rPr>
              <w:t>a</w:t>
            </w:r>
            <w:r w:rsidRPr="008B02E0">
              <w:t xml:space="preserve"> </w:t>
            </w:r>
          </w:p>
          <w:p w14:paraId="0BE4A489" w14:textId="77777777" w:rsidR="00EB6430" w:rsidRPr="008B02E0" w:rsidRDefault="00EB6430" w:rsidP="008A327D">
            <w:pPr>
              <w:pStyle w:val="TableText0"/>
              <w:keepLines/>
            </w:pPr>
            <w:r w:rsidRPr="008B02E0">
              <w:t>1L+: 839</w:t>
            </w:r>
            <w:r w:rsidRPr="008B02E0">
              <w:rPr>
                <w:vertAlign w:val="superscript"/>
              </w:rPr>
              <w:t>b</w:t>
            </w:r>
          </w:p>
        </w:tc>
        <w:tc>
          <w:tcPr>
            <w:tcW w:w="775" w:type="pct"/>
            <w:vAlign w:val="center"/>
          </w:tcPr>
          <w:p w14:paraId="5D88C175" w14:textId="77777777" w:rsidR="00EB6430" w:rsidRPr="008B02E0" w:rsidRDefault="00EB6430" w:rsidP="008A327D">
            <w:pPr>
              <w:pStyle w:val="TableText0"/>
              <w:keepLines/>
            </w:pPr>
            <w:r w:rsidRPr="008B02E0">
              <w:t>R, OL, MC</w:t>
            </w:r>
          </w:p>
          <w:p w14:paraId="62728D5A" w14:textId="77777777" w:rsidR="00EB6430" w:rsidRPr="008B02E0" w:rsidRDefault="00EB6430" w:rsidP="008A327D">
            <w:pPr>
              <w:pStyle w:val="TableText0"/>
              <w:keepLines/>
            </w:pPr>
            <w:r w:rsidRPr="008B02E0">
              <w:t>1L: 31.5 mths (DCO:12/10/2023</w:t>
            </w:r>
            <w:r w:rsidRPr="008B02E0">
              <w:rPr>
                <w:vertAlign w:val="superscript"/>
              </w:rPr>
              <w:t>c</w:t>
            </w:r>
            <w:r w:rsidRPr="008B02E0">
              <w:t>)</w:t>
            </w:r>
          </w:p>
          <w:p w14:paraId="5FA5AC74" w14:textId="77777777" w:rsidR="00EB6430" w:rsidRPr="008B02E0" w:rsidRDefault="00EB6430" w:rsidP="008A327D">
            <w:pPr>
              <w:pStyle w:val="TableText0"/>
              <w:keepLines/>
            </w:pPr>
            <w:r w:rsidRPr="008B02E0">
              <w:t>1L+: 47.0 mths (DCO: 28/8/2024)</w:t>
            </w:r>
          </w:p>
        </w:tc>
        <w:tc>
          <w:tcPr>
            <w:tcW w:w="265" w:type="pct"/>
            <w:vAlign w:val="center"/>
          </w:tcPr>
          <w:p w14:paraId="71D5DA85" w14:textId="77777777" w:rsidR="00EB6430" w:rsidRPr="008B02E0" w:rsidRDefault="00EB6430" w:rsidP="008A327D">
            <w:pPr>
              <w:pStyle w:val="TableText0"/>
              <w:keepLines/>
            </w:pPr>
            <w:r w:rsidRPr="008B02E0">
              <w:t>High</w:t>
            </w:r>
          </w:p>
        </w:tc>
        <w:tc>
          <w:tcPr>
            <w:tcW w:w="1272" w:type="pct"/>
            <w:vAlign w:val="center"/>
          </w:tcPr>
          <w:p w14:paraId="342D0E3D" w14:textId="2DAFDBA5" w:rsidR="00EB6430" w:rsidRPr="008B02E0" w:rsidRDefault="00EB6430" w:rsidP="008A327D">
            <w:pPr>
              <w:pStyle w:val="TableText0"/>
              <w:keepLines/>
              <w:numPr>
                <w:ilvl w:val="0"/>
                <w:numId w:val="9"/>
              </w:numPr>
              <w:ind w:left="141" w:hanging="141"/>
              <w:rPr>
                <w:iCs/>
              </w:rPr>
            </w:pPr>
            <w:r w:rsidRPr="008B02E0">
              <w:rPr>
                <w:iCs/>
              </w:rPr>
              <w:t xml:space="preserve">NIVO </w:t>
            </w:r>
            <w:r w:rsidR="00F261D6">
              <w:rPr>
                <w:iCs/>
              </w:rPr>
              <w:t>240 mg</w:t>
            </w:r>
            <w:r w:rsidRPr="008B02E0">
              <w:rPr>
                <w:iCs/>
              </w:rPr>
              <w:t xml:space="preserve"> plus IPI 1mg/kg Q3W for 4 doses, then NIVO </w:t>
            </w:r>
            <w:r w:rsidR="00F261D6">
              <w:rPr>
                <w:iCs/>
              </w:rPr>
              <w:t>480 mg</w:t>
            </w:r>
            <w:r w:rsidRPr="008B02E0">
              <w:rPr>
                <w:iCs/>
              </w:rPr>
              <w:t xml:space="preserve"> Q4W</w:t>
            </w:r>
          </w:p>
          <w:p w14:paraId="3F87FF9E" w14:textId="222BFDF0" w:rsidR="00EB6430" w:rsidRPr="008B02E0" w:rsidRDefault="00EB6430" w:rsidP="008A327D">
            <w:pPr>
              <w:pStyle w:val="TableText0"/>
              <w:keepLines/>
              <w:numPr>
                <w:ilvl w:val="0"/>
                <w:numId w:val="9"/>
              </w:numPr>
              <w:ind w:left="141" w:hanging="141"/>
            </w:pPr>
            <w:r w:rsidRPr="008B02E0">
              <w:t xml:space="preserve">NIVO </w:t>
            </w:r>
            <w:r w:rsidR="00F261D6">
              <w:t>240 mg</w:t>
            </w:r>
            <w:r w:rsidRPr="008B02E0">
              <w:t xml:space="preserve"> Q2W for 6 doses, then </w:t>
            </w:r>
            <w:r w:rsidR="00F261D6">
              <w:t>480 mg</w:t>
            </w:r>
            <w:r w:rsidRPr="008B02E0">
              <w:t xml:space="preserve"> Q4W</w:t>
            </w:r>
          </w:p>
          <w:p w14:paraId="5F6638D9" w14:textId="77777777" w:rsidR="00EB6430" w:rsidRPr="008B02E0" w:rsidRDefault="00EB6430" w:rsidP="008A327D">
            <w:pPr>
              <w:pStyle w:val="TableText0"/>
              <w:keepLines/>
              <w:numPr>
                <w:ilvl w:val="0"/>
                <w:numId w:val="9"/>
              </w:numPr>
              <w:ind w:left="141" w:hanging="141"/>
            </w:pPr>
            <w:r w:rsidRPr="008B02E0">
              <w:t>Chemotherapy</w:t>
            </w:r>
          </w:p>
        </w:tc>
        <w:tc>
          <w:tcPr>
            <w:tcW w:w="590" w:type="pct"/>
            <w:vAlign w:val="center"/>
          </w:tcPr>
          <w:p w14:paraId="6F9FBE9C" w14:textId="5FD00D20" w:rsidR="00EB6430" w:rsidRPr="008B02E0" w:rsidRDefault="00EB6430" w:rsidP="008A327D">
            <w:pPr>
              <w:pStyle w:val="TableText0"/>
              <w:keepLines/>
            </w:pPr>
            <w:r w:rsidRPr="008B02E0">
              <w:t>1L and 1L+ MSI</w:t>
            </w:r>
            <w:r w:rsidR="009E5502">
              <w:noBreakHyphen/>
            </w:r>
            <w:r w:rsidRPr="008B02E0">
              <w:t>H/dMMR mCRC</w:t>
            </w:r>
            <w:r w:rsidRPr="008B02E0">
              <w:rPr>
                <w:vertAlign w:val="superscript"/>
              </w:rPr>
              <w:t>d</w:t>
            </w:r>
          </w:p>
        </w:tc>
        <w:tc>
          <w:tcPr>
            <w:tcW w:w="517" w:type="pct"/>
            <w:vAlign w:val="center"/>
          </w:tcPr>
          <w:p w14:paraId="5E606872" w14:textId="77777777" w:rsidR="00EB6430" w:rsidRPr="008B02E0" w:rsidRDefault="00EB6430" w:rsidP="008A327D">
            <w:pPr>
              <w:pStyle w:val="TableText0"/>
              <w:keepLines/>
            </w:pPr>
            <w:r w:rsidRPr="008B02E0">
              <w:t>PFS*, OS, ORR, HRQoL</w:t>
            </w:r>
          </w:p>
        </w:tc>
        <w:tc>
          <w:tcPr>
            <w:tcW w:w="937" w:type="pct"/>
            <w:vAlign w:val="center"/>
          </w:tcPr>
          <w:p w14:paraId="3393CE55" w14:textId="77777777" w:rsidR="00EB6430" w:rsidRPr="008B02E0" w:rsidRDefault="00EB6430" w:rsidP="008A327D">
            <w:pPr>
              <w:pStyle w:val="TableText0"/>
              <w:keepLines/>
            </w:pPr>
            <w:r w:rsidRPr="008B02E0">
              <w:t>Data from the 1L population were primarily used in the model.</w:t>
            </w:r>
          </w:p>
        </w:tc>
      </w:tr>
      <w:tr w:rsidR="00EB6430" w:rsidRPr="008B02E0" w14:paraId="4D9E1652" w14:textId="77777777" w:rsidTr="00D17F3A">
        <w:trPr>
          <w:cantSplit/>
        </w:trPr>
        <w:tc>
          <w:tcPr>
            <w:tcW w:w="5000" w:type="pct"/>
            <w:gridSpan w:val="8"/>
            <w:vAlign w:val="center"/>
          </w:tcPr>
          <w:p w14:paraId="0E50D23D" w14:textId="77777777" w:rsidR="00EB6430" w:rsidRPr="008B02E0" w:rsidRDefault="00EB6430" w:rsidP="008A327D">
            <w:pPr>
              <w:pStyle w:val="TableText0"/>
              <w:keepLines/>
              <w:rPr>
                <w:b/>
                <w:bCs w:val="0"/>
              </w:rPr>
            </w:pPr>
            <w:r w:rsidRPr="008B02E0">
              <w:rPr>
                <w:b/>
                <w:bCs w:val="0"/>
              </w:rPr>
              <w:t>Nivolumab plus ipilimumab single arm</w:t>
            </w:r>
          </w:p>
        </w:tc>
      </w:tr>
      <w:tr w:rsidR="00EB6430" w:rsidRPr="008B02E0" w14:paraId="4451462E" w14:textId="77777777" w:rsidTr="00D17F3A">
        <w:trPr>
          <w:cantSplit/>
        </w:trPr>
        <w:tc>
          <w:tcPr>
            <w:tcW w:w="436" w:type="pct"/>
            <w:vAlign w:val="center"/>
          </w:tcPr>
          <w:p w14:paraId="44CB2F6A" w14:textId="1699C5AA" w:rsidR="00EB6430" w:rsidRPr="008B02E0" w:rsidRDefault="00EB6430" w:rsidP="008A327D">
            <w:pPr>
              <w:pStyle w:val="TableText0"/>
              <w:keepLines/>
            </w:pPr>
            <w:r w:rsidRPr="008B02E0">
              <w:t>CM</w:t>
            </w:r>
            <w:r w:rsidR="009E5502">
              <w:noBreakHyphen/>
            </w:r>
            <w:r w:rsidRPr="008B02E0">
              <w:t xml:space="preserve">142 </w:t>
            </w:r>
          </w:p>
          <w:p w14:paraId="41E6D75D" w14:textId="254347CD" w:rsidR="00EB6430" w:rsidRPr="008B02E0" w:rsidRDefault="00EB6430" w:rsidP="008A327D">
            <w:pPr>
              <w:pStyle w:val="TableText0"/>
              <w:keepLines/>
            </w:pPr>
            <w:r w:rsidRPr="008B02E0">
              <w:t>Cohort 3</w:t>
            </w:r>
            <w:r w:rsidR="00666E4A" w:rsidRPr="008B02E0">
              <w:rPr>
                <w:vertAlign w:val="superscript"/>
              </w:rPr>
              <w:t>e</w:t>
            </w:r>
          </w:p>
        </w:tc>
        <w:tc>
          <w:tcPr>
            <w:tcW w:w="208" w:type="pct"/>
            <w:vAlign w:val="center"/>
          </w:tcPr>
          <w:p w14:paraId="4FE0ED2A" w14:textId="77777777" w:rsidR="00EB6430" w:rsidRPr="008B02E0" w:rsidRDefault="00EB6430" w:rsidP="008A327D">
            <w:pPr>
              <w:pStyle w:val="TableText0"/>
              <w:keepLines/>
            </w:pPr>
            <w:r w:rsidRPr="008B02E0">
              <w:t>45</w:t>
            </w:r>
          </w:p>
        </w:tc>
        <w:tc>
          <w:tcPr>
            <w:tcW w:w="775" w:type="pct"/>
            <w:vAlign w:val="center"/>
          </w:tcPr>
          <w:p w14:paraId="02F7510F" w14:textId="77777777" w:rsidR="00EB6430" w:rsidRPr="008B02E0" w:rsidRDefault="00EB6430" w:rsidP="008A327D">
            <w:pPr>
              <w:pStyle w:val="TableText0"/>
              <w:keepLines/>
            </w:pPr>
            <w:r w:rsidRPr="008B02E0">
              <w:t>OL, MC</w:t>
            </w:r>
          </w:p>
          <w:p w14:paraId="64ED5608" w14:textId="212637B3" w:rsidR="00EB6430" w:rsidRPr="008B02E0" w:rsidRDefault="00EB6430" w:rsidP="008A327D">
            <w:pPr>
              <w:pStyle w:val="TableText0"/>
              <w:keepLines/>
            </w:pPr>
            <w:r w:rsidRPr="008B02E0">
              <w:t>29.0 mths</w:t>
            </w:r>
            <w:r w:rsidR="0096250F" w:rsidRPr="008B02E0">
              <w:rPr>
                <w:vertAlign w:val="superscript"/>
              </w:rPr>
              <w:t>f</w:t>
            </w:r>
          </w:p>
          <w:p w14:paraId="000A69D9" w14:textId="77777777" w:rsidR="00EB6430" w:rsidRPr="008B02E0" w:rsidRDefault="00EB6430" w:rsidP="008A327D">
            <w:pPr>
              <w:pStyle w:val="TableText0"/>
              <w:keepLines/>
            </w:pPr>
            <w:r w:rsidRPr="008B02E0">
              <w:t>(DCO: Oct 2019)</w:t>
            </w:r>
          </w:p>
        </w:tc>
        <w:tc>
          <w:tcPr>
            <w:tcW w:w="265" w:type="pct"/>
            <w:vAlign w:val="center"/>
          </w:tcPr>
          <w:p w14:paraId="2A8B5465" w14:textId="77777777" w:rsidR="00EB6430" w:rsidRPr="008B02E0" w:rsidRDefault="00EB6430" w:rsidP="008A327D">
            <w:pPr>
              <w:pStyle w:val="TableText0"/>
              <w:keepLines/>
            </w:pPr>
            <w:r w:rsidRPr="008B02E0">
              <w:t>High</w:t>
            </w:r>
          </w:p>
        </w:tc>
        <w:tc>
          <w:tcPr>
            <w:tcW w:w="1272" w:type="pct"/>
            <w:vAlign w:val="center"/>
          </w:tcPr>
          <w:p w14:paraId="3E3160C3" w14:textId="77777777" w:rsidR="00EB6430" w:rsidRPr="008B02E0" w:rsidRDefault="00EB6430" w:rsidP="008A327D">
            <w:pPr>
              <w:pStyle w:val="TableText0"/>
              <w:keepLines/>
              <w:numPr>
                <w:ilvl w:val="0"/>
                <w:numId w:val="9"/>
              </w:numPr>
              <w:ind w:left="141" w:hanging="141"/>
            </w:pPr>
            <w:r w:rsidRPr="008B02E0">
              <w:rPr>
                <w:iCs/>
              </w:rPr>
              <w:t xml:space="preserve">NIVO </w:t>
            </w:r>
            <w:r w:rsidRPr="008B02E0">
              <w:t>3mg/kg Q2W plus IPI 1mg/kg Q6W</w:t>
            </w:r>
          </w:p>
        </w:tc>
        <w:tc>
          <w:tcPr>
            <w:tcW w:w="590" w:type="pct"/>
            <w:vAlign w:val="center"/>
          </w:tcPr>
          <w:p w14:paraId="0759F78E" w14:textId="62A69747" w:rsidR="00EB6430" w:rsidRPr="008B02E0" w:rsidRDefault="00EB6430" w:rsidP="008A327D">
            <w:pPr>
              <w:pStyle w:val="TableText0"/>
              <w:keepLines/>
            </w:pPr>
            <w:r w:rsidRPr="008B02E0">
              <w:t>1L MSI</w:t>
            </w:r>
            <w:r w:rsidR="009E5502">
              <w:noBreakHyphen/>
            </w:r>
            <w:r w:rsidRPr="008B02E0">
              <w:t>H mCRC</w:t>
            </w:r>
          </w:p>
        </w:tc>
        <w:tc>
          <w:tcPr>
            <w:tcW w:w="517" w:type="pct"/>
            <w:vAlign w:val="center"/>
          </w:tcPr>
          <w:p w14:paraId="217AA67B" w14:textId="77777777" w:rsidR="00EB6430" w:rsidRPr="008B02E0" w:rsidRDefault="00EB6430" w:rsidP="008A327D">
            <w:pPr>
              <w:pStyle w:val="TableText0"/>
              <w:keepLines/>
            </w:pPr>
            <w:r w:rsidRPr="008B02E0">
              <w:t>ORR*, PFS, OS, HRQoL</w:t>
            </w:r>
          </w:p>
        </w:tc>
        <w:tc>
          <w:tcPr>
            <w:tcW w:w="937" w:type="pct"/>
            <w:vAlign w:val="center"/>
          </w:tcPr>
          <w:p w14:paraId="79517062" w14:textId="0C3079DD" w:rsidR="00EB6430" w:rsidRPr="008B02E0" w:rsidRDefault="00EB6430" w:rsidP="008A327D">
            <w:pPr>
              <w:pStyle w:val="TableText0"/>
              <w:keepLines/>
            </w:pPr>
            <w:r w:rsidRPr="008B02E0">
              <w:t>This was combined with data from Cohort 2</w:t>
            </w:r>
            <w:r w:rsidR="0096250F" w:rsidRPr="008B02E0">
              <w:rPr>
                <w:vertAlign w:val="superscript"/>
              </w:rPr>
              <w:t>g</w:t>
            </w:r>
            <w:r w:rsidRPr="008B02E0">
              <w:rPr>
                <w:vertAlign w:val="superscript"/>
              </w:rPr>
              <w:t xml:space="preserve"> </w:t>
            </w:r>
            <w:r w:rsidRPr="008B02E0">
              <w:t>of CM</w:t>
            </w:r>
            <w:r w:rsidR="009E5502">
              <w:noBreakHyphen/>
            </w:r>
            <w:r w:rsidRPr="008B02E0">
              <w:t>142 (N=119) to identify a subset of patients who received NIVO+IPI and experienced progression (n=57). This was used to estimate mortality post</w:t>
            </w:r>
            <w:r w:rsidR="009E5502">
              <w:noBreakHyphen/>
            </w:r>
            <w:r w:rsidRPr="008B02E0">
              <w:t>progression in the model.</w:t>
            </w:r>
          </w:p>
        </w:tc>
      </w:tr>
      <w:tr w:rsidR="00EB6430" w:rsidRPr="008B02E0" w14:paraId="3C1744E1" w14:textId="77777777" w:rsidTr="00D17F3A">
        <w:trPr>
          <w:cantSplit/>
        </w:trPr>
        <w:tc>
          <w:tcPr>
            <w:tcW w:w="5000" w:type="pct"/>
            <w:gridSpan w:val="8"/>
            <w:vAlign w:val="center"/>
          </w:tcPr>
          <w:p w14:paraId="7CFE1FCF" w14:textId="77777777" w:rsidR="00EB6430" w:rsidRPr="008B02E0" w:rsidRDefault="00EB6430" w:rsidP="008A327D">
            <w:pPr>
              <w:pStyle w:val="TableText0"/>
              <w:keepLines/>
              <w:rPr>
                <w:b/>
                <w:bCs w:val="0"/>
              </w:rPr>
            </w:pPr>
            <w:r w:rsidRPr="008B02E0">
              <w:rPr>
                <w:b/>
                <w:bCs w:val="0"/>
              </w:rPr>
              <w:t>Pembrolizumab vs standard chemotherapy</w:t>
            </w:r>
          </w:p>
        </w:tc>
      </w:tr>
      <w:tr w:rsidR="00EB6430" w:rsidRPr="008B02E0" w14:paraId="0586DAE4" w14:textId="77777777" w:rsidTr="00D17F3A">
        <w:trPr>
          <w:cantSplit/>
        </w:trPr>
        <w:tc>
          <w:tcPr>
            <w:tcW w:w="436" w:type="pct"/>
            <w:vAlign w:val="center"/>
          </w:tcPr>
          <w:p w14:paraId="63BA4F2B" w14:textId="6D18D767" w:rsidR="00EB6430" w:rsidRPr="008B02E0" w:rsidRDefault="00EB6430" w:rsidP="008A327D">
            <w:pPr>
              <w:pStyle w:val="TableText0"/>
              <w:keepLines/>
            </w:pPr>
            <w:r w:rsidRPr="008B02E0">
              <w:t>KN</w:t>
            </w:r>
            <w:r w:rsidR="009E5502">
              <w:noBreakHyphen/>
            </w:r>
            <w:r w:rsidRPr="008B02E0">
              <w:t>177</w:t>
            </w:r>
          </w:p>
        </w:tc>
        <w:tc>
          <w:tcPr>
            <w:tcW w:w="208" w:type="pct"/>
            <w:vAlign w:val="center"/>
          </w:tcPr>
          <w:p w14:paraId="7D7BFFE1" w14:textId="77777777" w:rsidR="00EB6430" w:rsidRPr="008B02E0" w:rsidRDefault="00EB6430" w:rsidP="008A327D">
            <w:pPr>
              <w:pStyle w:val="TableText0"/>
              <w:keepLines/>
            </w:pPr>
            <w:r w:rsidRPr="008B02E0">
              <w:t>307</w:t>
            </w:r>
          </w:p>
        </w:tc>
        <w:tc>
          <w:tcPr>
            <w:tcW w:w="775" w:type="pct"/>
            <w:vAlign w:val="center"/>
          </w:tcPr>
          <w:p w14:paraId="19146416" w14:textId="77777777" w:rsidR="00EB6430" w:rsidRPr="008B02E0" w:rsidRDefault="00EB6430" w:rsidP="008A327D">
            <w:pPr>
              <w:pStyle w:val="TableText0"/>
              <w:keepLines/>
            </w:pPr>
            <w:r w:rsidRPr="008B02E0">
              <w:t>R, OL</w:t>
            </w:r>
          </w:p>
          <w:p w14:paraId="3E505185" w14:textId="77777777" w:rsidR="00EB6430" w:rsidRPr="008B02E0" w:rsidRDefault="00EB6430" w:rsidP="008A327D">
            <w:pPr>
              <w:pStyle w:val="TableText0"/>
              <w:keepLines/>
            </w:pPr>
            <w:r w:rsidRPr="008B02E0">
              <w:t>73.3 mths</w:t>
            </w:r>
          </w:p>
          <w:p w14:paraId="2A5437A1" w14:textId="63D6F36D" w:rsidR="00EB6430" w:rsidRPr="008B02E0" w:rsidRDefault="00EB6430" w:rsidP="008A327D">
            <w:pPr>
              <w:pStyle w:val="TableText0"/>
              <w:keepLines/>
            </w:pPr>
            <w:r w:rsidRPr="008B02E0">
              <w:t>(DCO: 17/7/2023)</w:t>
            </w:r>
          </w:p>
        </w:tc>
        <w:tc>
          <w:tcPr>
            <w:tcW w:w="265" w:type="pct"/>
            <w:vAlign w:val="center"/>
          </w:tcPr>
          <w:p w14:paraId="7BE6ECEF" w14:textId="77777777" w:rsidR="00EB6430" w:rsidRPr="008B02E0" w:rsidRDefault="00EB6430" w:rsidP="008A327D">
            <w:pPr>
              <w:pStyle w:val="TableText0"/>
              <w:keepLines/>
            </w:pPr>
            <w:r w:rsidRPr="008B02E0">
              <w:t>High</w:t>
            </w:r>
          </w:p>
        </w:tc>
        <w:tc>
          <w:tcPr>
            <w:tcW w:w="1272" w:type="pct"/>
            <w:vAlign w:val="center"/>
          </w:tcPr>
          <w:p w14:paraId="651C77AC" w14:textId="0CB99D8F" w:rsidR="00EB6430" w:rsidRPr="008B02E0" w:rsidRDefault="00EB6430" w:rsidP="008A327D">
            <w:pPr>
              <w:pStyle w:val="TableText0"/>
              <w:keepLines/>
              <w:numPr>
                <w:ilvl w:val="0"/>
                <w:numId w:val="9"/>
              </w:numPr>
              <w:ind w:left="141" w:hanging="141"/>
              <w:rPr>
                <w:iCs/>
              </w:rPr>
            </w:pPr>
            <w:r w:rsidRPr="008B02E0">
              <w:rPr>
                <w:iCs/>
              </w:rPr>
              <w:t xml:space="preserve">Pembrolizumab </w:t>
            </w:r>
            <w:r w:rsidR="003E487B">
              <w:rPr>
                <w:iCs/>
              </w:rPr>
              <w:t>200 mg</w:t>
            </w:r>
            <w:r w:rsidRPr="008B02E0">
              <w:rPr>
                <w:iCs/>
              </w:rPr>
              <w:t xml:space="preserve"> Q3W</w:t>
            </w:r>
          </w:p>
          <w:p w14:paraId="1027DC3A" w14:textId="77777777" w:rsidR="00EB6430" w:rsidRPr="008B02E0" w:rsidRDefault="00EB6430" w:rsidP="008A327D">
            <w:pPr>
              <w:pStyle w:val="TableText0"/>
              <w:keepLines/>
              <w:numPr>
                <w:ilvl w:val="0"/>
                <w:numId w:val="9"/>
              </w:numPr>
              <w:ind w:left="141" w:hanging="141"/>
            </w:pPr>
            <w:r w:rsidRPr="008B02E0">
              <w:rPr>
                <w:iCs/>
              </w:rPr>
              <w:t>Chemotherapy</w:t>
            </w:r>
          </w:p>
        </w:tc>
        <w:tc>
          <w:tcPr>
            <w:tcW w:w="590" w:type="pct"/>
            <w:vAlign w:val="center"/>
          </w:tcPr>
          <w:p w14:paraId="64384F45" w14:textId="123DA965" w:rsidR="00EB6430" w:rsidRPr="008B02E0" w:rsidRDefault="00EB6430" w:rsidP="008A327D">
            <w:pPr>
              <w:pStyle w:val="TableText0"/>
              <w:keepLines/>
            </w:pPr>
            <w:r w:rsidRPr="008B02E0">
              <w:t>1L MSI</w:t>
            </w:r>
            <w:r w:rsidR="009E5502">
              <w:noBreakHyphen/>
            </w:r>
            <w:r w:rsidRPr="008B02E0">
              <w:t>H/dMMR mCRC</w:t>
            </w:r>
          </w:p>
        </w:tc>
        <w:tc>
          <w:tcPr>
            <w:tcW w:w="517" w:type="pct"/>
            <w:vAlign w:val="center"/>
          </w:tcPr>
          <w:p w14:paraId="5F45FEBA" w14:textId="77777777" w:rsidR="00EB6430" w:rsidRPr="008B02E0" w:rsidRDefault="00EB6430" w:rsidP="008A327D">
            <w:pPr>
              <w:pStyle w:val="TableText0"/>
              <w:keepLines/>
            </w:pPr>
            <w:r w:rsidRPr="008B02E0">
              <w:t>PFS*, OS*. ORR, HRQoL</w:t>
            </w:r>
          </w:p>
        </w:tc>
        <w:tc>
          <w:tcPr>
            <w:tcW w:w="937" w:type="pct"/>
            <w:vAlign w:val="center"/>
          </w:tcPr>
          <w:p w14:paraId="1B4A1EA8" w14:textId="77777777" w:rsidR="00EB6430" w:rsidRPr="008B02E0" w:rsidRDefault="00EB6430" w:rsidP="008A327D">
            <w:pPr>
              <w:pStyle w:val="TableText0"/>
              <w:keepLines/>
            </w:pPr>
            <w:r w:rsidRPr="008B02E0">
              <w:t>Indirectly used to inform PFS HRs.</w:t>
            </w:r>
          </w:p>
        </w:tc>
      </w:tr>
    </w:tbl>
    <w:p w14:paraId="218817B9" w14:textId="06F45D59" w:rsidR="00EB6430" w:rsidRPr="008B02E0" w:rsidRDefault="00EB6430" w:rsidP="008A327D">
      <w:pPr>
        <w:pStyle w:val="TableFigureFooter"/>
        <w:keepNext/>
        <w:keepLines/>
      </w:pPr>
      <w:r w:rsidRPr="008B02E0">
        <w:t>Source: Table 16, pp45</w:t>
      </w:r>
      <w:r w:rsidR="009E5502">
        <w:noBreakHyphen/>
      </w:r>
      <w:r w:rsidRPr="008B02E0">
        <w:t>46, Table 19, p50 of the submission and compiled during the evaluation</w:t>
      </w:r>
    </w:p>
    <w:p w14:paraId="7D02E533" w14:textId="62AEA6A8" w:rsidR="00EB6430" w:rsidRPr="008B02E0" w:rsidRDefault="00EB6430" w:rsidP="008A327D">
      <w:pPr>
        <w:pStyle w:val="TableFigureFooter"/>
        <w:keepNext/>
        <w:keepLines/>
      </w:pPr>
      <w:r w:rsidRPr="008B02E0">
        <w:t>1L=first line untreated, 1L+ =any line of treatment (i.e., first line or later line), DCO=data cut off, HRQoL=Health Related Quality of Life, HR=hazard ratio, IPI=ipilimumab, MC=multi</w:t>
      </w:r>
      <w:r w:rsidR="009E5502">
        <w:noBreakHyphen/>
      </w:r>
      <w:r w:rsidRPr="008B02E0">
        <w:t>centre, NIVO=nivolumab, OL=open label, ORR=overall response rate, OS=overall survival, PFS=progression</w:t>
      </w:r>
      <w:r w:rsidR="009E5502">
        <w:noBreakHyphen/>
      </w:r>
      <w:r w:rsidRPr="008B02E0">
        <w:t>free survival, R=randomised.</w:t>
      </w:r>
    </w:p>
    <w:p w14:paraId="731FE34A" w14:textId="77777777" w:rsidR="00EB6430" w:rsidRPr="008B02E0" w:rsidRDefault="00EB6430" w:rsidP="008A327D">
      <w:pPr>
        <w:pStyle w:val="TableFigureFooter"/>
        <w:keepNext/>
        <w:keepLines/>
      </w:pPr>
      <w:r w:rsidRPr="008B02E0">
        <w:t>*</w:t>
      </w:r>
      <w:r w:rsidRPr="008B02E0">
        <w:tab/>
        <w:t>Primary outcome of the study.</w:t>
      </w:r>
    </w:p>
    <w:p w14:paraId="7F0A9D24" w14:textId="10F7B7D9" w:rsidR="00471748" w:rsidRPr="008B02E0" w:rsidRDefault="00EB6430" w:rsidP="008A327D">
      <w:pPr>
        <w:pStyle w:val="TableFigureFooter"/>
        <w:keepNext/>
        <w:keepLines/>
      </w:pPr>
      <w:r w:rsidRPr="008B02E0">
        <w:rPr>
          <w:vertAlign w:val="superscript"/>
        </w:rPr>
        <w:t>a</w:t>
      </w:r>
      <w:r w:rsidRPr="008B02E0">
        <w:rPr>
          <w:vertAlign w:val="superscript"/>
        </w:rPr>
        <w:tab/>
      </w:r>
      <w:r w:rsidR="00471748" w:rsidRPr="008B02E0">
        <w:t>202 NIVO+IPI, 101 patients receiving chemotherapy. Number of patients for NIVO not available at time of submission.</w:t>
      </w:r>
    </w:p>
    <w:p w14:paraId="4FEC49FB" w14:textId="0AB10E04" w:rsidR="00EB6430" w:rsidRPr="008B02E0" w:rsidRDefault="00EB6430" w:rsidP="008A327D">
      <w:pPr>
        <w:pStyle w:val="TableFigureFooter"/>
        <w:keepNext/>
        <w:keepLines/>
      </w:pPr>
      <w:r w:rsidRPr="008B02E0">
        <w:rPr>
          <w:vertAlign w:val="superscript"/>
        </w:rPr>
        <w:t>b</w:t>
      </w:r>
      <w:r w:rsidRPr="008B02E0">
        <w:tab/>
      </w:r>
      <w:r w:rsidR="00471748" w:rsidRPr="008B02E0">
        <w:t xml:space="preserve"> 353 NIVO+IPI, 354 patients receiving NIVO, 132 patients receiving chemotherapy. Only the NIVO+IPI and NIVO patients have outcomes available</w:t>
      </w:r>
    </w:p>
    <w:p w14:paraId="36DF14D3" w14:textId="631ABA79" w:rsidR="00EB6430" w:rsidRPr="008B02E0" w:rsidRDefault="00EB6430" w:rsidP="008A327D">
      <w:pPr>
        <w:pStyle w:val="TableFigureFooter"/>
        <w:keepNext/>
        <w:keepLines/>
        <w:ind w:left="165" w:hanging="165"/>
      </w:pPr>
      <w:r w:rsidRPr="008B02E0">
        <w:rPr>
          <w:vertAlign w:val="superscript"/>
        </w:rPr>
        <w:t>c</w:t>
      </w:r>
      <w:r w:rsidRPr="008B02E0">
        <w:rPr>
          <w:vertAlign w:val="superscript"/>
        </w:rPr>
        <w:tab/>
      </w:r>
      <w:r w:rsidRPr="008B02E0">
        <w:t>The data cut</w:t>
      </w:r>
      <w:r w:rsidR="009E5502">
        <w:noBreakHyphen/>
      </w:r>
      <w:r w:rsidRPr="008B02E0">
        <w:t>off used in the indirect comparison and economic evaluation appeared to the August 2024 DCO.</w:t>
      </w:r>
    </w:p>
    <w:p w14:paraId="467DC565" w14:textId="5ACD13AA" w:rsidR="00EB6430" w:rsidRPr="008B02E0" w:rsidRDefault="00CA0CB3" w:rsidP="008A327D">
      <w:pPr>
        <w:pStyle w:val="TableFigureFooter"/>
        <w:keepNext/>
        <w:keepLines/>
        <w:ind w:left="165" w:hanging="165"/>
      </w:pPr>
      <w:r w:rsidRPr="008B02E0">
        <w:rPr>
          <w:vertAlign w:val="superscript"/>
        </w:rPr>
        <w:t>d</w:t>
      </w:r>
      <w:r w:rsidR="00EB6430" w:rsidRPr="008B02E0">
        <w:tab/>
      </w:r>
      <w:r w:rsidR="00EB6430" w:rsidRPr="008B02E0">
        <w:tab/>
        <w:t>Patients with up to 1 line of prior therapy in mCRC were randomised 2:2:1 nivolumab plus ipilimumab:nivolumab monotherapy:chemotherapy; Patients with at least 2 lines of prior therapy in mCRC were randomised 1:1 nivolumab plus ipilimumab:nivolumab monotherapy</w:t>
      </w:r>
    </w:p>
    <w:p w14:paraId="620A8AD5" w14:textId="2E9C24CA" w:rsidR="00EB6430" w:rsidRPr="008B02E0" w:rsidRDefault="00666E4A" w:rsidP="008A327D">
      <w:pPr>
        <w:pStyle w:val="TableFigureFooter"/>
        <w:keepNext/>
        <w:keepLines/>
        <w:ind w:left="165" w:hanging="165"/>
      </w:pPr>
      <w:r w:rsidRPr="008B02E0">
        <w:rPr>
          <w:vertAlign w:val="superscript"/>
        </w:rPr>
        <w:t>e</w:t>
      </w:r>
      <w:r w:rsidR="00EB6430" w:rsidRPr="008B02E0">
        <w:tab/>
        <w:t>CM</w:t>
      </w:r>
      <w:r w:rsidR="009E5502">
        <w:noBreakHyphen/>
      </w:r>
      <w:r w:rsidR="00EB6430" w:rsidRPr="008B02E0">
        <w:t>142 has 6 parallel cohorts. Cohort 3 (NIVO+IPI 1L) was added at protocol amendment 4, 10 Aug 2016. CM</w:t>
      </w:r>
      <w:r w:rsidR="009E5502">
        <w:noBreakHyphen/>
      </w:r>
      <w:r w:rsidR="00EB6430" w:rsidRPr="008B02E0">
        <w:t>142 also included cohort who received NIVO monotherapy 1L+ (reported in Overman 2017); NIVO+IPI 1L+ (reported in Overman 2018 1 patient 1L, 2L+ in Andre 2022); NIVO+IPI+cobimetinib; NIVO+ BMS</w:t>
      </w:r>
      <w:r w:rsidR="009E5502">
        <w:noBreakHyphen/>
      </w:r>
      <w:r w:rsidR="00EB6430" w:rsidRPr="008B02E0">
        <w:t>986016; NIVO+daratumumab (identified from redacted CM</w:t>
      </w:r>
      <w:r w:rsidR="009E5502">
        <w:noBreakHyphen/>
      </w:r>
      <w:r w:rsidR="00EB6430" w:rsidRPr="008B02E0">
        <w:t>142 Clinical Protocol approved v8.0, Lenz 2021 Supplementary appendix; and ClinicalTrials.gov)</w:t>
      </w:r>
    </w:p>
    <w:p w14:paraId="497CF0BC" w14:textId="0A9A4CA9" w:rsidR="00EB6430" w:rsidRPr="008B02E0" w:rsidRDefault="0096250F" w:rsidP="008A327D">
      <w:pPr>
        <w:pStyle w:val="TableFigureFooter"/>
        <w:keepNext/>
        <w:keepLines/>
        <w:ind w:left="165" w:hanging="165"/>
        <w:rPr>
          <w:iCs/>
        </w:rPr>
      </w:pPr>
      <w:r w:rsidRPr="008B02E0">
        <w:rPr>
          <w:vertAlign w:val="superscript"/>
        </w:rPr>
        <w:t>f</w:t>
      </w:r>
      <w:r w:rsidR="00EB6430" w:rsidRPr="008B02E0">
        <w:tab/>
      </w:r>
      <w:r w:rsidR="00EB6430" w:rsidRPr="008B02E0">
        <w:tab/>
        <w:t xml:space="preserve">Median 29 months reported in submission and Lenz 2021. </w:t>
      </w:r>
      <w:r w:rsidR="00EB6430" w:rsidRPr="008B02E0">
        <w:rPr>
          <w:iCs/>
        </w:rPr>
        <w:t>However, 64 month follow up is available (presented as poster at ASCO 2023: Lenz 2023 available as abstract)</w:t>
      </w:r>
    </w:p>
    <w:p w14:paraId="592C3097" w14:textId="5C7B930F" w:rsidR="00EB6430" w:rsidRPr="008B02E0" w:rsidRDefault="0096250F" w:rsidP="008A327D">
      <w:pPr>
        <w:pStyle w:val="TableFigureFooter"/>
        <w:keepNext/>
        <w:keepLines/>
      </w:pPr>
      <w:r w:rsidRPr="008B02E0">
        <w:rPr>
          <w:vertAlign w:val="superscript"/>
        </w:rPr>
        <w:t>g</w:t>
      </w:r>
      <w:r w:rsidR="00EB6430" w:rsidRPr="008B02E0">
        <w:tab/>
        <w:t>The submission identified Cohort 2 as patients receiving NIVO+IPI second line or later (i.e., as per Andre et al., 2022).</w:t>
      </w:r>
    </w:p>
    <w:p w14:paraId="0F50F7F6" w14:textId="1F13E0D7" w:rsidR="00EB6430" w:rsidRPr="008B02E0" w:rsidRDefault="00EB6430" w:rsidP="00AE5B32">
      <w:pPr>
        <w:pStyle w:val="3-BodyText"/>
        <w:rPr>
          <w:color w:val="0066FF"/>
        </w:rPr>
      </w:pPr>
      <w:r w:rsidRPr="008B02E0">
        <w:rPr>
          <w:iCs/>
        </w:rPr>
        <w:t>CM</w:t>
      </w:r>
      <w:r w:rsidR="009E5502">
        <w:rPr>
          <w:iCs/>
        </w:rPr>
        <w:noBreakHyphen/>
      </w:r>
      <w:r w:rsidRPr="008B02E0">
        <w:rPr>
          <w:iCs/>
        </w:rPr>
        <w:t xml:space="preserve">8HW was </w:t>
      </w:r>
      <w:r w:rsidR="00ED4F29" w:rsidRPr="008B02E0">
        <w:rPr>
          <w:iCs/>
        </w:rPr>
        <w:t xml:space="preserve">initially </w:t>
      </w:r>
      <w:r w:rsidRPr="008B02E0">
        <w:rPr>
          <w:iCs/>
        </w:rPr>
        <w:t>a single arm study of nivolumab monotherapy for any line of treatment</w:t>
      </w:r>
      <w:r w:rsidR="00C07778" w:rsidRPr="008B02E0">
        <w:rPr>
          <w:iCs/>
        </w:rPr>
        <w:t xml:space="preserve">, </w:t>
      </w:r>
      <w:r w:rsidRPr="008B02E0">
        <w:rPr>
          <w:iCs/>
        </w:rPr>
        <w:t>later revised to a</w:t>
      </w:r>
      <w:r w:rsidR="00C07778" w:rsidRPr="008B02E0">
        <w:rPr>
          <w:iCs/>
        </w:rPr>
        <w:t xml:space="preserve"> randomised control</w:t>
      </w:r>
      <w:r w:rsidR="00E162B4" w:rsidRPr="008B02E0">
        <w:rPr>
          <w:iCs/>
        </w:rPr>
        <w:t xml:space="preserve">led </w:t>
      </w:r>
      <w:r w:rsidR="00C07778" w:rsidRPr="008B02E0">
        <w:rPr>
          <w:iCs/>
        </w:rPr>
        <w:t>trial (</w:t>
      </w:r>
      <w:r w:rsidRPr="008B02E0">
        <w:rPr>
          <w:iCs/>
        </w:rPr>
        <w:t>RCT</w:t>
      </w:r>
      <w:r w:rsidR="00C07778" w:rsidRPr="008B02E0">
        <w:rPr>
          <w:iCs/>
        </w:rPr>
        <w:t>)</w:t>
      </w:r>
      <w:r w:rsidRPr="008B02E0">
        <w:rPr>
          <w:iCs/>
        </w:rPr>
        <w:t xml:space="preserve"> </w:t>
      </w:r>
      <w:r w:rsidR="00C07778" w:rsidRPr="008B02E0">
        <w:rPr>
          <w:iCs/>
        </w:rPr>
        <w:t xml:space="preserve">which also included </w:t>
      </w:r>
      <w:r w:rsidRPr="008B02E0">
        <w:rPr>
          <w:iCs/>
        </w:rPr>
        <w:t xml:space="preserve">a first line nivolumab plus ipilimumab arm </w:t>
      </w:r>
      <w:r w:rsidR="00C07778" w:rsidRPr="008B02E0">
        <w:rPr>
          <w:iCs/>
        </w:rPr>
        <w:t>and</w:t>
      </w:r>
      <w:r w:rsidRPr="008B02E0">
        <w:rPr>
          <w:iCs/>
        </w:rPr>
        <w:t xml:space="preserve"> a chemotherapy arm</w:t>
      </w:r>
      <w:r w:rsidR="00C07778" w:rsidRPr="008B02E0">
        <w:rPr>
          <w:iCs/>
        </w:rPr>
        <w:t xml:space="preserve">. </w:t>
      </w:r>
      <w:r w:rsidR="00B00E29" w:rsidRPr="008B02E0">
        <w:rPr>
          <w:iCs/>
        </w:rPr>
        <w:t>The submission referred to the</w:t>
      </w:r>
      <w:r w:rsidR="00C07778" w:rsidRPr="008B02E0">
        <w:rPr>
          <w:iCs/>
        </w:rPr>
        <w:t xml:space="preserve"> period of time where patients were enrolled for any line of treatment, </w:t>
      </w:r>
      <w:r w:rsidRPr="008B02E0">
        <w:rPr>
          <w:iCs/>
        </w:rPr>
        <w:t xml:space="preserve">as trial recruitment Part 1. A second part (Part 2) enrolled only patients for first line treatment of metastatic disease. Randomisation </w:t>
      </w:r>
      <w:r w:rsidR="00B00E29" w:rsidRPr="008B02E0">
        <w:rPr>
          <w:iCs/>
        </w:rPr>
        <w:t xml:space="preserve">across Part 1 and Part 2 </w:t>
      </w:r>
      <w:r w:rsidRPr="008B02E0">
        <w:rPr>
          <w:iCs/>
        </w:rPr>
        <w:t>occurred between 16 August 2019 and 10 April 2023 (CM</w:t>
      </w:r>
      <w:r w:rsidR="009E5502">
        <w:rPr>
          <w:iCs/>
        </w:rPr>
        <w:noBreakHyphen/>
      </w:r>
      <w:r w:rsidRPr="008B02E0">
        <w:rPr>
          <w:iCs/>
        </w:rPr>
        <w:t>8HW Primary Clinical Study Report, p33).</w:t>
      </w:r>
      <w:r w:rsidRPr="008B02E0">
        <w:rPr>
          <w:color w:val="0066FF"/>
        </w:rPr>
        <w:t xml:space="preserve"> </w:t>
      </w:r>
    </w:p>
    <w:p w14:paraId="52A98C05" w14:textId="1C72CDBD" w:rsidR="00C37EE5" w:rsidRPr="008B02E0" w:rsidRDefault="00EB6430" w:rsidP="00AE5B32">
      <w:pPr>
        <w:pStyle w:val="3-BodyText"/>
        <w:rPr>
          <w:color w:val="0066FF"/>
        </w:rPr>
      </w:pPr>
      <w:r w:rsidRPr="008B02E0">
        <w:rPr>
          <w:color w:val="000000" w:themeColor="text1"/>
        </w:rPr>
        <w:lastRenderedPageBreak/>
        <w:t>The submission’s main analysis consisted of first line patients from both Part 1 and Part 2 of CM</w:t>
      </w:r>
      <w:r w:rsidR="009E5502">
        <w:rPr>
          <w:color w:val="000000" w:themeColor="text1"/>
        </w:rPr>
        <w:noBreakHyphen/>
      </w:r>
      <w:r w:rsidRPr="008B02E0">
        <w:rPr>
          <w:color w:val="000000" w:themeColor="text1"/>
        </w:rPr>
        <w:t>8HW (henceforth CM</w:t>
      </w:r>
      <w:r w:rsidR="009E5502">
        <w:rPr>
          <w:color w:val="000000" w:themeColor="text1"/>
        </w:rPr>
        <w:noBreakHyphen/>
      </w:r>
      <w:r w:rsidRPr="008B02E0">
        <w:rPr>
          <w:color w:val="000000" w:themeColor="text1"/>
        </w:rPr>
        <w:t xml:space="preserve">8HW 1L). </w:t>
      </w:r>
      <w:r w:rsidRPr="008B02E0">
        <w:t>The submission presented CM</w:t>
      </w:r>
      <w:r w:rsidR="009E5502">
        <w:noBreakHyphen/>
      </w:r>
      <w:r w:rsidRPr="008B02E0">
        <w:t>8HW 1L data</w:t>
      </w:r>
      <w:r w:rsidR="00F17CF6" w:rsidRPr="008B02E0">
        <w:t xml:space="preserve"> for the nivolumab plus ipilimumab and chemotherapy arms, </w:t>
      </w:r>
      <w:r w:rsidRPr="008B02E0">
        <w:t>with a median follow up of 31.5 months (data cut off [DCO]: 12 October 2023)</w:t>
      </w:r>
      <w:r w:rsidR="00816473" w:rsidRPr="008B02E0">
        <w:t xml:space="preserve">. </w:t>
      </w:r>
      <w:r w:rsidR="0020051D" w:rsidRPr="008B02E0">
        <w:rPr>
          <w:iCs/>
        </w:rPr>
        <w:t xml:space="preserve">The </w:t>
      </w:r>
      <w:r w:rsidR="00605CBE" w:rsidRPr="008B02E0">
        <w:rPr>
          <w:iCs/>
        </w:rPr>
        <w:t>ESC</w:t>
      </w:r>
      <w:r w:rsidR="0020051D" w:rsidRPr="008B02E0">
        <w:rPr>
          <w:iCs/>
        </w:rPr>
        <w:t xml:space="preserve"> noted that</w:t>
      </w:r>
      <w:r w:rsidR="0020051D" w:rsidRPr="008B02E0">
        <w:t xml:space="preserve"> </w:t>
      </w:r>
      <w:r w:rsidR="0020051D" w:rsidRPr="008B02E0">
        <w:rPr>
          <w:iCs/>
        </w:rPr>
        <w:t>f</w:t>
      </w:r>
      <w:r w:rsidR="00C37EE5" w:rsidRPr="008B02E0">
        <w:rPr>
          <w:iCs/>
        </w:rPr>
        <w:t xml:space="preserve">irst line data for the nivolumab monotherapy arm was not presented in the submission </w:t>
      </w:r>
      <w:r w:rsidR="0020051D" w:rsidRPr="008B02E0">
        <w:rPr>
          <w:iCs/>
        </w:rPr>
        <w:t xml:space="preserve">and considered that this </w:t>
      </w:r>
      <w:r w:rsidR="00C37EE5" w:rsidRPr="008B02E0">
        <w:rPr>
          <w:iCs/>
        </w:rPr>
        <w:t>limit</w:t>
      </w:r>
      <w:r w:rsidR="008A19F5" w:rsidRPr="008B02E0">
        <w:rPr>
          <w:iCs/>
        </w:rPr>
        <w:t>ed</w:t>
      </w:r>
      <w:r w:rsidR="00C37EE5" w:rsidRPr="008B02E0">
        <w:rPr>
          <w:iCs/>
        </w:rPr>
        <w:t xml:space="preserve"> potentially informative comparisons of nivolumab plus ipilimumab against nivolumab monotherapy in the first line setting</w:t>
      </w:r>
      <w:r w:rsidR="00C37EE5" w:rsidRPr="008B02E0">
        <w:t>.</w:t>
      </w:r>
    </w:p>
    <w:p w14:paraId="49FEC3DE" w14:textId="15EDECE9" w:rsidR="00167600" w:rsidRPr="008B02E0" w:rsidRDefault="00816473" w:rsidP="00AE5B32">
      <w:pPr>
        <w:pStyle w:val="3-BodyText"/>
        <w:rPr>
          <w:color w:val="0066FF"/>
        </w:rPr>
      </w:pPr>
      <w:r w:rsidRPr="008B02E0">
        <w:t>Th</w:t>
      </w:r>
      <w:r w:rsidR="00BB7072" w:rsidRPr="008B02E0">
        <w:t>e</w:t>
      </w:r>
      <w:r w:rsidRPr="008B02E0">
        <w:t xml:space="preserve"> Bucher indirect comparison</w:t>
      </w:r>
      <w:r w:rsidR="00435411" w:rsidRPr="008B02E0">
        <w:t xml:space="preserve"> presented in the submission</w:t>
      </w:r>
      <w:r w:rsidRPr="008B02E0">
        <w:t xml:space="preserve"> was based on </w:t>
      </w:r>
      <w:r w:rsidR="00167600" w:rsidRPr="008B02E0">
        <w:t xml:space="preserve">the </w:t>
      </w:r>
      <w:r w:rsidR="000E693B">
        <w:br/>
      </w:r>
      <w:r w:rsidR="0023510B" w:rsidRPr="008B02E0">
        <w:t>12</w:t>
      </w:r>
      <w:r w:rsidR="00EC0ABB" w:rsidRPr="008B02E0">
        <w:t xml:space="preserve"> October 2023</w:t>
      </w:r>
      <w:r w:rsidRPr="008B02E0">
        <w:t xml:space="preserve"> data cut. </w:t>
      </w:r>
      <w:r w:rsidR="00167600" w:rsidRPr="008B02E0">
        <w:rPr>
          <w:iCs/>
        </w:rPr>
        <w:t>At this data cut, the median progression free survival (PFS) had not been reached in the nivolumab plus ipilimumab arm</w:t>
      </w:r>
      <w:r w:rsidR="009A2DDF" w:rsidRPr="008B02E0">
        <w:rPr>
          <w:iCs/>
        </w:rPr>
        <w:t xml:space="preserve">. Therefore, </w:t>
      </w:r>
      <w:r w:rsidR="00167600" w:rsidRPr="008B02E0">
        <w:rPr>
          <w:iCs/>
        </w:rPr>
        <w:t>conclusions based on this data</w:t>
      </w:r>
      <w:r w:rsidR="000C7ACB" w:rsidRPr="008B02E0">
        <w:rPr>
          <w:iCs/>
        </w:rPr>
        <w:t xml:space="preserve"> cut</w:t>
      </w:r>
      <w:r w:rsidR="00167600" w:rsidRPr="008B02E0">
        <w:rPr>
          <w:iCs/>
        </w:rPr>
        <w:t>, including the Bucher indirect comparison, were based on immature data.</w:t>
      </w:r>
    </w:p>
    <w:p w14:paraId="5BFB632B" w14:textId="174DA0C5" w:rsidR="00F10CA1" w:rsidRPr="008B02E0" w:rsidRDefault="00FA68FC" w:rsidP="00AE5B32">
      <w:pPr>
        <w:pStyle w:val="3-BodyText"/>
        <w:rPr>
          <w:color w:val="0066FF"/>
        </w:rPr>
      </w:pPr>
      <w:r w:rsidRPr="008B02E0">
        <w:t>The</w:t>
      </w:r>
      <w:r w:rsidR="00EB6430" w:rsidRPr="008B02E0">
        <w:t xml:space="preserve"> </w:t>
      </w:r>
      <w:r w:rsidR="00D64358" w:rsidRPr="008B02E0">
        <w:t xml:space="preserve">matching adjusted </w:t>
      </w:r>
      <w:r w:rsidR="00EB6430" w:rsidRPr="008B02E0">
        <w:t>indirect comparison</w:t>
      </w:r>
      <w:r w:rsidR="00F17CF6" w:rsidRPr="008B02E0">
        <w:t>s</w:t>
      </w:r>
      <w:r w:rsidR="00D64358" w:rsidRPr="008B02E0">
        <w:t xml:space="preserve"> (MAICs)</w:t>
      </w:r>
      <w:r w:rsidR="00EB6430" w:rsidRPr="008B02E0">
        <w:t xml:space="preserve"> and</w:t>
      </w:r>
      <w:r w:rsidR="00EC0ABB" w:rsidRPr="008B02E0">
        <w:t xml:space="preserve"> the data used to inform the</w:t>
      </w:r>
      <w:r w:rsidR="00EB6430" w:rsidRPr="008B02E0">
        <w:t xml:space="preserve"> economic evaluation were based on</w:t>
      </w:r>
      <w:r w:rsidR="0093267F" w:rsidRPr="008B02E0">
        <w:t xml:space="preserve"> </w:t>
      </w:r>
      <w:r w:rsidRPr="008B02E0">
        <w:t xml:space="preserve">a later </w:t>
      </w:r>
      <w:r w:rsidR="00435411" w:rsidRPr="008B02E0">
        <w:t>data</w:t>
      </w:r>
      <w:r w:rsidRPr="008B02E0">
        <w:t xml:space="preserve"> cut</w:t>
      </w:r>
      <w:r w:rsidR="00435411" w:rsidRPr="008B02E0">
        <w:t xml:space="preserve"> with a</w:t>
      </w:r>
      <w:r w:rsidR="00EB6430" w:rsidRPr="008B02E0">
        <w:t xml:space="preserve"> median follow up of 47.0 months (DCO: 28 August 2024). </w:t>
      </w:r>
    </w:p>
    <w:p w14:paraId="52B71EA6" w14:textId="02F6764F" w:rsidR="00B37F4F" w:rsidRPr="008B02E0" w:rsidRDefault="00F17CF6" w:rsidP="00AE5B32">
      <w:pPr>
        <w:pStyle w:val="3-BodyText"/>
        <w:rPr>
          <w:color w:val="0066FF"/>
        </w:rPr>
      </w:pPr>
      <w:r w:rsidRPr="008B02E0">
        <w:t>The submission also presented</w:t>
      </w:r>
      <w:r w:rsidR="002F2AED" w:rsidRPr="008B02E0">
        <w:t xml:space="preserve"> data for</w:t>
      </w:r>
      <w:r w:rsidRPr="008B02E0">
        <w:t xml:space="preserve"> any line</w:t>
      </w:r>
      <w:r w:rsidR="00770CE9" w:rsidRPr="008B02E0">
        <w:t xml:space="preserve"> of</w:t>
      </w:r>
      <w:r w:rsidRPr="008B02E0">
        <w:t xml:space="preserve"> treatment </w:t>
      </w:r>
      <w:r w:rsidR="002F2AED" w:rsidRPr="008B02E0">
        <w:t xml:space="preserve">from the combined </w:t>
      </w:r>
      <w:r w:rsidRPr="008B02E0">
        <w:rPr>
          <w:color w:val="000000" w:themeColor="text1"/>
        </w:rPr>
        <w:t xml:space="preserve">Part 1 and Part 2 of </w:t>
      </w:r>
      <w:r w:rsidRPr="008B02E0">
        <w:t>CM</w:t>
      </w:r>
      <w:r w:rsidR="009E5502">
        <w:noBreakHyphen/>
      </w:r>
      <w:r w:rsidRPr="008B02E0">
        <w:t>8HW (henceforth CM</w:t>
      </w:r>
      <w:r w:rsidR="009E5502">
        <w:noBreakHyphen/>
      </w:r>
      <w:r w:rsidRPr="008B02E0">
        <w:t xml:space="preserve">8HW 1L+) for the nivolumab plus ipilimumab and nivolumab monotherapy arms, with median follow up of 47.0 months (DCO: </w:t>
      </w:r>
      <w:r w:rsidR="00397627">
        <w:br/>
      </w:r>
      <w:r w:rsidRPr="008B02E0">
        <w:t>28 August 2024).</w:t>
      </w:r>
      <w:r w:rsidR="008E5557" w:rsidRPr="008B02E0">
        <w:t xml:space="preserve"> </w:t>
      </w:r>
    </w:p>
    <w:p w14:paraId="4C31FF57" w14:textId="429CA714" w:rsidR="00F17CF6" w:rsidRPr="008B02E0" w:rsidRDefault="00F17CF6" w:rsidP="00AE5B32">
      <w:pPr>
        <w:pStyle w:val="3-BodyText"/>
        <w:rPr>
          <w:color w:val="0066FF"/>
        </w:rPr>
      </w:pPr>
      <w:r w:rsidRPr="008B02E0">
        <w:t>A visual summary of the CM</w:t>
      </w:r>
      <w:r w:rsidR="009E5502">
        <w:noBreakHyphen/>
      </w:r>
      <w:r w:rsidRPr="008B02E0">
        <w:t xml:space="preserve">8HW data presented in the submission is </w:t>
      </w:r>
      <w:r w:rsidR="002F2AED" w:rsidRPr="008B02E0">
        <w:t xml:space="preserve">summarised </w:t>
      </w:r>
      <w:r w:rsidRPr="008B02E0">
        <w:t xml:space="preserve">in </w:t>
      </w:r>
      <w:r w:rsidR="008258C7">
        <w:fldChar w:fldCharType="begin"/>
      </w:r>
      <w:r w:rsidR="008258C7">
        <w:instrText xml:space="preserve"> REF _Ref198637936 </w:instrText>
      </w:r>
      <w:r w:rsidR="008258C7">
        <w:fldChar w:fldCharType="separate"/>
      </w:r>
      <w:r w:rsidR="00B542C9" w:rsidRPr="008B02E0">
        <w:t xml:space="preserve">Figure </w:t>
      </w:r>
      <w:r w:rsidR="00B542C9">
        <w:rPr>
          <w:noProof/>
        </w:rPr>
        <w:t>1</w:t>
      </w:r>
      <w:r w:rsidR="008258C7">
        <w:rPr>
          <w:noProof/>
        </w:rPr>
        <w:fldChar w:fldCharType="end"/>
      </w:r>
      <w:r w:rsidRPr="008B02E0">
        <w:t xml:space="preserve">. </w:t>
      </w:r>
    </w:p>
    <w:p w14:paraId="55B00CA9" w14:textId="7F24D9EB" w:rsidR="00F17CF6" w:rsidRPr="008B02E0" w:rsidRDefault="00F17CF6" w:rsidP="00AE5B32">
      <w:pPr>
        <w:pStyle w:val="Caption"/>
      </w:pPr>
      <w:bookmarkStart w:id="27" w:name="_Ref198637936"/>
      <w:r w:rsidRPr="008B02E0">
        <w:t xml:space="preserve">Figure </w:t>
      </w:r>
      <w:r w:rsidR="008258C7">
        <w:fldChar w:fldCharType="begin"/>
      </w:r>
      <w:r w:rsidR="008258C7">
        <w:instrText xml:space="preserve"> SEQ Figure \* ARABIC </w:instrText>
      </w:r>
      <w:r w:rsidR="008258C7">
        <w:fldChar w:fldCharType="separate"/>
      </w:r>
      <w:r w:rsidR="00B542C9">
        <w:rPr>
          <w:noProof/>
        </w:rPr>
        <w:t>1</w:t>
      </w:r>
      <w:r w:rsidR="008258C7">
        <w:rPr>
          <w:noProof/>
        </w:rPr>
        <w:fldChar w:fldCharType="end"/>
      </w:r>
      <w:bookmarkEnd w:id="27"/>
      <w:r w:rsidRPr="008B02E0">
        <w:t>: CM</w:t>
      </w:r>
      <w:r w:rsidR="009E5502">
        <w:noBreakHyphen/>
      </w:r>
      <w:r w:rsidRPr="008B02E0">
        <w:t>8HW data presented in the submission</w:t>
      </w:r>
    </w:p>
    <w:p w14:paraId="5DE28D35" w14:textId="5A745DAC" w:rsidR="00F17CF6" w:rsidRPr="008B02E0" w:rsidRDefault="00B94D2A" w:rsidP="00AE5B32">
      <w:pPr>
        <w:rPr>
          <w:color w:val="0066FF"/>
        </w:rPr>
      </w:pPr>
      <w:r w:rsidRPr="008B02E0">
        <w:rPr>
          <w:noProof/>
        </w:rPr>
        <w:drawing>
          <wp:inline distT="0" distB="0" distL="0" distR="0" wp14:anchorId="50C652A8" wp14:editId="4CCA4508">
            <wp:extent cx="3855720" cy="1958340"/>
            <wp:effectExtent l="0" t="0" r="0" b="0"/>
            <wp:docPr id="60" name="Picture 60" descr="Figure 1: CM 8HW data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Figure 1: CM 8HW data presented in the submis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5720" cy="1958340"/>
                    </a:xfrm>
                    <a:prstGeom prst="rect">
                      <a:avLst/>
                    </a:prstGeom>
                    <a:noFill/>
                    <a:ln>
                      <a:noFill/>
                    </a:ln>
                  </pic:spPr>
                </pic:pic>
              </a:graphicData>
            </a:graphic>
          </wp:inline>
        </w:drawing>
      </w:r>
    </w:p>
    <w:p w14:paraId="5750049E" w14:textId="77777777" w:rsidR="00F17CF6" w:rsidRPr="008B02E0" w:rsidRDefault="00F17CF6" w:rsidP="00AE5B32">
      <w:pPr>
        <w:pStyle w:val="TableFigureFooter"/>
      </w:pPr>
      <w:r w:rsidRPr="008B02E0">
        <w:t>Source: compiled during the evaluation</w:t>
      </w:r>
    </w:p>
    <w:p w14:paraId="33CDFD7D" w14:textId="4AB08C67" w:rsidR="00F17CF6" w:rsidRPr="008B02E0" w:rsidRDefault="00F17CF6" w:rsidP="00AE5B32">
      <w:pPr>
        <w:pStyle w:val="TableFigureFooter"/>
      </w:pPr>
      <w:r w:rsidRPr="008B02E0">
        <w:t>NIVO=nivolumab monotherapy arm, NIVO+IPI= nivolumab plus ipilimumab arm, chemotherapy= chemotherapy arm, CM</w:t>
      </w:r>
      <w:r w:rsidR="009E5502">
        <w:noBreakHyphen/>
      </w:r>
      <w:r w:rsidRPr="008B02E0">
        <w:t xml:space="preserve">8HW 1L= </w:t>
      </w:r>
      <w:r w:rsidRPr="008B02E0">
        <w:rPr>
          <w:color w:val="000000" w:themeColor="text1"/>
        </w:rPr>
        <w:t>first line patients from both Part 1 and Part 2 of CM</w:t>
      </w:r>
      <w:r w:rsidR="009E5502">
        <w:rPr>
          <w:color w:val="000000" w:themeColor="text1"/>
        </w:rPr>
        <w:noBreakHyphen/>
      </w:r>
      <w:r w:rsidRPr="008B02E0">
        <w:rPr>
          <w:color w:val="000000" w:themeColor="text1"/>
        </w:rPr>
        <w:t>8HW, CM</w:t>
      </w:r>
      <w:r w:rsidR="009E5502">
        <w:rPr>
          <w:color w:val="000000" w:themeColor="text1"/>
        </w:rPr>
        <w:noBreakHyphen/>
      </w:r>
      <w:r w:rsidRPr="008B02E0">
        <w:rPr>
          <w:color w:val="000000" w:themeColor="text1"/>
        </w:rPr>
        <w:t xml:space="preserve">8HW 1L+= </w:t>
      </w:r>
      <w:r w:rsidRPr="008B02E0">
        <w:t>complete CM</w:t>
      </w:r>
      <w:r w:rsidR="009E5502">
        <w:noBreakHyphen/>
      </w:r>
      <w:r w:rsidRPr="008B02E0">
        <w:t>8HW population (i.e., Part 1 and Part2, first and subsequent line treatment)</w:t>
      </w:r>
      <w:r w:rsidR="008E5557" w:rsidRPr="008B02E0">
        <w:t xml:space="preserve">. </w:t>
      </w:r>
    </w:p>
    <w:p w14:paraId="374F8487" w14:textId="716C9D26" w:rsidR="008E5557" w:rsidRPr="008B02E0" w:rsidRDefault="008E5557" w:rsidP="00AE5B32">
      <w:pPr>
        <w:pStyle w:val="TableFigureFooter"/>
      </w:pPr>
      <w:r w:rsidRPr="008B02E0">
        <w:t>Where CM</w:t>
      </w:r>
      <w:r w:rsidR="009E5502">
        <w:noBreakHyphen/>
      </w:r>
      <w:r w:rsidRPr="008B02E0">
        <w:t>8HW 1L+ data were reported, it was not possible to identify the CM</w:t>
      </w:r>
      <w:r w:rsidR="009E5502">
        <w:noBreakHyphen/>
      </w:r>
      <w:r w:rsidRPr="008B02E0">
        <w:t>8HW 1L population relevant to the requested PBS restriction.</w:t>
      </w:r>
    </w:p>
    <w:p w14:paraId="6D1F7347" w14:textId="1720DCBD" w:rsidR="00EB6430" w:rsidRPr="008B02E0" w:rsidRDefault="00EB6430" w:rsidP="00AE5B32">
      <w:pPr>
        <w:pStyle w:val="3-BodyText"/>
        <w:rPr>
          <w:color w:val="0066FF"/>
        </w:rPr>
      </w:pPr>
      <w:r w:rsidRPr="008B02E0">
        <w:lastRenderedPageBreak/>
        <w:t>The submission also presented CM</w:t>
      </w:r>
      <w:r w:rsidR="009E5502">
        <w:noBreakHyphen/>
      </w:r>
      <w:r w:rsidRPr="008B02E0">
        <w:t>142 Cohort 3 data (as reported by Lenz et al., 2022</w:t>
      </w:r>
      <w:r w:rsidRPr="008B02E0">
        <w:rPr>
          <w:rStyle w:val="FootnoteReference"/>
        </w:rPr>
        <w:footnoteReference w:id="18"/>
      </w:r>
      <w:r w:rsidRPr="008B02E0">
        <w:t>) with a median follow up of 29 months</w:t>
      </w:r>
      <w:r w:rsidRPr="008B02E0">
        <w:rPr>
          <w:iCs/>
        </w:rPr>
        <w:t>, though 64 months follow up was available (Lenz et al 2023</w:t>
      </w:r>
      <w:r w:rsidRPr="008B02E0">
        <w:rPr>
          <w:rStyle w:val="FootnoteReference"/>
          <w:iCs/>
        </w:rPr>
        <w:footnoteReference w:id="19"/>
      </w:r>
      <w:r w:rsidR="008E5557" w:rsidRPr="008B02E0">
        <w:rPr>
          <w:iCs/>
        </w:rPr>
        <w:t>, abstract only</w:t>
      </w:r>
      <w:r w:rsidRPr="008B02E0">
        <w:rPr>
          <w:iCs/>
        </w:rPr>
        <w:t xml:space="preserve">). </w:t>
      </w:r>
    </w:p>
    <w:p w14:paraId="6A9654F7" w14:textId="799224A2" w:rsidR="00EB6430" w:rsidRPr="008B02E0" w:rsidRDefault="00EB6430" w:rsidP="00AE5B32">
      <w:pPr>
        <w:pStyle w:val="3-BodyText"/>
        <w:rPr>
          <w:iCs/>
        </w:rPr>
      </w:pPr>
      <w:r w:rsidRPr="008B02E0">
        <w:t xml:space="preserve">The most recent data </w:t>
      </w:r>
      <w:r w:rsidR="00886959" w:rsidRPr="008B02E0">
        <w:t xml:space="preserve">from </w:t>
      </w:r>
      <w:r w:rsidRPr="008B02E0">
        <w:t>KN</w:t>
      </w:r>
      <w:r w:rsidR="009E5502">
        <w:noBreakHyphen/>
      </w:r>
      <w:r w:rsidRPr="008B02E0">
        <w:t>177 (DCO: 17 July 2023, median follow</w:t>
      </w:r>
      <w:r w:rsidR="009E5502">
        <w:noBreakHyphen/>
      </w:r>
      <w:r w:rsidRPr="008B02E0">
        <w:t>up 73 months, Andre et al., 2024</w:t>
      </w:r>
      <w:r w:rsidRPr="008B02E0">
        <w:rPr>
          <w:rStyle w:val="FootnoteReference"/>
        </w:rPr>
        <w:footnoteReference w:id="20"/>
      </w:r>
      <w:r w:rsidRPr="008B02E0">
        <w:t>) were included in the submission, along with the final analysis (DCO: 19 February 2021, median follow</w:t>
      </w:r>
      <w:r w:rsidR="009E5502">
        <w:noBreakHyphen/>
      </w:r>
      <w:r w:rsidRPr="008B02E0">
        <w:t>up 44.5 months, Diaz et al., 2022</w:t>
      </w:r>
      <w:r w:rsidRPr="008B02E0">
        <w:rPr>
          <w:rStyle w:val="FootnoteReference"/>
        </w:rPr>
        <w:footnoteReference w:id="21"/>
      </w:r>
      <w:r w:rsidRPr="008B02E0">
        <w:t>) and interim analysis 2 (DCO: 19 February 2020, median follow</w:t>
      </w:r>
      <w:r w:rsidR="009E5502">
        <w:noBreakHyphen/>
      </w:r>
      <w:r w:rsidRPr="008B02E0">
        <w:t>up 32.4 months, Andre at al. 2020</w:t>
      </w:r>
      <w:r w:rsidRPr="008B02E0">
        <w:rPr>
          <w:rStyle w:val="FootnoteReference"/>
        </w:rPr>
        <w:footnoteReference w:id="22"/>
      </w:r>
      <w:r w:rsidRPr="008B02E0">
        <w:t xml:space="preserve">). </w:t>
      </w:r>
      <w:r w:rsidRPr="008B02E0">
        <w:rPr>
          <w:iCs/>
        </w:rPr>
        <w:t xml:space="preserve">For completeness, the PFS and </w:t>
      </w:r>
      <w:r w:rsidR="00FB793F" w:rsidRPr="008B02E0">
        <w:rPr>
          <w:iCs/>
        </w:rPr>
        <w:t>overall survival (</w:t>
      </w:r>
      <w:r w:rsidRPr="008B02E0">
        <w:rPr>
          <w:iCs/>
        </w:rPr>
        <w:t>OS</w:t>
      </w:r>
      <w:r w:rsidR="00FB793F" w:rsidRPr="008B02E0">
        <w:rPr>
          <w:iCs/>
        </w:rPr>
        <w:t>)</w:t>
      </w:r>
      <w:r w:rsidRPr="008B02E0">
        <w:rPr>
          <w:iCs/>
        </w:rPr>
        <w:t xml:space="preserve"> results from the pembrolizumab </w:t>
      </w:r>
      <w:r w:rsidR="005D426B" w:rsidRPr="008B02E0">
        <w:rPr>
          <w:iCs/>
        </w:rPr>
        <w:t>PSD</w:t>
      </w:r>
      <w:r w:rsidRPr="008B02E0">
        <w:rPr>
          <w:iCs/>
        </w:rPr>
        <w:t xml:space="preserve">, March 2021 PBAC Meeting were </w:t>
      </w:r>
      <w:r w:rsidR="000D42DD" w:rsidRPr="008B02E0">
        <w:rPr>
          <w:iCs/>
        </w:rPr>
        <w:t xml:space="preserve">also </w:t>
      </w:r>
      <w:r w:rsidRPr="008B02E0">
        <w:rPr>
          <w:iCs/>
        </w:rPr>
        <w:t>extracted during the evaluation.</w:t>
      </w:r>
      <w:r w:rsidR="0049670D" w:rsidRPr="008B02E0">
        <w:rPr>
          <w:iCs/>
        </w:rPr>
        <w:t xml:space="preserve"> </w:t>
      </w:r>
      <w:r w:rsidR="0049670D" w:rsidRPr="008B02E0">
        <w:t>The</w:t>
      </w:r>
      <w:r w:rsidR="00253BDD">
        <w:t xml:space="preserve"> Pre Sub-Committee Response</w:t>
      </w:r>
      <w:r w:rsidR="0049670D" w:rsidRPr="008B02E0">
        <w:t xml:space="preserve"> </w:t>
      </w:r>
      <w:r w:rsidR="00253BDD">
        <w:t>(</w:t>
      </w:r>
      <w:r w:rsidR="0049670D" w:rsidRPr="008B02E0">
        <w:t>PSCR</w:t>
      </w:r>
      <w:r w:rsidR="00253BDD">
        <w:t>)</w:t>
      </w:r>
      <w:r w:rsidR="0049670D" w:rsidRPr="008B02E0">
        <w:t xml:space="preserve"> noted </w:t>
      </w:r>
      <w:r w:rsidR="00B40749" w:rsidRPr="008B02E0">
        <w:t>that more recent data for pembrolizumab had also been published</w:t>
      </w:r>
      <w:r w:rsidR="0049670D" w:rsidRPr="008B02E0">
        <w:t xml:space="preserve"> (Andre et al., 2024).</w:t>
      </w:r>
    </w:p>
    <w:p w14:paraId="147989BF" w14:textId="58F95E78" w:rsidR="00EB1D01" w:rsidRPr="008B02E0" w:rsidRDefault="00EB6430" w:rsidP="00AE5B32">
      <w:pPr>
        <w:pStyle w:val="3-BodyText"/>
        <w:rPr>
          <w:iCs/>
        </w:rPr>
      </w:pPr>
      <w:r w:rsidRPr="008B02E0">
        <w:rPr>
          <w:iCs/>
        </w:rPr>
        <w:t>All studies were open</w:t>
      </w:r>
      <w:r w:rsidR="009E5502">
        <w:rPr>
          <w:iCs/>
        </w:rPr>
        <w:noBreakHyphen/>
      </w:r>
      <w:r w:rsidRPr="008B02E0">
        <w:rPr>
          <w:iCs/>
        </w:rPr>
        <w:t>label, so there was a high risk of bias, particularly for investigator</w:t>
      </w:r>
      <w:r w:rsidR="009E5502">
        <w:rPr>
          <w:iCs/>
        </w:rPr>
        <w:noBreakHyphen/>
      </w:r>
      <w:r w:rsidRPr="008B02E0">
        <w:rPr>
          <w:iCs/>
        </w:rPr>
        <w:t xml:space="preserve">assessed outcomes, including PFS and response rates. </w:t>
      </w:r>
      <w:r w:rsidR="00FD42EC" w:rsidRPr="008B02E0">
        <w:t>T</w:t>
      </w:r>
      <w:r w:rsidRPr="008B02E0">
        <w:t xml:space="preserve">he </w:t>
      </w:r>
      <w:r w:rsidR="00FD42EC" w:rsidRPr="008B02E0">
        <w:t>ESC considered that the</w:t>
      </w:r>
      <w:r w:rsidR="00FD42EC" w:rsidRPr="008B02E0">
        <w:rPr>
          <w:iCs/>
        </w:rPr>
        <w:t xml:space="preserve"> </w:t>
      </w:r>
      <w:r w:rsidRPr="008B02E0">
        <w:rPr>
          <w:iCs/>
        </w:rPr>
        <w:t>open</w:t>
      </w:r>
      <w:r w:rsidR="009E5502">
        <w:rPr>
          <w:iCs/>
        </w:rPr>
        <w:noBreakHyphen/>
      </w:r>
      <w:r w:rsidRPr="008B02E0">
        <w:rPr>
          <w:iCs/>
        </w:rPr>
        <w:t>label design may have affected treatment uptake and trial discontinuation rates as a higher proportion of patients in the chemotherapy arms of CM</w:t>
      </w:r>
      <w:r w:rsidR="009E5502">
        <w:rPr>
          <w:iCs/>
        </w:rPr>
        <w:noBreakHyphen/>
      </w:r>
      <w:r w:rsidRPr="008B02E0">
        <w:rPr>
          <w:iCs/>
        </w:rPr>
        <w:t>8HW and KN</w:t>
      </w:r>
      <w:r w:rsidR="009E5502">
        <w:rPr>
          <w:iCs/>
        </w:rPr>
        <w:noBreakHyphen/>
      </w:r>
      <w:r w:rsidRPr="008B02E0">
        <w:rPr>
          <w:iCs/>
        </w:rPr>
        <w:t>177 did not receive the randomised treatment (12.9% CM</w:t>
      </w:r>
      <w:r w:rsidR="009E5502">
        <w:rPr>
          <w:iCs/>
        </w:rPr>
        <w:noBreakHyphen/>
      </w:r>
      <w:r w:rsidRPr="008B02E0">
        <w:rPr>
          <w:iCs/>
        </w:rPr>
        <w:t>8HW 1L; 7.1% KN</w:t>
      </w:r>
      <w:r w:rsidR="009E5502">
        <w:rPr>
          <w:iCs/>
        </w:rPr>
        <w:noBreakHyphen/>
      </w:r>
      <w:r w:rsidRPr="008B02E0">
        <w:rPr>
          <w:iCs/>
        </w:rPr>
        <w:t>177) compared to those in the intervention arms (1.0% CM</w:t>
      </w:r>
      <w:r w:rsidR="009E5502">
        <w:rPr>
          <w:iCs/>
        </w:rPr>
        <w:noBreakHyphen/>
      </w:r>
      <w:r w:rsidRPr="008B02E0">
        <w:rPr>
          <w:iCs/>
        </w:rPr>
        <w:t>8HW; 0% KN</w:t>
      </w:r>
      <w:r w:rsidR="009E5502">
        <w:rPr>
          <w:iCs/>
        </w:rPr>
        <w:noBreakHyphen/>
      </w:r>
      <w:r w:rsidRPr="008B02E0">
        <w:rPr>
          <w:iCs/>
        </w:rPr>
        <w:t>177).</w:t>
      </w:r>
      <w:r w:rsidR="00FD42EC" w:rsidRPr="008B02E0">
        <w:rPr>
          <w:iCs/>
        </w:rPr>
        <w:t xml:space="preserve"> </w:t>
      </w:r>
      <w:r w:rsidR="00FD42EC" w:rsidRPr="008B02E0">
        <w:t xml:space="preserve">The ESC </w:t>
      </w:r>
      <w:r w:rsidR="0013085D" w:rsidRPr="008B02E0">
        <w:t xml:space="preserve">also </w:t>
      </w:r>
      <w:r w:rsidR="00FD42EC" w:rsidRPr="008B02E0">
        <w:t>noted th</w:t>
      </w:r>
      <w:r w:rsidR="00F14AB0" w:rsidRPr="008B02E0">
        <w:t xml:space="preserve">at </w:t>
      </w:r>
      <w:r w:rsidR="0013085D" w:rsidRPr="008B02E0">
        <w:t>the open</w:t>
      </w:r>
      <w:r w:rsidR="009E5502">
        <w:noBreakHyphen/>
      </w:r>
      <w:r w:rsidR="0013085D" w:rsidRPr="008B02E0">
        <w:t>label study design</w:t>
      </w:r>
      <w:r w:rsidR="00F14AB0" w:rsidRPr="008B02E0">
        <w:t xml:space="preserve"> may have </w:t>
      </w:r>
      <w:r w:rsidR="00D72DAF" w:rsidRPr="008B02E0">
        <w:t>impacted</w:t>
      </w:r>
      <w:r w:rsidR="00F14AB0" w:rsidRPr="008B02E0">
        <w:t xml:space="preserve"> </w:t>
      </w:r>
      <w:r w:rsidR="00D72DAF" w:rsidRPr="008B02E0">
        <w:rPr>
          <w:iCs/>
        </w:rPr>
        <w:t xml:space="preserve">discontinuations due to study drug related adverse event </w:t>
      </w:r>
      <w:r w:rsidR="00F14AB0" w:rsidRPr="008B02E0">
        <w:rPr>
          <w:iCs/>
        </w:rPr>
        <w:t>(</w:t>
      </w:r>
      <w:r w:rsidR="00F14AB0" w:rsidRPr="008B02E0">
        <w:t>see paragraph</w:t>
      </w:r>
      <w:r w:rsidR="00F14AB0" w:rsidRPr="008B02E0">
        <w:rPr>
          <w:iCs/>
        </w:rPr>
        <w:t xml:space="preserve"> </w:t>
      </w:r>
      <w:r w:rsidR="00D72DAF" w:rsidRPr="008B02E0">
        <w:fldChar w:fldCharType="begin"/>
      </w:r>
      <w:r w:rsidR="00D72DAF" w:rsidRPr="008B02E0">
        <w:instrText xml:space="preserve"> REF _Ref201243183 \r \h  \* MERGEFORMAT </w:instrText>
      </w:r>
      <w:r w:rsidR="00D72DAF" w:rsidRPr="008B02E0">
        <w:fldChar w:fldCharType="separate"/>
      </w:r>
      <w:r w:rsidR="00B542C9">
        <w:t>6.58</w:t>
      </w:r>
      <w:r w:rsidR="00D72DAF" w:rsidRPr="008B02E0">
        <w:fldChar w:fldCharType="end"/>
      </w:r>
      <w:r w:rsidR="00D72DAF" w:rsidRPr="008B02E0">
        <w:t>).</w:t>
      </w:r>
    </w:p>
    <w:p w14:paraId="3783D8DC" w14:textId="47DE215C" w:rsidR="00EB6430" w:rsidRPr="008B02E0" w:rsidRDefault="00EB6430" w:rsidP="00AE5B32">
      <w:pPr>
        <w:pStyle w:val="3-BodyText"/>
        <w:rPr>
          <w:iCs/>
        </w:rPr>
      </w:pPr>
      <w:r w:rsidRPr="008B02E0">
        <w:t>The studies attempted to mitigate investigator bias by including blinded central reviewed (BICR) outcomes for PFS in CM</w:t>
      </w:r>
      <w:r w:rsidR="009E5502">
        <w:noBreakHyphen/>
      </w:r>
      <w:r w:rsidRPr="008B02E0">
        <w:t>8HW and KN</w:t>
      </w:r>
      <w:r w:rsidR="009E5502">
        <w:noBreakHyphen/>
      </w:r>
      <w:r w:rsidRPr="008B02E0">
        <w:t>177. Reporting bias would also be minimised for objective outcomes such as OS (CM</w:t>
      </w:r>
      <w:r w:rsidR="009E5502">
        <w:noBreakHyphen/>
      </w:r>
      <w:r w:rsidRPr="008B02E0">
        <w:t>142 and KN</w:t>
      </w:r>
      <w:r w:rsidR="009E5502">
        <w:noBreakHyphen/>
      </w:r>
      <w:r w:rsidRPr="008B02E0">
        <w:t>177).</w:t>
      </w:r>
      <w:r w:rsidRPr="008B02E0">
        <w:rPr>
          <w:iCs/>
        </w:rPr>
        <w:t xml:space="preserve"> </w:t>
      </w:r>
      <w:r w:rsidR="004E2D0F" w:rsidRPr="008B02E0">
        <w:rPr>
          <w:iCs/>
        </w:rPr>
        <w:t>However, n</w:t>
      </w:r>
      <w:r w:rsidRPr="008B02E0">
        <w:rPr>
          <w:iCs/>
        </w:rPr>
        <w:t>o OS data</w:t>
      </w:r>
      <w:r w:rsidR="004E2D0F" w:rsidRPr="008B02E0">
        <w:rPr>
          <w:iCs/>
        </w:rPr>
        <w:t xml:space="preserve"> </w:t>
      </w:r>
      <w:r w:rsidRPr="008B02E0">
        <w:rPr>
          <w:iCs/>
        </w:rPr>
        <w:t>was reported for CM</w:t>
      </w:r>
      <w:r w:rsidR="009E5502">
        <w:rPr>
          <w:iCs/>
        </w:rPr>
        <w:noBreakHyphen/>
      </w:r>
      <w:r w:rsidRPr="008B02E0">
        <w:rPr>
          <w:iCs/>
        </w:rPr>
        <w:t>8HW in the submission</w:t>
      </w:r>
      <w:r w:rsidR="00F001A6" w:rsidRPr="008B02E0">
        <w:rPr>
          <w:iCs/>
        </w:rPr>
        <w:t>. D</w:t>
      </w:r>
      <w:r w:rsidRPr="008B02E0">
        <w:rPr>
          <w:iCs/>
        </w:rPr>
        <w:t>uring the evaluation, it was noted that OS data had been provided to NICE to assist with their evaluation</w:t>
      </w:r>
      <w:r w:rsidRPr="008B02E0">
        <w:rPr>
          <w:rStyle w:val="FootnoteReference"/>
          <w:iCs/>
        </w:rPr>
        <w:footnoteReference w:id="23"/>
      </w:r>
      <w:r w:rsidRPr="008B02E0">
        <w:rPr>
          <w:iCs/>
        </w:rPr>
        <w:t>.</w:t>
      </w:r>
      <w:r w:rsidR="00E10D14" w:rsidRPr="008B02E0">
        <w:rPr>
          <w:iCs/>
        </w:rPr>
        <w:t xml:space="preserve"> </w:t>
      </w:r>
      <w:r w:rsidR="00E10D14" w:rsidRPr="008B02E0">
        <w:t>The PSCR</w:t>
      </w:r>
      <w:r w:rsidR="00B87EB7" w:rsidRPr="008B02E0">
        <w:t xml:space="preserve"> </w:t>
      </w:r>
      <w:r w:rsidR="0089233E" w:rsidRPr="008B02E0">
        <w:t xml:space="preserve">stated that </w:t>
      </w:r>
      <w:r w:rsidR="00553EAE" w:rsidRPr="008B02E0">
        <w:t>the</w:t>
      </w:r>
      <w:r w:rsidR="00B87EB7" w:rsidRPr="008B02E0">
        <w:t xml:space="preserve"> clinical cut</w:t>
      </w:r>
      <w:r w:rsidR="009E5502">
        <w:noBreakHyphen/>
      </w:r>
      <w:r w:rsidR="00B87EB7" w:rsidRPr="008B02E0">
        <w:t>off for the final analysis of CM</w:t>
      </w:r>
      <w:r w:rsidR="009E5502">
        <w:noBreakHyphen/>
      </w:r>
      <w:r w:rsidR="00B87EB7" w:rsidRPr="008B02E0">
        <w:t xml:space="preserve">8HW and assessment of OS is </w:t>
      </w:r>
      <w:r w:rsidR="000D29A1" w:rsidRPr="008B02E0">
        <w:t>likely to occur during the</w:t>
      </w:r>
      <w:r w:rsidR="00553EAE" w:rsidRPr="008B02E0">
        <w:t xml:space="preserve"> second half of</w:t>
      </w:r>
      <w:r w:rsidR="00B87EB7" w:rsidRPr="008B02E0">
        <w:t xml:space="preserve"> 2025.</w:t>
      </w:r>
      <w:r w:rsidR="007B4F25" w:rsidRPr="008B02E0">
        <w:t xml:space="preserve"> </w:t>
      </w:r>
      <w:r w:rsidR="003F61B2" w:rsidRPr="008B02E0">
        <w:t xml:space="preserve">The Response also stated that </w:t>
      </w:r>
      <w:r w:rsidR="0020522F" w:rsidRPr="008B02E0">
        <w:lastRenderedPageBreak/>
        <w:t>the</w:t>
      </w:r>
      <w:r w:rsidR="008F66F8" w:rsidRPr="008B02E0">
        <w:t xml:space="preserve"> sponsor </w:t>
      </w:r>
      <w:r w:rsidR="0031651A" w:rsidRPr="008B02E0">
        <w:t>did</w:t>
      </w:r>
      <w:r w:rsidR="008F66F8" w:rsidRPr="008B02E0">
        <w:t xml:space="preserve"> not</w:t>
      </w:r>
      <w:r w:rsidR="00C4694F" w:rsidRPr="008B02E0">
        <w:t xml:space="preserve"> </w:t>
      </w:r>
      <w:r w:rsidR="008F66F8" w:rsidRPr="008B02E0">
        <w:t xml:space="preserve">have access to the analysis of immature OS data provided </w:t>
      </w:r>
      <w:r w:rsidR="00C41C76" w:rsidRPr="008B02E0">
        <w:t>to</w:t>
      </w:r>
      <w:r w:rsidR="008F66F8" w:rsidRPr="008B02E0">
        <w:t xml:space="preserve"> NICE.</w:t>
      </w:r>
      <w:r w:rsidR="0020522F" w:rsidRPr="008B02E0">
        <w:rPr>
          <w:iCs/>
        </w:rPr>
        <w:t xml:space="preserve"> </w:t>
      </w:r>
      <w:r w:rsidRPr="008B02E0">
        <w:t>All three studies</w:t>
      </w:r>
      <w:r w:rsidR="00A066AE" w:rsidRPr="008B02E0">
        <w:t xml:space="preserve"> required discontinuation of treatment upon disease progression, but</w:t>
      </w:r>
      <w:r w:rsidRPr="008B02E0">
        <w:t xml:space="preserve"> permitted subsequent treatment with PD(L)1</w:t>
      </w:r>
      <w:r w:rsidR="009E5502">
        <w:noBreakHyphen/>
      </w:r>
      <w:r w:rsidRPr="008B02E0">
        <w:t xml:space="preserve">inhibitors. In </w:t>
      </w:r>
      <w:r w:rsidR="00016992" w:rsidRPr="008B02E0">
        <w:t>CM</w:t>
      </w:r>
      <w:r w:rsidR="009E5502">
        <w:noBreakHyphen/>
      </w:r>
      <w:r w:rsidR="00016992" w:rsidRPr="008B02E0">
        <w:t>8HW and KN</w:t>
      </w:r>
      <w:r w:rsidR="009E5502">
        <w:noBreakHyphen/>
      </w:r>
      <w:r w:rsidR="00016992" w:rsidRPr="008B02E0">
        <w:t>177</w:t>
      </w:r>
      <w:r w:rsidRPr="008B02E0">
        <w:t xml:space="preserve">, crossover from the chemotherapy to the intervention arm was permitted. As </w:t>
      </w:r>
      <w:r w:rsidRPr="008B02E0">
        <w:rPr>
          <w:iCs/>
        </w:rPr>
        <w:t>such, unadjusted OS in KN</w:t>
      </w:r>
      <w:r w:rsidR="009E5502">
        <w:rPr>
          <w:iCs/>
        </w:rPr>
        <w:noBreakHyphen/>
      </w:r>
      <w:r w:rsidRPr="008B02E0">
        <w:rPr>
          <w:iCs/>
        </w:rPr>
        <w:t>177 favoured the chemotherapy arm over pembrolizumab. OS data from CM</w:t>
      </w:r>
      <w:r w:rsidR="009E5502">
        <w:rPr>
          <w:iCs/>
        </w:rPr>
        <w:noBreakHyphen/>
      </w:r>
      <w:r w:rsidRPr="008B02E0">
        <w:rPr>
          <w:iCs/>
        </w:rPr>
        <w:t>8HW is likely to be similarly impacted by crossover.</w:t>
      </w:r>
    </w:p>
    <w:p w14:paraId="6EAC0EF7" w14:textId="33AD2D0D" w:rsidR="00A066AE" w:rsidRPr="008B02E0" w:rsidRDefault="00A066AE" w:rsidP="00AE5B32">
      <w:pPr>
        <w:pStyle w:val="3-BodyText"/>
      </w:pPr>
      <w:bookmarkStart w:id="28" w:name="_Ref198639340"/>
      <w:r w:rsidRPr="008B02E0">
        <w:rPr>
          <w:iCs/>
          <w:lang w:eastAsia="en-US"/>
        </w:rPr>
        <w:t>Across the studies, particularly comparing the nivolumab plus ipilimumab arm of CM</w:t>
      </w:r>
      <w:r w:rsidR="009E5502">
        <w:rPr>
          <w:iCs/>
          <w:lang w:eastAsia="en-US"/>
        </w:rPr>
        <w:noBreakHyphen/>
      </w:r>
      <w:r w:rsidRPr="008B02E0">
        <w:rPr>
          <w:iCs/>
          <w:lang w:eastAsia="en-US"/>
        </w:rPr>
        <w:t>8HW and the pembrolizumab arm of KN</w:t>
      </w:r>
      <w:r w:rsidR="009E5502">
        <w:rPr>
          <w:iCs/>
          <w:lang w:eastAsia="en-US"/>
        </w:rPr>
        <w:noBreakHyphen/>
      </w:r>
      <w:r w:rsidRPr="008B02E0">
        <w:rPr>
          <w:iCs/>
          <w:lang w:eastAsia="en-US"/>
        </w:rPr>
        <w:t>177, differences were identified</w:t>
      </w:r>
      <w:r w:rsidRPr="008B02E0">
        <w:rPr>
          <w:lang w:eastAsia="en-US"/>
        </w:rPr>
        <w:t xml:space="preserve"> </w:t>
      </w:r>
      <w:r w:rsidR="00EF2AD1" w:rsidRPr="008B02E0">
        <w:rPr>
          <w:lang w:eastAsia="en-US"/>
        </w:rPr>
        <w:t xml:space="preserve">during the evaluation </w:t>
      </w:r>
      <w:r w:rsidRPr="008B02E0">
        <w:rPr>
          <w:iCs/>
          <w:lang w:eastAsia="en-US"/>
        </w:rPr>
        <w:t>regarding</w:t>
      </w:r>
      <w:r w:rsidRPr="008B02E0">
        <w:rPr>
          <w:lang w:eastAsia="en-US"/>
        </w:rPr>
        <w:t>:</w:t>
      </w:r>
      <w:bookmarkEnd w:id="28"/>
    </w:p>
    <w:p w14:paraId="59C710F1" w14:textId="324ACE1B" w:rsidR="00A066AE" w:rsidRPr="008B02E0" w:rsidRDefault="00A066AE" w:rsidP="00AE5B32">
      <w:pPr>
        <w:pStyle w:val="ListParagraph"/>
        <w:numPr>
          <w:ilvl w:val="0"/>
          <w:numId w:val="10"/>
        </w:numPr>
        <w:spacing w:after="0"/>
        <w:ind w:left="851" w:hanging="153"/>
      </w:pPr>
      <w:r w:rsidRPr="008B02E0">
        <w:rPr>
          <w:b/>
        </w:rPr>
        <w:t>Age:</w:t>
      </w:r>
      <w:r w:rsidRPr="008B02E0">
        <w:t xml:space="preserve"> patients were younger in CM</w:t>
      </w:r>
      <w:r w:rsidR="009E5502">
        <w:noBreakHyphen/>
      </w:r>
      <w:r w:rsidRPr="008B02E0">
        <w:t>8HW (1L: 42%, 1L+:44% under 65 years) compared to 48% under 65 years in the pembrolizumab arm of KN</w:t>
      </w:r>
      <w:r w:rsidR="009E5502">
        <w:noBreakHyphen/>
      </w:r>
      <w:r w:rsidRPr="008B02E0">
        <w:t xml:space="preserve">177, </w:t>
      </w:r>
      <w:r w:rsidRPr="008B02E0">
        <w:rPr>
          <w:iCs/>
        </w:rPr>
        <w:t>potentially favouring nivolumab plus ipilimumab in a</w:t>
      </w:r>
      <w:r w:rsidR="00C15599" w:rsidRPr="008B02E0">
        <w:rPr>
          <w:iCs/>
        </w:rPr>
        <w:t>n unanchored</w:t>
      </w:r>
      <w:r w:rsidRPr="008B02E0">
        <w:rPr>
          <w:iCs/>
        </w:rPr>
        <w:t xml:space="preserve"> comparison. </w:t>
      </w:r>
    </w:p>
    <w:p w14:paraId="44E1C717" w14:textId="625DD7F4" w:rsidR="00A066AE" w:rsidRPr="008B02E0" w:rsidRDefault="00A066AE" w:rsidP="00AE5B32">
      <w:pPr>
        <w:pStyle w:val="ListParagraph"/>
        <w:numPr>
          <w:ilvl w:val="0"/>
          <w:numId w:val="10"/>
        </w:numPr>
        <w:spacing w:after="0"/>
        <w:ind w:left="851" w:hanging="153"/>
        <w:rPr>
          <w:iCs/>
        </w:rPr>
      </w:pPr>
      <w:r w:rsidRPr="008B02E0">
        <w:rPr>
          <w:b/>
        </w:rPr>
        <w:t>Ethnicity:</w:t>
      </w:r>
      <w:r w:rsidRPr="008B02E0">
        <w:t xml:space="preserve"> A higher proportion of patients were identified as Asian in KN</w:t>
      </w:r>
      <w:r w:rsidR="009E5502">
        <w:noBreakHyphen/>
      </w:r>
      <w:r w:rsidRPr="008B02E0">
        <w:t>177 (16% of pembrolizumab arm, 17% of the chemotherapy arm) compared to CM</w:t>
      </w:r>
      <w:r w:rsidR="009E5502">
        <w:noBreakHyphen/>
      </w:r>
      <w:r w:rsidRPr="008B02E0">
        <w:t>8HW 1L (9% in the nivolumab plus ipilimumab arm, 13% in the chemotherapy arm)</w:t>
      </w:r>
      <w:r w:rsidRPr="008B02E0">
        <w:rPr>
          <w:iCs/>
        </w:rPr>
        <w:t xml:space="preserve"> as more patients were enrolled from Asia in KN</w:t>
      </w:r>
      <w:r w:rsidR="009E5502">
        <w:rPr>
          <w:iCs/>
        </w:rPr>
        <w:noBreakHyphen/>
      </w:r>
      <w:r w:rsidRPr="008B02E0">
        <w:rPr>
          <w:iCs/>
        </w:rPr>
        <w:t xml:space="preserve">177. This may affect patient prognosis, particularly as treatments may differ by region. </w:t>
      </w:r>
    </w:p>
    <w:p w14:paraId="249F9985" w14:textId="52F8E483" w:rsidR="00A066AE" w:rsidRPr="008B02E0" w:rsidRDefault="008F7CBB" w:rsidP="00AE5B32">
      <w:pPr>
        <w:pStyle w:val="ListParagraph"/>
        <w:numPr>
          <w:ilvl w:val="0"/>
          <w:numId w:val="10"/>
        </w:numPr>
        <w:spacing w:after="0"/>
        <w:ind w:left="851" w:hanging="153"/>
      </w:pPr>
      <w:r w:rsidRPr="008B02E0">
        <w:rPr>
          <w:b/>
        </w:rPr>
        <w:t>Eastern Cooperative Oncology Group (</w:t>
      </w:r>
      <w:r w:rsidR="00A066AE" w:rsidRPr="008B02E0">
        <w:rPr>
          <w:b/>
        </w:rPr>
        <w:t>ECOG</w:t>
      </w:r>
      <w:r w:rsidRPr="008B02E0">
        <w:rPr>
          <w:b/>
        </w:rPr>
        <w:t>)</w:t>
      </w:r>
      <w:r w:rsidR="00A066AE" w:rsidRPr="008B02E0">
        <w:rPr>
          <w:b/>
        </w:rPr>
        <w:t xml:space="preserve"> performance status: </w:t>
      </w:r>
      <w:r w:rsidR="00A066AE" w:rsidRPr="008B02E0">
        <w:t>A higher proportion of patients in the nivolumab plus ipilimumab arm of CM</w:t>
      </w:r>
      <w:r w:rsidR="009E5502">
        <w:noBreakHyphen/>
      </w:r>
      <w:r w:rsidR="00A066AE" w:rsidRPr="008B02E0">
        <w:t>8HW 1L (55%) had</w:t>
      </w:r>
      <w:r w:rsidR="00533D07" w:rsidRPr="008B02E0">
        <w:t xml:space="preserve"> an</w:t>
      </w:r>
      <w:r w:rsidR="00A066AE" w:rsidRPr="008B02E0">
        <w:t xml:space="preserve"> ECOG score of 0 compared to the pembrolizumab arm of KN</w:t>
      </w:r>
      <w:r w:rsidR="009E5502">
        <w:noBreakHyphen/>
      </w:r>
      <w:r w:rsidR="00A066AE" w:rsidRPr="008B02E0">
        <w:t xml:space="preserve">177 (49%).  </w:t>
      </w:r>
      <w:r w:rsidR="00A066AE" w:rsidRPr="008B02E0">
        <w:rPr>
          <w:iCs/>
        </w:rPr>
        <w:t>Poor performance status is linked to poorer patient outcomes</w:t>
      </w:r>
      <w:r w:rsidR="00A066AE" w:rsidRPr="008B02E0">
        <w:t xml:space="preserve">. </w:t>
      </w:r>
    </w:p>
    <w:p w14:paraId="19D146D4" w14:textId="04FF72B3" w:rsidR="00A066AE" w:rsidRPr="008B02E0" w:rsidRDefault="00A066AE" w:rsidP="00AE5B32">
      <w:pPr>
        <w:pStyle w:val="ListParagraph"/>
        <w:numPr>
          <w:ilvl w:val="0"/>
          <w:numId w:val="10"/>
        </w:numPr>
        <w:spacing w:after="0"/>
        <w:ind w:left="851" w:hanging="153"/>
      </w:pPr>
      <w:r w:rsidRPr="008B02E0">
        <w:rPr>
          <w:b/>
          <w:i/>
        </w:rPr>
        <w:t>BRAF</w:t>
      </w:r>
      <w:r w:rsidRPr="008B02E0">
        <w:rPr>
          <w:b/>
          <w:iCs/>
        </w:rPr>
        <w:t xml:space="preserve">, </w:t>
      </w:r>
      <w:r w:rsidRPr="008B02E0">
        <w:rPr>
          <w:b/>
          <w:i/>
        </w:rPr>
        <w:t>KRAS</w:t>
      </w:r>
      <w:r w:rsidRPr="008B02E0">
        <w:rPr>
          <w:b/>
          <w:iCs/>
        </w:rPr>
        <w:t>/</w:t>
      </w:r>
      <w:r w:rsidRPr="008B02E0">
        <w:rPr>
          <w:b/>
          <w:i/>
        </w:rPr>
        <w:t>NRAS</w:t>
      </w:r>
      <w:r w:rsidRPr="008B02E0">
        <w:rPr>
          <w:b/>
        </w:rPr>
        <w:t xml:space="preserve"> mutation status:</w:t>
      </w:r>
      <w:r w:rsidRPr="008B02E0">
        <w:t xml:space="preserve"> 27%</w:t>
      </w:r>
      <w:r w:rsidR="00972C38" w:rsidRPr="008B02E0">
        <w:t xml:space="preserve"> of participants</w:t>
      </w:r>
      <w:r w:rsidRPr="008B02E0">
        <w:t xml:space="preserve"> were </w:t>
      </w:r>
      <w:r w:rsidR="008D7189" w:rsidRPr="008B02E0">
        <w:t xml:space="preserve">of </w:t>
      </w:r>
      <w:r w:rsidRPr="008B02E0">
        <w:t>unknown</w:t>
      </w:r>
      <w:r w:rsidR="008D7189" w:rsidRPr="008B02E0">
        <w:t xml:space="preserve"> mutation status</w:t>
      </w:r>
      <w:r w:rsidRPr="008B02E0">
        <w:t xml:space="preserve"> in the nivolumab plus ipilimumab arm of CM</w:t>
      </w:r>
      <w:r w:rsidR="009E5502">
        <w:noBreakHyphen/>
      </w:r>
      <w:r w:rsidRPr="008B02E0">
        <w:t>8HW 1L compared to 34% of the pembrolizumab arm of KN</w:t>
      </w:r>
      <w:r w:rsidR="009E5502">
        <w:noBreakHyphen/>
      </w:r>
      <w:r w:rsidRPr="008B02E0">
        <w:t xml:space="preserve">177. Of those known, 43% of nivolumab plus ipilimumab patients had </w:t>
      </w:r>
      <w:r w:rsidRPr="008B02E0">
        <w:rPr>
          <w:i/>
        </w:rPr>
        <w:t>KRAS</w:t>
      </w:r>
      <w:r w:rsidRPr="008B02E0">
        <w:rPr>
          <w:iCs/>
        </w:rPr>
        <w:t>/</w:t>
      </w:r>
      <w:r w:rsidRPr="008B02E0">
        <w:rPr>
          <w:i/>
        </w:rPr>
        <w:t>NRAS</w:t>
      </w:r>
      <w:r w:rsidRPr="008B02E0">
        <w:t xml:space="preserve"> mutation in CM</w:t>
      </w:r>
      <w:r w:rsidR="009E5502">
        <w:noBreakHyphen/>
      </w:r>
      <w:r w:rsidRPr="008B02E0">
        <w:t>8HW 1L, compared to 33% of pembrolizumab arm of KN</w:t>
      </w:r>
      <w:r w:rsidR="009E5502">
        <w:noBreakHyphen/>
      </w:r>
      <w:r w:rsidRPr="008B02E0">
        <w:t xml:space="preserve">177. </w:t>
      </w:r>
      <w:r w:rsidRPr="008B02E0">
        <w:rPr>
          <w:iCs/>
        </w:rPr>
        <w:t>Mutation status is a prognostic factor and affects downstream treatment decisions.</w:t>
      </w:r>
    </w:p>
    <w:p w14:paraId="0C96FFBF" w14:textId="6FDBE1CE" w:rsidR="00A066AE" w:rsidRPr="008B02E0" w:rsidRDefault="00A066AE" w:rsidP="00AE5B32">
      <w:pPr>
        <w:pStyle w:val="ListParagraph"/>
        <w:numPr>
          <w:ilvl w:val="0"/>
          <w:numId w:val="10"/>
        </w:numPr>
        <w:spacing w:after="0"/>
        <w:ind w:left="851" w:hanging="153"/>
      </w:pPr>
      <w:r w:rsidRPr="008B02E0">
        <w:rPr>
          <w:b/>
        </w:rPr>
        <w:t>Metastases at initial diagnosis:</w:t>
      </w:r>
      <w:r w:rsidRPr="008B02E0">
        <w:t xml:space="preserve"> the proportion of patients with metastases at initial diagnosis was lower for the first line nivolumab plus ipilimumab evidence (42% in CM</w:t>
      </w:r>
      <w:r w:rsidR="009E5502">
        <w:noBreakHyphen/>
      </w:r>
      <w:r w:rsidRPr="008B02E0">
        <w:t>8HW 1L) compared to the pembrolizumab evidence (48% in KN</w:t>
      </w:r>
      <w:r w:rsidR="009E5502">
        <w:noBreakHyphen/>
      </w:r>
      <w:r w:rsidRPr="008B02E0">
        <w:t xml:space="preserve">177). </w:t>
      </w:r>
      <w:r w:rsidRPr="008B02E0">
        <w:rPr>
          <w:iCs/>
        </w:rPr>
        <w:t>Synchronous disease is a prognostic factor for poorer outcomes</w:t>
      </w:r>
      <w:r w:rsidRPr="008B02E0">
        <w:t>.</w:t>
      </w:r>
    </w:p>
    <w:p w14:paraId="17DDF5DE" w14:textId="1CA1C9A7" w:rsidR="00A066AE" w:rsidRPr="008B02E0" w:rsidRDefault="00A066AE" w:rsidP="00AE5B32">
      <w:pPr>
        <w:pStyle w:val="ListParagraph"/>
        <w:numPr>
          <w:ilvl w:val="0"/>
          <w:numId w:val="10"/>
        </w:numPr>
        <w:ind w:left="851" w:hanging="142"/>
        <w:rPr>
          <w:iCs/>
        </w:rPr>
      </w:pPr>
      <w:r w:rsidRPr="008B02E0">
        <w:rPr>
          <w:b/>
          <w:iCs/>
        </w:rPr>
        <w:t>Clinical history of Lynch syndrome</w:t>
      </w:r>
      <w:r w:rsidRPr="008B02E0">
        <w:rPr>
          <w:b/>
        </w:rPr>
        <w:t>:</w:t>
      </w:r>
      <w:r w:rsidRPr="008B02E0">
        <w:t xml:space="preserve"> </w:t>
      </w:r>
      <w:r w:rsidR="00203AD1" w:rsidRPr="008B02E0">
        <w:t>There was a h</w:t>
      </w:r>
      <w:r w:rsidRPr="008B02E0">
        <w:t>igher rate of unknown Lynch status in CM</w:t>
      </w:r>
      <w:r w:rsidR="009E5502">
        <w:noBreakHyphen/>
      </w:r>
      <w:r w:rsidRPr="008B02E0">
        <w:t>8HW 1L (22% in the nivolumab plus ipilimumab arm) compared to 7% in the pembrolizumab arm of KN</w:t>
      </w:r>
      <w:r w:rsidR="009E5502">
        <w:noBreakHyphen/>
      </w:r>
      <w:r w:rsidRPr="008B02E0">
        <w:t>177. In CM</w:t>
      </w:r>
      <w:r w:rsidR="009E5502">
        <w:noBreakHyphen/>
      </w:r>
      <w:r w:rsidRPr="008B02E0">
        <w:t>8HW 1L population, 11% of the nivolumab plus ipilimumab arm had Lynch syndrome, and 18% in the pembrolizumab arm of KN</w:t>
      </w:r>
      <w:r w:rsidR="009E5502">
        <w:noBreakHyphen/>
      </w:r>
      <w:r w:rsidRPr="008B02E0">
        <w:t>177</w:t>
      </w:r>
      <w:r w:rsidRPr="008B02E0">
        <w:rPr>
          <w:iCs/>
        </w:rPr>
        <w:t>. It was unclear if</w:t>
      </w:r>
      <w:r w:rsidR="00300207" w:rsidRPr="008B02E0">
        <w:rPr>
          <w:iCs/>
        </w:rPr>
        <w:t xml:space="preserve"> the</w:t>
      </w:r>
      <w:r w:rsidRPr="008B02E0">
        <w:rPr>
          <w:iCs/>
        </w:rPr>
        <w:t xml:space="preserve"> Lynch syndrome testing algorithm was the same in all studies. </w:t>
      </w:r>
      <w:r w:rsidR="007C21E3" w:rsidRPr="008B02E0">
        <w:t>The ESC noted that l</w:t>
      </w:r>
      <w:r w:rsidRPr="008B02E0">
        <w:t>ynch syndrome patients tend to differ in characteristics to sporadic MSI</w:t>
      </w:r>
      <w:r w:rsidR="009E5502">
        <w:noBreakHyphen/>
      </w:r>
      <w:r w:rsidRPr="008B02E0">
        <w:t>H/dMMR patients, which may result in different prognoses and responses to treatment</w:t>
      </w:r>
      <w:r w:rsidRPr="008B02E0">
        <w:rPr>
          <w:iCs/>
        </w:rPr>
        <w:t>.</w:t>
      </w:r>
      <w:r w:rsidR="00541268" w:rsidRPr="008B02E0">
        <w:rPr>
          <w:iCs/>
        </w:rPr>
        <w:t xml:space="preserve"> </w:t>
      </w:r>
    </w:p>
    <w:p w14:paraId="7F87B016" w14:textId="03E22568" w:rsidR="00705B45" w:rsidRPr="008B02E0" w:rsidRDefault="00541268" w:rsidP="00AE5B32">
      <w:pPr>
        <w:pStyle w:val="ListBullet"/>
        <w:ind w:left="851" w:hanging="142"/>
      </w:pPr>
      <w:r w:rsidRPr="008B02E0">
        <w:rPr>
          <w:b/>
        </w:rPr>
        <w:t>Confirmation of MSI</w:t>
      </w:r>
      <w:r w:rsidR="009E5502">
        <w:rPr>
          <w:b/>
        </w:rPr>
        <w:noBreakHyphen/>
      </w:r>
      <w:r w:rsidRPr="008B02E0">
        <w:rPr>
          <w:b/>
        </w:rPr>
        <w:t>H/dMMR</w:t>
      </w:r>
      <w:r w:rsidRPr="008B02E0">
        <w:t xml:space="preserve">: </w:t>
      </w:r>
      <w:r w:rsidR="00705B45" w:rsidRPr="008B02E0">
        <w:t>Patients were eligible to enrol in CM</w:t>
      </w:r>
      <w:r w:rsidR="009E5502">
        <w:noBreakHyphen/>
      </w:r>
      <w:r w:rsidR="00705B45" w:rsidRPr="008B02E0">
        <w:t>8HW</w:t>
      </w:r>
      <w:r w:rsidRPr="008B02E0">
        <w:t xml:space="preserve"> or KN</w:t>
      </w:r>
      <w:r w:rsidR="009E5502">
        <w:noBreakHyphen/>
      </w:r>
      <w:r w:rsidRPr="008B02E0">
        <w:t>177</w:t>
      </w:r>
      <w:r w:rsidR="00705B45" w:rsidRPr="008B02E0">
        <w:t xml:space="preserve"> if their MSI</w:t>
      </w:r>
      <w:r w:rsidR="009E5502">
        <w:noBreakHyphen/>
      </w:r>
      <w:r w:rsidR="00705B45" w:rsidRPr="008B02E0">
        <w:t xml:space="preserve">H/dMMR had been confirmed by a locally available test (i.e., locally confirmed). </w:t>
      </w:r>
      <w:r w:rsidRPr="008B02E0">
        <w:t>However, in CM</w:t>
      </w:r>
      <w:r w:rsidR="009E5502">
        <w:noBreakHyphen/>
      </w:r>
      <w:r w:rsidRPr="008B02E0">
        <w:t>8HW</w:t>
      </w:r>
      <w:r w:rsidR="00705B45" w:rsidRPr="008B02E0">
        <w:t xml:space="preserve"> MSI</w:t>
      </w:r>
      <w:r w:rsidR="009E5502">
        <w:noBreakHyphen/>
      </w:r>
      <w:r w:rsidR="00705B45" w:rsidRPr="008B02E0">
        <w:t xml:space="preserve">H/dMMR status was then confirmed by a </w:t>
      </w:r>
      <w:r w:rsidR="00705B45" w:rsidRPr="008B02E0">
        <w:lastRenderedPageBreak/>
        <w:t>central lab through IHC staining and PCR testing. If either the central IHC or PCR testing indicated MSI</w:t>
      </w:r>
      <w:r w:rsidR="009E5502">
        <w:noBreakHyphen/>
      </w:r>
      <w:r w:rsidR="00705B45" w:rsidRPr="008B02E0">
        <w:t>H/dMMR, patients were considered to have centrally confirmed MSI</w:t>
      </w:r>
      <w:r w:rsidR="009E5502">
        <w:noBreakHyphen/>
      </w:r>
      <w:r w:rsidR="00705B45" w:rsidRPr="008B02E0">
        <w:t>H/dMMR. The centrally confirmed population</w:t>
      </w:r>
      <w:r w:rsidRPr="008B02E0">
        <w:t xml:space="preserve"> of CM</w:t>
      </w:r>
      <w:r w:rsidR="009E5502">
        <w:noBreakHyphen/>
      </w:r>
      <w:r w:rsidRPr="008B02E0">
        <w:t>8HW</w:t>
      </w:r>
      <w:r w:rsidR="00705B45" w:rsidRPr="008B02E0">
        <w:t xml:space="preserve"> likely resulted in a subgroup of patients with fewer false positive</w:t>
      </w:r>
      <w:r w:rsidR="00652D12" w:rsidRPr="008B02E0">
        <w:t>s</w:t>
      </w:r>
      <w:r w:rsidR="00705B45" w:rsidRPr="008B02E0">
        <w:t xml:space="preserve"> than the intention to treat (ITT) population.</w:t>
      </w:r>
      <w:r w:rsidRPr="008B02E0">
        <w:t xml:space="preserve"> In total, 31</w:t>
      </w:r>
      <w:r w:rsidR="00652D12" w:rsidRPr="008B02E0">
        <w:t>/202</w:t>
      </w:r>
      <w:r w:rsidRPr="008B02E0">
        <w:t xml:space="preserve"> patients receiving nivolumab plus ipilimumab were excluded from the centrally confirmed subgroup of CM</w:t>
      </w:r>
      <w:r w:rsidR="009E5502">
        <w:noBreakHyphen/>
      </w:r>
      <w:r w:rsidRPr="008B02E0">
        <w:t>8HW 1L (i.e., 15%). Given that MSI</w:t>
      </w:r>
      <w:r w:rsidR="009E5502">
        <w:noBreakHyphen/>
      </w:r>
      <w:r w:rsidRPr="008B02E0">
        <w:t xml:space="preserve">H/dMMR status is a predictor of the effectiveness of immune checkpoint inhibitors, the centrally confirmed subgroup of </w:t>
      </w:r>
      <w:r w:rsidR="00652D12" w:rsidRPr="008B02E0">
        <w:t>CM</w:t>
      </w:r>
      <w:r w:rsidR="009E5502">
        <w:noBreakHyphen/>
      </w:r>
      <w:r w:rsidR="00652D12" w:rsidRPr="008B02E0">
        <w:t xml:space="preserve">8HW 1L may be expected to have better prognosis than the </w:t>
      </w:r>
      <w:r w:rsidRPr="008B02E0">
        <w:t>locally confirmed population of KN</w:t>
      </w:r>
      <w:r w:rsidR="009E5502">
        <w:noBreakHyphen/>
      </w:r>
      <w:r w:rsidR="00652D12" w:rsidRPr="008B02E0">
        <w:t>177.</w:t>
      </w:r>
    </w:p>
    <w:p w14:paraId="106A4E93" w14:textId="57493CA9" w:rsidR="003B72F7" w:rsidRPr="008B02E0" w:rsidRDefault="003B72F7" w:rsidP="00AE5B32">
      <w:pPr>
        <w:pStyle w:val="3-BodyText"/>
        <w:numPr>
          <w:ilvl w:val="0"/>
          <w:numId w:val="0"/>
        </w:numPr>
        <w:ind w:left="720"/>
      </w:pPr>
      <w:bookmarkStart w:id="29" w:name="_Ref198721334"/>
      <w:r w:rsidRPr="008B02E0">
        <w:t xml:space="preserve">The ESC </w:t>
      </w:r>
      <w:r w:rsidR="00D86549" w:rsidRPr="008B02E0">
        <w:t xml:space="preserve">also noted </w:t>
      </w:r>
      <w:r w:rsidRPr="008B02E0">
        <w:t xml:space="preserve">that it was likely that the </w:t>
      </w:r>
      <w:r w:rsidR="00A56086" w:rsidRPr="008B02E0">
        <w:t xml:space="preserve">therapies </w:t>
      </w:r>
      <w:r w:rsidR="00D86549" w:rsidRPr="008B02E0">
        <w:t>provided to patients</w:t>
      </w:r>
      <w:r w:rsidR="00A56086" w:rsidRPr="008B02E0">
        <w:t xml:space="preserve"> in the </w:t>
      </w:r>
      <w:r w:rsidRPr="008B02E0">
        <w:t xml:space="preserve">chemotherapy arms of </w:t>
      </w:r>
      <w:r w:rsidRPr="008B02E0">
        <w:rPr>
          <w:iCs/>
        </w:rPr>
        <w:t>CM</w:t>
      </w:r>
      <w:r w:rsidR="009E5502">
        <w:rPr>
          <w:iCs/>
        </w:rPr>
        <w:noBreakHyphen/>
      </w:r>
      <w:r w:rsidRPr="008B02E0">
        <w:rPr>
          <w:iCs/>
        </w:rPr>
        <w:t>8HW and KN</w:t>
      </w:r>
      <w:r w:rsidR="009E5502">
        <w:rPr>
          <w:iCs/>
        </w:rPr>
        <w:noBreakHyphen/>
      </w:r>
      <w:r w:rsidRPr="008B02E0">
        <w:rPr>
          <w:iCs/>
        </w:rPr>
        <w:t xml:space="preserve">177 </w:t>
      </w:r>
      <w:r w:rsidR="00A56086" w:rsidRPr="008B02E0">
        <w:rPr>
          <w:iCs/>
        </w:rPr>
        <w:t>would be</w:t>
      </w:r>
      <w:r w:rsidRPr="008B02E0">
        <w:rPr>
          <w:iCs/>
        </w:rPr>
        <w:t xml:space="preserve"> </w:t>
      </w:r>
      <w:r w:rsidR="00E12ED5" w:rsidRPr="008B02E0">
        <w:rPr>
          <w:iCs/>
        </w:rPr>
        <w:t>different</w:t>
      </w:r>
      <w:r w:rsidR="00A56086" w:rsidRPr="008B02E0">
        <w:rPr>
          <w:iCs/>
        </w:rPr>
        <w:t>,</w:t>
      </w:r>
      <w:r w:rsidR="00680DEA" w:rsidRPr="008B02E0">
        <w:rPr>
          <w:iCs/>
        </w:rPr>
        <w:t xml:space="preserve"> given the timing of the trials (</w:t>
      </w:r>
      <w:r w:rsidR="00A56086" w:rsidRPr="008B02E0">
        <w:rPr>
          <w:iCs/>
        </w:rPr>
        <w:t>KN</w:t>
      </w:r>
      <w:r w:rsidR="009E5502">
        <w:rPr>
          <w:iCs/>
        </w:rPr>
        <w:noBreakHyphen/>
      </w:r>
      <w:r w:rsidR="00A56086" w:rsidRPr="008B02E0">
        <w:rPr>
          <w:iCs/>
        </w:rPr>
        <w:t>177: 2016</w:t>
      </w:r>
      <w:r w:rsidR="00A56086" w:rsidRPr="008B02E0">
        <w:rPr>
          <w:rFonts w:cstheme="minorHAnsi"/>
          <w:iCs/>
        </w:rPr>
        <w:t>−</w:t>
      </w:r>
      <w:r w:rsidR="00A56086" w:rsidRPr="008B02E0">
        <w:rPr>
          <w:iCs/>
        </w:rPr>
        <w:t>18, CM</w:t>
      </w:r>
      <w:r w:rsidR="009E5502">
        <w:rPr>
          <w:iCs/>
        </w:rPr>
        <w:noBreakHyphen/>
      </w:r>
      <w:r w:rsidR="00A56086" w:rsidRPr="008B02E0">
        <w:rPr>
          <w:iCs/>
        </w:rPr>
        <w:t>8HW: 2019</w:t>
      </w:r>
      <w:r w:rsidR="00776D1F" w:rsidRPr="008B02E0">
        <w:rPr>
          <w:rFonts w:cstheme="minorHAnsi"/>
          <w:iCs/>
        </w:rPr>
        <w:t>−</w:t>
      </w:r>
      <w:r w:rsidR="00A56086" w:rsidRPr="008B02E0">
        <w:rPr>
          <w:iCs/>
        </w:rPr>
        <w:t>23)</w:t>
      </w:r>
      <w:r w:rsidR="00D86549" w:rsidRPr="008B02E0">
        <w:rPr>
          <w:iCs/>
        </w:rPr>
        <w:t>.</w:t>
      </w:r>
    </w:p>
    <w:p w14:paraId="718C1D88" w14:textId="152BE828" w:rsidR="009253ED" w:rsidRPr="008B02E0" w:rsidRDefault="00A94DF4" w:rsidP="00AE5B32">
      <w:pPr>
        <w:pStyle w:val="3-BodyText"/>
        <w:rPr>
          <w:iCs/>
        </w:rPr>
      </w:pPr>
      <w:r w:rsidRPr="008B02E0">
        <w:rPr>
          <w:iCs/>
        </w:rPr>
        <w:t xml:space="preserve">The evaluation </w:t>
      </w:r>
      <w:r w:rsidR="003B735E" w:rsidRPr="008B02E0">
        <w:rPr>
          <w:iCs/>
        </w:rPr>
        <w:t>noted</w:t>
      </w:r>
      <w:r w:rsidRPr="008B02E0">
        <w:rPr>
          <w:iCs/>
        </w:rPr>
        <w:t xml:space="preserve"> that there </w:t>
      </w:r>
      <w:r w:rsidR="007C3DEE" w:rsidRPr="008B02E0">
        <w:rPr>
          <w:iCs/>
        </w:rPr>
        <w:t>were</w:t>
      </w:r>
      <w:r w:rsidRPr="008B02E0">
        <w:rPr>
          <w:iCs/>
        </w:rPr>
        <w:t xml:space="preserve"> s</w:t>
      </w:r>
      <w:r w:rsidR="009253ED" w:rsidRPr="008B02E0">
        <w:rPr>
          <w:iCs/>
        </w:rPr>
        <w:t xml:space="preserve">everal </w:t>
      </w:r>
      <w:r w:rsidR="004A50A1" w:rsidRPr="008B02E0">
        <w:rPr>
          <w:iCs/>
        </w:rPr>
        <w:t xml:space="preserve">potentially important prognostic </w:t>
      </w:r>
      <w:r w:rsidR="009253ED" w:rsidRPr="008B02E0">
        <w:t>factors that could not be compared between CM</w:t>
      </w:r>
      <w:r w:rsidR="009E5502">
        <w:noBreakHyphen/>
      </w:r>
      <w:r w:rsidR="009253ED" w:rsidRPr="008B02E0">
        <w:t>8HW and KN</w:t>
      </w:r>
      <w:r w:rsidR="009E5502">
        <w:noBreakHyphen/>
      </w:r>
      <w:r w:rsidR="009253ED" w:rsidRPr="008B02E0">
        <w:t>177</w:t>
      </w:r>
      <w:r w:rsidR="004A50A1" w:rsidRPr="008B02E0">
        <w:t>, including</w:t>
      </w:r>
      <w:r w:rsidR="009253ED" w:rsidRPr="008B02E0">
        <w:t>: resection of primary tumour, resection of metastases, number of metastasis sites, tumour differentiation, lactate dehydrogenase, alkaline phosphatase, carcinoembryonic antigen, albumin, platelet count, initially resectable metastatic disease, lung</w:t>
      </w:r>
      <w:r w:rsidR="009E5502">
        <w:noBreakHyphen/>
      </w:r>
      <w:r w:rsidR="009253ED" w:rsidRPr="008B02E0">
        <w:t>only disease, peritoneal disease, number of metastases, comorbidity, weight/BMI, weight loss, symptomatic disease</w:t>
      </w:r>
      <w:r w:rsidR="009253ED" w:rsidRPr="008B02E0">
        <w:rPr>
          <w:iCs/>
        </w:rPr>
        <w:t>.</w:t>
      </w:r>
      <w:bookmarkEnd w:id="29"/>
      <w:r w:rsidR="009253ED" w:rsidRPr="008B02E0">
        <w:rPr>
          <w:iCs/>
        </w:rPr>
        <w:t xml:space="preserve"> </w:t>
      </w:r>
    </w:p>
    <w:p w14:paraId="392DF0F5" w14:textId="68A2BC4F" w:rsidR="00A066AE" w:rsidRPr="008B02E0" w:rsidRDefault="00A066AE" w:rsidP="00AE5B32">
      <w:pPr>
        <w:pStyle w:val="3-BodyText"/>
        <w:rPr>
          <w:iCs/>
        </w:rPr>
      </w:pPr>
      <w:r w:rsidRPr="008B02E0">
        <w:rPr>
          <w:iCs/>
        </w:rPr>
        <w:t>A comparison of the nivolumab plus ipilimumab arms of CM</w:t>
      </w:r>
      <w:r w:rsidR="009E5502">
        <w:rPr>
          <w:iCs/>
        </w:rPr>
        <w:noBreakHyphen/>
      </w:r>
      <w:r w:rsidRPr="008B02E0">
        <w:rPr>
          <w:iCs/>
        </w:rPr>
        <w:t>8HW 1L and CM</w:t>
      </w:r>
      <w:r w:rsidR="009E5502">
        <w:rPr>
          <w:iCs/>
        </w:rPr>
        <w:noBreakHyphen/>
      </w:r>
      <w:r w:rsidRPr="008B02E0">
        <w:rPr>
          <w:iCs/>
        </w:rPr>
        <w:t xml:space="preserve">142 Cohort 3 also suggested there were potentially significant differences in the populations, particularly concerning </w:t>
      </w:r>
      <w:r w:rsidRPr="008B02E0">
        <w:rPr>
          <w:i/>
        </w:rPr>
        <w:t>BRAF</w:t>
      </w:r>
      <w:r w:rsidRPr="008B02E0">
        <w:rPr>
          <w:iCs/>
        </w:rPr>
        <w:t xml:space="preserve">, </w:t>
      </w:r>
      <w:r w:rsidRPr="008B02E0">
        <w:rPr>
          <w:i/>
        </w:rPr>
        <w:t>KRAS</w:t>
      </w:r>
      <w:r w:rsidRPr="008B02E0">
        <w:rPr>
          <w:iCs/>
        </w:rPr>
        <w:t>/</w:t>
      </w:r>
      <w:r w:rsidRPr="008B02E0">
        <w:rPr>
          <w:i/>
        </w:rPr>
        <w:t>NRAS</w:t>
      </w:r>
      <w:r w:rsidRPr="008B02E0">
        <w:rPr>
          <w:iCs/>
        </w:rPr>
        <w:t xml:space="preserve"> mutation status, age, and primary tumour location. </w:t>
      </w:r>
      <w:r w:rsidRPr="008B02E0">
        <w:t>The</w:t>
      </w:r>
      <w:r w:rsidR="006E6670" w:rsidRPr="008B02E0">
        <w:t xml:space="preserve"> evaluation considered that the</w:t>
      </w:r>
      <w:r w:rsidRPr="008B02E0">
        <w:t>se</w:t>
      </w:r>
      <w:r w:rsidRPr="008B02E0">
        <w:rPr>
          <w:iCs/>
        </w:rPr>
        <w:t xml:space="preserve"> differences suggest it may not be reasonable to use CM</w:t>
      </w:r>
      <w:r w:rsidR="009E5502">
        <w:rPr>
          <w:iCs/>
        </w:rPr>
        <w:noBreakHyphen/>
      </w:r>
      <w:r w:rsidRPr="008B02E0">
        <w:rPr>
          <w:iCs/>
        </w:rPr>
        <w:t>142 Cohort 3 data in place of CM</w:t>
      </w:r>
      <w:r w:rsidR="009E5502">
        <w:rPr>
          <w:iCs/>
        </w:rPr>
        <w:noBreakHyphen/>
      </w:r>
      <w:r w:rsidRPr="008B02E0">
        <w:rPr>
          <w:iCs/>
        </w:rPr>
        <w:t>8HW 1L data.</w:t>
      </w:r>
    </w:p>
    <w:p w14:paraId="56288C5E" w14:textId="4E29C5B5" w:rsidR="008918F4" w:rsidRPr="008B02E0" w:rsidRDefault="008918F4" w:rsidP="00AE5B32">
      <w:pPr>
        <w:pStyle w:val="3-BodyText"/>
      </w:pPr>
      <w:r w:rsidRPr="008B02E0">
        <w:t>The submission claimed that despite differences</w:t>
      </w:r>
      <w:r w:rsidR="0037097B" w:rsidRPr="008B02E0">
        <w:t xml:space="preserve"> between CM</w:t>
      </w:r>
      <w:r w:rsidR="009E5502">
        <w:noBreakHyphen/>
      </w:r>
      <w:r w:rsidR="0037097B" w:rsidRPr="008B02E0">
        <w:t xml:space="preserve">8HW and </w:t>
      </w:r>
      <w:r w:rsidRPr="008B02E0">
        <w:t xml:space="preserve">Australian population in age, gender, tumour location, </w:t>
      </w:r>
      <w:r w:rsidRPr="008B02E0">
        <w:rPr>
          <w:i/>
          <w:iCs/>
        </w:rPr>
        <w:t>BRAF</w:t>
      </w:r>
      <w:r w:rsidRPr="008B02E0">
        <w:t>/</w:t>
      </w:r>
      <w:r w:rsidRPr="008B02E0">
        <w:rPr>
          <w:i/>
          <w:iCs/>
        </w:rPr>
        <w:t>KRAS</w:t>
      </w:r>
      <w:r w:rsidRPr="008B02E0">
        <w:t xml:space="preserve"> mutations status (</w:t>
      </w:r>
      <w:r w:rsidR="0037097B" w:rsidRPr="008B02E0">
        <w:t>based on data from 62 South Australian MSI</w:t>
      </w:r>
      <w:r w:rsidR="009E5502">
        <w:noBreakHyphen/>
      </w:r>
      <w:r w:rsidR="0037097B" w:rsidRPr="008B02E0">
        <w:t>H/dMMR patients in Chong et al., 2019</w:t>
      </w:r>
      <w:r w:rsidR="0037097B" w:rsidRPr="008B02E0">
        <w:rPr>
          <w:rStyle w:val="FootnoteReference"/>
        </w:rPr>
        <w:footnoteReference w:id="24"/>
      </w:r>
      <w:r w:rsidRPr="008B02E0">
        <w:t>) these factors were not treatment effect modifiers based on subgroup analyses of nivolumab plus ipilimumab versus chemotherapy.</w:t>
      </w:r>
      <w:r w:rsidR="0037097B" w:rsidRPr="008B02E0">
        <w:t xml:space="preserve"> </w:t>
      </w:r>
      <w:r w:rsidR="0037097B" w:rsidRPr="008B02E0">
        <w:rPr>
          <w:iCs/>
        </w:rPr>
        <w:t xml:space="preserve">However, subgroup analyses for nivolumab plus ipilimumab versus pembrolizumab were not presented in the submission; and subgroup analyses were limited to progression free survival (PFS). Baseline characteristics, particularly </w:t>
      </w:r>
      <w:r w:rsidR="0037097B" w:rsidRPr="008B02E0">
        <w:rPr>
          <w:i/>
          <w:iCs/>
        </w:rPr>
        <w:t>BRAF</w:t>
      </w:r>
      <w:r w:rsidR="0037097B" w:rsidRPr="008B02E0">
        <w:t xml:space="preserve"> </w:t>
      </w:r>
      <w:r w:rsidR="0037097B" w:rsidRPr="008B02E0">
        <w:rPr>
          <w:iCs/>
        </w:rPr>
        <w:t xml:space="preserve">and </w:t>
      </w:r>
      <w:r w:rsidR="0037097B" w:rsidRPr="008B02E0">
        <w:rPr>
          <w:i/>
          <w:iCs/>
        </w:rPr>
        <w:t>KRAS</w:t>
      </w:r>
      <w:r w:rsidR="0037097B" w:rsidRPr="008B02E0">
        <w:t>/</w:t>
      </w:r>
      <w:r w:rsidR="0037097B" w:rsidRPr="008B02E0">
        <w:rPr>
          <w:i/>
          <w:iCs/>
        </w:rPr>
        <w:t>NRAS</w:t>
      </w:r>
      <w:r w:rsidR="0037097B" w:rsidRPr="008B02E0">
        <w:rPr>
          <w:iCs/>
        </w:rPr>
        <w:t xml:space="preserve"> mutation status, patient fitness and age, inform subsequent treatment choices and their effectiveness, and are therefore likely to affect overall survival benefit.</w:t>
      </w:r>
    </w:p>
    <w:p w14:paraId="58233B99" w14:textId="77777777" w:rsidR="00EB6430" w:rsidRPr="008B02E0" w:rsidRDefault="00EB6430" w:rsidP="00AE5B32">
      <w:pPr>
        <w:pStyle w:val="4-SubsectionHeading"/>
      </w:pPr>
      <w:bookmarkStart w:id="30" w:name="_Toc22897641"/>
      <w:bookmarkStart w:id="31" w:name="_Toc197719835"/>
      <w:bookmarkStart w:id="32" w:name="_Toc198731739"/>
      <w:r w:rsidRPr="008B02E0">
        <w:t>Comparative effectiveness</w:t>
      </w:r>
      <w:bookmarkEnd w:id="30"/>
      <w:bookmarkEnd w:id="31"/>
      <w:bookmarkEnd w:id="32"/>
    </w:p>
    <w:p w14:paraId="5AB247F4" w14:textId="236D51B1" w:rsidR="00EB6430" w:rsidRPr="008B02E0" w:rsidRDefault="00EB6430" w:rsidP="00AE5B32">
      <w:pPr>
        <w:pStyle w:val="3-BodyText"/>
        <w:rPr>
          <w:color w:val="0066FF"/>
        </w:rPr>
      </w:pPr>
      <w:r w:rsidRPr="008B02E0">
        <w:t>The submission presented results for the ITT populations of CM</w:t>
      </w:r>
      <w:r w:rsidR="009E5502">
        <w:noBreakHyphen/>
      </w:r>
      <w:r w:rsidRPr="008B02E0">
        <w:t>8HW (</w:t>
      </w:r>
      <w:r w:rsidR="00C63837" w:rsidRPr="008B02E0">
        <w:t xml:space="preserve">locally confirmed </w:t>
      </w:r>
      <w:r w:rsidRPr="008B02E0">
        <w:t>MSI</w:t>
      </w:r>
      <w:r w:rsidR="009E5502">
        <w:noBreakHyphen/>
      </w:r>
      <w:r w:rsidRPr="008B02E0">
        <w:t xml:space="preserve">H/dMMR mCRC) and the subgroup with centrally confirmed </w:t>
      </w:r>
      <w:r w:rsidRPr="008B02E0">
        <w:lastRenderedPageBreak/>
        <w:t>MSI</w:t>
      </w:r>
      <w:r w:rsidR="009E5502">
        <w:noBreakHyphen/>
      </w:r>
      <w:r w:rsidRPr="008B02E0">
        <w:t>H/dMMR. Results for KN</w:t>
      </w:r>
      <w:r w:rsidR="009E5502">
        <w:noBreakHyphen/>
      </w:r>
      <w:r w:rsidRPr="008B02E0">
        <w:t>177 and CM</w:t>
      </w:r>
      <w:r w:rsidR="009E5502">
        <w:noBreakHyphen/>
      </w:r>
      <w:r w:rsidRPr="008B02E0">
        <w:t>142 Cohort 3 were presented only for locally confirmed MSI</w:t>
      </w:r>
      <w:r w:rsidR="009E5502">
        <w:noBreakHyphen/>
      </w:r>
      <w:r w:rsidRPr="008B02E0">
        <w:t xml:space="preserve">H/dMMR patients. </w:t>
      </w:r>
    </w:p>
    <w:p w14:paraId="047F40A6" w14:textId="5CC389B8" w:rsidR="00EB6430" w:rsidRPr="008B02E0" w:rsidRDefault="00EB6430" w:rsidP="00AE5B32">
      <w:pPr>
        <w:pStyle w:val="3-BodyText"/>
        <w:rPr>
          <w:color w:val="0066FF"/>
        </w:rPr>
      </w:pPr>
      <w:bookmarkStart w:id="33" w:name="_Hlk197939524"/>
      <w:r w:rsidRPr="008B02E0">
        <w:rPr>
          <w:iCs/>
        </w:rPr>
        <w:t>The primary endpoint of CM</w:t>
      </w:r>
      <w:r w:rsidR="009E5502">
        <w:rPr>
          <w:iCs/>
        </w:rPr>
        <w:noBreakHyphen/>
      </w:r>
      <w:r w:rsidRPr="008B02E0">
        <w:rPr>
          <w:iCs/>
        </w:rPr>
        <w:t>8HW, PFS, was for the subgroup with centrally confirmed MSI</w:t>
      </w:r>
      <w:r w:rsidR="009E5502">
        <w:rPr>
          <w:iCs/>
        </w:rPr>
        <w:noBreakHyphen/>
      </w:r>
      <w:r w:rsidRPr="008B02E0">
        <w:rPr>
          <w:iCs/>
        </w:rPr>
        <w:t>H/dMMR. However, as this was not the ITT population, patients were not randomised based on centrally confirmed MSI</w:t>
      </w:r>
      <w:r w:rsidR="009E5502">
        <w:rPr>
          <w:iCs/>
        </w:rPr>
        <w:noBreakHyphen/>
      </w:r>
      <w:r w:rsidRPr="008B02E0">
        <w:rPr>
          <w:iCs/>
        </w:rPr>
        <w:t>H/dMMR, potentially leading to a loss of randomisation when selecting this subgroup. To maintain comparability with the other studies, the modelled economic evaluation</w:t>
      </w:r>
      <w:r w:rsidR="00652D12" w:rsidRPr="008B02E0">
        <w:rPr>
          <w:iCs/>
        </w:rPr>
        <w:t>, and the ITCs</w:t>
      </w:r>
      <w:r w:rsidRPr="008B02E0">
        <w:rPr>
          <w:iCs/>
        </w:rPr>
        <w:t>, th</w:t>
      </w:r>
      <w:r w:rsidR="00CD258B" w:rsidRPr="008B02E0">
        <w:rPr>
          <w:iCs/>
        </w:rPr>
        <w:t xml:space="preserve">is document </w:t>
      </w:r>
      <w:r w:rsidRPr="008B02E0">
        <w:rPr>
          <w:iCs/>
        </w:rPr>
        <w:t>focuses on the results of the</w:t>
      </w:r>
      <w:r w:rsidR="00876E5A" w:rsidRPr="008B02E0">
        <w:rPr>
          <w:iCs/>
        </w:rPr>
        <w:t xml:space="preserve"> ITT population</w:t>
      </w:r>
      <w:r w:rsidRPr="008B02E0">
        <w:rPr>
          <w:iCs/>
        </w:rPr>
        <w:t xml:space="preserve"> </w:t>
      </w:r>
      <w:r w:rsidR="008C5611" w:rsidRPr="008B02E0">
        <w:rPr>
          <w:iCs/>
        </w:rPr>
        <w:t xml:space="preserve">with </w:t>
      </w:r>
      <w:r w:rsidRPr="008B02E0">
        <w:rPr>
          <w:iCs/>
        </w:rPr>
        <w:t xml:space="preserve">locally confirmed </w:t>
      </w:r>
      <w:r w:rsidRPr="008B02E0">
        <w:t>MSI</w:t>
      </w:r>
      <w:r w:rsidR="009E5502">
        <w:noBreakHyphen/>
      </w:r>
      <w:r w:rsidRPr="008B02E0">
        <w:t>H/dMMR</w:t>
      </w:r>
      <w:bookmarkEnd w:id="33"/>
      <w:r w:rsidRPr="008B02E0">
        <w:rPr>
          <w:iCs/>
        </w:rPr>
        <w:t>. The PBAC previously accepted that the heterogeneous, locally performed standard</w:t>
      </w:r>
      <w:r w:rsidR="009E5502">
        <w:rPr>
          <w:iCs/>
        </w:rPr>
        <w:noBreakHyphen/>
      </w:r>
      <w:r w:rsidRPr="008B02E0">
        <w:rPr>
          <w:iCs/>
        </w:rPr>
        <w:t>of</w:t>
      </w:r>
      <w:r w:rsidR="009E5502">
        <w:rPr>
          <w:iCs/>
        </w:rPr>
        <w:noBreakHyphen/>
      </w:r>
      <w:r w:rsidRPr="008B02E0">
        <w:rPr>
          <w:iCs/>
        </w:rPr>
        <w:t>care testing in KN</w:t>
      </w:r>
      <w:r w:rsidR="009E5502">
        <w:rPr>
          <w:iCs/>
        </w:rPr>
        <w:noBreakHyphen/>
      </w:r>
      <w:r w:rsidRPr="008B02E0">
        <w:rPr>
          <w:iCs/>
        </w:rPr>
        <w:t xml:space="preserve">177 (including Australian sites) was applicable to Australian practice (paragraph 4.2, pembrolizumab </w:t>
      </w:r>
      <w:r w:rsidR="00A11670" w:rsidRPr="008B02E0">
        <w:rPr>
          <w:iCs/>
        </w:rPr>
        <w:t>PSD</w:t>
      </w:r>
      <w:r w:rsidRPr="008B02E0">
        <w:rPr>
          <w:iCs/>
        </w:rPr>
        <w:t>, March 2021 PBAC Meeting). Therefore, it may be reasonable to assume the same for the locally confirmed population of CM</w:t>
      </w:r>
      <w:r w:rsidR="009E5502">
        <w:rPr>
          <w:iCs/>
        </w:rPr>
        <w:noBreakHyphen/>
      </w:r>
      <w:r w:rsidRPr="008B02E0">
        <w:rPr>
          <w:iCs/>
        </w:rPr>
        <w:t xml:space="preserve">8HW. </w:t>
      </w:r>
      <w:r w:rsidR="008C34CB" w:rsidRPr="008B02E0">
        <w:t>The ESC considered that the</w:t>
      </w:r>
      <w:r w:rsidR="00784388" w:rsidRPr="008B02E0">
        <w:t xml:space="preserve"> CM</w:t>
      </w:r>
      <w:r w:rsidR="009E5502">
        <w:noBreakHyphen/>
      </w:r>
      <w:r w:rsidR="00784388" w:rsidRPr="008B02E0">
        <w:t>8HW</w:t>
      </w:r>
      <w:r w:rsidR="008C34CB" w:rsidRPr="008B02E0">
        <w:t xml:space="preserve"> locally confirmed </w:t>
      </w:r>
      <w:r w:rsidR="00E33482" w:rsidRPr="008B02E0">
        <w:t>MSI</w:t>
      </w:r>
      <w:r w:rsidR="009E5502">
        <w:noBreakHyphen/>
      </w:r>
      <w:r w:rsidR="00E33482" w:rsidRPr="008B02E0">
        <w:t>H/</w:t>
      </w:r>
      <w:r w:rsidR="008C34CB" w:rsidRPr="008B02E0">
        <w:t>dMMR ITT populatio</w:t>
      </w:r>
      <w:r w:rsidR="00FE598D" w:rsidRPr="008B02E0">
        <w:t xml:space="preserve">n </w:t>
      </w:r>
      <w:r w:rsidR="00784388" w:rsidRPr="008B02E0">
        <w:t>was likely applicable to the</w:t>
      </w:r>
      <w:r w:rsidR="002246E1" w:rsidRPr="008B02E0">
        <w:t xml:space="preserve"> proposed</w:t>
      </w:r>
      <w:r w:rsidR="00FE598D" w:rsidRPr="008B02E0">
        <w:t xml:space="preserve"> PBS population. </w:t>
      </w:r>
    </w:p>
    <w:p w14:paraId="20DFCE17" w14:textId="77777777" w:rsidR="00EB6430" w:rsidRPr="008B02E0" w:rsidRDefault="00EB6430" w:rsidP="00AE5B32">
      <w:pPr>
        <w:pStyle w:val="5-SubsectionSubheading"/>
      </w:pPr>
      <w:bookmarkStart w:id="34" w:name="_Toc135217980"/>
      <w:bookmarkStart w:id="35" w:name="_Toc197719836"/>
      <w:bookmarkStart w:id="36" w:name="_Toc198731740"/>
      <w:r w:rsidRPr="008B02E0">
        <w:t>Progression free survival</w:t>
      </w:r>
      <w:bookmarkEnd w:id="34"/>
      <w:bookmarkEnd w:id="35"/>
      <w:bookmarkEnd w:id="36"/>
    </w:p>
    <w:p w14:paraId="44F1FB28" w14:textId="75BD6509" w:rsidR="00EB6430" w:rsidRPr="008B02E0" w:rsidRDefault="00EB6430" w:rsidP="00AE5B32">
      <w:pPr>
        <w:pStyle w:val="3-BodyText"/>
      </w:pPr>
      <w:r w:rsidRPr="008B02E0">
        <w:t xml:space="preserve">The main outcome presented in the submission was PFS. PFS results from the included studies are presented in </w:t>
      </w:r>
      <w:fldSimple w:instr=" REF _Ref197686414  \* MERGEFORMAT ">
        <w:r w:rsidR="00B542C9" w:rsidRPr="00B542C9">
          <w:rPr>
            <w:rFonts w:eastAsiaTheme="majorEastAsia"/>
          </w:rPr>
          <w:t xml:space="preserve">Table </w:t>
        </w:r>
        <w:r w:rsidR="00B542C9" w:rsidRPr="00B542C9">
          <w:t>4</w:t>
        </w:r>
      </w:fldSimple>
      <w:r w:rsidRPr="008B02E0">
        <w:t xml:space="preserve">, with </w:t>
      </w:r>
      <w:r w:rsidR="00ED1ED4" w:rsidRPr="008B02E0">
        <w:t>Kaplan</w:t>
      </w:r>
      <w:r w:rsidR="009E5502">
        <w:noBreakHyphen/>
      </w:r>
      <w:r w:rsidR="00ED1ED4" w:rsidRPr="008B02E0">
        <w:t>Meier (</w:t>
      </w:r>
      <w:r w:rsidRPr="008B02E0">
        <w:t>KM</w:t>
      </w:r>
      <w:r w:rsidR="00ED1ED4" w:rsidRPr="008B02E0">
        <w:t>)</w:t>
      </w:r>
      <w:r w:rsidRPr="008B02E0">
        <w:t xml:space="preserve"> curves presented in </w:t>
      </w:r>
      <w:r w:rsidR="008258C7">
        <w:fldChar w:fldCharType="begin"/>
      </w:r>
      <w:r w:rsidR="008258C7">
        <w:instrText xml:space="preserve"> REF _Ref197693991 </w:instrText>
      </w:r>
      <w:r w:rsidR="008258C7">
        <w:fldChar w:fldCharType="separate"/>
      </w:r>
      <w:r w:rsidR="00B542C9" w:rsidRPr="008B02E0">
        <w:t xml:space="preserve">Figure </w:t>
      </w:r>
      <w:r w:rsidR="00B542C9">
        <w:rPr>
          <w:noProof/>
        </w:rPr>
        <w:t>2</w:t>
      </w:r>
      <w:r w:rsidR="008258C7">
        <w:rPr>
          <w:noProof/>
        </w:rPr>
        <w:fldChar w:fldCharType="end"/>
      </w:r>
      <w:r w:rsidRPr="008B02E0">
        <w:t xml:space="preserve">. </w:t>
      </w:r>
      <w:fldSimple w:instr=" REF _Ref197686414  \* MERGEFORMAT ">
        <w:r w:rsidR="00B542C9" w:rsidRPr="00B542C9">
          <w:t>Table 4</w:t>
        </w:r>
      </w:fldSimple>
      <w:bookmarkStart w:id="37" w:name="_Hlk197939838"/>
      <w:r w:rsidR="00F91910" w:rsidRPr="008B02E0">
        <w:t xml:space="preserve"> </w:t>
      </w:r>
      <w:r w:rsidRPr="008B02E0">
        <w:t>includes PFS data for nivolumab plus ipilimumab from: i) CM</w:t>
      </w:r>
      <w:r w:rsidR="009E5502">
        <w:noBreakHyphen/>
      </w:r>
      <w:r w:rsidRPr="008B02E0">
        <w:t>8HW 1L versus chemotherapy (DCO: 12 October 2023 and 28 August 2024); ii) CM</w:t>
      </w:r>
      <w:r w:rsidR="009E5502">
        <w:noBreakHyphen/>
      </w:r>
      <w:r w:rsidRPr="008B02E0">
        <w:t>8HW 1L+ versus nivolumab monotherapy (DCO: 28 August 2024); and iii) CM</w:t>
      </w:r>
      <w:r w:rsidR="009E5502">
        <w:noBreakHyphen/>
      </w:r>
      <w:r w:rsidRPr="008B02E0">
        <w:t xml:space="preserve">142 Cohort 3 (Lenz et al. 2023). </w:t>
      </w:r>
      <w:bookmarkEnd w:id="37"/>
      <w:r w:rsidRPr="008B02E0">
        <w:t>Also presented are PFS data for pembrolizumab versus chemotherapy from all reported follow ups.</w:t>
      </w:r>
      <w:r w:rsidR="00B94D2A" w:rsidRPr="008B02E0">
        <w:t xml:space="preserve"> </w:t>
      </w:r>
      <w:r w:rsidR="00B94D2A" w:rsidRPr="008B02E0">
        <w:rPr>
          <w:iCs/>
        </w:rPr>
        <w:t>While the locally confirmed CM</w:t>
      </w:r>
      <w:r w:rsidR="009E5502">
        <w:rPr>
          <w:iCs/>
        </w:rPr>
        <w:noBreakHyphen/>
      </w:r>
      <w:r w:rsidR="00B94D2A" w:rsidRPr="008B02E0">
        <w:rPr>
          <w:iCs/>
        </w:rPr>
        <w:t xml:space="preserve">8HW 1L comparison of nivolumab plus ipilimumab to chemotherapy were presented only for DCO 12 October 2023 in the main trial results from the submission, data from DCO 28 August 2024 were available and were used in </w:t>
      </w:r>
      <w:r w:rsidR="008E24F4" w:rsidRPr="008B02E0">
        <w:rPr>
          <w:iCs/>
        </w:rPr>
        <w:t xml:space="preserve">the </w:t>
      </w:r>
      <w:r w:rsidR="00B94D2A" w:rsidRPr="008B02E0">
        <w:rPr>
          <w:iCs/>
        </w:rPr>
        <w:t xml:space="preserve">MAIC and economic analysis. </w:t>
      </w:r>
    </w:p>
    <w:p w14:paraId="123D0D38" w14:textId="1889611F" w:rsidR="00EB6430" w:rsidRPr="008B02E0" w:rsidRDefault="00EB6430" w:rsidP="00AE5B32">
      <w:pPr>
        <w:pStyle w:val="TableFigureHeading"/>
        <w:rPr>
          <w:rStyle w:val="CommentReference"/>
          <w:b/>
          <w:szCs w:val="24"/>
        </w:rPr>
      </w:pPr>
      <w:bookmarkStart w:id="38" w:name="_Ref197686414"/>
      <w:r w:rsidRPr="008B02E0">
        <w:rPr>
          <w:rStyle w:val="CommentReference"/>
          <w:b/>
          <w:szCs w:val="24"/>
        </w:rPr>
        <w:lastRenderedPageBreak/>
        <w:t xml:space="preserve">Table </w:t>
      </w:r>
      <w:r w:rsidRPr="008B02E0">
        <w:rPr>
          <w:rStyle w:val="CommentReference"/>
          <w:b/>
          <w:szCs w:val="24"/>
        </w:rPr>
        <w:fldChar w:fldCharType="begin"/>
      </w:r>
      <w:r w:rsidRPr="008B02E0">
        <w:rPr>
          <w:rStyle w:val="CommentReference"/>
          <w:b/>
          <w:szCs w:val="24"/>
        </w:rPr>
        <w:instrText xml:space="preserve"> SEQ Table \* ARABIC </w:instrText>
      </w:r>
      <w:r w:rsidRPr="008B02E0">
        <w:rPr>
          <w:rStyle w:val="CommentReference"/>
          <w:b/>
          <w:szCs w:val="24"/>
        </w:rPr>
        <w:fldChar w:fldCharType="separate"/>
      </w:r>
      <w:r w:rsidR="00B542C9">
        <w:rPr>
          <w:rStyle w:val="CommentReference"/>
          <w:b/>
          <w:noProof/>
          <w:szCs w:val="24"/>
        </w:rPr>
        <w:t>4</w:t>
      </w:r>
      <w:r w:rsidRPr="008B02E0">
        <w:rPr>
          <w:rStyle w:val="CommentReference"/>
          <w:b/>
          <w:szCs w:val="24"/>
        </w:rPr>
        <w:fldChar w:fldCharType="end"/>
      </w:r>
      <w:bookmarkEnd w:id="38"/>
      <w:r w:rsidRPr="008B02E0">
        <w:rPr>
          <w:rStyle w:val="CommentReference"/>
          <w:b/>
          <w:szCs w:val="24"/>
        </w:rPr>
        <w:t xml:space="preserve">: Results across the studies progression free survival  </w:t>
      </w:r>
    </w:p>
    <w:tbl>
      <w:tblPr>
        <w:tblStyle w:val="PBAClayout"/>
        <w:tblW w:w="5272" w:type="pct"/>
        <w:tblLayout w:type="fixed"/>
        <w:tblLook w:val="04A0" w:firstRow="1" w:lastRow="0" w:firstColumn="1" w:lastColumn="0" w:noHBand="0" w:noVBand="1"/>
        <w:tblCaption w:val="Table 4: Results across the studies progression free survival  "/>
      </w:tblPr>
      <w:tblGrid>
        <w:gridCol w:w="2410"/>
        <w:gridCol w:w="1137"/>
        <w:gridCol w:w="1278"/>
        <w:gridCol w:w="1268"/>
        <w:gridCol w:w="1274"/>
        <w:gridCol w:w="848"/>
        <w:gridCol w:w="1293"/>
      </w:tblGrid>
      <w:tr w:rsidR="00EB6430" w:rsidRPr="008B02E0" w14:paraId="61F99366" w14:textId="77777777" w:rsidTr="00A057FE">
        <w:trPr>
          <w:tblHeader/>
        </w:trPr>
        <w:tc>
          <w:tcPr>
            <w:tcW w:w="1267" w:type="pct"/>
            <w:tcBorders>
              <w:bottom w:val="single" w:sz="4" w:space="0" w:color="auto"/>
            </w:tcBorders>
          </w:tcPr>
          <w:p w14:paraId="4B30CF19" w14:textId="77777777" w:rsidR="00EB6430" w:rsidRPr="008B02E0" w:rsidRDefault="00EB6430" w:rsidP="00AE5B32">
            <w:pPr>
              <w:pStyle w:val="TableFigureHeading"/>
            </w:pPr>
            <w:r w:rsidRPr="008B02E0">
              <w:t>Trial ID</w:t>
            </w:r>
          </w:p>
        </w:tc>
        <w:tc>
          <w:tcPr>
            <w:tcW w:w="598" w:type="pct"/>
            <w:tcBorders>
              <w:bottom w:val="single" w:sz="4" w:space="0" w:color="auto"/>
            </w:tcBorders>
          </w:tcPr>
          <w:p w14:paraId="2A85BCF0" w14:textId="053D17A3" w:rsidR="00EB6430" w:rsidRPr="008B02E0" w:rsidRDefault="00EB6430" w:rsidP="00AE5B32">
            <w:pPr>
              <w:pStyle w:val="TableFigureHeading"/>
              <w:jc w:val="center"/>
            </w:pPr>
            <w:r w:rsidRPr="008B02E0">
              <w:t>n with event  N (%)</w:t>
            </w:r>
          </w:p>
        </w:tc>
        <w:tc>
          <w:tcPr>
            <w:tcW w:w="672" w:type="pct"/>
            <w:tcBorders>
              <w:bottom w:val="single" w:sz="4" w:space="0" w:color="auto"/>
            </w:tcBorders>
          </w:tcPr>
          <w:p w14:paraId="67AE0845" w14:textId="13C06F68" w:rsidR="00EB6430" w:rsidRPr="008B02E0" w:rsidRDefault="00EB6430" w:rsidP="00AE5B32">
            <w:pPr>
              <w:pStyle w:val="TableFigureHeading"/>
              <w:jc w:val="center"/>
            </w:pPr>
            <w:r w:rsidRPr="008B02E0">
              <w:t xml:space="preserve">Median mths to event (95% CI) </w:t>
            </w:r>
          </w:p>
        </w:tc>
        <w:tc>
          <w:tcPr>
            <w:tcW w:w="667" w:type="pct"/>
            <w:tcBorders>
              <w:bottom w:val="single" w:sz="4" w:space="0" w:color="auto"/>
            </w:tcBorders>
          </w:tcPr>
          <w:p w14:paraId="3D048239" w14:textId="77777777" w:rsidR="007E3AB2" w:rsidRPr="008B02E0" w:rsidRDefault="00EB6430" w:rsidP="00AE5B32">
            <w:pPr>
              <w:pStyle w:val="TableFigureHeading"/>
              <w:jc w:val="center"/>
            </w:pPr>
            <w:r w:rsidRPr="008B02E0">
              <w:t xml:space="preserve">n with event </w:t>
            </w:r>
          </w:p>
          <w:p w14:paraId="1A802B0A" w14:textId="0C3A81C8" w:rsidR="00EB6430" w:rsidRPr="008B02E0" w:rsidRDefault="00EB6430" w:rsidP="00AE5B32">
            <w:pPr>
              <w:pStyle w:val="TableFigureHeading"/>
              <w:jc w:val="center"/>
            </w:pPr>
            <w:r w:rsidRPr="008B02E0">
              <w:t>N (%)</w:t>
            </w:r>
          </w:p>
        </w:tc>
        <w:tc>
          <w:tcPr>
            <w:tcW w:w="670" w:type="pct"/>
            <w:tcBorders>
              <w:bottom w:val="single" w:sz="4" w:space="0" w:color="auto"/>
            </w:tcBorders>
          </w:tcPr>
          <w:p w14:paraId="41FFEEA8" w14:textId="3B918CCE" w:rsidR="00EB6430" w:rsidRPr="008B02E0" w:rsidRDefault="00EB6430" w:rsidP="00AE5B32">
            <w:pPr>
              <w:pStyle w:val="TableFigureHeading"/>
              <w:jc w:val="center"/>
            </w:pPr>
            <w:r w:rsidRPr="008B02E0">
              <w:t xml:space="preserve">Median mths to event (95% CI) </w:t>
            </w:r>
          </w:p>
        </w:tc>
        <w:tc>
          <w:tcPr>
            <w:tcW w:w="446" w:type="pct"/>
            <w:tcBorders>
              <w:bottom w:val="single" w:sz="4" w:space="0" w:color="auto"/>
            </w:tcBorders>
          </w:tcPr>
          <w:p w14:paraId="12737C93" w14:textId="77777777" w:rsidR="00EB6430" w:rsidRPr="008B02E0" w:rsidRDefault="00EB6430" w:rsidP="00AE5B32">
            <w:pPr>
              <w:pStyle w:val="TableFigureHeading"/>
              <w:jc w:val="center"/>
            </w:pPr>
            <w:r w:rsidRPr="008B02E0">
              <w:t>Absolute diff</w:t>
            </w:r>
            <w:r w:rsidRPr="008B02E0">
              <w:rPr>
                <w:sz w:val="16"/>
                <w:szCs w:val="20"/>
              </w:rPr>
              <w:t>,</w:t>
            </w:r>
            <w:r w:rsidRPr="008B02E0">
              <w:t xml:space="preserve"> mths</w:t>
            </w:r>
          </w:p>
        </w:tc>
        <w:tc>
          <w:tcPr>
            <w:tcW w:w="680" w:type="pct"/>
            <w:tcBorders>
              <w:bottom w:val="single" w:sz="4" w:space="0" w:color="auto"/>
            </w:tcBorders>
          </w:tcPr>
          <w:p w14:paraId="737EC933" w14:textId="77777777" w:rsidR="00EB6430" w:rsidRPr="008B02E0" w:rsidRDefault="00EB6430" w:rsidP="00AE5B32">
            <w:pPr>
              <w:pStyle w:val="TableFigureHeading"/>
              <w:jc w:val="center"/>
            </w:pPr>
            <w:r w:rsidRPr="008B02E0">
              <w:t>HR (95% CI)</w:t>
            </w:r>
          </w:p>
        </w:tc>
      </w:tr>
      <w:tr w:rsidR="00EB6430" w:rsidRPr="008B02E0" w14:paraId="4D3B5CA5" w14:textId="77777777" w:rsidTr="00D17F3A">
        <w:trPr>
          <w:tblHeader/>
        </w:trPr>
        <w:tc>
          <w:tcPr>
            <w:tcW w:w="1267" w:type="pct"/>
            <w:tcBorders>
              <w:bottom w:val="nil"/>
            </w:tcBorders>
          </w:tcPr>
          <w:p w14:paraId="3E98A338" w14:textId="70B87C8F" w:rsidR="00EB6430" w:rsidRPr="008B02E0" w:rsidRDefault="00EB6430" w:rsidP="00AE5B32">
            <w:pPr>
              <w:pStyle w:val="TableFigureHeading"/>
            </w:pPr>
            <w:r w:rsidRPr="008B02E0">
              <w:t>CM</w:t>
            </w:r>
            <w:r w:rsidR="009E5502">
              <w:noBreakHyphen/>
            </w:r>
            <w:r w:rsidRPr="008B02E0">
              <w:t>8HW 1L</w:t>
            </w:r>
          </w:p>
        </w:tc>
        <w:tc>
          <w:tcPr>
            <w:tcW w:w="1270" w:type="pct"/>
            <w:gridSpan w:val="2"/>
            <w:tcBorders>
              <w:bottom w:val="nil"/>
            </w:tcBorders>
          </w:tcPr>
          <w:p w14:paraId="00BA7C28" w14:textId="77777777" w:rsidR="00EB6430" w:rsidRPr="008B02E0" w:rsidRDefault="00EB6430" w:rsidP="00AE5B32">
            <w:pPr>
              <w:pStyle w:val="TableFigureHeading"/>
              <w:jc w:val="center"/>
            </w:pPr>
            <w:r w:rsidRPr="008B02E0">
              <w:t>NIVO+IPI</w:t>
            </w:r>
          </w:p>
        </w:tc>
        <w:tc>
          <w:tcPr>
            <w:tcW w:w="1337" w:type="pct"/>
            <w:gridSpan w:val="2"/>
            <w:tcBorders>
              <w:bottom w:val="nil"/>
            </w:tcBorders>
          </w:tcPr>
          <w:p w14:paraId="0D39B1B9" w14:textId="77777777" w:rsidR="00EB6430" w:rsidRPr="008B02E0" w:rsidRDefault="00EB6430" w:rsidP="00AE5B32">
            <w:pPr>
              <w:pStyle w:val="TableFigureHeading"/>
              <w:jc w:val="center"/>
            </w:pPr>
            <w:r w:rsidRPr="008B02E0">
              <w:t>Chemotherapy</w:t>
            </w:r>
          </w:p>
        </w:tc>
        <w:tc>
          <w:tcPr>
            <w:tcW w:w="446" w:type="pct"/>
            <w:tcBorders>
              <w:bottom w:val="nil"/>
            </w:tcBorders>
          </w:tcPr>
          <w:p w14:paraId="7963B99B" w14:textId="77777777" w:rsidR="00EB6430" w:rsidRPr="008B02E0" w:rsidRDefault="00EB6430" w:rsidP="00AE5B32">
            <w:pPr>
              <w:pStyle w:val="TableFigureHeading"/>
              <w:jc w:val="center"/>
            </w:pPr>
          </w:p>
        </w:tc>
        <w:tc>
          <w:tcPr>
            <w:tcW w:w="680" w:type="pct"/>
            <w:tcBorders>
              <w:bottom w:val="nil"/>
            </w:tcBorders>
          </w:tcPr>
          <w:p w14:paraId="01D46BE2" w14:textId="77777777" w:rsidR="00EB6430" w:rsidRPr="008B02E0" w:rsidRDefault="00EB6430" w:rsidP="00AE5B32">
            <w:pPr>
              <w:pStyle w:val="TableFigureHeading"/>
              <w:jc w:val="center"/>
            </w:pPr>
          </w:p>
        </w:tc>
      </w:tr>
      <w:tr w:rsidR="00EB6430" w:rsidRPr="008B02E0" w14:paraId="04E8844E" w14:textId="77777777" w:rsidTr="00D17F3A">
        <w:trPr>
          <w:tblHeader/>
        </w:trPr>
        <w:tc>
          <w:tcPr>
            <w:tcW w:w="1267" w:type="pct"/>
            <w:tcBorders>
              <w:top w:val="nil"/>
              <w:bottom w:val="nil"/>
            </w:tcBorders>
          </w:tcPr>
          <w:p w14:paraId="795E11D6" w14:textId="77777777" w:rsidR="00EB6430" w:rsidRPr="008B02E0" w:rsidRDefault="00EB6430" w:rsidP="00AE5B32">
            <w:pPr>
              <w:pStyle w:val="TableFigureHeading"/>
            </w:pPr>
            <w:r w:rsidRPr="008B02E0">
              <w:t>DCO: 12 October 2023</w:t>
            </w:r>
            <w:r w:rsidRPr="008B02E0">
              <w:rPr>
                <w:vertAlign w:val="superscript"/>
              </w:rPr>
              <w:t>a</w:t>
            </w:r>
          </w:p>
        </w:tc>
        <w:tc>
          <w:tcPr>
            <w:tcW w:w="1270" w:type="pct"/>
            <w:gridSpan w:val="2"/>
            <w:tcBorders>
              <w:top w:val="nil"/>
              <w:bottom w:val="nil"/>
            </w:tcBorders>
          </w:tcPr>
          <w:p w14:paraId="28DF452A" w14:textId="77777777" w:rsidR="00EB6430" w:rsidRPr="008B02E0" w:rsidRDefault="00EB6430" w:rsidP="00AE5B32">
            <w:pPr>
              <w:pStyle w:val="TableFigureHeading"/>
              <w:jc w:val="center"/>
            </w:pPr>
          </w:p>
        </w:tc>
        <w:tc>
          <w:tcPr>
            <w:tcW w:w="1337" w:type="pct"/>
            <w:gridSpan w:val="2"/>
            <w:tcBorders>
              <w:top w:val="nil"/>
              <w:bottom w:val="nil"/>
            </w:tcBorders>
          </w:tcPr>
          <w:p w14:paraId="186D3101" w14:textId="77777777" w:rsidR="00EB6430" w:rsidRPr="008B02E0" w:rsidRDefault="00EB6430" w:rsidP="00AE5B32">
            <w:pPr>
              <w:pStyle w:val="TableFigureHeading"/>
              <w:jc w:val="center"/>
            </w:pPr>
          </w:p>
        </w:tc>
        <w:tc>
          <w:tcPr>
            <w:tcW w:w="446" w:type="pct"/>
            <w:tcBorders>
              <w:top w:val="nil"/>
              <w:bottom w:val="nil"/>
            </w:tcBorders>
          </w:tcPr>
          <w:p w14:paraId="2FFDB78D" w14:textId="77777777" w:rsidR="00EB6430" w:rsidRPr="008B02E0" w:rsidRDefault="00EB6430" w:rsidP="00AE5B32">
            <w:pPr>
              <w:pStyle w:val="TableFigureHeading"/>
              <w:jc w:val="center"/>
            </w:pPr>
          </w:p>
        </w:tc>
        <w:tc>
          <w:tcPr>
            <w:tcW w:w="680" w:type="pct"/>
            <w:tcBorders>
              <w:top w:val="nil"/>
              <w:bottom w:val="nil"/>
            </w:tcBorders>
          </w:tcPr>
          <w:p w14:paraId="33775AF0" w14:textId="77777777" w:rsidR="00EB6430" w:rsidRPr="008B02E0" w:rsidRDefault="00EB6430" w:rsidP="00AE5B32">
            <w:pPr>
              <w:pStyle w:val="TableFigureHeading"/>
              <w:jc w:val="center"/>
            </w:pPr>
          </w:p>
        </w:tc>
      </w:tr>
      <w:tr w:rsidR="00EB6430" w:rsidRPr="008B02E0" w14:paraId="376D5664" w14:textId="77777777" w:rsidTr="00A057FE">
        <w:tc>
          <w:tcPr>
            <w:tcW w:w="1267" w:type="pct"/>
            <w:tcBorders>
              <w:top w:val="nil"/>
              <w:bottom w:val="nil"/>
            </w:tcBorders>
            <w:shd w:val="clear" w:color="auto" w:fill="CCC0D9" w:themeFill="accent4" w:themeFillTint="66"/>
          </w:tcPr>
          <w:p w14:paraId="67285304" w14:textId="77777777" w:rsidR="00EB6430" w:rsidRPr="008B02E0" w:rsidRDefault="00EB6430" w:rsidP="00AE5B32">
            <w:pPr>
              <w:pStyle w:val="TableText0"/>
            </w:pPr>
            <w:r w:rsidRPr="008B02E0">
              <w:t>Locally confirmed, BICR</w:t>
            </w:r>
          </w:p>
        </w:tc>
        <w:tc>
          <w:tcPr>
            <w:tcW w:w="598" w:type="pct"/>
            <w:tcBorders>
              <w:top w:val="nil"/>
              <w:bottom w:val="nil"/>
            </w:tcBorders>
            <w:shd w:val="clear" w:color="auto" w:fill="CCC0D9" w:themeFill="accent4" w:themeFillTint="66"/>
          </w:tcPr>
          <w:p w14:paraId="1105A084" w14:textId="77777777" w:rsidR="00EB6430" w:rsidRPr="008B02E0" w:rsidRDefault="00EB6430" w:rsidP="00AE5B32">
            <w:pPr>
              <w:pStyle w:val="TableText0"/>
              <w:jc w:val="center"/>
            </w:pPr>
            <w:r w:rsidRPr="008B02E0">
              <w:t>72/202 (36%)</w:t>
            </w:r>
          </w:p>
        </w:tc>
        <w:tc>
          <w:tcPr>
            <w:tcW w:w="672" w:type="pct"/>
            <w:tcBorders>
              <w:top w:val="nil"/>
              <w:bottom w:val="nil"/>
            </w:tcBorders>
            <w:shd w:val="clear" w:color="auto" w:fill="CCC0D9" w:themeFill="accent4" w:themeFillTint="66"/>
          </w:tcPr>
          <w:p w14:paraId="1FEB9630" w14:textId="77777777" w:rsidR="00EB6430" w:rsidRPr="008B02E0" w:rsidRDefault="00EB6430" w:rsidP="00AE5B32">
            <w:pPr>
              <w:pStyle w:val="TableText0"/>
              <w:jc w:val="center"/>
            </w:pPr>
            <w:r w:rsidRPr="008B02E0">
              <w:t>NE (34.3, NE)</w:t>
            </w:r>
          </w:p>
        </w:tc>
        <w:tc>
          <w:tcPr>
            <w:tcW w:w="667" w:type="pct"/>
            <w:tcBorders>
              <w:top w:val="nil"/>
              <w:bottom w:val="nil"/>
            </w:tcBorders>
            <w:shd w:val="clear" w:color="auto" w:fill="CCC0D9" w:themeFill="accent4" w:themeFillTint="66"/>
          </w:tcPr>
          <w:p w14:paraId="2BED65B0" w14:textId="77777777" w:rsidR="00EB6430" w:rsidRPr="008B02E0" w:rsidRDefault="00EB6430" w:rsidP="00AE5B32">
            <w:pPr>
              <w:pStyle w:val="TableText0"/>
              <w:jc w:val="center"/>
            </w:pPr>
            <w:r w:rsidRPr="008B02E0">
              <w:t>62/101 (61%)</w:t>
            </w:r>
          </w:p>
        </w:tc>
        <w:tc>
          <w:tcPr>
            <w:tcW w:w="670" w:type="pct"/>
            <w:tcBorders>
              <w:top w:val="nil"/>
              <w:bottom w:val="nil"/>
            </w:tcBorders>
            <w:shd w:val="clear" w:color="auto" w:fill="CCC0D9" w:themeFill="accent4" w:themeFillTint="66"/>
          </w:tcPr>
          <w:p w14:paraId="4D62D7E5" w14:textId="77777777" w:rsidR="00EB6430" w:rsidRPr="008B02E0" w:rsidRDefault="00EB6430" w:rsidP="00AE5B32">
            <w:pPr>
              <w:pStyle w:val="TableText0"/>
              <w:jc w:val="center"/>
            </w:pPr>
            <w:r w:rsidRPr="008B02E0">
              <w:t>6.2 (4.7, 9.0)</w:t>
            </w:r>
          </w:p>
        </w:tc>
        <w:tc>
          <w:tcPr>
            <w:tcW w:w="446" w:type="pct"/>
            <w:tcBorders>
              <w:top w:val="nil"/>
              <w:bottom w:val="nil"/>
            </w:tcBorders>
            <w:shd w:val="clear" w:color="auto" w:fill="CCC0D9" w:themeFill="accent4" w:themeFillTint="66"/>
          </w:tcPr>
          <w:p w14:paraId="6401468E" w14:textId="77777777" w:rsidR="00EB6430" w:rsidRPr="008B02E0" w:rsidRDefault="00EB6430" w:rsidP="00AE5B32">
            <w:pPr>
              <w:pStyle w:val="TableText0"/>
              <w:jc w:val="center"/>
            </w:pPr>
            <w:r w:rsidRPr="008B02E0">
              <w:t>NE</w:t>
            </w:r>
          </w:p>
        </w:tc>
        <w:tc>
          <w:tcPr>
            <w:tcW w:w="680" w:type="pct"/>
            <w:tcBorders>
              <w:top w:val="nil"/>
              <w:bottom w:val="nil"/>
            </w:tcBorders>
            <w:shd w:val="clear" w:color="auto" w:fill="CCC0D9" w:themeFill="accent4" w:themeFillTint="66"/>
          </w:tcPr>
          <w:p w14:paraId="1FFC91AD" w14:textId="307BD108" w:rsidR="00EB6430" w:rsidRPr="008B02E0" w:rsidRDefault="00EB6430" w:rsidP="00AE5B32">
            <w:pPr>
              <w:pStyle w:val="TableText0"/>
              <w:jc w:val="center"/>
            </w:pPr>
            <w:r w:rsidRPr="008B02E0">
              <w:t>0.32 (0.23,0.46)</w:t>
            </w:r>
          </w:p>
        </w:tc>
      </w:tr>
      <w:tr w:rsidR="00EB6430" w:rsidRPr="008B02E0" w14:paraId="1083B88C" w14:textId="77777777" w:rsidTr="00A057FE">
        <w:tc>
          <w:tcPr>
            <w:tcW w:w="1267" w:type="pct"/>
            <w:tcBorders>
              <w:top w:val="nil"/>
              <w:bottom w:val="nil"/>
            </w:tcBorders>
          </w:tcPr>
          <w:p w14:paraId="78980B2C" w14:textId="77777777" w:rsidR="00EB6430" w:rsidRPr="008B02E0" w:rsidRDefault="00EB6430" w:rsidP="00AE5B32">
            <w:pPr>
              <w:pStyle w:val="TableText0"/>
            </w:pPr>
            <w:r w:rsidRPr="008B02E0">
              <w:t>Centrally confirmed, BICR*</w:t>
            </w:r>
          </w:p>
        </w:tc>
        <w:tc>
          <w:tcPr>
            <w:tcW w:w="598" w:type="pct"/>
            <w:tcBorders>
              <w:top w:val="nil"/>
              <w:bottom w:val="nil"/>
            </w:tcBorders>
          </w:tcPr>
          <w:p w14:paraId="7BF196CF" w14:textId="77777777" w:rsidR="00EB6430" w:rsidRPr="008B02E0" w:rsidRDefault="00EB6430" w:rsidP="00AE5B32">
            <w:pPr>
              <w:pStyle w:val="TableText0"/>
              <w:jc w:val="center"/>
            </w:pPr>
            <w:r w:rsidRPr="008B02E0">
              <w:t>48/171 (28%)</w:t>
            </w:r>
          </w:p>
        </w:tc>
        <w:tc>
          <w:tcPr>
            <w:tcW w:w="672" w:type="pct"/>
            <w:tcBorders>
              <w:top w:val="nil"/>
              <w:bottom w:val="nil"/>
            </w:tcBorders>
          </w:tcPr>
          <w:p w14:paraId="7E337EE7" w14:textId="77777777" w:rsidR="00EB6430" w:rsidRPr="008B02E0" w:rsidRDefault="00EB6430" w:rsidP="00AE5B32">
            <w:pPr>
              <w:pStyle w:val="TableText0"/>
              <w:jc w:val="center"/>
            </w:pPr>
            <w:r w:rsidRPr="008B02E0">
              <w:t>NE (38.4, NE)</w:t>
            </w:r>
          </w:p>
        </w:tc>
        <w:tc>
          <w:tcPr>
            <w:tcW w:w="667" w:type="pct"/>
            <w:tcBorders>
              <w:top w:val="nil"/>
              <w:bottom w:val="nil"/>
            </w:tcBorders>
          </w:tcPr>
          <w:p w14:paraId="18985FED" w14:textId="77777777" w:rsidR="00EB6430" w:rsidRPr="008B02E0" w:rsidRDefault="00EB6430" w:rsidP="00AE5B32">
            <w:pPr>
              <w:pStyle w:val="TableText0"/>
              <w:jc w:val="center"/>
            </w:pPr>
            <w:r w:rsidRPr="008B02E0">
              <w:t>52/84 (62%)</w:t>
            </w:r>
          </w:p>
        </w:tc>
        <w:tc>
          <w:tcPr>
            <w:tcW w:w="670" w:type="pct"/>
            <w:tcBorders>
              <w:top w:val="nil"/>
              <w:bottom w:val="nil"/>
            </w:tcBorders>
          </w:tcPr>
          <w:p w14:paraId="28A4D241" w14:textId="77777777" w:rsidR="00EB6430" w:rsidRPr="008B02E0" w:rsidRDefault="00EB6430" w:rsidP="00AE5B32">
            <w:pPr>
              <w:pStyle w:val="TableText0"/>
              <w:jc w:val="center"/>
            </w:pPr>
            <w:r w:rsidRPr="008B02E0">
              <w:t>5.9 (4.4, 7.8)</w:t>
            </w:r>
          </w:p>
        </w:tc>
        <w:tc>
          <w:tcPr>
            <w:tcW w:w="446" w:type="pct"/>
            <w:tcBorders>
              <w:top w:val="nil"/>
              <w:bottom w:val="nil"/>
            </w:tcBorders>
          </w:tcPr>
          <w:p w14:paraId="5622C235" w14:textId="77777777" w:rsidR="00EB6430" w:rsidRPr="008B02E0" w:rsidRDefault="00EB6430" w:rsidP="00AE5B32">
            <w:pPr>
              <w:pStyle w:val="TableText0"/>
              <w:jc w:val="center"/>
            </w:pPr>
            <w:r w:rsidRPr="008B02E0">
              <w:t>NE</w:t>
            </w:r>
          </w:p>
        </w:tc>
        <w:tc>
          <w:tcPr>
            <w:tcW w:w="680" w:type="pct"/>
            <w:tcBorders>
              <w:top w:val="nil"/>
              <w:bottom w:val="nil"/>
            </w:tcBorders>
          </w:tcPr>
          <w:p w14:paraId="0E8146BF" w14:textId="77777777" w:rsidR="00EB6430" w:rsidRPr="008B02E0" w:rsidRDefault="00EB6430" w:rsidP="00AE5B32">
            <w:pPr>
              <w:pStyle w:val="TableText0"/>
              <w:jc w:val="center"/>
            </w:pPr>
            <w:r w:rsidRPr="008B02E0">
              <w:t>0.21 (0.14, 0.32)</w:t>
            </w:r>
          </w:p>
        </w:tc>
      </w:tr>
      <w:tr w:rsidR="00EB6430" w:rsidRPr="008B02E0" w14:paraId="46D3D7A3" w14:textId="52A5FE43" w:rsidTr="00A057FE">
        <w:tc>
          <w:tcPr>
            <w:tcW w:w="1267" w:type="pct"/>
            <w:tcBorders>
              <w:top w:val="nil"/>
              <w:bottom w:val="nil"/>
            </w:tcBorders>
          </w:tcPr>
          <w:p w14:paraId="284B9E50" w14:textId="78425D06" w:rsidR="00EB6430" w:rsidRPr="008B02E0" w:rsidRDefault="00EB6430" w:rsidP="00AE5B32">
            <w:pPr>
              <w:pStyle w:val="TableText0"/>
            </w:pPr>
            <w:r w:rsidRPr="008B02E0">
              <w:t xml:space="preserve">Centrally confirmed, INV </w:t>
            </w:r>
          </w:p>
        </w:tc>
        <w:tc>
          <w:tcPr>
            <w:tcW w:w="598" w:type="pct"/>
            <w:tcBorders>
              <w:top w:val="nil"/>
              <w:bottom w:val="nil"/>
            </w:tcBorders>
          </w:tcPr>
          <w:p w14:paraId="78053987" w14:textId="4E85C389" w:rsidR="00EB6430" w:rsidRPr="008B02E0" w:rsidRDefault="00EB6430" w:rsidP="00AE5B32">
            <w:pPr>
              <w:pStyle w:val="TableText0"/>
              <w:jc w:val="center"/>
            </w:pPr>
            <w:r w:rsidRPr="008B02E0">
              <w:t>48/171 (28%)</w:t>
            </w:r>
          </w:p>
        </w:tc>
        <w:tc>
          <w:tcPr>
            <w:tcW w:w="672" w:type="pct"/>
            <w:tcBorders>
              <w:top w:val="nil"/>
              <w:bottom w:val="nil"/>
            </w:tcBorders>
          </w:tcPr>
          <w:p w14:paraId="7B7CE168" w14:textId="50D55CC4" w:rsidR="00EB6430" w:rsidRPr="008B02E0" w:rsidRDefault="00EB6430" w:rsidP="00AE5B32">
            <w:pPr>
              <w:pStyle w:val="TableText0"/>
              <w:jc w:val="center"/>
            </w:pPr>
            <w:r w:rsidRPr="008B02E0">
              <w:t>NE (38.4, NE)</w:t>
            </w:r>
          </w:p>
        </w:tc>
        <w:tc>
          <w:tcPr>
            <w:tcW w:w="667" w:type="pct"/>
            <w:tcBorders>
              <w:top w:val="nil"/>
              <w:bottom w:val="nil"/>
            </w:tcBorders>
          </w:tcPr>
          <w:p w14:paraId="00E04C3F" w14:textId="5CA2FBCF" w:rsidR="00EB6430" w:rsidRPr="008B02E0" w:rsidRDefault="00EB6430" w:rsidP="00AE5B32">
            <w:pPr>
              <w:pStyle w:val="TableText0"/>
              <w:jc w:val="center"/>
            </w:pPr>
            <w:r w:rsidRPr="008B02E0">
              <w:t>55/84 (66%)</w:t>
            </w:r>
          </w:p>
        </w:tc>
        <w:tc>
          <w:tcPr>
            <w:tcW w:w="670" w:type="pct"/>
            <w:tcBorders>
              <w:top w:val="nil"/>
              <w:bottom w:val="nil"/>
            </w:tcBorders>
          </w:tcPr>
          <w:p w14:paraId="37D9AAEF" w14:textId="50B7AECE" w:rsidR="00EB6430" w:rsidRPr="008B02E0" w:rsidRDefault="00EB6430" w:rsidP="00AE5B32">
            <w:pPr>
              <w:pStyle w:val="TableText0"/>
              <w:jc w:val="center"/>
            </w:pPr>
            <w:r w:rsidRPr="008B02E0">
              <w:t>7.7 (4.2, 9.0)</w:t>
            </w:r>
          </w:p>
        </w:tc>
        <w:tc>
          <w:tcPr>
            <w:tcW w:w="446" w:type="pct"/>
            <w:tcBorders>
              <w:top w:val="nil"/>
              <w:bottom w:val="nil"/>
            </w:tcBorders>
          </w:tcPr>
          <w:p w14:paraId="347F6672" w14:textId="46482609" w:rsidR="00EB6430" w:rsidRPr="008B02E0" w:rsidRDefault="00EB6430" w:rsidP="00AE5B32">
            <w:pPr>
              <w:pStyle w:val="TableText0"/>
              <w:jc w:val="center"/>
            </w:pPr>
            <w:r w:rsidRPr="008B02E0">
              <w:t>NE</w:t>
            </w:r>
          </w:p>
        </w:tc>
        <w:tc>
          <w:tcPr>
            <w:tcW w:w="680" w:type="pct"/>
            <w:tcBorders>
              <w:top w:val="nil"/>
              <w:bottom w:val="nil"/>
            </w:tcBorders>
          </w:tcPr>
          <w:p w14:paraId="1689FDA1" w14:textId="574023B0" w:rsidR="00EB6430" w:rsidRPr="008B02E0" w:rsidRDefault="00EB6430" w:rsidP="00AE5B32">
            <w:pPr>
              <w:pStyle w:val="TableText0"/>
              <w:jc w:val="center"/>
            </w:pPr>
            <w:r w:rsidRPr="008B02E0">
              <w:t>0.20 (0.14, 0.31)</w:t>
            </w:r>
          </w:p>
        </w:tc>
      </w:tr>
      <w:tr w:rsidR="00EB6430" w:rsidRPr="008B02E0" w14:paraId="1CB393CB" w14:textId="7C5D3C86" w:rsidTr="00A057FE">
        <w:tc>
          <w:tcPr>
            <w:tcW w:w="1267" w:type="pct"/>
            <w:tcBorders>
              <w:top w:val="nil"/>
              <w:bottom w:val="nil"/>
            </w:tcBorders>
          </w:tcPr>
          <w:p w14:paraId="4804735D" w14:textId="2B256095" w:rsidR="00EB6430" w:rsidRPr="008B02E0" w:rsidRDefault="00EB6430" w:rsidP="00AE5B32">
            <w:pPr>
              <w:pStyle w:val="TableText0"/>
            </w:pPr>
            <w:r w:rsidRPr="008B02E0">
              <w:t>Centrally confirmed, PFS2</w:t>
            </w:r>
            <w:r w:rsidRPr="008B02E0">
              <w:rPr>
                <w:vertAlign w:val="superscript"/>
              </w:rPr>
              <w:t xml:space="preserve">b </w:t>
            </w:r>
            <w:r w:rsidRPr="008B02E0">
              <w:t>INV</w:t>
            </w:r>
          </w:p>
        </w:tc>
        <w:tc>
          <w:tcPr>
            <w:tcW w:w="598" w:type="pct"/>
            <w:tcBorders>
              <w:top w:val="nil"/>
              <w:bottom w:val="nil"/>
            </w:tcBorders>
          </w:tcPr>
          <w:p w14:paraId="6DCA86E2" w14:textId="47A3577B" w:rsidR="00EB6430" w:rsidRPr="008B02E0" w:rsidRDefault="00EB6430" w:rsidP="00AE5B32">
            <w:pPr>
              <w:pStyle w:val="TableText0"/>
              <w:jc w:val="center"/>
            </w:pPr>
            <w:r w:rsidRPr="008B02E0">
              <w:t>29/171 (17%)</w:t>
            </w:r>
          </w:p>
        </w:tc>
        <w:tc>
          <w:tcPr>
            <w:tcW w:w="672" w:type="pct"/>
            <w:tcBorders>
              <w:top w:val="nil"/>
              <w:bottom w:val="nil"/>
            </w:tcBorders>
          </w:tcPr>
          <w:p w14:paraId="0DA56C9D" w14:textId="5B0FAD2F" w:rsidR="00EB6430" w:rsidRPr="008B02E0" w:rsidRDefault="00EB6430" w:rsidP="00AE5B32">
            <w:pPr>
              <w:pStyle w:val="TableText0"/>
              <w:jc w:val="center"/>
            </w:pPr>
            <w:r w:rsidRPr="008B02E0">
              <w:t>NE (NE, NE)</w:t>
            </w:r>
          </w:p>
        </w:tc>
        <w:tc>
          <w:tcPr>
            <w:tcW w:w="667" w:type="pct"/>
            <w:tcBorders>
              <w:top w:val="nil"/>
              <w:bottom w:val="nil"/>
            </w:tcBorders>
          </w:tcPr>
          <w:p w14:paraId="1E4474B7" w14:textId="0D828691" w:rsidR="00EB6430" w:rsidRPr="008B02E0" w:rsidRDefault="00EB6430" w:rsidP="00AE5B32">
            <w:pPr>
              <w:pStyle w:val="TableText0"/>
              <w:jc w:val="center"/>
            </w:pPr>
            <w:r w:rsidRPr="008B02E0">
              <w:t>40/84 (48%)</w:t>
            </w:r>
          </w:p>
        </w:tc>
        <w:tc>
          <w:tcPr>
            <w:tcW w:w="670" w:type="pct"/>
            <w:tcBorders>
              <w:top w:val="nil"/>
              <w:bottom w:val="nil"/>
            </w:tcBorders>
          </w:tcPr>
          <w:p w14:paraId="433E545E" w14:textId="13CCF3A4" w:rsidR="00EB6430" w:rsidRPr="008B02E0" w:rsidRDefault="00EB6430" w:rsidP="00AE5B32">
            <w:pPr>
              <w:pStyle w:val="TableText0"/>
              <w:jc w:val="center"/>
            </w:pPr>
            <w:r w:rsidRPr="008B02E0">
              <w:t>29.9 (14.5, NE)</w:t>
            </w:r>
          </w:p>
        </w:tc>
        <w:tc>
          <w:tcPr>
            <w:tcW w:w="446" w:type="pct"/>
            <w:tcBorders>
              <w:top w:val="nil"/>
              <w:bottom w:val="nil"/>
            </w:tcBorders>
          </w:tcPr>
          <w:p w14:paraId="4937635A" w14:textId="2B44206E" w:rsidR="00EB6430" w:rsidRPr="008B02E0" w:rsidRDefault="00EB6430" w:rsidP="00AE5B32">
            <w:pPr>
              <w:pStyle w:val="TableText0"/>
              <w:jc w:val="center"/>
            </w:pPr>
            <w:r w:rsidRPr="008B02E0">
              <w:t>NE</w:t>
            </w:r>
          </w:p>
        </w:tc>
        <w:tc>
          <w:tcPr>
            <w:tcW w:w="680" w:type="pct"/>
            <w:tcBorders>
              <w:top w:val="nil"/>
              <w:bottom w:val="nil"/>
            </w:tcBorders>
          </w:tcPr>
          <w:p w14:paraId="6CEB5F4A" w14:textId="6E924490" w:rsidR="00EB6430" w:rsidRPr="008B02E0" w:rsidRDefault="00EB6430" w:rsidP="00AE5B32">
            <w:pPr>
              <w:pStyle w:val="TableText0"/>
              <w:jc w:val="center"/>
            </w:pPr>
            <w:r w:rsidRPr="008B02E0">
              <w:t>0.27 (0.17, 0.44)</w:t>
            </w:r>
          </w:p>
        </w:tc>
      </w:tr>
      <w:tr w:rsidR="00EB6430" w:rsidRPr="008B02E0" w14:paraId="0D4141E9" w14:textId="77777777" w:rsidTr="00A057FE">
        <w:tc>
          <w:tcPr>
            <w:tcW w:w="1267" w:type="pct"/>
            <w:tcBorders>
              <w:top w:val="nil"/>
              <w:bottom w:val="nil"/>
            </w:tcBorders>
          </w:tcPr>
          <w:p w14:paraId="30399A9B" w14:textId="77777777" w:rsidR="00EB6430" w:rsidRPr="008B02E0" w:rsidRDefault="00EB6430" w:rsidP="00AE5B32">
            <w:pPr>
              <w:pStyle w:val="TableText0"/>
              <w:rPr>
                <w:b/>
                <w:bCs w:val="0"/>
              </w:rPr>
            </w:pPr>
            <w:r w:rsidRPr="008B02E0">
              <w:rPr>
                <w:b/>
                <w:bCs w:val="0"/>
              </w:rPr>
              <w:t>DCO: 28 August 2024</w:t>
            </w:r>
            <w:r w:rsidRPr="008B02E0">
              <w:rPr>
                <w:b/>
                <w:bCs w:val="0"/>
                <w:vertAlign w:val="superscript"/>
              </w:rPr>
              <w:t>c</w:t>
            </w:r>
            <w:r w:rsidRPr="008B02E0">
              <w:rPr>
                <w:b/>
                <w:bCs w:val="0"/>
              </w:rPr>
              <w:t xml:space="preserve"> </w:t>
            </w:r>
          </w:p>
        </w:tc>
        <w:tc>
          <w:tcPr>
            <w:tcW w:w="598" w:type="pct"/>
            <w:tcBorders>
              <w:top w:val="nil"/>
              <w:bottom w:val="nil"/>
            </w:tcBorders>
          </w:tcPr>
          <w:p w14:paraId="2CECE734" w14:textId="77777777" w:rsidR="00EB6430" w:rsidRPr="008B02E0" w:rsidRDefault="00EB6430" w:rsidP="00AE5B32">
            <w:pPr>
              <w:pStyle w:val="TableText0"/>
              <w:jc w:val="center"/>
            </w:pPr>
          </w:p>
        </w:tc>
        <w:tc>
          <w:tcPr>
            <w:tcW w:w="672" w:type="pct"/>
            <w:tcBorders>
              <w:top w:val="nil"/>
              <w:bottom w:val="nil"/>
            </w:tcBorders>
          </w:tcPr>
          <w:p w14:paraId="176E86E4" w14:textId="77777777" w:rsidR="00EB6430" w:rsidRPr="008B02E0" w:rsidRDefault="00EB6430" w:rsidP="00AE5B32">
            <w:pPr>
              <w:pStyle w:val="TableText0"/>
              <w:jc w:val="center"/>
            </w:pPr>
          </w:p>
        </w:tc>
        <w:tc>
          <w:tcPr>
            <w:tcW w:w="667" w:type="pct"/>
            <w:tcBorders>
              <w:top w:val="nil"/>
              <w:bottom w:val="nil"/>
            </w:tcBorders>
          </w:tcPr>
          <w:p w14:paraId="063999DF" w14:textId="77777777" w:rsidR="00EB6430" w:rsidRPr="008B02E0" w:rsidRDefault="00EB6430" w:rsidP="00AE5B32">
            <w:pPr>
              <w:pStyle w:val="TableText0"/>
              <w:jc w:val="center"/>
            </w:pPr>
          </w:p>
        </w:tc>
        <w:tc>
          <w:tcPr>
            <w:tcW w:w="670" w:type="pct"/>
            <w:tcBorders>
              <w:top w:val="nil"/>
              <w:bottom w:val="nil"/>
            </w:tcBorders>
          </w:tcPr>
          <w:p w14:paraId="6AD0A699" w14:textId="77777777" w:rsidR="00EB6430" w:rsidRPr="008B02E0" w:rsidRDefault="00EB6430" w:rsidP="00AE5B32">
            <w:pPr>
              <w:pStyle w:val="TableText0"/>
              <w:jc w:val="center"/>
            </w:pPr>
          </w:p>
        </w:tc>
        <w:tc>
          <w:tcPr>
            <w:tcW w:w="446" w:type="pct"/>
            <w:tcBorders>
              <w:top w:val="nil"/>
              <w:bottom w:val="nil"/>
            </w:tcBorders>
          </w:tcPr>
          <w:p w14:paraId="61942A53" w14:textId="77777777" w:rsidR="00EB6430" w:rsidRPr="008B02E0" w:rsidRDefault="00EB6430" w:rsidP="00AE5B32">
            <w:pPr>
              <w:pStyle w:val="TableText0"/>
              <w:jc w:val="center"/>
            </w:pPr>
          </w:p>
        </w:tc>
        <w:tc>
          <w:tcPr>
            <w:tcW w:w="680" w:type="pct"/>
            <w:tcBorders>
              <w:top w:val="nil"/>
              <w:bottom w:val="nil"/>
            </w:tcBorders>
          </w:tcPr>
          <w:p w14:paraId="0C289DFA" w14:textId="77777777" w:rsidR="00EB6430" w:rsidRPr="008B02E0" w:rsidRDefault="00EB6430" w:rsidP="00AE5B32">
            <w:pPr>
              <w:pStyle w:val="TableText0"/>
              <w:jc w:val="center"/>
            </w:pPr>
          </w:p>
        </w:tc>
      </w:tr>
      <w:tr w:rsidR="00EB6430" w:rsidRPr="008B02E0" w14:paraId="5F8331CC" w14:textId="77777777" w:rsidTr="00A057FE">
        <w:tc>
          <w:tcPr>
            <w:tcW w:w="1267" w:type="pct"/>
            <w:tcBorders>
              <w:top w:val="nil"/>
              <w:bottom w:val="single" w:sz="4" w:space="0" w:color="auto"/>
            </w:tcBorders>
          </w:tcPr>
          <w:p w14:paraId="1B8A4311" w14:textId="77777777" w:rsidR="00EB6430" w:rsidRPr="008B02E0" w:rsidRDefault="00EB6430" w:rsidP="00AE5B32">
            <w:pPr>
              <w:pStyle w:val="TableText0"/>
            </w:pPr>
            <w:r w:rsidRPr="008B02E0">
              <w:t>Centrally confirmed, BICR</w:t>
            </w:r>
            <w:r w:rsidRPr="008B02E0">
              <w:rPr>
                <w:vertAlign w:val="superscript"/>
              </w:rPr>
              <w:t>a</w:t>
            </w:r>
          </w:p>
        </w:tc>
        <w:tc>
          <w:tcPr>
            <w:tcW w:w="598" w:type="pct"/>
            <w:tcBorders>
              <w:top w:val="nil"/>
              <w:bottom w:val="single" w:sz="4" w:space="0" w:color="auto"/>
            </w:tcBorders>
          </w:tcPr>
          <w:p w14:paraId="223B983A" w14:textId="77777777" w:rsidR="00EB6430" w:rsidRPr="008B02E0" w:rsidRDefault="00EB6430" w:rsidP="00AE5B32">
            <w:pPr>
              <w:pStyle w:val="TableText0"/>
              <w:jc w:val="center"/>
            </w:pPr>
            <w:r w:rsidRPr="008B02E0">
              <w:t>NR</w:t>
            </w:r>
          </w:p>
        </w:tc>
        <w:tc>
          <w:tcPr>
            <w:tcW w:w="672" w:type="pct"/>
            <w:tcBorders>
              <w:top w:val="nil"/>
              <w:bottom w:val="single" w:sz="4" w:space="0" w:color="auto"/>
            </w:tcBorders>
          </w:tcPr>
          <w:p w14:paraId="634BB39F" w14:textId="77777777" w:rsidR="00EB6430" w:rsidRPr="008B02E0" w:rsidRDefault="00EB6430" w:rsidP="00AE5B32">
            <w:pPr>
              <w:pStyle w:val="TableText0"/>
              <w:jc w:val="center"/>
            </w:pPr>
            <w:r w:rsidRPr="008B02E0">
              <w:t>54.1 (54.1, NE)</w:t>
            </w:r>
          </w:p>
        </w:tc>
        <w:tc>
          <w:tcPr>
            <w:tcW w:w="667" w:type="pct"/>
            <w:tcBorders>
              <w:top w:val="nil"/>
              <w:bottom w:val="single" w:sz="4" w:space="0" w:color="auto"/>
            </w:tcBorders>
          </w:tcPr>
          <w:p w14:paraId="6A36D0B2" w14:textId="77777777" w:rsidR="00EB6430" w:rsidRPr="008B02E0" w:rsidRDefault="00EB6430" w:rsidP="00AE5B32">
            <w:pPr>
              <w:pStyle w:val="TableText0"/>
              <w:jc w:val="center"/>
            </w:pPr>
            <w:r w:rsidRPr="008B02E0">
              <w:t>NR</w:t>
            </w:r>
          </w:p>
        </w:tc>
        <w:tc>
          <w:tcPr>
            <w:tcW w:w="670" w:type="pct"/>
            <w:tcBorders>
              <w:top w:val="nil"/>
              <w:bottom w:val="single" w:sz="4" w:space="0" w:color="auto"/>
            </w:tcBorders>
          </w:tcPr>
          <w:p w14:paraId="53F1391E" w14:textId="77777777" w:rsidR="00EB6430" w:rsidRPr="008B02E0" w:rsidRDefault="00EB6430" w:rsidP="00AE5B32">
            <w:pPr>
              <w:pStyle w:val="TableText0"/>
              <w:jc w:val="center"/>
            </w:pPr>
            <w:r w:rsidRPr="008B02E0">
              <w:t>5.9 (4.4, 7.8)</w:t>
            </w:r>
          </w:p>
        </w:tc>
        <w:tc>
          <w:tcPr>
            <w:tcW w:w="446" w:type="pct"/>
            <w:tcBorders>
              <w:top w:val="nil"/>
              <w:bottom w:val="single" w:sz="4" w:space="0" w:color="auto"/>
            </w:tcBorders>
          </w:tcPr>
          <w:p w14:paraId="682928C9" w14:textId="77777777" w:rsidR="00EB6430" w:rsidRPr="008B02E0" w:rsidRDefault="00EB6430" w:rsidP="00AE5B32">
            <w:pPr>
              <w:pStyle w:val="TableText0"/>
              <w:jc w:val="center"/>
            </w:pPr>
            <w:r w:rsidRPr="008B02E0">
              <w:t>48.2</w:t>
            </w:r>
          </w:p>
        </w:tc>
        <w:tc>
          <w:tcPr>
            <w:tcW w:w="680" w:type="pct"/>
            <w:tcBorders>
              <w:top w:val="nil"/>
              <w:bottom w:val="single" w:sz="4" w:space="0" w:color="auto"/>
            </w:tcBorders>
          </w:tcPr>
          <w:p w14:paraId="0E0E8EA6" w14:textId="190EDBED" w:rsidR="00EB6430" w:rsidRPr="008B02E0" w:rsidRDefault="00EB6430" w:rsidP="00AE5B32">
            <w:pPr>
              <w:pStyle w:val="TableText0"/>
              <w:jc w:val="center"/>
            </w:pPr>
            <w:r w:rsidRPr="008B02E0">
              <w:t>0.21 (0.14, 0.32)</w:t>
            </w:r>
          </w:p>
        </w:tc>
      </w:tr>
      <w:tr w:rsidR="00EB6430" w:rsidRPr="008B02E0" w14:paraId="1828ED4F" w14:textId="77777777" w:rsidTr="00D17F3A">
        <w:trPr>
          <w:tblHeader/>
        </w:trPr>
        <w:tc>
          <w:tcPr>
            <w:tcW w:w="1267" w:type="pct"/>
            <w:tcBorders>
              <w:top w:val="single" w:sz="4" w:space="0" w:color="auto"/>
              <w:bottom w:val="nil"/>
            </w:tcBorders>
          </w:tcPr>
          <w:p w14:paraId="471A417D" w14:textId="47D0040F" w:rsidR="00EB6430" w:rsidRPr="008B02E0" w:rsidRDefault="00EB6430" w:rsidP="00AE5B32">
            <w:pPr>
              <w:pStyle w:val="TableFigureHeading"/>
            </w:pPr>
            <w:r w:rsidRPr="008B02E0">
              <w:t>CM</w:t>
            </w:r>
            <w:r w:rsidR="009E5502">
              <w:noBreakHyphen/>
            </w:r>
            <w:r w:rsidRPr="008B02E0">
              <w:t xml:space="preserve">8HW 1L+ </w:t>
            </w:r>
          </w:p>
        </w:tc>
        <w:tc>
          <w:tcPr>
            <w:tcW w:w="1270" w:type="pct"/>
            <w:gridSpan w:val="2"/>
            <w:tcBorders>
              <w:top w:val="single" w:sz="4" w:space="0" w:color="auto"/>
              <w:bottom w:val="nil"/>
            </w:tcBorders>
          </w:tcPr>
          <w:p w14:paraId="554F4534" w14:textId="77777777" w:rsidR="00EB6430" w:rsidRPr="008B02E0" w:rsidRDefault="00EB6430" w:rsidP="00AE5B32">
            <w:pPr>
              <w:pStyle w:val="TableFigureHeading"/>
              <w:jc w:val="center"/>
            </w:pPr>
            <w:r w:rsidRPr="008B02E0">
              <w:t>NIVO+IPI</w:t>
            </w:r>
          </w:p>
        </w:tc>
        <w:tc>
          <w:tcPr>
            <w:tcW w:w="1337" w:type="pct"/>
            <w:gridSpan w:val="2"/>
            <w:tcBorders>
              <w:top w:val="single" w:sz="4" w:space="0" w:color="auto"/>
              <w:bottom w:val="nil"/>
            </w:tcBorders>
            <w:shd w:val="clear" w:color="auto" w:fill="FDE9D9" w:themeFill="accent6" w:themeFillTint="33"/>
          </w:tcPr>
          <w:p w14:paraId="5D1ED233" w14:textId="77777777" w:rsidR="00EB6430" w:rsidRPr="008B02E0" w:rsidRDefault="00EB6430" w:rsidP="00AE5B32">
            <w:pPr>
              <w:pStyle w:val="TableFigureHeading"/>
              <w:jc w:val="center"/>
            </w:pPr>
            <w:r w:rsidRPr="008B02E0">
              <w:t>NIVO</w:t>
            </w:r>
          </w:p>
        </w:tc>
        <w:tc>
          <w:tcPr>
            <w:tcW w:w="446" w:type="pct"/>
            <w:tcBorders>
              <w:top w:val="single" w:sz="4" w:space="0" w:color="auto"/>
              <w:bottom w:val="nil"/>
            </w:tcBorders>
            <w:shd w:val="clear" w:color="auto" w:fill="FDE9D9" w:themeFill="accent6" w:themeFillTint="33"/>
          </w:tcPr>
          <w:p w14:paraId="0272E777" w14:textId="77777777" w:rsidR="00EB6430" w:rsidRPr="008B02E0" w:rsidRDefault="00EB6430" w:rsidP="00AE5B32">
            <w:pPr>
              <w:pStyle w:val="TableFigureHeading"/>
              <w:jc w:val="center"/>
            </w:pPr>
          </w:p>
        </w:tc>
        <w:tc>
          <w:tcPr>
            <w:tcW w:w="680" w:type="pct"/>
            <w:tcBorders>
              <w:top w:val="single" w:sz="4" w:space="0" w:color="auto"/>
              <w:bottom w:val="nil"/>
            </w:tcBorders>
            <w:shd w:val="clear" w:color="auto" w:fill="FDE9D9" w:themeFill="accent6" w:themeFillTint="33"/>
          </w:tcPr>
          <w:p w14:paraId="0D267A27" w14:textId="77777777" w:rsidR="00EB6430" w:rsidRPr="008B02E0" w:rsidRDefault="00EB6430" w:rsidP="00AE5B32">
            <w:pPr>
              <w:pStyle w:val="TableFigureHeading"/>
              <w:jc w:val="center"/>
            </w:pPr>
          </w:p>
        </w:tc>
      </w:tr>
      <w:tr w:rsidR="00EB6430" w:rsidRPr="008B02E0" w14:paraId="26A05494" w14:textId="77777777" w:rsidTr="00D17F3A">
        <w:trPr>
          <w:tblHeader/>
        </w:trPr>
        <w:tc>
          <w:tcPr>
            <w:tcW w:w="1267" w:type="pct"/>
            <w:tcBorders>
              <w:top w:val="nil"/>
              <w:bottom w:val="nil"/>
            </w:tcBorders>
          </w:tcPr>
          <w:p w14:paraId="7524B093" w14:textId="77777777" w:rsidR="00EB6430" w:rsidRPr="008B02E0" w:rsidRDefault="00EB6430" w:rsidP="00AE5B32">
            <w:pPr>
              <w:pStyle w:val="TableFigureHeading"/>
            </w:pPr>
            <w:r w:rsidRPr="008B02E0">
              <w:t>DCO: 28 August 2024</w:t>
            </w:r>
            <w:r w:rsidRPr="008B02E0">
              <w:rPr>
                <w:vertAlign w:val="superscript"/>
              </w:rPr>
              <w:t>c</w:t>
            </w:r>
          </w:p>
        </w:tc>
        <w:tc>
          <w:tcPr>
            <w:tcW w:w="1270" w:type="pct"/>
            <w:gridSpan w:val="2"/>
            <w:tcBorders>
              <w:top w:val="nil"/>
              <w:bottom w:val="nil"/>
            </w:tcBorders>
          </w:tcPr>
          <w:p w14:paraId="1B96F3E6" w14:textId="77777777" w:rsidR="00EB6430" w:rsidRPr="008B02E0" w:rsidRDefault="00EB6430" w:rsidP="00AE5B32">
            <w:pPr>
              <w:pStyle w:val="TableFigureHeading"/>
              <w:jc w:val="center"/>
            </w:pPr>
          </w:p>
        </w:tc>
        <w:tc>
          <w:tcPr>
            <w:tcW w:w="1337" w:type="pct"/>
            <w:gridSpan w:val="2"/>
            <w:tcBorders>
              <w:top w:val="nil"/>
              <w:bottom w:val="nil"/>
            </w:tcBorders>
            <w:shd w:val="clear" w:color="auto" w:fill="FDE9D9" w:themeFill="accent6" w:themeFillTint="33"/>
          </w:tcPr>
          <w:p w14:paraId="09177D6C" w14:textId="77777777" w:rsidR="00EB6430" w:rsidRPr="008B02E0" w:rsidRDefault="00EB6430" w:rsidP="00AE5B32">
            <w:pPr>
              <w:pStyle w:val="TableFigureHeading"/>
              <w:jc w:val="center"/>
            </w:pPr>
          </w:p>
        </w:tc>
        <w:tc>
          <w:tcPr>
            <w:tcW w:w="446" w:type="pct"/>
            <w:tcBorders>
              <w:top w:val="nil"/>
              <w:bottom w:val="nil"/>
            </w:tcBorders>
            <w:shd w:val="clear" w:color="auto" w:fill="FDE9D9" w:themeFill="accent6" w:themeFillTint="33"/>
          </w:tcPr>
          <w:p w14:paraId="65335AEB" w14:textId="77777777" w:rsidR="00EB6430" w:rsidRPr="008B02E0" w:rsidRDefault="00EB6430" w:rsidP="00AE5B32">
            <w:pPr>
              <w:pStyle w:val="TableFigureHeading"/>
              <w:jc w:val="center"/>
            </w:pPr>
          </w:p>
        </w:tc>
        <w:tc>
          <w:tcPr>
            <w:tcW w:w="680" w:type="pct"/>
            <w:tcBorders>
              <w:top w:val="nil"/>
              <w:bottom w:val="nil"/>
            </w:tcBorders>
            <w:shd w:val="clear" w:color="auto" w:fill="FDE9D9" w:themeFill="accent6" w:themeFillTint="33"/>
          </w:tcPr>
          <w:p w14:paraId="7E33DC88" w14:textId="77777777" w:rsidR="00EB6430" w:rsidRPr="008B02E0" w:rsidRDefault="00EB6430" w:rsidP="00AE5B32">
            <w:pPr>
              <w:pStyle w:val="TableFigureHeading"/>
              <w:jc w:val="center"/>
            </w:pPr>
          </w:p>
        </w:tc>
      </w:tr>
      <w:tr w:rsidR="00EB6430" w:rsidRPr="008B02E0" w14:paraId="441F348B" w14:textId="77777777" w:rsidTr="00A057FE">
        <w:tc>
          <w:tcPr>
            <w:tcW w:w="1267" w:type="pct"/>
            <w:tcBorders>
              <w:top w:val="nil"/>
              <w:bottom w:val="nil"/>
            </w:tcBorders>
          </w:tcPr>
          <w:p w14:paraId="6FD97F50" w14:textId="77777777" w:rsidR="00EB6430" w:rsidRPr="008B02E0" w:rsidRDefault="00EB6430" w:rsidP="00AE5B32">
            <w:pPr>
              <w:pStyle w:val="TableText0"/>
            </w:pPr>
            <w:r w:rsidRPr="008B02E0">
              <w:t>Locally confirmed, BICR</w:t>
            </w:r>
          </w:p>
        </w:tc>
        <w:tc>
          <w:tcPr>
            <w:tcW w:w="598" w:type="pct"/>
            <w:tcBorders>
              <w:top w:val="nil"/>
              <w:bottom w:val="nil"/>
            </w:tcBorders>
          </w:tcPr>
          <w:p w14:paraId="05F62032" w14:textId="77777777" w:rsidR="00EB6430" w:rsidRPr="008B02E0" w:rsidRDefault="00EB6430" w:rsidP="00AE5B32">
            <w:pPr>
              <w:pStyle w:val="TableText0"/>
              <w:jc w:val="center"/>
            </w:pPr>
            <w:r w:rsidRPr="008B02E0">
              <w:t>148/354 (42%)</w:t>
            </w:r>
          </w:p>
        </w:tc>
        <w:tc>
          <w:tcPr>
            <w:tcW w:w="672" w:type="pct"/>
            <w:tcBorders>
              <w:top w:val="nil"/>
              <w:bottom w:val="nil"/>
            </w:tcBorders>
          </w:tcPr>
          <w:p w14:paraId="4E3DC2A7" w14:textId="77777777" w:rsidR="00EB6430" w:rsidRPr="008B02E0" w:rsidRDefault="00EB6430" w:rsidP="00AE5B32">
            <w:pPr>
              <w:pStyle w:val="TableText0"/>
              <w:jc w:val="center"/>
            </w:pPr>
            <w:r w:rsidRPr="008B02E0">
              <w:t>54.1 (44.0, NE)</w:t>
            </w:r>
          </w:p>
        </w:tc>
        <w:tc>
          <w:tcPr>
            <w:tcW w:w="667" w:type="pct"/>
            <w:tcBorders>
              <w:top w:val="nil"/>
              <w:bottom w:val="nil"/>
            </w:tcBorders>
            <w:shd w:val="clear" w:color="auto" w:fill="FDE9D9" w:themeFill="accent6" w:themeFillTint="33"/>
          </w:tcPr>
          <w:p w14:paraId="32616C1E" w14:textId="77777777" w:rsidR="00EB6430" w:rsidRPr="008B02E0" w:rsidRDefault="00EB6430" w:rsidP="00AE5B32">
            <w:pPr>
              <w:pStyle w:val="TableText0"/>
              <w:jc w:val="center"/>
            </w:pPr>
            <w:r w:rsidRPr="008B02E0">
              <w:t>196/353 (56%)</w:t>
            </w:r>
          </w:p>
        </w:tc>
        <w:tc>
          <w:tcPr>
            <w:tcW w:w="670" w:type="pct"/>
            <w:tcBorders>
              <w:top w:val="nil"/>
              <w:bottom w:val="nil"/>
            </w:tcBorders>
            <w:shd w:val="clear" w:color="auto" w:fill="FDE9D9" w:themeFill="accent6" w:themeFillTint="33"/>
          </w:tcPr>
          <w:p w14:paraId="5E7D8081" w14:textId="77777777" w:rsidR="00EB6430" w:rsidRPr="008B02E0" w:rsidRDefault="00EB6430" w:rsidP="00AE5B32">
            <w:pPr>
              <w:pStyle w:val="TableText0"/>
              <w:jc w:val="center"/>
            </w:pPr>
            <w:r w:rsidRPr="008B02E0">
              <w:t>18.4 (9.2 28.2)</w:t>
            </w:r>
          </w:p>
        </w:tc>
        <w:tc>
          <w:tcPr>
            <w:tcW w:w="446" w:type="pct"/>
            <w:tcBorders>
              <w:top w:val="nil"/>
              <w:bottom w:val="nil"/>
            </w:tcBorders>
            <w:shd w:val="clear" w:color="auto" w:fill="FDE9D9" w:themeFill="accent6" w:themeFillTint="33"/>
          </w:tcPr>
          <w:p w14:paraId="0FB7CB41" w14:textId="77777777" w:rsidR="00EB6430" w:rsidRPr="008B02E0" w:rsidRDefault="00EB6430" w:rsidP="00AE5B32">
            <w:pPr>
              <w:pStyle w:val="TableText0"/>
              <w:jc w:val="center"/>
            </w:pPr>
            <w:r w:rsidRPr="008B02E0">
              <w:t>35.7</w:t>
            </w:r>
          </w:p>
        </w:tc>
        <w:tc>
          <w:tcPr>
            <w:tcW w:w="680" w:type="pct"/>
            <w:tcBorders>
              <w:top w:val="nil"/>
              <w:bottom w:val="nil"/>
            </w:tcBorders>
            <w:shd w:val="clear" w:color="auto" w:fill="FDE9D9" w:themeFill="accent6" w:themeFillTint="33"/>
          </w:tcPr>
          <w:p w14:paraId="18FD2FCB" w14:textId="77777777" w:rsidR="00EB6430" w:rsidRPr="008B02E0" w:rsidRDefault="00EB6430" w:rsidP="00AE5B32">
            <w:pPr>
              <w:pStyle w:val="TableText0"/>
              <w:jc w:val="center"/>
            </w:pPr>
            <w:r w:rsidRPr="008B02E0">
              <w:t>0.64 (0.52, 0.79)</w:t>
            </w:r>
          </w:p>
        </w:tc>
      </w:tr>
      <w:tr w:rsidR="00EB6430" w:rsidRPr="008B02E0" w14:paraId="502F8F47" w14:textId="77777777" w:rsidTr="00A057FE">
        <w:tc>
          <w:tcPr>
            <w:tcW w:w="1267" w:type="pct"/>
            <w:tcBorders>
              <w:top w:val="nil"/>
              <w:bottom w:val="single" w:sz="4" w:space="0" w:color="auto"/>
            </w:tcBorders>
          </w:tcPr>
          <w:p w14:paraId="7C2FA25E" w14:textId="77777777" w:rsidR="00EB6430" w:rsidRPr="008B02E0" w:rsidRDefault="00EB6430" w:rsidP="00AE5B32">
            <w:pPr>
              <w:pStyle w:val="TableText0"/>
            </w:pPr>
            <w:r w:rsidRPr="008B02E0">
              <w:t>Centrally confirmed BICR*</w:t>
            </w:r>
          </w:p>
        </w:tc>
        <w:tc>
          <w:tcPr>
            <w:tcW w:w="598" w:type="pct"/>
            <w:tcBorders>
              <w:top w:val="nil"/>
              <w:bottom w:val="single" w:sz="4" w:space="0" w:color="auto"/>
            </w:tcBorders>
          </w:tcPr>
          <w:p w14:paraId="4A74E33D" w14:textId="77777777" w:rsidR="00EB6430" w:rsidRPr="008B02E0" w:rsidRDefault="00EB6430" w:rsidP="00AE5B32">
            <w:pPr>
              <w:pStyle w:val="TableText0"/>
              <w:jc w:val="center"/>
            </w:pPr>
            <w:r w:rsidRPr="008B02E0">
              <w:t>101/296 (34%)</w:t>
            </w:r>
          </w:p>
        </w:tc>
        <w:tc>
          <w:tcPr>
            <w:tcW w:w="672" w:type="pct"/>
            <w:tcBorders>
              <w:top w:val="nil"/>
              <w:bottom w:val="single" w:sz="4" w:space="0" w:color="auto"/>
            </w:tcBorders>
          </w:tcPr>
          <w:p w14:paraId="013E7501" w14:textId="77777777" w:rsidR="00EB6430" w:rsidRPr="008B02E0" w:rsidRDefault="00EB6430" w:rsidP="00AE5B32">
            <w:pPr>
              <w:pStyle w:val="TableText0"/>
              <w:jc w:val="center"/>
            </w:pPr>
            <w:r w:rsidRPr="008B02E0">
              <w:t>NE (53.8, NE)</w:t>
            </w:r>
          </w:p>
        </w:tc>
        <w:tc>
          <w:tcPr>
            <w:tcW w:w="667" w:type="pct"/>
            <w:tcBorders>
              <w:top w:val="nil"/>
              <w:bottom w:val="single" w:sz="4" w:space="0" w:color="auto"/>
            </w:tcBorders>
            <w:shd w:val="clear" w:color="auto" w:fill="FDE9D9" w:themeFill="accent6" w:themeFillTint="33"/>
          </w:tcPr>
          <w:p w14:paraId="541B52AC" w14:textId="77777777" w:rsidR="00EB6430" w:rsidRPr="008B02E0" w:rsidRDefault="00EB6430" w:rsidP="00AE5B32">
            <w:pPr>
              <w:pStyle w:val="TableText0"/>
              <w:jc w:val="center"/>
            </w:pPr>
            <w:r w:rsidRPr="008B02E0">
              <w:t>136/286 (48%)</w:t>
            </w:r>
          </w:p>
        </w:tc>
        <w:tc>
          <w:tcPr>
            <w:tcW w:w="670" w:type="pct"/>
            <w:tcBorders>
              <w:top w:val="nil"/>
              <w:bottom w:val="single" w:sz="4" w:space="0" w:color="auto"/>
            </w:tcBorders>
            <w:shd w:val="clear" w:color="auto" w:fill="FDE9D9" w:themeFill="accent6" w:themeFillTint="33"/>
          </w:tcPr>
          <w:p w14:paraId="373F69E0" w14:textId="77777777" w:rsidR="00EB6430" w:rsidRPr="008B02E0" w:rsidRDefault="00EB6430" w:rsidP="00AE5B32">
            <w:pPr>
              <w:pStyle w:val="TableText0"/>
              <w:jc w:val="center"/>
            </w:pPr>
            <w:r w:rsidRPr="008B02E0">
              <w:t>39.3 (22.1, NE)</w:t>
            </w:r>
          </w:p>
        </w:tc>
        <w:tc>
          <w:tcPr>
            <w:tcW w:w="446" w:type="pct"/>
            <w:tcBorders>
              <w:top w:val="nil"/>
              <w:bottom w:val="single" w:sz="4" w:space="0" w:color="auto"/>
            </w:tcBorders>
            <w:shd w:val="clear" w:color="auto" w:fill="FDE9D9" w:themeFill="accent6" w:themeFillTint="33"/>
          </w:tcPr>
          <w:p w14:paraId="16CD9011" w14:textId="77777777" w:rsidR="00EB6430" w:rsidRPr="008B02E0" w:rsidRDefault="00EB6430" w:rsidP="00AE5B32">
            <w:pPr>
              <w:pStyle w:val="TableText0"/>
              <w:jc w:val="center"/>
            </w:pPr>
            <w:r w:rsidRPr="008B02E0">
              <w:t>NE</w:t>
            </w:r>
          </w:p>
        </w:tc>
        <w:tc>
          <w:tcPr>
            <w:tcW w:w="680" w:type="pct"/>
            <w:tcBorders>
              <w:top w:val="nil"/>
              <w:bottom w:val="single" w:sz="4" w:space="0" w:color="auto"/>
            </w:tcBorders>
            <w:shd w:val="clear" w:color="auto" w:fill="FDE9D9" w:themeFill="accent6" w:themeFillTint="33"/>
          </w:tcPr>
          <w:p w14:paraId="671C9FE9" w14:textId="77777777" w:rsidR="00EB6430" w:rsidRPr="008B02E0" w:rsidRDefault="00EB6430" w:rsidP="00AE5B32">
            <w:pPr>
              <w:pStyle w:val="TableText0"/>
              <w:jc w:val="center"/>
            </w:pPr>
            <w:r w:rsidRPr="008B02E0">
              <w:t>0.62 (0.48, 0.81)</w:t>
            </w:r>
          </w:p>
        </w:tc>
      </w:tr>
      <w:tr w:rsidR="00EB6430" w:rsidRPr="008B02E0" w14:paraId="5266136B" w14:textId="77777777" w:rsidTr="00D17F3A">
        <w:trPr>
          <w:tblHeader/>
        </w:trPr>
        <w:tc>
          <w:tcPr>
            <w:tcW w:w="1267" w:type="pct"/>
            <w:tcBorders>
              <w:top w:val="single" w:sz="4" w:space="0" w:color="auto"/>
              <w:bottom w:val="nil"/>
            </w:tcBorders>
          </w:tcPr>
          <w:p w14:paraId="4B986445" w14:textId="20DB872D" w:rsidR="00EB6430" w:rsidRPr="008B02E0" w:rsidRDefault="00EB6430" w:rsidP="00AE5B32">
            <w:pPr>
              <w:pStyle w:val="TableFigureHeading"/>
            </w:pPr>
            <w:r w:rsidRPr="008B02E0">
              <w:t>CM</w:t>
            </w:r>
            <w:r w:rsidR="009E5502">
              <w:noBreakHyphen/>
            </w:r>
            <w:r w:rsidRPr="008B02E0">
              <w:t xml:space="preserve">142 Cohort 3 </w:t>
            </w:r>
          </w:p>
        </w:tc>
        <w:tc>
          <w:tcPr>
            <w:tcW w:w="1270" w:type="pct"/>
            <w:gridSpan w:val="2"/>
            <w:tcBorders>
              <w:top w:val="single" w:sz="4" w:space="0" w:color="auto"/>
              <w:bottom w:val="nil"/>
            </w:tcBorders>
          </w:tcPr>
          <w:p w14:paraId="304B7DDD" w14:textId="77777777" w:rsidR="00EB6430" w:rsidRPr="008B02E0" w:rsidRDefault="00EB6430" w:rsidP="00AE5B32">
            <w:pPr>
              <w:pStyle w:val="TableFigureHeading"/>
              <w:jc w:val="center"/>
            </w:pPr>
            <w:r w:rsidRPr="008B02E0">
              <w:t>NIVO+IPI</w:t>
            </w:r>
          </w:p>
        </w:tc>
        <w:tc>
          <w:tcPr>
            <w:tcW w:w="1337" w:type="pct"/>
            <w:gridSpan w:val="2"/>
            <w:tcBorders>
              <w:top w:val="single" w:sz="4" w:space="0" w:color="auto"/>
              <w:bottom w:val="nil"/>
            </w:tcBorders>
          </w:tcPr>
          <w:p w14:paraId="5B28561C" w14:textId="6C77B768" w:rsidR="00EB6430" w:rsidRPr="008B02E0" w:rsidRDefault="009E5502" w:rsidP="00AE5B32">
            <w:pPr>
              <w:pStyle w:val="TableFigureHeading"/>
              <w:jc w:val="center"/>
            </w:pPr>
            <w:r>
              <w:noBreakHyphen/>
            </w:r>
          </w:p>
        </w:tc>
        <w:tc>
          <w:tcPr>
            <w:tcW w:w="446" w:type="pct"/>
            <w:tcBorders>
              <w:top w:val="single" w:sz="4" w:space="0" w:color="auto"/>
              <w:bottom w:val="nil"/>
            </w:tcBorders>
          </w:tcPr>
          <w:p w14:paraId="357C4D4F" w14:textId="77777777" w:rsidR="00EB6430" w:rsidRPr="008B02E0" w:rsidRDefault="00EB6430" w:rsidP="00AE5B32">
            <w:pPr>
              <w:pStyle w:val="TableFigureHeading"/>
              <w:jc w:val="center"/>
            </w:pPr>
          </w:p>
        </w:tc>
        <w:tc>
          <w:tcPr>
            <w:tcW w:w="680" w:type="pct"/>
            <w:tcBorders>
              <w:top w:val="single" w:sz="4" w:space="0" w:color="auto"/>
              <w:bottom w:val="nil"/>
            </w:tcBorders>
          </w:tcPr>
          <w:p w14:paraId="7CAEA111" w14:textId="77777777" w:rsidR="00EB6430" w:rsidRPr="008B02E0" w:rsidRDefault="00EB6430" w:rsidP="00AE5B32">
            <w:pPr>
              <w:pStyle w:val="TableFigureHeading"/>
              <w:jc w:val="center"/>
            </w:pPr>
          </w:p>
        </w:tc>
      </w:tr>
      <w:tr w:rsidR="00EB6430" w:rsidRPr="008B02E0" w14:paraId="6E570436" w14:textId="77777777" w:rsidTr="00D17F3A">
        <w:trPr>
          <w:tblHeader/>
        </w:trPr>
        <w:tc>
          <w:tcPr>
            <w:tcW w:w="1267" w:type="pct"/>
            <w:tcBorders>
              <w:top w:val="nil"/>
              <w:bottom w:val="nil"/>
            </w:tcBorders>
          </w:tcPr>
          <w:p w14:paraId="3103CEA8" w14:textId="77777777" w:rsidR="00EB6430" w:rsidRPr="008B02E0" w:rsidRDefault="00EB6430" w:rsidP="00AE5B32">
            <w:pPr>
              <w:pStyle w:val="TableFigureHeading"/>
            </w:pPr>
            <w:r w:rsidRPr="008B02E0">
              <w:t>DCO: NR</w:t>
            </w:r>
            <w:r w:rsidRPr="008B02E0">
              <w:rPr>
                <w:vertAlign w:val="superscript"/>
              </w:rPr>
              <w:t>d</w:t>
            </w:r>
          </w:p>
        </w:tc>
        <w:tc>
          <w:tcPr>
            <w:tcW w:w="1270" w:type="pct"/>
            <w:gridSpan w:val="2"/>
            <w:tcBorders>
              <w:top w:val="nil"/>
              <w:bottom w:val="nil"/>
            </w:tcBorders>
          </w:tcPr>
          <w:p w14:paraId="7A1BD440" w14:textId="77777777" w:rsidR="00EB6430" w:rsidRPr="008B02E0" w:rsidRDefault="00EB6430" w:rsidP="00AE5B32">
            <w:pPr>
              <w:pStyle w:val="TableFigureHeading"/>
              <w:jc w:val="center"/>
            </w:pPr>
          </w:p>
        </w:tc>
        <w:tc>
          <w:tcPr>
            <w:tcW w:w="1337" w:type="pct"/>
            <w:gridSpan w:val="2"/>
            <w:tcBorders>
              <w:top w:val="nil"/>
              <w:bottom w:val="nil"/>
            </w:tcBorders>
          </w:tcPr>
          <w:p w14:paraId="18AA978F" w14:textId="77777777" w:rsidR="00EB6430" w:rsidRPr="008B02E0" w:rsidRDefault="00EB6430" w:rsidP="00AE5B32">
            <w:pPr>
              <w:pStyle w:val="TableFigureHeading"/>
              <w:jc w:val="center"/>
            </w:pPr>
          </w:p>
        </w:tc>
        <w:tc>
          <w:tcPr>
            <w:tcW w:w="446" w:type="pct"/>
            <w:tcBorders>
              <w:top w:val="nil"/>
              <w:bottom w:val="nil"/>
            </w:tcBorders>
          </w:tcPr>
          <w:p w14:paraId="6385099C" w14:textId="77777777" w:rsidR="00EB6430" w:rsidRPr="008B02E0" w:rsidRDefault="00EB6430" w:rsidP="00AE5B32">
            <w:pPr>
              <w:pStyle w:val="TableFigureHeading"/>
              <w:jc w:val="center"/>
            </w:pPr>
          </w:p>
        </w:tc>
        <w:tc>
          <w:tcPr>
            <w:tcW w:w="680" w:type="pct"/>
            <w:tcBorders>
              <w:top w:val="nil"/>
              <w:bottom w:val="nil"/>
            </w:tcBorders>
          </w:tcPr>
          <w:p w14:paraId="01CE9C83" w14:textId="77777777" w:rsidR="00EB6430" w:rsidRPr="008B02E0" w:rsidRDefault="00EB6430" w:rsidP="00AE5B32">
            <w:pPr>
              <w:pStyle w:val="TableFigureHeading"/>
              <w:jc w:val="center"/>
            </w:pPr>
          </w:p>
        </w:tc>
      </w:tr>
      <w:tr w:rsidR="00EB6430" w:rsidRPr="008B02E0" w14:paraId="4B0859EF" w14:textId="77777777" w:rsidTr="00A057FE">
        <w:tc>
          <w:tcPr>
            <w:tcW w:w="1267" w:type="pct"/>
            <w:tcBorders>
              <w:top w:val="nil"/>
            </w:tcBorders>
          </w:tcPr>
          <w:p w14:paraId="1B49756C" w14:textId="77777777" w:rsidR="00EB6430" w:rsidRPr="008B02E0" w:rsidRDefault="00EB6430" w:rsidP="00AE5B32">
            <w:pPr>
              <w:pStyle w:val="TableText0"/>
            </w:pPr>
            <w:r w:rsidRPr="008B02E0">
              <w:t>Locally confirmed INV</w:t>
            </w:r>
            <w:r w:rsidRPr="008B02E0">
              <w:rPr>
                <w:vertAlign w:val="superscript"/>
              </w:rPr>
              <w:t>*</w:t>
            </w:r>
          </w:p>
        </w:tc>
        <w:tc>
          <w:tcPr>
            <w:tcW w:w="598" w:type="pct"/>
            <w:tcBorders>
              <w:top w:val="nil"/>
            </w:tcBorders>
          </w:tcPr>
          <w:p w14:paraId="6C2A66B4" w14:textId="77777777" w:rsidR="00EB6430" w:rsidRPr="008B02E0" w:rsidRDefault="00EB6430" w:rsidP="00AE5B32">
            <w:pPr>
              <w:pStyle w:val="TableText0"/>
              <w:jc w:val="center"/>
            </w:pPr>
            <w:r w:rsidRPr="008B02E0">
              <w:t>NR</w:t>
            </w:r>
          </w:p>
        </w:tc>
        <w:tc>
          <w:tcPr>
            <w:tcW w:w="672" w:type="pct"/>
            <w:tcBorders>
              <w:top w:val="nil"/>
            </w:tcBorders>
          </w:tcPr>
          <w:p w14:paraId="31B3099E" w14:textId="77777777" w:rsidR="00EB6430" w:rsidRPr="008B02E0" w:rsidRDefault="00EB6430" w:rsidP="00AE5B32">
            <w:pPr>
              <w:pStyle w:val="TableText0"/>
              <w:jc w:val="center"/>
              <w:rPr>
                <w:iCs/>
              </w:rPr>
            </w:pPr>
            <w:r w:rsidRPr="008B02E0">
              <w:rPr>
                <w:iCs/>
              </w:rPr>
              <w:t>NE (28.8, NE)</w:t>
            </w:r>
          </w:p>
        </w:tc>
        <w:tc>
          <w:tcPr>
            <w:tcW w:w="667" w:type="pct"/>
            <w:tcBorders>
              <w:top w:val="nil"/>
            </w:tcBorders>
          </w:tcPr>
          <w:p w14:paraId="3C84C08D" w14:textId="47426B80" w:rsidR="00EB6430" w:rsidRPr="008B02E0" w:rsidRDefault="009E5502" w:rsidP="00AE5B32">
            <w:pPr>
              <w:pStyle w:val="TableText0"/>
              <w:jc w:val="center"/>
            </w:pPr>
            <w:r>
              <w:noBreakHyphen/>
            </w:r>
          </w:p>
        </w:tc>
        <w:tc>
          <w:tcPr>
            <w:tcW w:w="670" w:type="pct"/>
            <w:tcBorders>
              <w:top w:val="nil"/>
            </w:tcBorders>
          </w:tcPr>
          <w:p w14:paraId="4BDBA602" w14:textId="09F1D0AF" w:rsidR="00EB6430" w:rsidRPr="008B02E0" w:rsidRDefault="009E5502" w:rsidP="00AE5B32">
            <w:pPr>
              <w:pStyle w:val="TableText0"/>
              <w:jc w:val="center"/>
            </w:pPr>
            <w:r>
              <w:noBreakHyphen/>
            </w:r>
          </w:p>
        </w:tc>
        <w:tc>
          <w:tcPr>
            <w:tcW w:w="446" w:type="pct"/>
            <w:tcBorders>
              <w:top w:val="nil"/>
            </w:tcBorders>
          </w:tcPr>
          <w:p w14:paraId="447C6AD3" w14:textId="45150A29" w:rsidR="00EB6430" w:rsidRPr="008B02E0" w:rsidRDefault="009E5502" w:rsidP="00AE5B32">
            <w:pPr>
              <w:pStyle w:val="TableText0"/>
              <w:jc w:val="center"/>
            </w:pPr>
            <w:r>
              <w:noBreakHyphen/>
            </w:r>
          </w:p>
        </w:tc>
        <w:tc>
          <w:tcPr>
            <w:tcW w:w="680" w:type="pct"/>
            <w:tcBorders>
              <w:top w:val="nil"/>
            </w:tcBorders>
          </w:tcPr>
          <w:p w14:paraId="741B0128" w14:textId="0067A9ED" w:rsidR="00EB6430" w:rsidRPr="008B02E0" w:rsidRDefault="009E5502" w:rsidP="00AE5B32">
            <w:pPr>
              <w:pStyle w:val="TableText0"/>
              <w:jc w:val="center"/>
            </w:pPr>
            <w:r>
              <w:noBreakHyphen/>
            </w:r>
          </w:p>
        </w:tc>
      </w:tr>
      <w:tr w:rsidR="00EB6430" w:rsidRPr="008B02E0" w14:paraId="018B41D5" w14:textId="77777777" w:rsidTr="00D17F3A">
        <w:trPr>
          <w:tblHeader/>
        </w:trPr>
        <w:tc>
          <w:tcPr>
            <w:tcW w:w="1267" w:type="pct"/>
            <w:tcBorders>
              <w:bottom w:val="dotted" w:sz="4" w:space="0" w:color="auto"/>
            </w:tcBorders>
          </w:tcPr>
          <w:p w14:paraId="1A6F1026" w14:textId="15EACEB5" w:rsidR="00EB6430" w:rsidRPr="008B02E0" w:rsidRDefault="00EB6430" w:rsidP="00AE5B32">
            <w:pPr>
              <w:pStyle w:val="TableFigureHeading"/>
            </w:pPr>
            <w:r w:rsidRPr="008B02E0">
              <w:t>KN</w:t>
            </w:r>
            <w:r w:rsidR="009E5502">
              <w:noBreakHyphen/>
            </w:r>
            <w:r w:rsidRPr="008B02E0">
              <w:t xml:space="preserve">177 </w:t>
            </w:r>
          </w:p>
          <w:p w14:paraId="31CB51FB" w14:textId="77777777" w:rsidR="00EB6430" w:rsidRPr="008B02E0" w:rsidRDefault="00EB6430" w:rsidP="00AE5B32">
            <w:pPr>
              <w:pStyle w:val="TableFigureHeading"/>
            </w:pPr>
            <w:r w:rsidRPr="008B02E0">
              <w:rPr>
                <w:b w:val="0"/>
              </w:rPr>
              <w:t>Locally confirmed, BICR</w:t>
            </w:r>
            <w:r w:rsidRPr="008B02E0">
              <w:rPr>
                <w:b w:val="0"/>
                <w:vertAlign w:val="superscript"/>
              </w:rPr>
              <w:t>*</w:t>
            </w:r>
          </w:p>
        </w:tc>
        <w:tc>
          <w:tcPr>
            <w:tcW w:w="1270" w:type="pct"/>
            <w:gridSpan w:val="2"/>
            <w:tcBorders>
              <w:bottom w:val="dotted" w:sz="4" w:space="0" w:color="auto"/>
            </w:tcBorders>
          </w:tcPr>
          <w:p w14:paraId="6014CB4B" w14:textId="77777777" w:rsidR="00EB6430" w:rsidRPr="008B02E0" w:rsidRDefault="00EB6430" w:rsidP="00AE5B32">
            <w:pPr>
              <w:pStyle w:val="TableFigureHeading"/>
              <w:jc w:val="center"/>
            </w:pPr>
            <w:r w:rsidRPr="008B02E0">
              <w:t>Pembrolizumab</w:t>
            </w:r>
          </w:p>
        </w:tc>
        <w:tc>
          <w:tcPr>
            <w:tcW w:w="1337" w:type="pct"/>
            <w:gridSpan w:val="2"/>
            <w:tcBorders>
              <w:bottom w:val="dotted" w:sz="4" w:space="0" w:color="auto"/>
            </w:tcBorders>
          </w:tcPr>
          <w:p w14:paraId="18C7F688" w14:textId="77777777" w:rsidR="00EB6430" w:rsidRPr="008B02E0" w:rsidRDefault="00EB6430" w:rsidP="00AE5B32">
            <w:pPr>
              <w:pStyle w:val="TableFigureHeading"/>
              <w:jc w:val="center"/>
            </w:pPr>
            <w:r w:rsidRPr="008B02E0">
              <w:t>Chemotherapy</w:t>
            </w:r>
          </w:p>
        </w:tc>
        <w:tc>
          <w:tcPr>
            <w:tcW w:w="446" w:type="pct"/>
            <w:tcBorders>
              <w:bottom w:val="dotted" w:sz="4" w:space="0" w:color="auto"/>
            </w:tcBorders>
          </w:tcPr>
          <w:p w14:paraId="4A4983AA" w14:textId="77777777" w:rsidR="00EB6430" w:rsidRPr="008B02E0" w:rsidRDefault="00EB6430" w:rsidP="00AE5B32">
            <w:pPr>
              <w:pStyle w:val="TableFigureHeading"/>
              <w:jc w:val="center"/>
            </w:pPr>
          </w:p>
        </w:tc>
        <w:tc>
          <w:tcPr>
            <w:tcW w:w="680" w:type="pct"/>
            <w:tcBorders>
              <w:bottom w:val="dotted" w:sz="4" w:space="0" w:color="auto"/>
            </w:tcBorders>
          </w:tcPr>
          <w:p w14:paraId="014CFCCF" w14:textId="77777777" w:rsidR="00EB6430" w:rsidRPr="008B02E0" w:rsidRDefault="00EB6430" w:rsidP="00AE5B32">
            <w:pPr>
              <w:pStyle w:val="TableFigureHeading"/>
              <w:jc w:val="center"/>
            </w:pPr>
          </w:p>
        </w:tc>
      </w:tr>
      <w:tr w:rsidR="00EB6430" w:rsidRPr="008B02E0" w14:paraId="3C6FEDCB" w14:textId="35663247" w:rsidTr="00A057FE">
        <w:tc>
          <w:tcPr>
            <w:tcW w:w="1267" w:type="pct"/>
            <w:tcBorders>
              <w:top w:val="dotted" w:sz="4" w:space="0" w:color="auto"/>
              <w:bottom w:val="dotted" w:sz="4" w:space="0" w:color="auto"/>
            </w:tcBorders>
            <w:shd w:val="clear" w:color="auto" w:fill="B8CCE4" w:themeFill="accent1" w:themeFillTint="66"/>
          </w:tcPr>
          <w:p w14:paraId="5669376F" w14:textId="472E5D06" w:rsidR="00EB6430" w:rsidRPr="008B02E0" w:rsidRDefault="009253ED" w:rsidP="00AE5B32">
            <w:pPr>
              <w:pStyle w:val="TableText0"/>
              <w:ind w:left="107"/>
              <w:rPr>
                <w:iCs/>
              </w:rPr>
            </w:pPr>
            <w:r w:rsidRPr="008B02E0">
              <w:t>DCO: 19 February 2020</w:t>
            </w:r>
            <w:r w:rsidRPr="008B02E0">
              <w:rPr>
                <w:vertAlign w:val="superscript"/>
              </w:rPr>
              <w:t>e</w:t>
            </w:r>
            <w:r w:rsidRPr="008B02E0">
              <w:rPr>
                <w:iCs/>
              </w:rPr>
              <w:t xml:space="preserve"> </w:t>
            </w:r>
          </w:p>
        </w:tc>
        <w:tc>
          <w:tcPr>
            <w:tcW w:w="598" w:type="pct"/>
            <w:tcBorders>
              <w:top w:val="dotted" w:sz="4" w:space="0" w:color="auto"/>
              <w:bottom w:val="dotted" w:sz="4" w:space="0" w:color="auto"/>
            </w:tcBorders>
            <w:shd w:val="clear" w:color="auto" w:fill="B8CCE4" w:themeFill="accent1" w:themeFillTint="66"/>
          </w:tcPr>
          <w:p w14:paraId="1D80855D" w14:textId="18B45DD4" w:rsidR="00EB6430" w:rsidRPr="008B02E0" w:rsidRDefault="00EB6430" w:rsidP="00AE5B32">
            <w:pPr>
              <w:pStyle w:val="TableText0"/>
              <w:jc w:val="center"/>
              <w:rPr>
                <w:iCs/>
              </w:rPr>
            </w:pPr>
            <w:r w:rsidRPr="008B02E0">
              <w:rPr>
                <w:iCs/>
              </w:rPr>
              <w:t>82/153 (54%)</w:t>
            </w:r>
          </w:p>
        </w:tc>
        <w:tc>
          <w:tcPr>
            <w:tcW w:w="672" w:type="pct"/>
            <w:tcBorders>
              <w:top w:val="dotted" w:sz="4" w:space="0" w:color="auto"/>
              <w:bottom w:val="dotted" w:sz="4" w:space="0" w:color="auto"/>
            </w:tcBorders>
            <w:shd w:val="clear" w:color="auto" w:fill="B8CCE4" w:themeFill="accent1" w:themeFillTint="66"/>
          </w:tcPr>
          <w:p w14:paraId="6688F874" w14:textId="04ED357E" w:rsidR="00EB6430" w:rsidRPr="008B02E0" w:rsidRDefault="00EB6430" w:rsidP="00AE5B32">
            <w:pPr>
              <w:pStyle w:val="TableText0"/>
              <w:jc w:val="center"/>
            </w:pPr>
            <w:r w:rsidRPr="008B02E0">
              <w:t>16.5 (5.4, 32.4)</w:t>
            </w:r>
          </w:p>
        </w:tc>
        <w:tc>
          <w:tcPr>
            <w:tcW w:w="667" w:type="pct"/>
            <w:tcBorders>
              <w:top w:val="dotted" w:sz="4" w:space="0" w:color="auto"/>
              <w:bottom w:val="dotted" w:sz="4" w:space="0" w:color="auto"/>
            </w:tcBorders>
            <w:shd w:val="clear" w:color="auto" w:fill="B8CCE4" w:themeFill="accent1" w:themeFillTint="66"/>
          </w:tcPr>
          <w:p w14:paraId="2FB078C5" w14:textId="3012BB28" w:rsidR="00EB6430" w:rsidRPr="008B02E0" w:rsidRDefault="00EB6430" w:rsidP="00AE5B32">
            <w:pPr>
              <w:pStyle w:val="TableText0"/>
              <w:jc w:val="center"/>
              <w:rPr>
                <w:iCs/>
              </w:rPr>
            </w:pPr>
            <w:r w:rsidRPr="008B02E0">
              <w:rPr>
                <w:iCs/>
              </w:rPr>
              <w:t>113/154 (73%)</w:t>
            </w:r>
          </w:p>
        </w:tc>
        <w:tc>
          <w:tcPr>
            <w:tcW w:w="670" w:type="pct"/>
            <w:tcBorders>
              <w:top w:val="dotted" w:sz="4" w:space="0" w:color="auto"/>
              <w:bottom w:val="dotted" w:sz="4" w:space="0" w:color="auto"/>
            </w:tcBorders>
            <w:shd w:val="clear" w:color="auto" w:fill="B8CCE4" w:themeFill="accent1" w:themeFillTint="66"/>
          </w:tcPr>
          <w:p w14:paraId="2015F65C" w14:textId="5040ED4D" w:rsidR="00EB6430" w:rsidRPr="008B02E0" w:rsidRDefault="00EB6430" w:rsidP="00AE5B32">
            <w:pPr>
              <w:pStyle w:val="TableText0"/>
              <w:jc w:val="center"/>
            </w:pPr>
            <w:r w:rsidRPr="008B02E0">
              <w:t>8.2 (6.1, 10.2)</w:t>
            </w:r>
          </w:p>
        </w:tc>
        <w:tc>
          <w:tcPr>
            <w:tcW w:w="446" w:type="pct"/>
            <w:tcBorders>
              <w:top w:val="dotted" w:sz="4" w:space="0" w:color="auto"/>
              <w:bottom w:val="dotted" w:sz="4" w:space="0" w:color="auto"/>
            </w:tcBorders>
            <w:shd w:val="clear" w:color="auto" w:fill="B8CCE4" w:themeFill="accent1" w:themeFillTint="66"/>
          </w:tcPr>
          <w:p w14:paraId="0598E444" w14:textId="584816BD" w:rsidR="00EB6430" w:rsidRPr="008B02E0" w:rsidRDefault="00EB6430" w:rsidP="00AE5B32">
            <w:pPr>
              <w:pStyle w:val="TableText0"/>
              <w:jc w:val="center"/>
              <w:rPr>
                <w:iCs/>
              </w:rPr>
            </w:pPr>
            <w:r w:rsidRPr="008B02E0">
              <w:rPr>
                <w:iCs/>
              </w:rPr>
              <w:t>8.3</w:t>
            </w:r>
          </w:p>
        </w:tc>
        <w:tc>
          <w:tcPr>
            <w:tcW w:w="680" w:type="pct"/>
            <w:tcBorders>
              <w:top w:val="dotted" w:sz="4" w:space="0" w:color="auto"/>
              <w:bottom w:val="dotted" w:sz="4" w:space="0" w:color="auto"/>
            </w:tcBorders>
            <w:shd w:val="clear" w:color="auto" w:fill="B8CCE4" w:themeFill="accent1" w:themeFillTint="66"/>
          </w:tcPr>
          <w:p w14:paraId="5579CB0F" w14:textId="0C0EF8A9" w:rsidR="00EB6430" w:rsidRPr="008B02E0" w:rsidRDefault="00EB6430" w:rsidP="00AE5B32">
            <w:pPr>
              <w:pStyle w:val="TableText0"/>
              <w:jc w:val="center"/>
              <w:rPr>
                <w:iCs/>
              </w:rPr>
            </w:pPr>
            <w:r w:rsidRPr="008B02E0">
              <w:t>0.60 (0.45, 0.80</w:t>
            </w:r>
            <w:r w:rsidRPr="008B02E0">
              <w:rPr>
                <w:iCs/>
              </w:rPr>
              <w:t>)</w:t>
            </w:r>
          </w:p>
        </w:tc>
      </w:tr>
      <w:tr w:rsidR="00EB6430" w:rsidRPr="008B02E0" w14:paraId="261E1AA8" w14:textId="24775FEA" w:rsidTr="00A057FE">
        <w:tc>
          <w:tcPr>
            <w:tcW w:w="1267" w:type="pct"/>
            <w:tcBorders>
              <w:top w:val="dotted" w:sz="4" w:space="0" w:color="auto"/>
              <w:bottom w:val="dotted" w:sz="4" w:space="0" w:color="auto"/>
            </w:tcBorders>
          </w:tcPr>
          <w:p w14:paraId="493F1D67" w14:textId="6A5DE420" w:rsidR="00EB6430" w:rsidRPr="008B02E0" w:rsidRDefault="00EB6430" w:rsidP="00AE5B32">
            <w:pPr>
              <w:pStyle w:val="TableText0"/>
              <w:ind w:left="107"/>
            </w:pPr>
            <w:r w:rsidRPr="008B02E0">
              <w:t>DCO: 19 February 2021</w:t>
            </w:r>
            <w:r w:rsidRPr="008B02E0">
              <w:rPr>
                <w:vertAlign w:val="superscript"/>
              </w:rPr>
              <w:t>g</w:t>
            </w:r>
            <w:r w:rsidRPr="008B02E0">
              <w:t xml:space="preserve"> </w:t>
            </w:r>
          </w:p>
        </w:tc>
        <w:tc>
          <w:tcPr>
            <w:tcW w:w="598" w:type="pct"/>
            <w:tcBorders>
              <w:top w:val="dotted" w:sz="4" w:space="0" w:color="auto"/>
              <w:bottom w:val="dotted" w:sz="4" w:space="0" w:color="auto"/>
            </w:tcBorders>
          </w:tcPr>
          <w:p w14:paraId="1557C7B2" w14:textId="044D4B27" w:rsidR="00EB6430" w:rsidRPr="008B02E0" w:rsidRDefault="00EB6430" w:rsidP="00AE5B32">
            <w:pPr>
              <w:pStyle w:val="TableText0"/>
              <w:jc w:val="center"/>
            </w:pPr>
            <w:r w:rsidRPr="008B02E0">
              <w:t>NR</w:t>
            </w:r>
          </w:p>
        </w:tc>
        <w:tc>
          <w:tcPr>
            <w:tcW w:w="672" w:type="pct"/>
            <w:tcBorders>
              <w:top w:val="dotted" w:sz="4" w:space="0" w:color="auto"/>
              <w:bottom w:val="dotted" w:sz="4" w:space="0" w:color="auto"/>
            </w:tcBorders>
          </w:tcPr>
          <w:p w14:paraId="6394B1E2" w14:textId="14A4AF5F" w:rsidR="00EB6430" w:rsidRPr="008B02E0" w:rsidRDefault="00EB6430" w:rsidP="00AE5B32">
            <w:pPr>
              <w:pStyle w:val="TableText0"/>
              <w:jc w:val="center"/>
            </w:pPr>
            <w:r w:rsidRPr="008B02E0">
              <w:t>16.5 (5.4, 38.1)</w:t>
            </w:r>
          </w:p>
        </w:tc>
        <w:tc>
          <w:tcPr>
            <w:tcW w:w="667" w:type="pct"/>
            <w:tcBorders>
              <w:top w:val="dotted" w:sz="4" w:space="0" w:color="auto"/>
              <w:bottom w:val="dotted" w:sz="4" w:space="0" w:color="auto"/>
            </w:tcBorders>
          </w:tcPr>
          <w:p w14:paraId="5A790A1C" w14:textId="4F1B53E6" w:rsidR="00EB6430" w:rsidRPr="008B02E0" w:rsidRDefault="00EB6430" w:rsidP="00AE5B32">
            <w:pPr>
              <w:pStyle w:val="TableText0"/>
              <w:jc w:val="center"/>
            </w:pPr>
            <w:r w:rsidRPr="008B02E0">
              <w:t>NR</w:t>
            </w:r>
          </w:p>
        </w:tc>
        <w:tc>
          <w:tcPr>
            <w:tcW w:w="670" w:type="pct"/>
            <w:tcBorders>
              <w:top w:val="dotted" w:sz="4" w:space="0" w:color="auto"/>
              <w:bottom w:val="dotted" w:sz="4" w:space="0" w:color="auto"/>
            </w:tcBorders>
          </w:tcPr>
          <w:p w14:paraId="7085BA4C" w14:textId="3A74852E" w:rsidR="00EB6430" w:rsidRPr="008B02E0" w:rsidRDefault="00EB6430" w:rsidP="00AE5B32">
            <w:pPr>
              <w:pStyle w:val="TableText0"/>
              <w:jc w:val="center"/>
            </w:pPr>
            <w:r w:rsidRPr="008B02E0">
              <w:t>8.2 (6.1, 10.3)</w:t>
            </w:r>
          </w:p>
        </w:tc>
        <w:tc>
          <w:tcPr>
            <w:tcW w:w="446" w:type="pct"/>
            <w:tcBorders>
              <w:top w:val="dotted" w:sz="4" w:space="0" w:color="auto"/>
              <w:bottom w:val="dotted" w:sz="4" w:space="0" w:color="auto"/>
            </w:tcBorders>
          </w:tcPr>
          <w:p w14:paraId="5548E58D" w14:textId="02F66B04" w:rsidR="00EB6430" w:rsidRPr="008B02E0" w:rsidRDefault="00EB6430" w:rsidP="00AE5B32">
            <w:pPr>
              <w:pStyle w:val="TableText0"/>
              <w:jc w:val="center"/>
            </w:pPr>
            <w:r w:rsidRPr="008B02E0">
              <w:t>8.3</w:t>
            </w:r>
          </w:p>
        </w:tc>
        <w:tc>
          <w:tcPr>
            <w:tcW w:w="680" w:type="pct"/>
            <w:tcBorders>
              <w:top w:val="dotted" w:sz="4" w:space="0" w:color="auto"/>
              <w:bottom w:val="dotted" w:sz="4" w:space="0" w:color="auto"/>
            </w:tcBorders>
          </w:tcPr>
          <w:p w14:paraId="689B3A72" w14:textId="7CBAC729" w:rsidR="00EB6430" w:rsidRPr="008B02E0" w:rsidRDefault="00EB6430" w:rsidP="00AE5B32">
            <w:pPr>
              <w:pStyle w:val="TableText0"/>
              <w:jc w:val="center"/>
            </w:pPr>
            <w:r w:rsidRPr="008B02E0">
              <w:t>0.59 (0.45, 0.79)</w:t>
            </w:r>
          </w:p>
        </w:tc>
      </w:tr>
      <w:tr w:rsidR="00EB6430" w:rsidRPr="008B02E0" w14:paraId="3E74BE10" w14:textId="77777777" w:rsidTr="00A057FE">
        <w:tc>
          <w:tcPr>
            <w:tcW w:w="1267" w:type="pct"/>
            <w:tcBorders>
              <w:top w:val="dotted" w:sz="4" w:space="0" w:color="auto"/>
              <w:bottom w:val="single" w:sz="4" w:space="0" w:color="auto"/>
            </w:tcBorders>
            <w:shd w:val="clear" w:color="auto" w:fill="CCC0D9" w:themeFill="accent4" w:themeFillTint="66"/>
          </w:tcPr>
          <w:p w14:paraId="6BF16071" w14:textId="59D388AF" w:rsidR="00EB6430" w:rsidRPr="008B02E0" w:rsidRDefault="00EB6430" w:rsidP="00AE5B32">
            <w:pPr>
              <w:pStyle w:val="TableText0"/>
              <w:ind w:left="107"/>
            </w:pPr>
            <w:r w:rsidRPr="008B02E0">
              <w:t>DCO 17 July 2023</w:t>
            </w:r>
          </w:p>
        </w:tc>
        <w:tc>
          <w:tcPr>
            <w:tcW w:w="598" w:type="pct"/>
            <w:tcBorders>
              <w:top w:val="dotted" w:sz="4" w:space="0" w:color="auto"/>
              <w:bottom w:val="single" w:sz="4" w:space="0" w:color="auto"/>
            </w:tcBorders>
            <w:shd w:val="clear" w:color="auto" w:fill="CCC0D9" w:themeFill="accent4" w:themeFillTint="66"/>
          </w:tcPr>
          <w:p w14:paraId="260DBED8" w14:textId="77777777" w:rsidR="00EB6430" w:rsidRPr="008B02E0" w:rsidRDefault="00EB6430" w:rsidP="00AE5B32">
            <w:pPr>
              <w:pStyle w:val="TableText0"/>
              <w:jc w:val="center"/>
            </w:pPr>
            <w:r w:rsidRPr="008B02E0">
              <w:t>94/153 (61%)</w:t>
            </w:r>
          </w:p>
        </w:tc>
        <w:tc>
          <w:tcPr>
            <w:tcW w:w="672" w:type="pct"/>
            <w:tcBorders>
              <w:top w:val="dotted" w:sz="4" w:space="0" w:color="auto"/>
              <w:bottom w:val="single" w:sz="4" w:space="0" w:color="auto"/>
            </w:tcBorders>
            <w:shd w:val="clear" w:color="auto" w:fill="CCC0D9" w:themeFill="accent4" w:themeFillTint="66"/>
          </w:tcPr>
          <w:p w14:paraId="785F3E9B" w14:textId="77777777" w:rsidR="00EB6430" w:rsidRPr="008B02E0" w:rsidRDefault="00EB6430" w:rsidP="00AE5B32">
            <w:pPr>
              <w:pStyle w:val="TableText0"/>
              <w:jc w:val="center"/>
            </w:pPr>
            <w:r w:rsidRPr="008B02E0">
              <w:t>16.5 (5.4, 38.1)</w:t>
            </w:r>
          </w:p>
        </w:tc>
        <w:tc>
          <w:tcPr>
            <w:tcW w:w="667" w:type="pct"/>
            <w:tcBorders>
              <w:top w:val="dotted" w:sz="4" w:space="0" w:color="auto"/>
              <w:bottom w:val="single" w:sz="4" w:space="0" w:color="auto"/>
            </w:tcBorders>
            <w:shd w:val="clear" w:color="auto" w:fill="CCC0D9" w:themeFill="accent4" w:themeFillTint="66"/>
          </w:tcPr>
          <w:p w14:paraId="78F1ADDA" w14:textId="77777777" w:rsidR="00EB6430" w:rsidRPr="008B02E0" w:rsidRDefault="00EB6430" w:rsidP="00AE5B32">
            <w:pPr>
              <w:pStyle w:val="TableText0"/>
              <w:jc w:val="center"/>
            </w:pPr>
            <w:r w:rsidRPr="008B02E0">
              <w:t>122/154 (79%)</w:t>
            </w:r>
          </w:p>
        </w:tc>
        <w:tc>
          <w:tcPr>
            <w:tcW w:w="670" w:type="pct"/>
            <w:tcBorders>
              <w:top w:val="dotted" w:sz="4" w:space="0" w:color="auto"/>
              <w:bottom w:val="single" w:sz="4" w:space="0" w:color="auto"/>
            </w:tcBorders>
            <w:shd w:val="clear" w:color="auto" w:fill="CCC0D9" w:themeFill="accent4" w:themeFillTint="66"/>
          </w:tcPr>
          <w:p w14:paraId="6AA7739D" w14:textId="77777777" w:rsidR="00EB6430" w:rsidRPr="008B02E0" w:rsidRDefault="00EB6430" w:rsidP="00AE5B32">
            <w:pPr>
              <w:pStyle w:val="TableText0"/>
              <w:jc w:val="center"/>
            </w:pPr>
            <w:r w:rsidRPr="008B02E0">
              <w:t>8.2 (6.2, 10.3)</w:t>
            </w:r>
          </w:p>
        </w:tc>
        <w:tc>
          <w:tcPr>
            <w:tcW w:w="446" w:type="pct"/>
            <w:tcBorders>
              <w:top w:val="dotted" w:sz="4" w:space="0" w:color="auto"/>
              <w:bottom w:val="single" w:sz="4" w:space="0" w:color="auto"/>
            </w:tcBorders>
            <w:shd w:val="clear" w:color="auto" w:fill="CCC0D9" w:themeFill="accent4" w:themeFillTint="66"/>
          </w:tcPr>
          <w:p w14:paraId="350B2BC5" w14:textId="77777777" w:rsidR="00EB6430" w:rsidRPr="008B02E0" w:rsidRDefault="00EB6430" w:rsidP="00AE5B32">
            <w:pPr>
              <w:pStyle w:val="TableText0"/>
              <w:jc w:val="center"/>
            </w:pPr>
            <w:r w:rsidRPr="008B02E0">
              <w:t>8.3</w:t>
            </w:r>
          </w:p>
        </w:tc>
        <w:tc>
          <w:tcPr>
            <w:tcW w:w="680" w:type="pct"/>
            <w:tcBorders>
              <w:top w:val="dotted" w:sz="4" w:space="0" w:color="auto"/>
              <w:bottom w:val="single" w:sz="4" w:space="0" w:color="auto"/>
            </w:tcBorders>
            <w:shd w:val="clear" w:color="auto" w:fill="CCC0D9" w:themeFill="accent4" w:themeFillTint="66"/>
          </w:tcPr>
          <w:p w14:paraId="089B0753" w14:textId="77777777" w:rsidR="00EB6430" w:rsidRPr="008B02E0" w:rsidRDefault="00EB6430" w:rsidP="00AE5B32">
            <w:pPr>
              <w:pStyle w:val="TableText0"/>
              <w:jc w:val="center"/>
            </w:pPr>
            <w:r w:rsidRPr="008B02E0">
              <w:t>0.60 (0.45, 0.79)</w:t>
            </w:r>
          </w:p>
        </w:tc>
      </w:tr>
    </w:tbl>
    <w:p w14:paraId="1FAC4D85" w14:textId="55801EE3" w:rsidR="00EB6430" w:rsidRPr="008B02E0" w:rsidRDefault="00EB6430" w:rsidP="00AE5B32">
      <w:pPr>
        <w:pStyle w:val="TableFigureFooter"/>
      </w:pPr>
      <w:r w:rsidRPr="008B02E0">
        <w:rPr>
          <w:shd w:val="clear" w:color="auto" w:fill="B8CCE4" w:themeFill="accent1" w:themeFillTint="66"/>
        </w:rPr>
        <w:t xml:space="preserve">Blue </w:t>
      </w:r>
      <w:r w:rsidRPr="008B02E0">
        <w:t xml:space="preserve">highlight indicates results previously seen by the PBAC. </w:t>
      </w:r>
      <w:r w:rsidRPr="008B02E0">
        <w:rPr>
          <w:shd w:val="clear" w:color="auto" w:fill="FDE9D9" w:themeFill="accent6" w:themeFillTint="33"/>
        </w:rPr>
        <w:t xml:space="preserve">Orange </w:t>
      </w:r>
      <w:r w:rsidRPr="008B02E0">
        <w:t xml:space="preserve">highlight indicates comparison to nivolumab monotherapy. </w:t>
      </w:r>
      <w:r w:rsidR="00A057FE" w:rsidRPr="008B02E0">
        <w:rPr>
          <w:shd w:val="clear" w:color="auto" w:fill="CCC0D9" w:themeFill="accent4" w:themeFillTint="66"/>
        </w:rPr>
        <w:t>Purple</w:t>
      </w:r>
      <w:r w:rsidR="00A057FE" w:rsidRPr="008B02E0">
        <w:t xml:space="preserve"> highlight indicates </w:t>
      </w:r>
      <w:r w:rsidR="00DA1A04" w:rsidRPr="008B02E0">
        <w:t>results</w:t>
      </w:r>
      <w:r w:rsidR="00A057FE" w:rsidRPr="008B02E0">
        <w:t xml:space="preserve"> used </w:t>
      </w:r>
      <w:r w:rsidR="003C654F" w:rsidRPr="008B02E0">
        <w:t xml:space="preserve">to </w:t>
      </w:r>
      <w:r w:rsidR="00A057FE" w:rsidRPr="008B02E0">
        <w:t>in</w:t>
      </w:r>
      <w:r w:rsidR="00DA1A04" w:rsidRPr="008B02E0">
        <w:t>for</w:t>
      </w:r>
      <w:r w:rsidR="0076213C" w:rsidRPr="008B02E0">
        <w:t>m</w:t>
      </w:r>
      <w:r w:rsidR="00A057FE" w:rsidRPr="008B02E0">
        <w:t xml:space="preserve"> the indirect comparisons</w:t>
      </w:r>
      <w:r w:rsidR="003B1BCF" w:rsidRPr="008B02E0">
        <w:t>.</w:t>
      </w:r>
    </w:p>
    <w:p w14:paraId="3026BBC3" w14:textId="77777777" w:rsidR="00EB6430" w:rsidRPr="008B02E0" w:rsidRDefault="00EB6430" w:rsidP="00AE5B32">
      <w:pPr>
        <w:pStyle w:val="TableFigureFooter"/>
      </w:pPr>
      <w:r w:rsidRPr="008B02E0">
        <w:t>HR&lt;1 favoured intervention arm.</w:t>
      </w:r>
    </w:p>
    <w:p w14:paraId="58FDF683" w14:textId="766D4253" w:rsidR="00EB6430" w:rsidRPr="008B02E0" w:rsidRDefault="00EB6430" w:rsidP="00AE5B32">
      <w:pPr>
        <w:pStyle w:val="TableFigureFooter"/>
        <w:rPr>
          <w:sz w:val="20"/>
        </w:rPr>
      </w:pPr>
      <w:r w:rsidRPr="008B02E0">
        <w:t xml:space="preserve">Source: Tables 42,43,44, 46, 52 of the submission, Table 6 of Attachment 1 of the submission </w:t>
      </w:r>
      <w:r w:rsidRPr="008B02E0">
        <w:rPr>
          <w:iCs/>
        </w:rPr>
        <w:t>and compiled during the evaluation from pembrolizumab PSD March 2021 PBAC meeting; and Lenz et al. First</w:t>
      </w:r>
      <w:r w:rsidR="009E5502">
        <w:rPr>
          <w:iCs/>
        </w:rPr>
        <w:noBreakHyphen/>
      </w:r>
      <w:r w:rsidRPr="008B02E0">
        <w:rPr>
          <w:iCs/>
        </w:rPr>
        <w:t>line (1L) nivolumab (NIVO) + ipilimumab (IPI) in patients (pts) with microsatellite instability</w:t>
      </w:r>
      <w:r w:rsidR="009E5502">
        <w:rPr>
          <w:iCs/>
        </w:rPr>
        <w:noBreakHyphen/>
      </w:r>
      <w:r w:rsidRPr="008B02E0">
        <w:rPr>
          <w:iCs/>
        </w:rPr>
        <w:t>high/mismatch repair deficient (MSI</w:t>
      </w:r>
      <w:r w:rsidR="009E5502">
        <w:rPr>
          <w:iCs/>
        </w:rPr>
        <w:noBreakHyphen/>
      </w:r>
      <w:r w:rsidRPr="008B02E0">
        <w:rPr>
          <w:iCs/>
        </w:rPr>
        <w:t>H/dMMR) metastatic colorectal cancer (mCRC): 64</w:t>
      </w:r>
      <w:r w:rsidR="009E5502">
        <w:rPr>
          <w:iCs/>
        </w:rPr>
        <w:noBreakHyphen/>
      </w:r>
      <w:r w:rsidRPr="008B02E0">
        <w:rPr>
          <w:iCs/>
        </w:rPr>
        <w:t>month (mo) follow</w:t>
      </w:r>
      <w:r w:rsidR="009E5502">
        <w:rPr>
          <w:iCs/>
        </w:rPr>
        <w:noBreakHyphen/>
      </w:r>
      <w:r w:rsidRPr="008B02E0">
        <w:rPr>
          <w:iCs/>
        </w:rPr>
        <w:t>up from CheckMate 142.JCO 41, 3550</w:t>
      </w:r>
      <w:r w:rsidR="009E5502">
        <w:rPr>
          <w:iCs/>
        </w:rPr>
        <w:noBreakHyphen/>
      </w:r>
      <w:r w:rsidRPr="008B02E0">
        <w:rPr>
          <w:iCs/>
        </w:rPr>
        <w:t>3550</w:t>
      </w:r>
      <w:r w:rsidR="00157F00" w:rsidRPr="008B02E0">
        <w:rPr>
          <w:iCs/>
        </w:rPr>
        <w:t xml:space="preserve"> </w:t>
      </w:r>
      <w:r w:rsidRPr="008B02E0">
        <w:rPr>
          <w:iCs/>
        </w:rPr>
        <w:t>(2023) (abstract only)</w:t>
      </w:r>
      <w:r w:rsidRPr="008B02E0">
        <w:t xml:space="preserve"> </w:t>
      </w:r>
    </w:p>
    <w:p w14:paraId="21E6F528" w14:textId="1B81BB9E" w:rsidR="00EB6430" w:rsidRPr="008B02E0" w:rsidRDefault="00EB6430" w:rsidP="00AE5B32">
      <w:pPr>
        <w:pStyle w:val="TableFigureFooter"/>
        <w:rPr>
          <w:rFonts w:eastAsia="Calibri"/>
        </w:rPr>
      </w:pPr>
      <w:r w:rsidRPr="008B02E0">
        <w:rPr>
          <w:rFonts w:eastAsia="Calibri"/>
        </w:rPr>
        <w:t>BICR= blinded independent central review</w:t>
      </w:r>
      <w:r w:rsidR="00B836AC" w:rsidRPr="008B02E0">
        <w:rPr>
          <w:rFonts w:eastAsia="Calibri"/>
        </w:rPr>
        <w:t>,</w:t>
      </w:r>
      <w:r w:rsidRPr="008B02E0">
        <w:rPr>
          <w:rFonts w:eastAsia="Calibri"/>
        </w:rPr>
        <w:t xml:space="preserve"> CI = confidence interval</w:t>
      </w:r>
      <w:r w:rsidR="00B836AC" w:rsidRPr="008B02E0">
        <w:rPr>
          <w:rFonts w:eastAsia="Calibri"/>
        </w:rPr>
        <w:t>,</w:t>
      </w:r>
      <w:r w:rsidRPr="008B02E0">
        <w:rPr>
          <w:rFonts w:eastAsia="Calibri"/>
        </w:rPr>
        <w:t xml:space="preserve"> </w:t>
      </w:r>
      <w:r w:rsidR="004043E5" w:rsidRPr="008B02E0">
        <w:rPr>
          <w:rFonts w:eastAsia="Calibri"/>
        </w:rPr>
        <w:t xml:space="preserve">DCO = data cut off; </w:t>
      </w:r>
      <w:r w:rsidRPr="008B02E0">
        <w:rPr>
          <w:rFonts w:eastAsia="Calibri"/>
        </w:rPr>
        <w:t>diff</w:t>
      </w:r>
      <w:r w:rsidR="0008722B" w:rsidRPr="008B02E0">
        <w:rPr>
          <w:rFonts w:eastAsia="Calibri"/>
        </w:rPr>
        <w:t xml:space="preserve"> </w:t>
      </w:r>
      <w:r w:rsidRPr="008B02E0">
        <w:rPr>
          <w:rFonts w:eastAsia="Calibri"/>
        </w:rPr>
        <w:t>=</w:t>
      </w:r>
      <w:r w:rsidR="0008722B" w:rsidRPr="008B02E0">
        <w:rPr>
          <w:rFonts w:eastAsia="Calibri"/>
        </w:rPr>
        <w:t xml:space="preserve"> </w:t>
      </w:r>
      <w:r w:rsidRPr="008B02E0">
        <w:rPr>
          <w:rFonts w:eastAsia="Calibri"/>
        </w:rPr>
        <w:t>difference</w:t>
      </w:r>
      <w:r w:rsidR="00B836AC" w:rsidRPr="008B02E0">
        <w:rPr>
          <w:rFonts w:eastAsia="Calibri"/>
        </w:rPr>
        <w:t>,</w:t>
      </w:r>
      <w:r w:rsidRPr="008B02E0">
        <w:rPr>
          <w:rFonts w:eastAsia="Calibri"/>
        </w:rPr>
        <w:t xml:space="preserve"> </w:t>
      </w:r>
      <w:r w:rsidR="004043E5" w:rsidRPr="008B02E0">
        <w:rPr>
          <w:rFonts w:eastAsia="Calibri"/>
        </w:rPr>
        <w:t>HR = hazard ratio</w:t>
      </w:r>
      <w:r w:rsidR="00B836AC" w:rsidRPr="008B02E0">
        <w:rPr>
          <w:rFonts w:eastAsia="Calibri"/>
        </w:rPr>
        <w:t>,</w:t>
      </w:r>
      <w:r w:rsidR="004043E5" w:rsidRPr="008B02E0">
        <w:rPr>
          <w:rFonts w:eastAsia="Calibri"/>
        </w:rPr>
        <w:t xml:space="preserve"> </w:t>
      </w:r>
      <w:r w:rsidR="00CA6AA0" w:rsidRPr="008B02E0">
        <w:rPr>
          <w:rFonts w:eastAsia="Calibri"/>
        </w:rPr>
        <w:t>INV</w:t>
      </w:r>
      <w:r w:rsidR="0008722B" w:rsidRPr="008B02E0">
        <w:rPr>
          <w:rFonts w:eastAsia="Calibri"/>
        </w:rPr>
        <w:t xml:space="preserve"> </w:t>
      </w:r>
      <w:r w:rsidR="00CA6AA0" w:rsidRPr="008B02E0">
        <w:rPr>
          <w:rFonts w:eastAsia="Calibri"/>
        </w:rPr>
        <w:t>=</w:t>
      </w:r>
      <w:r w:rsidR="0008722B" w:rsidRPr="008B02E0">
        <w:rPr>
          <w:rFonts w:eastAsia="Calibri"/>
        </w:rPr>
        <w:t xml:space="preserve"> </w:t>
      </w:r>
      <w:r w:rsidR="00CA6AA0" w:rsidRPr="008B02E0">
        <w:rPr>
          <w:rFonts w:eastAsia="Calibri"/>
        </w:rPr>
        <w:t>investigator assessed</w:t>
      </w:r>
      <w:r w:rsidR="005368EA" w:rsidRPr="008B02E0">
        <w:rPr>
          <w:rFonts w:eastAsia="Calibri"/>
        </w:rPr>
        <w:t>,</w:t>
      </w:r>
      <w:r w:rsidR="00CA6AA0" w:rsidRPr="008B02E0">
        <w:rPr>
          <w:rFonts w:eastAsia="Calibri"/>
        </w:rPr>
        <w:t xml:space="preserve"> </w:t>
      </w:r>
      <w:r w:rsidR="00C82195" w:rsidRPr="008B02E0">
        <w:t>IPI</w:t>
      </w:r>
      <w:r w:rsidR="0008722B" w:rsidRPr="008B02E0">
        <w:t xml:space="preserve"> </w:t>
      </w:r>
      <w:r w:rsidR="00C82195" w:rsidRPr="008B02E0">
        <w:t>=</w:t>
      </w:r>
      <w:r w:rsidR="0008722B" w:rsidRPr="008B02E0">
        <w:t xml:space="preserve"> </w:t>
      </w:r>
      <w:r w:rsidR="00C82195" w:rsidRPr="008B02E0">
        <w:t>ipilimumab</w:t>
      </w:r>
      <w:r w:rsidR="005368EA" w:rsidRPr="008B02E0">
        <w:rPr>
          <w:rFonts w:eastAsia="Calibri"/>
        </w:rPr>
        <w:t>,</w:t>
      </w:r>
      <w:r w:rsidR="00C82195" w:rsidRPr="008B02E0">
        <w:rPr>
          <w:rFonts w:eastAsia="Calibri"/>
        </w:rPr>
        <w:t xml:space="preserve"> </w:t>
      </w:r>
      <w:r w:rsidRPr="008B02E0">
        <w:rPr>
          <w:rFonts w:eastAsia="Calibri"/>
        </w:rPr>
        <w:t>mth</w:t>
      </w:r>
      <w:r w:rsidR="0008722B" w:rsidRPr="008B02E0">
        <w:rPr>
          <w:rFonts w:eastAsia="Calibri"/>
        </w:rPr>
        <w:t xml:space="preserve"> </w:t>
      </w:r>
      <w:r w:rsidRPr="008B02E0">
        <w:rPr>
          <w:rFonts w:eastAsia="Calibri"/>
        </w:rPr>
        <w:t>=</w:t>
      </w:r>
      <w:r w:rsidR="0008722B" w:rsidRPr="008B02E0">
        <w:rPr>
          <w:rFonts w:eastAsia="Calibri"/>
        </w:rPr>
        <w:t xml:space="preserve"> </w:t>
      </w:r>
      <w:r w:rsidRPr="008B02E0">
        <w:rPr>
          <w:rFonts w:eastAsia="Calibri"/>
        </w:rPr>
        <w:t>months</w:t>
      </w:r>
      <w:r w:rsidR="005368EA" w:rsidRPr="008B02E0">
        <w:rPr>
          <w:rFonts w:eastAsia="Calibri"/>
        </w:rPr>
        <w:t>,</w:t>
      </w:r>
      <w:r w:rsidRPr="008B02E0">
        <w:rPr>
          <w:rFonts w:eastAsia="Calibri"/>
        </w:rPr>
        <w:t xml:space="preserve"> n = number of participants reporting data</w:t>
      </w:r>
      <w:r w:rsidR="005368EA" w:rsidRPr="008B02E0">
        <w:rPr>
          <w:rFonts w:eastAsia="Calibri"/>
        </w:rPr>
        <w:t>,</w:t>
      </w:r>
      <w:r w:rsidRPr="008B02E0">
        <w:rPr>
          <w:rFonts w:eastAsia="Calibri"/>
        </w:rPr>
        <w:t xml:space="preserve"> N = total participants in group</w:t>
      </w:r>
      <w:r w:rsidR="00A475C8" w:rsidRPr="008B02E0">
        <w:rPr>
          <w:rFonts w:eastAsia="Calibri"/>
        </w:rPr>
        <w:t>, NE = not evaluable</w:t>
      </w:r>
      <w:r w:rsidR="005368EA" w:rsidRPr="008B02E0">
        <w:rPr>
          <w:rFonts w:eastAsia="Calibri"/>
        </w:rPr>
        <w:t>,</w:t>
      </w:r>
      <w:r w:rsidR="00C14341" w:rsidRPr="008B02E0">
        <w:rPr>
          <w:rFonts w:eastAsia="Calibri"/>
        </w:rPr>
        <w:t xml:space="preserve"> </w:t>
      </w:r>
      <w:r w:rsidR="00C82195" w:rsidRPr="008B02E0">
        <w:t>NIVO</w:t>
      </w:r>
      <w:r w:rsidR="0008722B" w:rsidRPr="008B02E0">
        <w:t xml:space="preserve"> </w:t>
      </w:r>
      <w:r w:rsidR="00C82195" w:rsidRPr="008B02E0">
        <w:t>=</w:t>
      </w:r>
      <w:r w:rsidR="0008722B" w:rsidRPr="008B02E0">
        <w:t xml:space="preserve"> </w:t>
      </w:r>
      <w:r w:rsidR="00C82195" w:rsidRPr="008B02E0">
        <w:t xml:space="preserve">nivolumab, </w:t>
      </w:r>
      <w:r w:rsidR="00C14341" w:rsidRPr="008B02E0">
        <w:rPr>
          <w:rFonts w:eastAsia="Calibri"/>
        </w:rPr>
        <w:t>NR = not reported</w:t>
      </w:r>
      <w:r w:rsidR="005368EA" w:rsidRPr="008B02E0">
        <w:rPr>
          <w:rFonts w:eastAsia="Calibri"/>
        </w:rPr>
        <w:t>,</w:t>
      </w:r>
      <w:r w:rsidR="00CA6AA0" w:rsidRPr="008B02E0">
        <w:rPr>
          <w:rFonts w:eastAsia="Calibri"/>
        </w:rPr>
        <w:t xml:space="preserve"> PFS</w:t>
      </w:r>
      <w:r w:rsidR="0008722B" w:rsidRPr="008B02E0">
        <w:rPr>
          <w:rFonts w:eastAsia="Calibri"/>
        </w:rPr>
        <w:t xml:space="preserve"> </w:t>
      </w:r>
      <w:r w:rsidR="005368EA" w:rsidRPr="008B02E0">
        <w:rPr>
          <w:rFonts w:eastAsia="Calibri"/>
        </w:rPr>
        <w:t>=</w:t>
      </w:r>
      <w:r w:rsidR="00CA6AA0" w:rsidRPr="008B02E0">
        <w:rPr>
          <w:rFonts w:eastAsia="Calibri"/>
        </w:rPr>
        <w:t xml:space="preserve"> progression free survival</w:t>
      </w:r>
      <w:r w:rsidRPr="008B02E0">
        <w:rPr>
          <w:rFonts w:eastAsia="Calibri"/>
        </w:rPr>
        <w:t xml:space="preserve"> </w:t>
      </w:r>
    </w:p>
    <w:p w14:paraId="3457B2C9" w14:textId="77777777" w:rsidR="00EB6430" w:rsidRPr="008B02E0" w:rsidRDefault="00EB6430" w:rsidP="00AE5B32">
      <w:pPr>
        <w:pStyle w:val="TableFigureFooter"/>
      </w:pPr>
      <w:r w:rsidRPr="008B02E0">
        <w:rPr>
          <w:vertAlign w:val="superscript"/>
        </w:rPr>
        <w:t>*</w:t>
      </w:r>
      <w:r w:rsidRPr="008B02E0">
        <w:rPr>
          <w:vertAlign w:val="superscript"/>
        </w:rPr>
        <w:tab/>
      </w:r>
      <w:r w:rsidRPr="008B02E0">
        <w:t>Primary efficacy outcome of the study</w:t>
      </w:r>
    </w:p>
    <w:p w14:paraId="237285CA" w14:textId="77777777" w:rsidR="00EB6430" w:rsidRPr="008B02E0" w:rsidRDefault="00EB6430" w:rsidP="00AE5B32">
      <w:pPr>
        <w:pStyle w:val="TableFigureFooter"/>
        <w:rPr>
          <w:vertAlign w:val="superscript"/>
        </w:rPr>
      </w:pPr>
      <w:r w:rsidRPr="008B02E0">
        <w:rPr>
          <w:vertAlign w:val="superscript"/>
        </w:rPr>
        <w:t>a</w:t>
      </w:r>
      <w:r w:rsidRPr="008B02E0">
        <w:tab/>
        <w:t>median follow up: 31.5 mths (interim analysis CSR, Andre et al., 2024)</w:t>
      </w:r>
    </w:p>
    <w:p w14:paraId="7B8355C5" w14:textId="1DA614F1" w:rsidR="00EB6430" w:rsidRPr="008B02E0" w:rsidRDefault="00EB6430" w:rsidP="00AE5B32">
      <w:pPr>
        <w:pStyle w:val="TableFigureFooter"/>
        <w:ind w:left="165" w:hanging="165"/>
        <w:rPr>
          <w:iCs/>
        </w:rPr>
      </w:pPr>
      <w:r w:rsidRPr="008B02E0">
        <w:rPr>
          <w:vertAlign w:val="superscript"/>
        </w:rPr>
        <w:t>b</w:t>
      </w:r>
      <w:r w:rsidRPr="008B02E0">
        <w:rPr>
          <w:vertAlign w:val="superscript"/>
        </w:rPr>
        <w:tab/>
      </w:r>
      <w:r w:rsidRPr="008B02E0">
        <w:t>PFS2= investigator</w:t>
      </w:r>
      <w:r w:rsidR="009E5502">
        <w:noBreakHyphen/>
      </w:r>
      <w:r w:rsidRPr="008B02E0">
        <w:t>defined documented disease progression per RECIST 1.1 after the start of next line of therapy, start of second next line therapy or death from any cause, whichever occurred first</w:t>
      </w:r>
    </w:p>
    <w:p w14:paraId="787E5A07" w14:textId="77777777" w:rsidR="00EB6430" w:rsidRPr="008B02E0" w:rsidRDefault="00EB6430" w:rsidP="00AE5B32">
      <w:pPr>
        <w:pStyle w:val="TableFigureFooter"/>
        <w:rPr>
          <w:iCs/>
        </w:rPr>
      </w:pPr>
      <w:r w:rsidRPr="008B02E0">
        <w:rPr>
          <w:iCs/>
          <w:vertAlign w:val="superscript"/>
        </w:rPr>
        <w:t>c</w:t>
      </w:r>
      <w:r w:rsidRPr="008B02E0">
        <w:rPr>
          <w:iCs/>
          <w:vertAlign w:val="superscript"/>
        </w:rPr>
        <w:tab/>
      </w:r>
      <w:r w:rsidRPr="008B02E0">
        <w:t>median follow up: 47.0 mths (primary analysis CSR, Andre et al., 2024)</w:t>
      </w:r>
    </w:p>
    <w:p w14:paraId="2250BB4D" w14:textId="77777777" w:rsidR="00EB6430" w:rsidRPr="008B02E0" w:rsidRDefault="00EB6430" w:rsidP="00AE5B32">
      <w:pPr>
        <w:pStyle w:val="TableFigureFooter"/>
      </w:pPr>
      <w:r w:rsidRPr="008B02E0">
        <w:rPr>
          <w:vertAlign w:val="superscript"/>
        </w:rPr>
        <w:t>d</w:t>
      </w:r>
      <w:r w:rsidRPr="008B02E0">
        <w:tab/>
      </w:r>
      <w:r w:rsidRPr="008B02E0">
        <w:rPr>
          <w:iCs/>
        </w:rPr>
        <w:t>median follow up: 64.2 mths (Lenz et al., 2023). Submission reported only from Lenz 2022</w:t>
      </w:r>
    </w:p>
    <w:p w14:paraId="1EEA2CBE" w14:textId="48B52292" w:rsidR="00EB6430" w:rsidRPr="008B02E0" w:rsidRDefault="00EB6430" w:rsidP="00AE5B32">
      <w:pPr>
        <w:pStyle w:val="TableFigureFooter"/>
      </w:pPr>
      <w:r w:rsidRPr="008B02E0" w:rsidDel="009253ED">
        <w:rPr>
          <w:vertAlign w:val="superscript"/>
        </w:rPr>
        <w:t>e</w:t>
      </w:r>
      <w:r w:rsidRPr="008B02E0" w:rsidDel="009253ED">
        <w:tab/>
        <w:t>median follow up</w:t>
      </w:r>
      <w:r w:rsidRPr="008B02E0">
        <w:t xml:space="preserve"> 32.4 mths (Andre et al., 2020)</w:t>
      </w:r>
      <w:r w:rsidR="005270AA" w:rsidRPr="008B02E0">
        <w:t xml:space="preserve">, data also from </w:t>
      </w:r>
      <w:r w:rsidR="005270AA" w:rsidRPr="008B02E0">
        <w:rPr>
          <w:iCs/>
        </w:rPr>
        <w:t>pembrolizumab PSD, March 2021 PBAC meeting</w:t>
      </w:r>
    </w:p>
    <w:p w14:paraId="18C32DE6" w14:textId="0606B1F1" w:rsidR="00EB6430" w:rsidRPr="008B02E0" w:rsidRDefault="009253ED" w:rsidP="00AE5B32">
      <w:pPr>
        <w:pStyle w:val="TableFigureFooter"/>
      </w:pPr>
      <w:r w:rsidRPr="008B02E0">
        <w:rPr>
          <w:vertAlign w:val="superscript"/>
        </w:rPr>
        <w:t>f</w:t>
      </w:r>
      <w:r w:rsidR="00EB6430" w:rsidRPr="008B02E0">
        <w:tab/>
        <w:t>median follow up: 44.5 mths (Diaz et al., 2022)</w:t>
      </w:r>
    </w:p>
    <w:p w14:paraId="12C47EDD" w14:textId="2D5973BF" w:rsidR="00EB6430" w:rsidRPr="008B02E0" w:rsidRDefault="009253ED" w:rsidP="00AE5B32">
      <w:pPr>
        <w:pStyle w:val="TableFigureFooter"/>
      </w:pPr>
      <w:r w:rsidRPr="008B02E0">
        <w:rPr>
          <w:vertAlign w:val="superscript"/>
        </w:rPr>
        <w:t>g</w:t>
      </w:r>
      <w:r w:rsidR="00EB6430" w:rsidRPr="008B02E0">
        <w:tab/>
        <w:t>median follow up: 73.3 mths (Andre et al., 2024b)</w:t>
      </w:r>
    </w:p>
    <w:p w14:paraId="1743A181" w14:textId="6A2F7FC3" w:rsidR="00EB6430" w:rsidRPr="008B02E0" w:rsidRDefault="00EB6430" w:rsidP="00AE5B32">
      <w:pPr>
        <w:pStyle w:val="Caption"/>
      </w:pPr>
      <w:bookmarkStart w:id="39" w:name="_Ref197693991"/>
      <w:r w:rsidRPr="008B02E0">
        <w:lastRenderedPageBreak/>
        <w:t xml:space="preserve">Figure </w:t>
      </w:r>
      <w:r w:rsidR="008258C7">
        <w:fldChar w:fldCharType="begin"/>
      </w:r>
      <w:r w:rsidR="008258C7">
        <w:instrText xml:space="preserve"> SEQ Figure \* ARABIC </w:instrText>
      </w:r>
      <w:r w:rsidR="008258C7">
        <w:fldChar w:fldCharType="separate"/>
      </w:r>
      <w:r w:rsidR="00B542C9">
        <w:rPr>
          <w:noProof/>
        </w:rPr>
        <w:t>2</w:t>
      </w:r>
      <w:r w:rsidR="008258C7">
        <w:rPr>
          <w:noProof/>
        </w:rPr>
        <w:fldChar w:fldCharType="end"/>
      </w:r>
      <w:bookmarkEnd w:id="39"/>
      <w:r w:rsidRPr="008B02E0">
        <w:t>: PFS Kaplan</w:t>
      </w:r>
      <w:r w:rsidR="009E5502">
        <w:noBreakHyphen/>
      </w:r>
      <w:r w:rsidRPr="008B02E0">
        <w:t>Meier data presented in the submission (all locally confirmed MSI</w:t>
      </w:r>
      <w:r w:rsidR="009E5502">
        <w:noBreakHyphen/>
      </w:r>
      <w:r w:rsidRPr="008B02E0">
        <w:t>H/dMMR)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4638"/>
        <w:gridCol w:w="4389"/>
      </w:tblGrid>
      <w:tr w:rsidR="00EB6430" w:rsidRPr="008B02E0" w14:paraId="2B1AE411" w14:textId="77777777" w:rsidTr="00D17F3A">
        <w:trPr>
          <w:jc w:val="center"/>
        </w:trPr>
        <w:tc>
          <w:tcPr>
            <w:tcW w:w="4638" w:type="dxa"/>
            <w:vAlign w:val="center"/>
          </w:tcPr>
          <w:p w14:paraId="189794B4" w14:textId="77777777" w:rsidR="00EB6430" w:rsidRPr="008B02E0" w:rsidRDefault="00EB6430" w:rsidP="00AE5B32">
            <w:pPr>
              <w:pStyle w:val="In-tableHeading"/>
              <w:jc w:val="center"/>
              <w:rPr>
                <w:lang w:val="en-AU"/>
              </w:rPr>
            </w:pPr>
          </w:p>
          <w:p w14:paraId="0A3071C5" w14:textId="25AD9E07" w:rsidR="00EB6430" w:rsidRPr="008B02E0" w:rsidRDefault="00EB6430" w:rsidP="00AE5B32">
            <w:pPr>
              <w:pStyle w:val="In-tableHeading"/>
              <w:rPr>
                <w:lang w:val="en-AU"/>
              </w:rPr>
            </w:pPr>
            <w:r w:rsidRPr="008B02E0">
              <w:rPr>
                <w:lang w:val="en-AU"/>
              </w:rPr>
              <w:t xml:space="preserve">      A:                               CM</w:t>
            </w:r>
            <w:r w:rsidR="009E5502">
              <w:rPr>
                <w:lang w:val="en-AU"/>
              </w:rPr>
              <w:noBreakHyphen/>
            </w:r>
            <w:r w:rsidRPr="008B02E0">
              <w:rPr>
                <w:lang w:val="en-AU"/>
              </w:rPr>
              <w:t>8HW 1L</w:t>
            </w:r>
            <w:r w:rsidRPr="008B02E0">
              <w:rPr>
                <w:vertAlign w:val="superscript"/>
                <w:lang w:val="en-AU"/>
              </w:rPr>
              <w:t>a</w:t>
            </w:r>
          </w:p>
          <w:p w14:paraId="7F8944C4" w14:textId="77777777" w:rsidR="00EB6430" w:rsidRPr="008B02E0" w:rsidRDefault="00EB6430" w:rsidP="00AE5B32">
            <w:pPr>
              <w:pStyle w:val="In-tableHeading"/>
              <w:jc w:val="center"/>
              <w:rPr>
                <w:lang w:val="en-AU"/>
              </w:rPr>
            </w:pPr>
            <w:r w:rsidRPr="008B02E0">
              <w:rPr>
                <w:lang w:val="en-AU"/>
              </w:rPr>
              <w:t>NIVO+IPI vs chemotherapy</w:t>
            </w:r>
          </w:p>
          <w:p w14:paraId="502007DE" w14:textId="77777777" w:rsidR="00EB6430" w:rsidRPr="008B02E0" w:rsidRDefault="00EB6430" w:rsidP="00AE5B32">
            <w:pPr>
              <w:pStyle w:val="In-tableHeading"/>
              <w:jc w:val="center"/>
              <w:rPr>
                <w:lang w:val="en-AU"/>
              </w:rPr>
            </w:pPr>
            <w:r w:rsidRPr="008B02E0">
              <w:rPr>
                <w:lang w:val="en-AU"/>
              </w:rPr>
              <w:t>(DCO: 12 October 2023)</w:t>
            </w:r>
          </w:p>
        </w:tc>
        <w:tc>
          <w:tcPr>
            <w:tcW w:w="4389" w:type="dxa"/>
            <w:vAlign w:val="center"/>
          </w:tcPr>
          <w:p w14:paraId="77DAA271" w14:textId="77777777" w:rsidR="00EB6430" w:rsidRPr="008B02E0" w:rsidRDefault="00EB6430" w:rsidP="00AE5B32">
            <w:pPr>
              <w:pStyle w:val="In-tableHeading"/>
              <w:jc w:val="center"/>
              <w:rPr>
                <w:lang w:val="en-AU"/>
              </w:rPr>
            </w:pPr>
          </w:p>
          <w:p w14:paraId="1996BE3E" w14:textId="227A11D7" w:rsidR="00EB6430" w:rsidRPr="008B02E0" w:rsidRDefault="00EB6430" w:rsidP="00AE5B32">
            <w:pPr>
              <w:pStyle w:val="In-tableHeading"/>
              <w:rPr>
                <w:lang w:val="en-AU"/>
              </w:rPr>
            </w:pPr>
            <w:r w:rsidRPr="008B02E0">
              <w:rPr>
                <w:lang w:val="en-AU"/>
              </w:rPr>
              <w:t xml:space="preserve">          B:                             KN</w:t>
            </w:r>
            <w:r w:rsidR="009E5502">
              <w:rPr>
                <w:lang w:val="en-AU"/>
              </w:rPr>
              <w:noBreakHyphen/>
            </w:r>
            <w:r w:rsidRPr="008B02E0">
              <w:rPr>
                <w:lang w:val="en-AU"/>
              </w:rPr>
              <w:t>177</w:t>
            </w:r>
            <w:r w:rsidRPr="008B02E0">
              <w:rPr>
                <w:vertAlign w:val="superscript"/>
                <w:lang w:val="en-AU"/>
              </w:rPr>
              <w:t>a</w:t>
            </w:r>
          </w:p>
          <w:p w14:paraId="470D074C" w14:textId="77777777" w:rsidR="00EB6430" w:rsidRPr="008B02E0" w:rsidRDefault="00EB6430" w:rsidP="00AE5B32">
            <w:pPr>
              <w:pStyle w:val="In-tableHeading"/>
              <w:jc w:val="center"/>
              <w:rPr>
                <w:lang w:val="en-AU"/>
              </w:rPr>
            </w:pPr>
            <w:r w:rsidRPr="008B02E0">
              <w:rPr>
                <w:lang w:val="en-AU"/>
              </w:rPr>
              <w:t>Pembrolizumab vs chemotherapy</w:t>
            </w:r>
          </w:p>
          <w:p w14:paraId="59DDBFFB" w14:textId="77777777" w:rsidR="00EB6430" w:rsidRPr="008B02E0" w:rsidRDefault="00EB6430" w:rsidP="00AE5B32">
            <w:pPr>
              <w:pStyle w:val="In-tableHeading"/>
              <w:jc w:val="center"/>
              <w:rPr>
                <w:lang w:val="en-AU"/>
              </w:rPr>
            </w:pPr>
            <w:r w:rsidRPr="008B02E0">
              <w:rPr>
                <w:lang w:val="en-AU"/>
              </w:rPr>
              <w:t>(DCO: 17 July 2023)</w:t>
            </w:r>
          </w:p>
        </w:tc>
      </w:tr>
      <w:tr w:rsidR="00EB6430" w:rsidRPr="008B02E0" w14:paraId="6AE9730B" w14:textId="77777777" w:rsidTr="00D17F3A">
        <w:trPr>
          <w:jc w:val="center"/>
        </w:trPr>
        <w:tc>
          <w:tcPr>
            <w:tcW w:w="4638" w:type="dxa"/>
          </w:tcPr>
          <w:p w14:paraId="41AC1886" w14:textId="77777777" w:rsidR="00EB6430" w:rsidRPr="008B02E0" w:rsidRDefault="00EB6430" w:rsidP="00AE5B32">
            <w:pPr>
              <w:pStyle w:val="In-tableHeading"/>
              <w:keepNext w:val="0"/>
              <w:rPr>
                <w:lang w:val="en-AU"/>
              </w:rPr>
            </w:pPr>
          </w:p>
          <w:p w14:paraId="023596F0" w14:textId="77777777" w:rsidR="00EB6430" w:rsidRPr="008B02E0" w:rsidRDefault="00EB6430" w:rsidP="00AE5B32">
            <w:pPr>
              <w:pStyle w:val="In-tableHeading"/>
              <w:keepNext w:val="0"/>
              <w:rPr>
                <w:lang w:val="en-AU"/>
              </w:rPr>
            </w:pPr>
            <w:r w:rsidRPr="008B02E0">
              <w:rPr>
                <w:noProof/>
                <w:color w:val="000000" w:themeColor="text1"/>
                <w:lang w:val="en-AU"/>
              </w:rPr>
              <w:drawing>
                <wp:inline distT="0" distB="0" distL="0" distR="0" wp14:anchorId="1E944D05" wp14:editId="73468094">
                  <wp:extent cx="3029374" cy="1502229"/>
                  <wp:effectExtent l="0" t="0" r="0" b="3175"/>
                  <wp:docPr id="45" name="Picture 102" descr="Figure 2: PFS Kaplan Meier data presented in the submission (all locally confirmed MSI H/dMMR) - NIVO+IPI vs chemo - DCO: 12 Octo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02" descr="Figure 2: PFS Kaplan Meier data presented in the submission (all locally confirmed MSI H/dMMR) - NIVO+IPI vs chemo - DCO: 12 October 2023"/>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65805" cy="15202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tcPr>
          <w:p w14:paraId="5CEC28E3" w14:textId="77777777" w:rsidR="00EB6430" w:rsidRPr="008B02E0" w:rsidRDefault="00EB6430" w:rsidP="00AE5B32">
            <w:pPr>
              <w:pStyle w:val="In-tableHeading"/>
              <w:keepNext w:val="0"/>
              <w:rPr>
                <w:lang w:val="en-AU"/>
              </w:rPr>
            </w:pPr>
            <w:r w:rsidRPr="008B02E0">
              <w:rPr>
                <w:noProof/>
                <w:color w:val="000000" w:themeColor="text1"/>
                <w:lang w:val="en-AU"/>
              </w:rPr>
              <w:drawing>
                <wp:inline distT="0" distB="0" distL="0" distR="0" wp14:anchorId="631F2AD8" wp14:editId="2E93F5E4">
                  <wp:extent cx="2861954" cy="1447800"/>
                  <wp:effectExtent l="0" t="0" r="0" b="0"/>
                  <wp:docPr id="46" name="Picture 93" descr="Figure 2: PFS Kaplan Meier data presented in the submission (all locally confirmed MSI H/dMMR) - Pembrolizumab vs chemo - DCO: 17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93" descr="Figure 2: PFS Kaplan Meier data presented in the submission (all locally confirmed MSI H/dMMR) - Pembrolizumab vs chemo - DCO: 17 July 2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415" cy="1457645"/>
                          </a:xfrm>
                          <a:prstGeom prst="rect">
                            <a:avLst/>
                          </a:prstGeom>
                          <a:noFill/>
                          <a:ln>
                            <a:noFill/>
                          </a:ln>
                        </pic:spPr>
                      </pic:pic>
                    </a:graphicData>
                  </a:graphic>
                </wp:inline>
              </w:drawing>
            </w:r>
          </w:p>
        </w:tc>
      </w:tr>
      <w:tr w:rsidR="00EB6430" w:rsidRPr="008B02E0" w14:paraId="471AA270" w14:textId="77777777" w:rsidTr="00D17F3A">
        <w:trPr>
          <w:jc w:val="center"/>
        </w:trPr>
        <w:tc>
          <w:tcPr>
            <w:tcW w:w="4638" w:type="dxa"/>
            <w:vAlign w:val="center"/>
          </w:tcPr>
          <w:p w14:paraId="18EF5107" w14:textId="77777777" w:rsidR="00EB6430" w:rsidRPr="008B02E0" w:rsidRDefault="00EB6430" w:rsidP="00AE5B32">
            <w:pPr>
              <w:pStyle w:val="In-tableHeading"/>
              <w:jc w:val="center"/>
              <w:rPr>
                <w:lang w:val="en-AU"/>
              </w:rPr>
            </w:pPr>
          </w:p>
          <w:p w14:paraId="30043FE7" w14:textId="051F7947" w:rsidR="00EB6430" w:rsidRPr="008B02E0" w:rsidRDefault="00EB6430" w:rsidP="00AE5B32">
            <w:pPr>
              <w:pStyle w:val="In-tableHeading"/>
              <w:rPr>
                <w:lang w:val="en-AU"/>
              </w:rPr>
            </w:pPr>
            <w:r w:rsidRPr="008B02E0">
              <w:rPr>
                <w:lang w:val="en-AU"/>
              </w:rPr>
              <w:t xml:space="preserve">      C:                             CM</w:t>
            </w:r>
            <w:r w:rsidR="009E5502">
              <w:rPr>
                <w:lang w:val="en-AU"/>
              </w:rPr>
              <w:noBreakHyphen/>
            </w:r>
            <w:r w:rsidRPr="008B02E0">
              <w:rPr>
                <w:lang w:val="en-AU"/>
              </w:rPr>
              <w:t>8HW 1L+</w:t>
            </w:r>
            <w:r w:rsidRPr="008B02E0">
              <w:rPr>
                <w:vertAlign w:val="superscript"/>
                <w:lang w:val="en-AU"/>
              </w:rPr>
              <w:t>a</w:t>
            </w:r>
          </w:p>
          <w:p w14:paraId="2E1449E6" w14:textId="77777777" w:rsidR="00EB6430" w:rsidRPr="008B02E0" w:rsidRDefault="00EB6430" w:rsidP="00AE5B32">
            <w:pPr>
              <w:pStyle w:val="In-tableHeading"/>
              <w:jc w:val="center"/>
              <w:rPr>
                <w:lang w:val="en-AU"/>
              </w:rPr>
            </w:pPr>
            <w:r w:rsidRPr="008B02E0">
              <w:rPr>
                <w:lang w:val="en-AU"/>
              </w:rPr>
              <w:t>NIVO+IPI vs NIVO</w:t>
            </w:r>
          </w:p>
          <w:p w14:paraId="5B63D33F" w14:textId="77777777" w:rsidR="00EB6430" w:rsidRPr="008B02E0" w:rsidRDefault="00EB6430" w:rsidP="00AE5B32">
            <w:pPr>
              <w:pStyle w:val="In-tableHeading"/>
              <w:jc w:val="center"/>
              <w:rPr>
                <w:noProof/>
                <w:color w:val="000000" w:themeColor="text1"/>
                <w:lang w:val="en-AU"/>
              </w:rPr>
            </w:pPr>
            <w:r w:rsidRPr="008B02E0">
              <w:rPr>
                <w:lang w:val="en-AU"/>
              </w:rPr>
              <w:t>(DCO: 28 August 2024)</w:t>
            </w:r>
          </w:p>
        </w:tc>
        <w:tc>
          <w:tcPr>
            <w:tcW w:w="4389" w:type="dxa"/>
            <w:vAlign w:val="center"/>
          </w:tcPr>
          <w:p w14:paraId="1FABF7CC" w14:textId="77777777" w:rsidR="00EB6430" w:rsidRPr="008B02E0" w:rsidRDefault="00EB6430" w:rsidP="00AE5B32">
            <w:pPr>
              <w:pStyle w:val="In-tableHeading"/>
              <w:jc w:val="center"/>
              <w:rPr>
                <w:lang w:val="en-AU"/>
              </w:rPr>
            </w:pPr>
          </w:p>
          <w:p w14:paraId="234E13C5" w14:textId="73D7159B" w:rsidR="00EB6430" w:rsidRPr="008B02E0" w:rsidRDefault="00EB6430" w:rsidP="00AE5B32">
            <w:pPr>
              <w:pStyle w:val="In-tableHeading"/>
              <w:rPr>
                <w:lang w:val="en-AU"/>
              </w:rPr>
            </w:pPr>
            <w:r w:rsidRPr="008B02E0">
              <w:rPr>
                <w:lang w:val="en-AU"/>
              </w:rPr>
              <w:t xml:space="preserve">             D:                 CM</w:t>
            </w:r>
            <w:r w:rsidR="009E5502">
              <w:rPr>
                <w:lang w:val="en-AU"/>
              </w:rPr>
              <w:noBreakHyphen/>
            </w:r>
            <w:r w:rsidRPr="008B02E0">
              <w:rPr>
                <w:lang w:val="en-AU"/>
              </w:rPr>
              <w:t>142 Cohort 3</w:t>
            </w:r>
            <w:r w:rsidRPr="008B02E0">
              <w:rPr>
                <w:vertAlign w:val="superscript"/>
                <w:lang w:val="en-AU"/>
              </w:rPr>
              <w:t>b</w:t>
            </w:r>
          </w:p>
          <w:p w14:paraId="05592B0F" w14:textId="77777777" w:rsidR="00EB6430" w:rsidRPr="008B02E0" w:rsidRDefault="00EB6430" w:rsidP="00AE5B32">
            <w:pPr>
              <w:pStyle w:val="In-tableHeading"/>
              <w:jc w:val="center"/>
              <w:rPr>
                <w:noProof/>
                <w:color w:val="000000" w:themeColor="text1"/>
                <w:lang w:val="en-AU"/>
              </w:rPr>
            </w:pPr>
            <w:r w:rsidRPr="008B02E0">
              <w:rPr>
                <w:noProof/>
                <w:color w:val="000000" w:themeColor="text1"/>
                <w:lang w:val="en-AU"/>
              </w:rPr>
              <w:t>NIVO+IPI</w:t>
            </w:r>
          </w:p>
          <w:p w14:paraId="48D5A4A8" w14:textId="77777777" w:rsidR="00EB6430" w:rsidRPr="008B02E0" w:rsidRDefault="00EB6430" w:rsidP="00AE5B32">
            <w:pPr>
              <w:pStyle w:val="In-tableHeading"/>
              <w:jc w:val="center"/>
              <w:rPr>
                <w:noProof/>
                <w:color w:val="000000" w:themeColor="text1"/>
                <w:lang w:val="en-AU"/>
              </w:rPr>
            </w:pPr>
            <w:r w:rsidRPr="008B02E0">
              <w:rPr>
                <w:lang w:val="en-AU"/>
              </w:rPr>
              <w:t>(DCO: October 2019)</w:t>
            </w:r>
          </w:p>
        </w:tc>
      </w:tr>
      <w:tr w:rsidR="00EB6430" w:rsidRPr="008B02E0" w14:paraId="32317007" w14:textId="77777777" w:rsidTr="00D17F3A">
        <w:trPr>
          <w:jc w:val="center"/>
        </w:trPr>
        <w:tc>
          <w:tcPr>
            <w:tcW w:w="4638" w:type="dxa"/>
          </w:tcPr>
          <w:p w14:paraId="63D6819F" w14:textId="77777777" w:rsidR="00EB6430" w:rsidRPr="008B02E0" w:rsidRDefault="00EB6430" w:rsidP="00AE5B32">
            <w:pPr>
              <w:pStyle w:val="In-tableHeading"/>
              <w:keepNext w:val="0"/>
              <w:rPr>
                <w:noProof/>
                <w:color w:val="000000" w:themeColor="text1"/>
                <w:lang w:val="en-AU"/>
              </w:rPr>
            </w:pPr>
            <w:r w:rsidRPr="008B02E0">
              <w:rPr>
                <w:noProof/>
                <w:lang w:val="en-AU"/>
              </w:rPr>
              <w:drawing>
                <wp:inline distT="0" distB="0" distL="0" distR="0" wp14:anchorId="5E4FA359" wp14:editId="0C9BF511">
                  <wp:extent cx="2789555" cy="1570270"/>
                  <wp:effectExtent l="0" t="0" r="0" b="0"/>
                  <wp:docPr id="47" name="Picture 1" descr="Figure 2: PFS Kaplan Meier data presented in the submission (all locally confirmed MSI H/dMMR) - NIVO+IPI vs NIVO - DCO: 28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Figure 2: PFS Kaplan Meier data presented in the submission (all locally confirmed MSI H/dMMR) - NIVO+IPI vs NIVO - DCO: 28 August 2024"/>
                          <pic:cNvPicPr/>
                        </pic:nvPicPr>
                        <pic:blipFill rotWithShape="1">
                          <a:blip r:embed="rId14"/>
                          <a:srcRect t="50933"/>
                          <a:stretch/>
                        </pic:blipFill>
                        <pic:spPr bwMode="auto">
                          <a:xfrm>
                            <a:off x="0" y="0"/>
                            <a:ext cx="2790000" cy="1570520"/>
                          </a:xfrm>
                          <a:prstGeom prst="rect">
                            <a:avLst/>
                          </a:prstGeom>
                          <a:ln>
                            <a:noFill/>
                          </a:ln>
                          <a:extLst>
                            <a:ext uri="{53640926-AAD7-44D8-BBD7-CCE9431645EC}">
                              <a14:shadowObscured xmlns:a14="http://schemas.microsoft.com/office/drawing/2010/main"/>
                            </a:ext>
                          </a:extLst>
                        </pic:spPr>
                      </pic:pic>
                    </a:graphicData>
                  </a:graphic>
                </wp:inline>
              </w:drawing>
            </w:r>
          </w:p>
        </w:tc>
        <w:tc>
          <w:tcPr>
            <w:tcW w:w="4389" w:type="dxa"/>
          </w:tcPr>
          <w:p w14:paraId="37378FEC" w14:textId="77777777" w:rsidR="00EB6430" w:rsidRPr="008B02E0" w:rsidRDefault="00EB6430" w:rsidP="00AE5B32">
            <w:pPr>
              <w:pStyle w:val="In-tableHeading"/>
              <w:keepNext w:val="0"/>
              <w:rPr>
                <w:noProof/>
                <w:color w:val="000000" w:themeColor="text1"/>
                <w:lang w:val="en-AU"/>
              </w:rPr>
            </w:pPr>
          </w:p>
          <w:p w14:paraId="69991E6F" w14:textId="77777777" w:rsidR="00EB6430" w:rsidRPr="008B02E0" w:rsidRDefault="00EB6430" w:rsidP="00AE5B32">
            <w:pPr>
              <w:pStyle w:val="In-tableHeading"/>
              <w:keepNext w:val="0"/>
              <w:rPr>
                <w:noProof/>
                <w:color w:val="000000" w:themeColor="text1"/>
                <w:lang w:val="en-AU"/>
              </w:rPr>
            </w:pPr>
            <w:r w:rsidRPr="008B02E0">
              <w:rPr>
                <w:noProof/>
                <w:color w:val="000000" w:themeColor="text1"/>
                <w:lang w:val="en-AU"/>
              </w:rPr>
              <w:drawing>
                <wp:inline distT="0" distB="0" distL="0" distR="0" wp14:anchorId="50911B3C" wp14:editId="780D70EA">
                  <wp:extent cx="2788285" cy="1448790"/>
                  <wp:effectExtent l="0" t="0" r="0" b="0"/>
                  <wp:docPr id="48" name="Picture 96" descr="Figure 2: PFS Kaplan Meier data presented in the submission (all locally confirmed MSI H/dMMR) - NIVO+IPI - DCO: Octo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6" descr="Figure 2: PFS Kaplan Meier data presented in the submission (all locally confirmed MSI H/dMMR) - NIVO+IPI - DCO: October 20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5217" cy="1452392"/>
                          </a:xfrm>
                          <a:prstGeom prst="rect">
                            <a:avLst/>
                          </a:prstGeom>
                          <a:noFill/>
                          <a:ln>
                            <a:noFill/>
                          </a:ln>
                        </pic:spPr>
                      </pic:pic>
                    </a:graphicData>
                  </a:graphic>
                </wp:inline>
              </w:drawing>
            </w:r>
          </w:p>
        </w:tc>
      </w:tr>
    </w:tbl>
    <w:p w14:paraId="2DA37F01" w14:textId="3DF048D2" w:rsidR="00EB6430" w:rsidRPr="008B02E0" w:rsidRDefault="00EB6430" w:rsidP="00AE5B32">
      <w:pPr>
        <w:pStyle w:val="TableFigureFooter"/>
      </w:pPr>
      <w:r w:rsidRPr="008B02E0">
        <w:t xml:space="preserve">Source: Figure 7, p72; Figure 14, p82, Figure 17, p84 of the submission and Figure 2, p12 of ‘Attachment 1 </w:t>
      </w:r>
      <w:r w:rsidR="009E5502">
        <w:noBreakHyphen/>
      </w:r>
      <w:r w:rsidRPr="008B02E0">
        <w:t xml:space="preserve"> NIVO Mono Supplementary Clinical Evaluation.docx’ of the submission</w:t>
      </w:r>
    </w:p>
    <w:p w14:paraId="744C279F" w14:textId="4EA0A4B8" w:rsidR="00EB6430" w:rsidRPr="008B02E0" w:rsidRDefault="00715D41" w:rsidP="00AE5B32">
      <w:pPr>
        <w:pStyle w:val="TableFigureFooter"/>
      </w:pPr>
      <w:r w:rsidRPr="008B02E0">
        <w:t>CI = confidence interval</w:t>
      </w:r>
      <w:r w:rsidR="005368EA" w:rsidRPr="008B02E0">
        <w:t>,</w:t>
      </w:r>
      <w:r w:rsidRPr="008B02E0">
        <w:t xml:space="preserve"> </w:t>
      </w:r>
      <w:r w:rsidR="00EB6430" w:rsidRPr="008B02E0">
        <w:t>DCO=data cut</w:t>
      </w:r>
      <w:r w:rsidR="009E5502">
        <w:noBreakHyphen/>
      </w:r>
      <w:r w:rsidR="00EB6430" w:rsidRPr="008B02E0">
        <w:t>off,</w:t>
      </w:r>
      <w:r w:rsidR="00B836AC" w:rsidRPr="008B02E0">
        <w:t xml:space="preserve"> HR = hazard ratio</w:t>
      </w:r>
      <w:r w:rsidR="0008722B" w:rsidRPr="008B02E0">
        <w:t>,</w:t>
      </w:r>
      <w:r w:rsidR="00EB6430" w:rsidRPr="008B02E0">
        <w:t xml:space="preserve"> </w:t>
      </w:r>
      <w:r w:rsidRPr="008B02E0">
        <w:t xml:space="preserve">IPI=ipilimumab, </w:t>
      </w:r>
      <w:r w:rsidR="00B836AC" w:rsidRPr="008B02E0">
        <w:rPr>
          <w:rFonts w:eastAsia="Calibri"/>
        </w:rPr>
        <w:t>NE = not evaluable</w:t>
      </w:r>
      <w:r w:rsidR="0008722B" w:rsidRPr="008B02E0">
        <w:rPr>
          <w:rFonts w:eastAsia="Calibri"/>
        </w:rPr>
        <w:t>,</w:t>
      </w:r>
      <w:r w:rsidR="00B836AC" w:rsidRPr="008B02E0">
        <w:rPr>
          <w:rFonts w:eastAsia="Calibri"/>
        </w:rPr>
        <w:t xml:space="preserve"> </w:t>
      </w:r>
      <w:r w:rsidR="00EB6430" w:rsidRPr="008B02E0">
        <w:t xml:space="preserve">NIVO=nivolumab, </w:t>
      </w:r>
      <w:r w:rsidR="00B836AC" w:rsidRPr="008B02E0">
        <w:rPr>
          <w:rFonts w:eastAsia="Calibri"/>
        </w:rPr>
        <w:t>NR = not reported</w:t>
      </w:r>
      <w:r w:rsidR="0008722B" w:rsidRPr="008B02E0">
        <w:rPr>
          <w:rFonts w:eastAsia="Calibri"/>
        </w:rPr>
        <w:t>,</w:t>
      </w:r>
      <w:r w:rsidR="00B836AC" w:rsidRPr="008B02E0">
        <w:t xml:space="preserve"> </w:t>
      </w:r>
      <w:r w:rsidRPr="008B02E0">
        <w:t>PFS = progression free survival</w:t>
      </w:r>
    </w:p>
    <w:p w14:paraId="2898EBEF" w14:textId="77777777" w:rsidR="00EB6430" w:rsidRPr="008B02E0" w:rsidRDefault="00EB6430" w:rsidP="00AE5B32">
      <w:pPr>
        <w:pStyle w:val="TableFigureFooter"/>
      </w:pPr>
      <w:r w:rsidRPr="008B02E0">
        <w:rPr>
          <w:vertAlign w:val="superscript"/>
        </w:rPr>
        <w:t>a</w:t>
      </w:r>
      <w:r w:rsidRPr="008B02E0">
        <w:tab/>
        <w:t>blinded independent central review</w:t>
      </w:r>
    </w:p>
    <w:p w14:paraId="0D9FFC54" w14:textId="77777777" w:rsidR="00EB6430" w:rsidRPr="008B02E0" w:rsidRDefault="00EB6430" w:rsidP="00AE5B32">
      <w:pPr>
        <w:pStyle w:val="TableFigureFooter"/>
      </w:pPr>
      <w:r w:rsidRPr="008B02E0">
        <w:rPr>
          <w:vertAlign w:val="superscript"/>
        </w:rPr>
        <w:t>b</w:t>
      </w:r>
      <w:r w:rsidRPr="008B02E0">
        <w:tab/>
        <w:t>investigator assessed</w:t>
      </w:r>
    </w:p>
    <w:p w14:paraId="4D9FE773" w14:textId="006D7E4E" w:rsidR="00EB6430" w:rsidRPr="008B02E0" w:rsidRDefault="00EB6430" w:rsidP="00AE5B32">
      <w:pPr>
        <w:pStyle w:val="3-BodyText"/>
      </w:pPr>
      <w:r w:rsidRPr="008B02E0">
        <w:t>Nivolumab plus ipilimumab was associated with a statistically significant improvement in PFS compared to chemotherapy (</w:t>
      </w:r>
      <w:r w:rsidR="00112666" w:rsidRPr="008B02E0">
        <w:t>hazard ratio [</w:t>
      </w:r>
      <w:r w:rsidRPr="008B02E0">
        <w:t>HR</w:t>
      </w:r>
      <w:r w:rsidR="00112666" w:rsidRPr="008B02E0">
        <w:t>]</w:t>
      </w:r>
      <w:r w:rsidRPr="008B02E0">
        <w:t>: 0.32, 95%</w:t>
      </w:r>
      <w:r w:rsidR="001F0AFA" w:rsidRPr="008B02E0">
        <w:t xml:space="preserve"> confidence interval [</w:t>
      </w:r>
      <w:r w:rsidRPr="008B02E0">
        <w:t>CI</w:t>
      </w:r>
      <w:r w:rsidR="001F0AFA" w:rsidRPr="008B02E0">
        <w:t>]</w:t>
      </w:r>
      <w:r w:rsidRPr="008B02E0">
        <w:t>: 0.23, 0.46) based on the locally confirmed MSI</w:t>
      </w:r>
      <w:r w:rsidR="009E5502">
        <w:noBreakHyphen/>
      </w:r>
      <w:r w:rsidRPr="008B02E0">
        <w:t>H/dMMR cohort of CM</w:t>
      </w:r>
      <w:r w:rsidR="009E5502">
        <w:noBreakHyphen/>
      </w:r>
      <w:r w:rsidRPr="008B02E0">
        <w:t>8HW 1L. The centrally confirmed population exhibited a greater improvement in PFS (HR: 0.21, 95%</w:t>
      </w:r>
      <w:r w:rsidR="00037914" w:rsidRPr="008B02E0">
        <w:t xml:space="preserve"> </w:t>
      </w:r>
      <w:r w:rsidRPr="008B02E0">
        <w:t xml:space="preserve">CI: 0.14, 0.32). </w:t>
      </w:r>
    </w:p>
    <w:p w14:paraId="0A7F04D1" w14:textId="21526CC2" w:rsidR="00EB6430" w:rsidRPr="008B02E0" w:rsidRDefault="00836723" w:rsidP="00AE5B32">
      <w:pPr>
        <w:pStyle w:val="3-BodyText"/>
      </w:pPr>
      <w:r w:rsidRPr="008B02E0">
        <w:t>The ESC noted that the</w:t>
      </w:r>
      <w:r w:rsidRPr="008B02E0">
        <w:rPr>
          <w:iCs/>
        </w:rPr>
        <w:t xml:space="preserve"> </w:t>
      </w:r>
      <w:r w:rsidR="00EB6430" w:rsidRPr="008B02E0">
        <w:rPr>
          <w:iCs/>
        </w:rPr>
        <w:t>PFS was still immature with median PFS not reached in the nivolumab plus ipilimumab arm of CM</w:t>
      </w:r>
      <w:r w:rsidR="009E5502">
        <w:rPr>
          <w:iCs/>
        </w:rPr>
        <w:noBreakHyphen/>
      </w:r>
      <w:r w:rsidR="00EB6430" w:rsidRPr="008B02E0">
        <w:rPr>
          <w:iCs/>
        </w:rPr>
        <w:t>8HW 1L at the DCO of 12 October 2023 (median PFS was 6.2 months in the chemotherapy arm for the locally BICR population). Median PFS in the nivolumab plus ipilimumab arm of centrally confirmed MSI</w:t>
      </w:r>
      <w:r w:rsidR="009E5502">
        <w:rPr>
          <w:iCs/>
        </w:rPr>
        <w:noBreakHyphen/>
      </w:r>
      <w:r w:rsidR="00EB6430" w:rsidRPr="008B02E0">
        <w:rPr>
          <w:iCs/>
        </w:rPr>
        <w:t>H/dMMR subgroup of arm CM</w:t>
      </w:r>
      <w:r w:rsidR="009E5502">
        <w:rPr>
          <w:iCs/>
        </w:rPr>
        <w:noBreakHyphen/>
      </w:r>
      <w:r w:rsidR="00EB6430" w:rsidRPr="008B02E0">
        <w:rPr>
          <w:iCs/>
        </w:rPr>
        <w:t>8HW 1L at DCO 28 August 2024 was 54.1 months compared to 5.9 months in the chemotherapy arm.</w:t>
      </w:r>
    </w:p>
    <w:p w14:paraId="45E877D4" w14:textId="17832496" w:rsidR="00EB6430" w:rsidRPr="008B02E0" w:rsidRDefault="00EB6430" w:rsidP="00AE5B32">
      <w:pPr>
        <w:pStyle w:val="3-BodyText"/>
      </w:pPr>
      <w:r w:rsidRPr="008B02E0">
        <w:t>The PFS KM curve for CM</w:t>
      </w:r>
      <w:r w:rsidR="009E5502">
        <w:noBreakHyphen/>
      </w:r>
      <w:r w:rsidRPr="008B02E0">
        <w:t xml:space="preserve">142 Cohort 3 (Panel D, </w:t>
      </w:r>
      <w:r w:rsidR="008258C7">
        <w:fldChar w:fldCharType="begin"/>
      </w:r>
      <w:r w:rsidR="008258C7">
        <w:instrText xml:space="preserve"> REF _Ref197693991 </w:instrText>
      </w:r>
      <w:r w:rsidR="008258C7">
        <w:fldChar w:fldCharType="separate"/>
      </w:r>
      <w:r w:rsidR="00B542C9" w:rsidRPr="008B02E0">
        <w:t xml:space="preserve">Figure </w:t>
      </w:r>
      <w:r w:rsidR="00B542C9">
        <w:rPr>
          <w:noProof/>
        </w:rPr>
        <w:t>2</w:t>
      </w:r>
      <w:r w:rsidR="008258C7">
        <w:rPr>
          <w:noProof/>
        </w:rPr>
        <w:fldChar w:fldCharType="end"/>
      </w:r>
      <w:r w:rsidRPr="008B02E0">
        <w:t>) shows that median PFS was not reached by the end of follow</w:t>
      </w:r>
      <w:r w:rsidR="009E5502">
        <w:noBreakHyphen/>
      </w:r>
      <w:r w:rsidRPr="008B02E0">
        <w:t xml:space="preserve">up, with more than 70% of patients not progressed after 2 years with nivolumab plus ipilimumab in first line treatment. </w:t>
      </w:r>
      <w:r w:rsidRPr="008B02E0">
        <w:rPr>
          <w:iCs/>
        </w:rPr>
        <w:t xml:space="preserve">However, </w:t>
      </w:r>
      <w:r w:rsidR="00B2733B" w:rsidRPr="008B02E0">
        <w:rPr>
          <w:iCs/>
        </w:rPr>
        <w:t xml:space="preserve">the </w:t>
      </w:r>
      <w:r w:rsidR="00B2733B" w:rsidRPr="008B02E0">
        <w:rPr>
          <w:iCs/>
        </w:rPr>
        <w:lastRenderedPageBreak/>
        <w:t xml:space="preserve">evaluation considered that this estimate was likely to be uncertain given it </w:t>
      </w:r>
      <w:r w:rsidRPr="008B02E0">
        <w:rPr>
          <w:iCs/>
        </w:rPr>
        <w:t>was a single arm study with investigator assessed PFS.</w:t>
      </w:r>
    </w:p>
    <w:p w14:paraId="0249D8CF" w14:textId="68A8A1A0" w:rsidR="00EB6430" w:rsidRPr="008B02E0" w:rsidRDefault="00EB6430" w:rsidP="00AE5B32">
      <w:pPr>
        <w:pStyle w:val="3-BodyText"/>
      </w:pPr>
      <w:r w:rsidRPr="008B02E0">
        <w:t>Median PFS was reached in both arms of KN</w:t>
      </w:r>
      <w:r w:rsidR="009E5502">
        <w:noBreakHyphen/>
      </w:r>
      <w:r w:rsidRPr="008B02E0">
        <w:t>177</w:t>
      </w:r>
      <w:r w:rsidR="006006BF" w:rsidRPr="008B02E0">
        <w:t>. The PFS</w:t>
      </w:r>
      <w:r w:rsidR="001A11F5" w:rsidRPr="008B02E0">
        <w:t xml:space="preserve"> </w:t>
      </w:r>
      <w:r w:rsidRPr="008B02E0">
        <w:t xml:space="preserve">HR </w:t>
      </w:r>
      <w:r w:rsidR="006006BF" w:rsidRPr="008B02E0">
        <w:t xml:space="preserve">was </w:t>
      </w:r>
      <w:r w:rsidRPr="008B02E0">
        <w:t>0.60 (95%CI: 0.45, 0.79).</w:t>
      </w:r>
      <w:r w:rsidRPr="008B02E0">
        <w:rPr>
          <w:iCs/>
        </w:rPr>
        <w:t xml:space="preserve"> A</w:t>
      </w:r>
      <w:r w:rsidRPr="008B02E0" w:rsidDel="00E50391">
        <w:rPr>
          <w:iCs/>
        </w:rPr>
        <w:t xml:space="preserve"> </w:t>
      </w:r>
      <w:r w:rsidRPr="008B02E0">
        <w:rPr>
          <w:iCs/>
        </w:rPr>
        <w:t>comparison of the CM</w:t>
      </w:r>
      <w:r w:rsidR="009E5502">
        <w:rPr>
          <w:iCs/>
        </w:rPr>
        <w:noBreakHyphen/>
      </w:r>
      <w:r w:rsidRPr="008B02E0">
        <w:rPr>
          <w:iCs/>
        </w:rPr>
        <w:t>8HW 1L and KN</w:t>
      </w:r>
      <w:r w:rsidR="009E5502">
        <w:rPr>
          <w:iCs/>
        </w:rPr>
        <w:noBreakHyphen/>
      </w:r>
      <w:r w:rsidRPr="008B02E0">
        <w:rPr>
          <w:iCs/>
        </w:rPr>
        <w:t xml:space="preserve">177 </w:t>
      </w:r>
      <w:r w:rsidR="00E50391" w:rsidRPr="008B02E0">
        <w:rPr>
          <w:iCs/>
        </w:rPr>
        <w:t xml:space="preserve">BICR PFS HR point estimates for the locally confirmed populations in </w:t>
      </w:r>
      <w:r w:rsidR="00E50391" w:rsidRPr="008B02E0">
        <w:rPr>
          <w:iCs/>
        </w:rPr>
        <w:fldChar w:fldCharType="begin"/>
      </w:r>
      <w:r w:rsidR="00E50391" w:rsidRPr="008B02E0">
        <w:rPr>
          <w:iCs/>
        </w:rPr>
        <w:instrText xml:space="preserve"> REF _Ref197686414  \* MERGEFORMAT </w:instrText>
      </w:r>
      <w:r w:rsidR="00E50391" w:rsidRPr="008B02E0">
        <w:rPr>
          <w:iCs/>
        </w:rPr>
        <w:fldChar w:fldCharType="separate"/>
      </w:r>
      <w:r w:rsidR="00B542C9" w:rsidRPr="00B542C9">
        <w:rPr>
          <w:iCs/>
        </w:rPr>
        <w:t>Table 4</w:t>
      </w:r>
      <w:r w:rsidR="00E50391" w:rsidRPr="008B02E0">
        <w:rPr>
          <w:iCs/>
        </w:rPr>
        <w:fldChar w:fldCharType="end"/>
      </w:r>
      <w:r w:rsidRPr="008B02E0">
        <w:rPr>
          <w:iCs/>
        </w:rPr>
        <w:t xml:space="preserve"> suggests that nivolumab plus ipilimumab may have a </w:t>
      </w:r>
      <w:r w:rsidR="00500A88" w:rsidRPr="008B02E0">
        <w:rPr>
          <w:iCs/>
        </w:rPr>
        <w:t xml:space="preserve">greater </w:t>
      </w:r>
      <w:r w:rsidRPr="008B02E0">
        <w:rPr>
          <w:iCs/>
        </w:rPr>
        <w:t>benefit compared to chemotherapy than pembrolizumab, as there was very little overlap in the 95%</w:t>
      </w:r>
      <w:r w:rsidR="00500A88" w:rsidRPr="008B02E0">
        <w:rPr>
          <w:iCs/>
        </w:rPr>
        <w:t xml:space="preserve"> </w:t>
      </w:r>
      <w:r w:rsidRPr="008B02E0">
        <w:rPr>
          <w:iCs/>
        </w:rPr>
        <w:t>CIs.</w:t>
      </w:r>
    </w:p>
    <w:p w14:paraId="660F3A0A" w14:textId="7256C285" w:rsidR="00EB6430" w:rsidRPr="008B02E0" w:rsidRDefault="00EB6430" w:rsidP="00AE5B32">
      <w:pPr>
        <w:pStyle w:val="3-BodyText"/>
        <w:rPr>
          <w:color w:val="0066FF"/>
        </w:rPr>
      </w:pPr>
      <w:r w:rsidRPr="008B02E0">
        <w:t>The comparison of nivolumab plus ipilimumab to nivolumab monotherapy in CM</w:t>
      </w:r>
      <w:r w:rsidR="009E5502">
        <w:noBreakHyphen/>
      </w:r>
      <w:r w:rsidRPr="008B02E0">
        <w:t>8HW 1L+ showed a statistically significant difference in PFS</w:t>
      </w:r>
      <w:r w:rsidR="00526D7F" w:rsidRPr="008B02E0">
        <w:t xml:space="preserve"> in favour of nivolumab plus ipil</w:t>
      </w:r>
      <w:r w:rsidR="006D42F9" w:rsidRPr="008B02E0">
        <w:t>i</w:t>
      </w:r>
      <w:r w:rsidR="00526D7F" w:rsidRPr="008B02E0">
        <w:t>mumab</w:t>
      </w:r>
      <w:r w:rsidRPr="008B02E0">
        <w:t xml:space="preserve"> (HR 0.64, 95%CI 0.52, 0.79).</w:t>
      </w:r>
      <w:r w:rsidRPr="008B02E0">
        <w:rPr>
          <w:iCs/>
        </w:rPr>
        <w:t xml:space="preserve"> </w:t>
      </w:r>
      <w:r w:rsidR="009136AB" w:rsidRPr="008B02E0">
        <w:t>The ESC considered that this</w:t>
      </w:r>
      <w:r w:rsidR="009136AB" w:rsidRPr="008B02E0">
        <w:rPr>
          <w:iCs/>
        </w:rPr>
        <w:t xml:space="preserve"> </w:t>
      </w:r>
      <w:r w:rsidRPr="008B02E0">
        <w:rPr>
          <w:iCs/>
        </w:rPr>
        <w:t>could suggest evidence of a benefit for combination treatment over anti</w:t>
      </w:r>
      <w:r w:rsidR="009E5502">
        <w:rPr>
          <w:iCs/>
        </w:rPr>
        <w:noBreakHyphen/>
      </w:r>
      <w:r w:rsidRPr="008B02E0">
        <w:rPr>
          <w:iCs/>
        </w:rPr>
        <w:t>PD(L)1 monotherapies (such as pembrolizumab), however, equal effectiveness of nivolumab compared to pembrolizumab monotherapy has not been established; and the results may not be generalisable to a first line setting (35% of patients in nivolumab plus ipilimumab arm and 39% of the nivolumab monotherapy arm of CM</w:t>
      </w:r>
      <w:r w:rsidR="009E5502">
        <w:rPr>
          <w:iCs/>
        </w:rPr>
        <w:noBreakHyphen/>
      </w:r>
      <w:r w:rsidRPr="008B02E0">
        <w:rPr>
          <w:iCs/>
        </w:rPr>
        <w:t xml:space="preserve">8HW 1L+ had at least one prior line of therapy for mCRC). </w:t>
      </w:r>
    </w:p>
    <w:p w14:paraId="135BB9A8" w14:textId="53BB277A" w:rsidR="008B26B6" w:rsidRPr="008B02E0" w:rsidRDefault="00EB6430" w:rsidP="00AE5B32">
      <w:pPr>
        <w:pStyle w:val="3-BodyText"/>
        <w:rPr>
          <w:color w:val="0066FF"/>
        </w:rPr>
      </w:pPr>
      <w:r w:rsidRPr="008B02E0">
        <w:rPr>
          <w:iCs/>
        </w:rPr>
        <w:t xml:space="preserve">As observed in </w:t>
      </w:r>
      <w:r w:rsidRPr="008B02E0">
        <w:rPr>
          <w:iCs/>
        </w:rPr>
        <w:fldChar w:fldCharType="begin"/>
      </w:r>
      <w:r w:rsidRPr="008B02E0">
        <w:rPr>
          <w:iCs/>
        </w:rPr>
        <w:instrText xml:space="preserve"> REF _Ref197693991  \* MERGEFORMAT </w:instrText>
      </w:r>
      <w:r w:rsidRPr="008B02E0">
        <w:rPr>
          <w:iCs/>
        </w:rPr>
        <w:fldChar w:fldCharType="separate"/>
      </w:r>
      <w:r w:rsidR="00B542C9" w:rsidRPr="00B542C9">
        <w:rPr>
          <w:iCs/>
        </w:rPr>
        <w:t xml:space="preserve">Figure </w:t>
      </w:r>
      <w:r w:rsidR="00B542C9">
        <w:rPr>
          <w:noProof/>
        </w:rPr>
        <w:t>2</w:t>
      </w:r>
      <w:r w:rsidRPr="008B02E0">
        <w:rPr>
          <w:iCs/>
        </w:rPr>
        <w:fldChar w:fldCharType="end"/>
      </w:r>
      <w:r w:rsidRPr="008B02E0">
        <w:rPr>
          <w:iCs/>
        </w:rPr>
        <w:t xml:space="preserve"> (panels A, B and C), the PFS KM curves intersected in each comparison. This indicated that the comparisons likely did not meet the proportional hazards assumption. Consequently, the presented hazard ratios in </w:t>
      </w:r>
      <w:r w:rsidR="00714BA3" w:rsidRPr="008B02E0">
        <w:rPr>
          <w:iCs/>
        </w:rPr>
        <w:fldChar w:fldCharType="begin"/>
      </w:r>
      <w:r w:rsidR="00714BA3" w:rsidRPr="008B02E0">
        <w:rPr>
          <w:iCs/>
        </w:rPr>
        <w:instrText xml:space="preserve"> REF _Ref197686414  \* MERGEFORMAT </w:instrText>
      </w:r>
      <w:r w:rsidR="00714BA3" w:rsidRPr="008B02E0">
        <w:rPr>
          <w:iCs/>
        </w:rPr>
        <w:fldChar w:fldCharType="separate"/>
      </w:r>
      <w:r w:rsidR="00B542C9" w:rsidRPr="00B542C9">
        <w:rPr>
          <w:iCs/>
        </w:rPr>
        <w:t>Table 4</w:t>
      </w:r>
      <w:r w:rsidR="00714BA3" w:rsidRPr="008B02E0">
        <w:rPr>
          <w:iCs/>
        </w:rPr>
        <w:fldChar w:fldCharType="end"/>
      </w:r>
      <w:r w:rsidRPr="008B02E0">
        <w:rPr>
          <w:iCs/>
        </w:rPr>
        <w:t xml:space="preserve"> should be interpreted with caution. </w:t>
      </w:r>
      <w:r w:rsidRPr="008B02E0">
        <w:t>The submission acknowledges this issue in the modelled economic evaluation by applying time</w:t>
      </w:r>
      <w:r w:rsidR="009E5502">
        <w:noBreakHyphen/>
      </w:r>
      <w:r w:rsidRPr="008B02E0">
        <w:t>varying hazard ratios</w:t>
      </w:r>
      <w:r w:rsidRPr="008B02E0">
        <w:rPr>
          <w:iCs/>
        </w:rPr>
        <w:t>.</w:t>
      </w:r>
    </w:p>
    <w:p w14:paraId="6426FA29" w14:textId="6C3951DB" w:rsidR="008B26B6" w:rsidRPr="008B02E0" w:rsidRDefault="0013221A" w:rsidP="00AE5B32">
      <w:pPr>
        <w:pStyle w:val="3-BodyText"/>
        <w:rPr>
          <w:iCs/>
        </w:rPr>
      </w:pPr>
      <w:r w:rsidRPr="008B02E0">
        <w:rPr>
          <w:iCs/>
        </w:rPr>
        <w:t xml:space="preserve">The ESC noted that based on </w:t>
      </w:r>
      <w:r w:rsidR="00B90231" w:rsidRPr="008B02E0">
        <w:rPr>
          <w:iCs/>
        </w:rPr>
        <w:t>subgroup</w:t>
      </w:r>
      <w:r w:rsidR="00F92A2A" w:rsidRPr="008B02E0">
        <w:rPr>
          <w:iCs/>
        </w:rPr>
        <w:t xml:space="preserve"> analyses</w:t>
      </w:r>
      <w:r w:rsidR="00B90231" w:rsidRPr="008B02E0">
        <w:rPr>
          <w:iCs/>
        </w:rPr>
        <w:t xml:space="preserve"> </w:t>
      </w:r>
      <w:r w:rsidR="00F92A2A" w:rsidRPr="008B02E0">
        <w:rPr>
          <w:iCs/>
        </w:rPr>
        <w:t>conducted for</w:t>
      </w:r>
      <w:r w:rsidR="00B90231" w:rsidRPr="008B02E0">
        <w:rPr>
          <w:iCs/>
        </w:rPr>
        <w:t xml:space="preserve"> patients with centrally confirmed </w:t>
      </w:r>
      <w:r w:rsidR="003A76D4" w:rsidRPr="008B02E0">
        <w:rPr>
          <w:iCs/>
        </w:rPr>
        <w:t>MSI</w:t>
      </w:r>
      <w:r w:rsidR="009E5502">
        <w:rPr>
          <w:iCs/>
        </w:rPr>
        <w:noBreakHyphen/>
      </w:r>
      <w:r w:rsidR="003A76D4" w:rsidRPr="008B02E0">
        <w:rPr>
          <w:iCs/>
        </w:rPr>
        <w:t>H/dMMR</w:t>
      </w:r>
      <w:r w:rsidR="00F92A2A" w:rsidRPr="008B02E0">
        <w:rPr>
          <w:iCs/>
        </w:rPr>
        <w:t xml:space="preserve">, </w:t>
      </w:r>
      <w:r w:rsidR="001252FA" w:rsidRPr="008B02E0">
        <w:rPr>
          <w:iCs/>
        </w:rPr>
        <w:t>PFS</w:t>
      </w:r>
      <w:r w:rsidR="00F92A2A" w:rsidRPr="008B02E0">
        <w:rPr>
          <w:iCs/>
        </w:rPr>
        <w:t xml:space="preserve"> was less favourable</w:t>
      </w:r>
      <w:r w:rsidR="00F41695" w:rsidRPr="008B02E0">
        <w:rPr>
          <w:iCs/>
        </w:rPr>
        <w:t xml:space="preserve"> for </w:t>
      </w:r>
      <w:r w:rsidR="00DD6C23" w:rsidRPr="008B02E0">
        <w:rPr>
          <w:iCs/>
        </w:rPr>
        <w:t xml:space="preserve">nivolumab plus ipilimumab for </w:t>
      </w:r>
      <w:r w:rsidR="00F41695" w:rsidRPr="008B02E0">
        <w:rPr>
          <w:iCs/>
        </w:rPr>
        <w:t>some</w:t>
      </w:r>
      <w:r w:rsidR="001252FA" w:rsidRPr="008B02E0">
        <w:rPr>
          <w:iCs/>
        </w:rPr>
        <w:t xml:space="preserve"> sub</w:t>
      </w:r>
      <w:r w:rsidR="00F41695" w:rsidRPr="008B02E0">
        <w:rPr>
          <w:iCs/>
        </w:rPr>
        <w:t>groups</w:t>
      </w:r>
      <w:r w:rsidR="00E37D89" w:rsidRPr="008B02E0">
        <w:rPr>
          <w:iCs/>
        </w:rPr>
        <w:t xml:space="preserve"> (</w:t>
      </w:r>
      <w:r w:rsidR="00E37D89" w:rsidRPr="008B02E0">
        <w:rPr>
          <w:iCs/>
        </w:rPr>
        <w:fldChar w:fldCharType="begin"/>
      </w:r>
      <w:r w:rsidR="00E37D89" w:rsidRPr="008B02E0">
        <w:rPr>
          <w:iCs/>
        </w:rPr>
        <w:instrText xml:space="preserve"> REF _Ref201467170 \h  \* MERGEFORMAT </w:instrText>
      </w:r>
      <w:r w:rsidR="00E37D89" w:rsidRPr="008B02E0">
        <w:rPr>
          <w:iCs/>
        </w:rPr>
      </w:r>
      <w:r w:rsidR="00E37D89" w:rsidRPr="008B02E0">
        <w:rPr>
          <w:iCs/>
        </w:rPr>
        <w:fldChar w:fldCharType="separate"/>
      </w:r>
      <w:r w:rsidR="00B542C9" w:rsidRPr="00B542C9">
        <w:rPr>
          <w:iCs/>
        </w:rPr>
        <w:t xml:space="preserve">Figure </w:t>
      </w:r>
      <w:r w:rsidR="00B542C9" w:rsidRPr="00B542C9">
        <w:rPr>
          <w:iCs/>
          <w:noProof/>
        </w:rPr>
        <w:t>3</w:t>
      </w:r>
      <w:r w:rsidR="00E37D89" w:rsidRPr="008B02E0">
        <w:rPr>
          <w:iCs/>
        </w:rPr>
        <w:fldChar w:fldCharType="end"/>
      </w:r>
      <w:r w:rsidR="00E37D89" w:rsidRPr="008B02E0">
        <w:rPr>
          <w:iCs/>
        </w:rPr>
        <w:t>)</w:t>
      </w:r>
      <w:r w:rsidR="00F41695" w:rsidRPr="008B02E0">
        <w:rPr>
          <w:iCs/>
        </w:rPr>
        <w:t>, including</w:t>
      </w:r>
      <w:r w:rsidR="00F92A2A" w:rsidRPr="008B02E0">
        <w:rPr>
          <w:iCs/>
        </w:rPr>
        <w:t xml:space="preserve"> </w:t>
      </w:r>
      <w:r w:rsidR="001252FA" w:rsidRPr="008B02E0">
        <w:rPr>
          <w:iCs/>
        </w:rPr>
        <w:t xml:space="preserve">for the subgroup of </w:t>
      </w:r>
      <w:r w:rsidR="00F41695" w:rsidRPr="008B02E0">
        <w:rPr>
          <w:iCs/>
        </w:rPr>
        <w:t>patients</w:t>
      </w:r>
      <w:r w:rsidR="00920F45" w:rsidRPr="008B02E0">
        <w:rPr>
          <w:iCs/>
        </w:rPr>
        <w:t xml:space="preserve"> with </w:t>
      </w:r>
      <w:r w:rsidR="00D203D4" w:rsidRPr="008B02E0">
        <w:rPr>
          <w:iCs/>
        </w:rPr>
        <w:t>L</w:t>
      </w:r>
      <w:r w:rsidR="00920F45" w:rsidRPr="008B02E0">
        <w:rPr>
          <w:iCs/>
        </w:rPr>
        <w:t>ynch syndrome</w:t>
      </w:r>
      <w:r w:rsidR="00F41695" w:rsidRPr="008B02E0">
        <w:rPr>
          <w:rStyle w:val="FootnoteReference"/>
          <w:iCs/>
        </w:rPr>
        <w:footnoteReference w:id="25"/>
      </w:r>
      <w:r w:rsidR="00920F45" w:rsidRPr="008B02E0">
        <w:rPr>
          <w:iCs/>
        </w:rPr>
        <w:t xml:space="preserve">. The ESC considered that </w:t>
      </w:r>
      <w:r w:rsidR="00F41695" w:rsidRPr="008B02E0">
        <w:rPr>
          <w:iCs/>
        </w:rPr>
        <w:t xml:space="preserve">it </w:t>
      </w:r>
      <w:r w:rsidR="00920F45" w:rsidRPr="008B02E0">
        <w:rPr>
          <w:iCs/>
        </w:rPr>
        <w:t>was possible that patient</w:t>
      </w:r>
      <w:r w:rsidR="00641B71" w:rsidRPr="008B02E0">
        <w:rPr>
          <w:iCs/>
        </w:rPr>
        <w:t>s</w:t>
      </w:r>
      <w:r w:rsidR="00920F45" w:rsidRPr="008B02E0">
        <w:rPr>
          <w:iCs/>
        </w:rPr>
        <w:t xml:space="preserve"> with </w:t>
      </w:r>
      <w:r w:rsidR="00D203D4" w:rsidRPr="008B02E0">
        <w:rPr>
          <w:iCs/>
        </w:rPr>
        <w:t>L</w:t>
      </w:r>
      <w:r w:rsidR="00920F45" w:rsidRPr="008B02E0">
        <w:rPr>
          <w:iCs/>
        </w:rPr>
        <w:t xml:space="preserve">ynch syndrome respond more </w:t>
      </w:r>
      <w:r w:rsidR="003771B0" w:rsidRPr="008B02E0">
        <w:rPr>
          <w:iCs/>
        </w:rPr>
        <w:t>favourably</w:t>
      </w:r>
      <w:r w:rsidR="00920F45" w:rsidRPr="008B02E0">
        <w:rPr>
          <w:iCs/>
        </w:rPr>
        <w:t xml:space="preserve"> to single agent immunotherapy. </w:t>
      </w:r>
    </w:p>
    <w:p w14:paraId="6A21111E" w14:textId="77777777" w:rsidR="004F1340" w:rsidRPr="008B02E0" w:rsidRDefault="004F1340" w:rsidP="00AE5B32">
      <w:pPr>
        <w:pStyle w:val="3-BodyText"/>
        <w:numPr>
          <w:ilvl w:val="0"/>
          <w:numId w:val="0"/>
        </w:numPr>
        <w:rPr>
          <w:iCs/>
        </w:rPr>
      </w:pPr>
    </w:p>
    <w:p w14:paraId="2D37AB1B" w14:textId="7B61277B" w:rsidR="004F1340" w:rsidRPr="008B02E0" w:rsidRDefault="004F1340" w:rsidP="00AE5B32">
      <w:pPr>
        <w:pStyle w:val="Caption"/>
      </w:pPr>
      <w:bookmarkStart w:id="40" w:name="_Ref201467170"/>
      <w:r w:rsidRPr="008B02E0">
        <w:lastRenderedPageBreak/>
        <w:t xml:space="preserve">Figure </w:t>
      </w:r>
      <w:r w:rsidR="008258C7">
        <w:fldChar w:fldCharType="begin"/>
      </w:r>
      <w:r w:rsidR="008258C7">
        <w:instrText xml:space="preserve"> SEQ Figure \* ARABIC </w:instrText>
      </w:r>
      <w:r w:rsidR="008258C7">
        <w:fldChar w:fldCharType="separate"/>
      </w:r>
      <w:r w:rsidR="00B542C9">
        <w:rPr>
          <w:noProof/>
        </w:rPr>
        <w:t>3</w:t>
      </w:r>
      <w:r w:rsidR="008258C7">
        <w:rPr>
          <w:noProof/>
        </w:rPr>
        <w:fldChar w:fldCharType="end"/>
      </w:r>
      <w:bookmarkEnd w:id="40"/>
      <w:r w:rsidRPr="008B02E0">
        <w:t>:</w:t>
      </w:r>
      <w:r w:rsidR="004A4AFA" w:rsidRPr="008B02E0">
        <w:t xml:space="preserve"> Progression</w:t>
      </w:r>
      <w:r w:rsidR="009E5502">
        <w:noBreakHyphen/>
      </w:r>
      <w:r w:rsidR="004A4AFA" w:rsidRPr="008B02E0">
        <w:t>free survival by blinded independent central review in key subgroups of patients with centrally confirmed microsatellite instability high or mismatch repair</w:t>
      </w:r>
      <w:r w:rsidR="009E5502">
        <w:noBreakHyphen/>
      </w:r>
      <w:r w:rsidR="004A4AFA" w:rsidRPr="008B02E0">
        <w:t>deficient status</w:t>
      </w:r>
    </w:p>
    <w:p w14:paraId="7582A09F" w14:textId="3EC8E7D2" w:rsidR="00657754" w:rsidRPr="008B02E0" w:rsidRDefault="004A4AFA" w:rsidP="00AE5B32">
      <w:pPr>
        <w:pStyle w:val="3-BodyText"/>
        <w:numPr>
          <w:ilvl w:val="0"/>
          <w:numId w:val="0"/>
        </w:numPr>
        <w:ind w:left="720" w:hanging="720"/>
        <w:jc w:val="left"/>
        <w:rPr>
          <w:iCs/>
          <w:color w:val="0066FF"/>
        </w:rPr>
      </w:pPr>
      <w:r w:rsidRPr="008B02E0">
        <w:rPr>
          <w:iCs/>
          <w:noProof/>
          <w:color w:val="0066FF"/>
        </w:rPr>
        <w:drawing>
          <wp:inline distT="0" distB="0" distL="0" distR="0" wp14:anchorId="3C722946" wp14:editId="451AB8AB">
            <wp:extent cx="3950970" cy="4072255"/>
            <wp:effectExtent l="0" t="0" r="0" b="4445"/>
            <wp:docPr id="1619543370" name="Picture 1" descr="Figure 3: Progression free survival by blinded independent central review in key subgroups of patients with centrally confirmed microsatellite instability high or mismatch repair deficien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43370" name="Picture 1" descr="Figure 3: Progression free survival by blinded independent central review in key subgroups of patients with centrally confirmed microsatellite instability high or mismatch repair deficient status"/>
                    <pic:cNvPicPr/>
                  </pic:nvPicPr>
                  <pic:blipFill>
                    <a:blip r:embed="rId16"/>
                    <a:stretch>
                      <a:fillRect/>
                    </a:stretch>
                  </pic:blipFill>
                  <pic:spPr>
                    <a:xfrm>
                      <a:off x="0" y="0"/>
                      <a:ext cx="3950970" cy="4072255"/>
                    </a:xfrm>
                    <a:prstGeom prst="rect">
                      <a:avLst/>
                    </a:prstGeom>
                  </pic:spPr>
                </pic:pic>
              </a:graphicData>
            </a:graphic>
          </wp:inline>
        </w:drawing>
      </w:r>
    </w:p>
    <w:p w14:paraId="555EAD22" w14:textId="3719A10A" w:rsidR="004A4AFA" w:rsidRPr="008B02E0" w:rsidRDefault="004A4AFA" w:rsidP="00AE5B32">
      <w:pPr>
        <w:pStyle w:val="TableFigureFooter"/>
      </w:pPr>
      <w:r w:rsidRPr="008B02E0">
        <w:t>Source: Figure 3, p</w:t>
      </w:r>
      <w:r w:rsidR="00E37D89" w:rsidRPr="008B02E0">
        <w:t>8: André T et al. Nivolumab plus ipilimumab versus nivolumab in microsatellite instability</w:t>
      </w:r>
      <w:r w:rsidR="009E5502">
        <w:noBreakHyphen/>
      </w:r>
      <w:r w:rsidR="00E37D89" w:rsidRPr="008B02E0">
        <w:t>high metastatic colorectal cancer (CheckMate 8HW): a randomised, open</w:t>
      </w:r>
      <w:r w:rsidR="009E5502">
        <w:noBreakHyphen/>
      </w:r>
      <w:r w:rsidR="00E37D89" w:rsidRPr="008B02E0">
        <w:t>label, phase 3 trial. Lancet. 2025 Feb 1;405(10476):383</w:t>
      </w:r>
      <w:r w:rsidR="009E5502">
        <w:noBreakHyphen/>
      </w:r>
      <w:r w:rsidR="00E37D89" w:rsidRPr="008B02E0">
        <w:t>395.</w:t>
      </w:r>
    </w:p>
    <w:p w14:paraId="0CCCF8B3" w14:textId="77777777" w:rsidR="00EB6430" w:rsidRPr="008B02E0" w:rsidRDefault="00EB6430" w:rsidP="00AE5B32">
      <w:pPr>
        <w:pStyle w:val="5-SubsectionSubheading"/>
      </w:pPr>
      <w:bookmarkStart w:id="41" w:name="_Toc198731741"/>
      <w:bookmarkStart w:id="42" w:name="_Toc135217979"/>
      <w:bookmarkStart w:id="43" w:name="_Toc197719837"/>
      <w:r w:rsidRPr="008B02E0">
        <w:t>Overall survival</w:t>
      </w:r>
      <w:bookmarkEnd w:id="41"/>
    </w:p>
    <w:p w14:paraId="2E6DAC5E" w14:textId="3C8F98AD" w:rsidR="00EB6430" w:rsidRPr="008B02E0" w:rsidRDefault="008353FD" w:rsidP="00AE5B32">
      <w:pPr>
        <w:pStyle w:val="3-BodyText"/>
      </w:pPr>
      <w:r w:rsidRPr="008B02E0">
        <w:rPr>
          <w:iCs/>
        </w:rPr>
        <w:t>The ESC noted that n</w:t>
      </w:r>
      <w:r w:rsidR="00EB6430" w:rsidRPr="008B02E0">
        <w:rPr>
          <w:iCs/>
        </w:rPr>
        <w:t>o</w:t>
      </w:r>
      <w:r w:rsidR="00EB6430" w:rsidRPr="008B02E0">
        <w:t xml:space="preserve"> comparative OS data were presented in the submission. OS data from CM</w:t>
      </w:r>
      <w:r w:rsidR="009E5502">
        <w:noBreakHyphen/>
      </w:r>
      <w:r w:rsidR="00EB6430" w:rsidRPr="008B02E0">
        <w:t xml:space="preserve">8HW were also not reported. OS data </w:t>
      </w:r>
      <w:r w:rsidR="00094E0E" w:rsidRPr="008B02E0">
        <w:t>were</w:t>
      </w:r>
      <w:r w:rsidR="00B849CC" w:rsidRPr="008B02E0">
        <w:t xml:space="preserve"> </w:t>
      </w:r>
      <w:r w:rsidR="00EB6430" w:rsidRPr="008B02E0">
        <w:t>presented from CM</w:t>
      </w:r>
      <w:r w:rsidR="009E5502">
        <w:noBreakHyphen/>
      </w:r>
      <w:r w:rsidR="00EB6430" w:rsidRPr="008B02E0">
        <w:t>142 Cohort 3 (DCO: October 2019, median follow up 29 months) and KN</w:t>
      </w:r>
      <w:r w:rsidR="009E5502">
        <w:noBreakHyphen/>
      </w:r>
      <w:r w:rsidR="00EB6430" w:rsidRPr="008B02E0">
        <w:t xml:space="preserve">177 (DCO: 17 July 2023, median follow up 73 months). </w:t>
      </w:r>
      <w:r w:rsidR="00EB6430" w:rsidRPr="008B02E0">
        <w:rPr>
          <w:iCs/>
        </w:rPr>
        <w:t>The submission did not present a formal comparison of OS and did not include the latest data from CM</w:t>
      </w:r>
      <w:r w:rsidR="009E5502">
        <w:rPr>
          <w:iCs/>
        </w:rPr>
        <w:noBreakHyphen/>
      </w:r>
      <w:r w:rsidR="00EB6430" w:rsidRPr="008B02E0">
        <w:rPr>
          <w:iCs/>
        </w:rPr>
        <w:t xml:space="preserve">142. A naïve comparison of the latest OS data available </w:t>
      </w:r>
      <w:r w:rsidR="00094E0E" w:rsidRPr="008B02E0">
        <w:rPr>
          <w:iCs/>
        </w:rPr>
        <w:t>showed</w:t>
      </w:r>
      <w:r w:rsidR="00713212" w:rsidRPr="008B02E0">
        <w:rPr>
          <w:iCs/>
        </w:rPr>
        <w:t xml:space="preserve"> that</w:t>
      </w:r>
      <w:r w:rsidR="00094E0E" w:rsidRPr="008B02E0">
        <w:rPr>
          <w:iCs/>
        </w:rPr>
        <w:t xml:space="preserve"> </w:t>
      </w:r>
      <w:r w:rsidR="00EB6430" w:rsidRPr="008B02E0">
        <w:rPr>
          <w:iCs/>
        </w:rPr>
        <w:t>69% nivolumab plus ipilimumab patients</w:t>
      </w:r>
      <w:r w:rsidR="00713212" w:rsidRPr="008B02E0">
        <w:rPr>
          <w:iCs/>
        </w:rPr>
        <w:t xml:space="preserve"> remained </w:t>
      </w:r>
      <w:r w:rsidR="00EB6430" w:rsidRPr="008B02E0">
        <w:rPr>
          <w:iCs/>
        </w:rPr>
        <w:t>alive from CM</w:t>
      </w:r>
      <w:r w:rsidR="009E5502">
        <w:rPr>
          <w:iCs/>
        </w:rPr>
        <w:noBreakHyphen/>
      </w:r>
      <w:r w:rsidR="00EB6430" w:rsidRPr="008B02E0">
        <w:rPr>
          <w:iCs/>
        </w:rPr>
        <w:t>142 Cohort 3</w:t>
      </w:r>
      <w:r w:rsidR="00713212" w:rsidRPr="008B02E0">
        <w:rPr>
          <w:iCs/>
        </w:rPr>
        <w:t xml:space="preserve"> after a median follow up of 64 months</w:t>
      </w:r>
      <w:r w:rsidR="00EB6430" w:rsidRPr="008B02E0">
        <w:rPr>
          <w:iCs/>
        </w:rPr>
        <w:t xml:space="preserve"> (14</w:t>
      </w:r>
      <w:r w:rsidR="00270DA5" w:rsidRPr="008B02E0">
        <w:rPr>
          <w:iCs/>
        </w:rPr>
        <w:t>/45</w:t>
      </w:r>
      <w:r w:rsidR="00EB6430" w:rsidRPr="008B02E0">
        <w:rPr>
          <w:iCs/>
        </w:rPr>
        <w:t xml:space="preserve"> patients had died) compared to 53% </w:t>
      </w:r>
      <w:r w:rsidR="00961276" w:rsidRPr="008B02E0">
        <w:rPr>
          <w:iCs/>
        </w:rPr>
        <w:t xml:space="preserve">pembrolizumab patients </w:t>
      </w:r>
      <w:r w:rsidR="00713212" w:rsidRPr="008B02E0">
        <w:rPr>
          <w:iCs/>
        </w:rPr>
        <w:t xml:space="preserve">remaining </w:t>
      </w:r>
      <w:r w:rsidR="00EB6430" w:rsidRPr="008B02E0">
        <w:rPr>
          <w:iCs/>
        </w:rPr>
        <w:t>alive from KN</w:t>
      </w:r>
      <w:r w:rsidR="009E5502">
        <w:rPr>
          <w:iCs/>
        </w:rPr>
        <w:noBreakHyphen/>
      </w:r>
      <w:r w:rsidR="00EB6430" w:rsidRPr="008B02E0">
        <w:rPr>
          <w:iCs/>
        </w:rPr>
        <w:t>177</w:t>
      </w:r>
      <w:r w:rsidR="00713212" w:rsidRPr="008B02E0">
        <w:rPr>
          <w:iCs/>
        </w:rPr>
        <w:t xml:space="preserve"> after a median follow up</w:t>
      </w:r>
      <w:r w:rsidR="001B2EB1" w:rsidRPr="008B02E0">
        <w:rPr>
          <w:iCs/>
        </w:rPr>
        <w:t xml:space="preserve"> of</w:t>
      </w:r>
      <w:r w:rsidR="00713212" w:rsidRPr="008B02E0">
        <w:rPr>
          <w:iCs/>
        </w:rPr>
        <w:t xml:space="preserve"> 73 month</w:t>
      </w:r>
      <w:r w:rsidR="00EB3E39" w:rsidRPr="008B02E0">
        <w:rPr>
          <w:iCs/>
        </w:rPr>
        <w:t>s</w:t>
      </w:r>
      <w:r w:rsidR="00EB6430" w:rsidRPr="008B02E0">
        <w:rPr>
          <w:iCs/>
        </w:rPr>
        <w:t xml:space="preserve"> (72</w:t>
      </w:r>
      <w:r w:rsidR="00961276" w:rsidRPr="008B02E0">
        <w:rPr>
          <w:iCs/>
        </w:rPr>
        <w:t>/153</w:t>
      </w:r>
      <w:r w:rsidR="00EB6430" w:rsidRPr="008B02E0">
        <w:rPr>
          <w:iCs/>
        </w:rPr>
        <w:t xml:space="preserve"> patients had died).</w:t>
      </w:r>
    </w:p>
    <w:p w14:paraId="407A549C" w14:textId="77777777" w:rsidR="00EB6430" w:rsidRPr="008B02E0" w:rsidRDefault="00EB6430" w:rsidP="00AE5B32">
      <w:pPr>
        <w:pStyle w:val="5-SubsectionSubheading"/>
      </w:pPr>
      <w:bookmarkStart w:id="44" w:name="_Toc198731742"/>
      <w:r w:rsidRPr="008B02E0">
        <w:t>Response rates</w:t>
      </w:r>
      <w:bookmarkEnd w:id="44"/>
    </w:p>
    <w:p w14:paraId="300CC2EF" w14:textId="6954EDDB" w:rsidR="00EB6430" w:rsidRPr="008B02E0" w:rsidRDefault="00EB6430" w:rsidP="00AE5B32">
      <w:pPr>
        <w:pStyle w:val="3-BodyText"/>
      </w:pPr>
      <w:r w:rsidRPr="008B02E0">
        <w:rPr>
          <w:iCs/>
        </w:rPr>
        <w:t xml:space="preserve"> </w:t>
      </w:r>
      <w:r w:rsidRPr="008B02E0">
        <w:t>The submission presented the most recent response rates from CM</w:t>
      </w:r>
      <w:r w:rsidR="009E5502">
        <w:noBreakHyphen/>
      </w:r>
      <w:r w:rsidRPr="008B02E0">
        <w:t>142 Cohort 3 (DCO: October 2019</w:t>
      </w:r>
      <w:r w:rsidR="00D64358" w:rsidRPr="008B02E0">
        <w:t>, median follow up 29 months</w:t>
      </w:r>
      <w:r w:rsidRPr="008B02E0">
        <w:t>) and KN</w:t>
      </w:r>
      <w:r w:rsidR="009E5502">
        <w:noBreakHyphen/>
      </w:r>
      <w:r w:rsidRPr="008B02E0">
        <w:t>177 (DCOs: 17 July 2023</w:t>
      </w:r>
      <w:r w:rsidR="00D64358" w:rsidRPr="008B02E0">
        <w:t>, median follow up 73 months</w:t>
      </w:r>
      <w:r w:rsidRPr="008B02E0">
        <w:t>), plus earlier published estimates of response rates from KN</w:t>
      </w:r>
      <w:r w:rsidR="009E5502">
        <w:noBreakHyphen/>
      </w:r>
      <w:r w:rsidRPr="008B02E0">
        <w:t xml:space="preserve">177. </w:t>
      </w:r>
      <w:r w:rsidRPr="008B02E0">
        <w:rPr>
          <w:iCs/>
        </w:rPr>
        <w:t xml:space="preserve">Published response rates were available for the centrally confirmed </w:t>
      </w:r>
      <w:r w:rsidRPr="008B02E0">
        <w:rPr>
          <w:iCs/>
        </w:rPr>
        <w:lastRenderedPageBreak/>
        <w:t>MSI</w:t>
      </w:r>
      <w:r w:rsidR="009E5502">
        <w:rPr>
          <w:iCs/>
        </w:rPr>
        <w:noBreakHyphen/>
      </w:r>
      <w:r w:rsidRPr="008B02E0">
        <w:rPr>
          <w:iCs/>
        </w:rPr>
        <w:t>H/dMMR population from CM</w:t>
      </w:r>
      <w:r w:rsidR="009E5502">
        <w:rPr>
          <w:iCs/>
        </w:rPr>
        <w:noBreakHyphen/>
      </w:r>
      <w:r w:rsidRPr="008B02E0">
        <w:rPr>
          <w:iCs/>
        </w:rPr>
        <w:t>8HW 1L+</w:t>
      </w:r>
      <w:r w:rsidR="00D64358" w:rsidRPr="008B02E0">
        <w:rPr>
          <w:iCs/>
        </w:rPr>
        <w:t xml:space="preserve"> (DCO: 28 August 2024, median follow up 47 months)</w:t>
      </w:r>
      <w:r w:rsidRPr="008B02E0">
        <w:rPr>
          <w:iCs/>
        </w:rPr>
        <w:t xml:space="preserve"> but was not presented in the submission.</w:t>
      </w:r>
    </w:p>
    <w:p w14:paraId="749F11A1" w14:textId="690BFAD8" w:rsidR="00EB6430" w:rsidRPr="008B02E0" w:rsidRDefault="00EB6430" w:rsidP="00AE5B32">
      <w:pPr>
        <w:pStyle w:val="3-BodyText"/>
      </w:pPr>
      <w:r w:rsidRPr="008B02E0">
        <w:rPr>
          <w:iCs/>
        </w:rPr>
        <w:t>Overall response rates (ORR) and complete response (CR) rates assessed by BICR were similar for nivolumab plus ipilimumab in CM</w:t>
      </w:r>
      <w:r w:rsidR="009E5502">
        <w:rPr>
          <w:iCs/>
        </w:rPr>
        <w:noBreakHyphen/>
      </w:r>
      <w:r w:rsidRPr="008B02E0">
        <w:rPr>
          <w:iCs/>
        </w:rPr>
        <w:t>8HW 1L+ (ORR: 63%, CR: 28%) and CM</w:t>
      </w:r>
      <w:r w:rsidR="009E5502">
        <w:rPr>
          <w:iCs/>
        </w:rPr>
        <w:noBreakHyphen/>
      </w:r>
      <w:r w:rsidRPr="008B02E0">
        <w:rPr>
          <w:iCs/>
        </w:rPr>
        <w:t>142 Cohort 3 (ORR: 62%, CR: 24%). Response rates for the nivolumab monotherapy arm of CM</w:t>
      </w:r>
      <w:r w:rsidR="009E5502">
        <w:rPr>
          <w:iCs/>
        </w:rPr>
        <w:noBreakHyphen/>
      </w:r>
      <w:r w:rsidRPr="008B02E0">
        <w:rPr>
          <w:iCs/>
        </w:rPr>
        <w:t>8HW 1L+ were similar to pembrolizumab monotherapy from KN</w:t>
      </w:r>
      <w:r w:rsidR="009E5502">
        <w:rPr>
          <w:iCs/>
        </w:rPr>
        <w:noBreakHyphen/>
      </w:r>
      <w:r w:rsidRPr="008B02E0">
        <w:rPr>
          <w:iCs/>
        </w:rPr>
        <w:t xml:space="preserve">177 (ORR: 49% versus 46%), but CR was slightly higher in the nivolumab monotherapy patients (23% versus 18%).  </w:t>
      </w:r>
    </w:p>
    <w:p w14:paraId="15744048" w14:textId="287F1D3F" w:rsidR="00EB6430" w:rsidRPr="008B02E0" w:rsidRDefault="00EB6430" w:rsidP="00AE5B32">
      <w:pPr>
        <w:pStyle w:val="3-BodyText"/>
        <w:rPr>
          <w:color w:val="0066FF"/>
        </w:rPr>
      </w:pPr>
      <w:r w:rsidRPr="008B02E0">
        <w:rPr>
          <w:iCs/>
        </w:rPr>
        <w:t>A comparison of CM</w:t>
      </w:r>
      <w:r w:rsidR="009E5502">
        <w:rPr>
          <w:iCs/>
        </w:rPr>
        <w:noBreakHyphen/>
      </w:r>
      <w:r w:rsidRPr="008B02E0">
        <w:rPr>
          <w:iCs/>
        </w:rPr>
        <w:t>8HW 1L+, CM</w:t>
      </w:r>
      <w:r w:rsidR="009E5502">
        <w:rPr>
          <w:iCs/>
        </w:rPr>
        <w:noBreakHyphen/>
      </w:r>
      <w:r w:rsidRPr="008B02E0">
        <w:rPr>
          <w:iCs/>
        </w:rPr>
        <w:t>142 Cohort 3 and KN</w:t>
      </w:r>
      <w:r w:rsidR="009E5502">
        <w:rPr>
          <w:iCs/>
        </w:rPr>
        <w:noBreakHyphen/>
      </w:r>
      <w:r w:rsidRPr="008B02E0">
        <w:rPr>
          <w:iCs/>
        </w:rPr>
        <w:t xml:space="preserve">177 </w:t>
      </w:r>
      <w:r w:rsidR="00E50391" w:rsidRPr="008B02E0">
        <w:rPr>
          <w:iCs/>
        </w:rPr>
        <w:t xml:space="preserve">published response rates </w:t>
      </w:r>
      <w:r w:rsidRPr="008B02E0">
        <w:rPr>
          <w:iCs/>
        </w:rPr>
        <w:t>suggested that response rates were higher for nivolumab plus ipilimumab than for pembrolizumab, however, this should be interpreted with caution given the small number of patients in CM</w:t>
      </w:r>
      <w:r w:rsidR="009E5502">
        <w:rPr>
          <w:iCs/>
        </w:rPr>
        <w:noBreakHyphen/>
      </w:r>
      <w:r w:rsidRPr="008B02E0">
        <w:rPr>
          <w:iCs/>
        </w:rPr>
        <w:t>142 Cohort 3, the different lengths of follow up, and the difference in population characteristics.</w:t>
      </w:r>
      <w:bookmarkEnd w:id="42"/>
      <w:bookmarkEnd w:id="43"/>
    </w:p>
    <w:p w14:paraId="27D2C820" w14:textId="77777777" w:rsidR="00EB6430" w:rsidRPr="008B02E0" w:rsidRDefault="00EB6430" w:rsidP="00AE5B32">
      <w:pPr>
        <w:pStyle w:val="5-SubsectionSubheading"/>
      </w:pPr>
      <w:bookmarkStart w:id="45" w:name="_Toc197719839"/>
      <w:bookmarkStart w:id="46" w:name="_Toc198731743"/>
      <w:r w:rsidRPr="008B02E0">
        <w:t>Patient reported outcomes</w:t>
      </w:r>
      <w:bookmarkEnd w:id="45"/>
      <w:bookmarkEnd w:id="46"/>
    </w:p>
    <w:p w14:paraId="5C542F6B" w14:textId="238DFFB0" w:rsidR="00EB6430" w:rsidRPr="008B02E0" w:rsidRDefault="00EB6430" w:rsidP="00AE5B32">
      <w:pPr>
        <w:pStyle w:val="3-BodyText"/>
        <w:rPr>
          <w:color w:val="0066FF"/>
        </w:rPr>
      </w:pPr>
      <w:r w:rsidRPr="008B02E0">
        <w:t>All included studies collected health</w:t>
      </w:r>
      <w:r w:rsidR="009E5502">
        <w:noBreakHyphen/>
      </w:r>
      <w:r w:rsidRPr="008B02E0">
        <w:t xml:space="preserve">related quality of life (HRQoL) data. </w:t>
      </w:r>
      <w:r w:rsidRPr="008B02E0">
        <w:rPr>
          <w:iCs/>
        </w:rPr>
        <w:t>As all studies were open label, this may have biased the patient reported outcomes in favour of patients receiving the interventions. Only HRQoL data from CM</w:t>
      </w:r>
      <w:r w:rsidR="009E5502">
        <w:rPr>
          <w:iCs/>
        </w:rPr>
        <w:noBreakHyphen/>
      </w:r>
      <w:r w:rsidRPr="008B02E0">
        <w:rPr>
          <w:iCs/>
        </w:rPr>
        <w:t>8HW 1L was presented in the submission. HRQoL for CM</w:t>
      </w:r>
      <w:r w:rsidR="009E5502">
        <w:rPr>
          <w:iCs/>
        </w:rPr>
        <w:noBreakHyphen/>
      </w:r>
      <w:r w:rsidRPr="008B02E0">
        <w:rPr>
          <w:iCs/>
        </w:rPr>
        <w:t>142 Cohort 3 (Lenz et al., 2022) and KN</w:t>
      </w:r>
      <w:r w:rsidR="009E5502">
        <w:rPr>
          <w:iCs/>
        </w:rPr>
        <w:noBreakHyphen/>
      </w:r>
      <w:r w:rsidRPr="008B02E0">
        <w:rPr>
          <w:iCs/>
        </w:rPr>
        <w:t>177 (Andre et al., 2021) were extracted during the evaluation.</w:t>
      </w:r>
    </w:p>
    <w:p w14:paraId="24ABF3C4" w14:textId="6787FA17" w:rsidR="00EB6430" w:rsidRPr="008B02E0" w:rsidRDefault="00EB6430" w:rsidP="00AE5B32">
      <w:pPr>
        <w:pStyle w:val="3-BodyText"/>
        <w:rPr>
          <w:color w:val="0066FF"/>
        </w:rPr>
      </w:pPr>
      <w:r w:rsidRPr="008B02E0">
        <w:t>The HRQoL data from the CM</w:t>
      </w:r>
      <w:r w:rsidR="009E5502">
        <w:noBreakHyphen/>
      </w:r>
      <w:r w:rsidRPr="008B02E0">
        <w:t>8HW 1L locally confirmed population indicated that treatment with nivolumab plus ipilimumab patients was associated with improved HRQoL over time, trending towards a meaningful increase from baseline (≥ 10 points, for EQ</w:t>
      </w:r>
      <w:r w:rsidR="009E5502">
        <w:noBreakHyphen/>
      </w:r>
      <w:r w:rsidRPr="008B02E0">
        <w:t>5D</w:t>
      </w:r>
      <w:r w:rsidR="009E5502">
        <w:noBreakHyphen/>
      </w:r>
      <w:r w:rsidRPr="008B02E0">
        <w:t>3L VAS 7 points and for EQ</w:t>
      </w:r>
      <w:r w:rsidR="009E5502">
        <w:noBreakHyphen/>
      </w:r>
      <w:r w:rsidRPr="008B02E0">
        <w:t>5D</w:t>
      </w:r>
      <w:r w:rsidR="009E5502">
        <w:noBreakHyphen/>
      </w:r>
      <w:r w:rsidRPr="008B02E0">
        <w:t>3L utility scores a difference of 0.08) by Week 53. In comparison, patients treated with chemotherapy experienced a decline in HRQoL from Week 7, after an initial improvement from baseline, with the lowest quality of life reported around Week 29. Patients treated with chemotherapy did not observe a meaningful difference from baseline in EORTC QLQ</w:t>
      </w:r>
      <w:r w:rsidR="009E5502">
        <w:noBreakHyphen/>
      </w:r>
      <w:r w:rsidRPr="008B02E0">
        <w:t>C30 or EQ</w:t>
      </w:r>
      <w:r w:rsidR="009E5502">
        <w:noBreakHyphen/>
      </w:r>
      <w:r w:rsidRPr="008B02E0">
        <w:t>5D</w:t>
      </w:r>
      <w:r w:rsidR="009E5502">
        <w:noBreakHyphen/>
      </w:r>
      <w:r w:rsidRPr="008B02E0">
        <w:t>3L VAS, but a meaningful reduction in ED</w:t>
      </w:r>
      <w:r w:rsidR="009E5502">
        <w:noBreakHyphen/>
      </w:r>
      <w:r w:rsidRPr="008B02E0">
        <w:t>5D</w:t>
      </w:r>
      <w:r w:rsidR="009E5502">
        <w:noBreakHyphen/>
      </w:r>
      <w:r w:rsidRPr="008B02E0">
        <w:t xml:space="preserve">3L utility score was observed at Week 29. </w:t>
      </w:r>
      <w:r w:rsidRPr="008B02E0">
        <w:rPr>
          <w:iCs/>
        </w:rPr>
        <w:t xml:space="preserve">It should be noted that the response rate was low for HRQoL data in the chemotherapy arm, with only 32 patients (less than 50% of the 88 who received chemotherapy) included by Week 21. </w:t>
      </w:r>
      <w:r w:rsidRPr="008B02E0">
        <w:t>The results for centrally confirmed subgroup of CM</w:t>
      </w:r>
      <w:r w:rsidR="009E5502">
        <w:noBreakHyphen/>
      </w:r>
      <w:r w:rsidRPr="008B02E0">
        <w:t>8HW 1L were similar.</w:t>
      </w:r>
    </w:p>
    <w:p w14:paraId="73B35C26" w14:textId="06B198BF" w:rsidR="00EB6430" w:rsidRPr="008B02E0" w:rsidRDefault="00EB6430" w:rsidP="00AE5B32">
      <w:pPr>
        <w:pStyle w:val="3-BodyText"/>
        <w:rPr>
          <w:color w:val="0066FF"/>
        </w:rPr>
      </w:pPr>
      <w:r w:rsidRPr="008B02E0">
        <w:rPr>
          <w:iCs/>
        </w:rPr>
        <w:t>No meaningful difference in HRQoL from baseline by the EORTC QLQ</w:t>
      </w:r>
      <w:r w:rsidR="009E5502">
        <w:rPr>
          <w:iCs/>
        </w:rPr>
        <w:noBreakHyphen/>
      </w:r>
      <w:r w:rsidRPr="008B02E0">
        <w:rPr>
          <w:iCs/>
        </w:rPr>
        <w:t>C30 or EQ</w:t>
      </w:r>
      <w:r w:rsidR="009E5502">
        <w:rPr>
          <w:iCs/>
        </w:rPr>
        <w:noBreakHyphen/>
      </w:r>
      <w:r w:rsidRPr="008B02E0">
        <w:rPr>
          <w:iCs/>
        </w:rPr>
        <w:t>5D</w:t>
      </w:r>
      <w:r w:rsidR="009E5502">
        <w:rPr>
          <w:iCs/>
        </w:rPr>
        <w:noBreakHyphen/>
      </w:r>
      <w:r w:rsidRPr="008B02E0">
        <w:rPr>
          <w:iCs/>
        </w:rPr>
        <w:t>3L VAS or utility scores was observed for patients receiving nivolumab plus ipilimumab in CM</w:t>
      </w:r>
      <w:r w:rsidR="009E5502">
        <w:rPr>
          <w:iCs/>
        </w:rPr>
        <w:noBreakHyphen/>
      </w:r>
      <w:r w:rsidRPr="008B02E0">
        <w:rPr>
          <w:iCs/>
        </w:rPr>
        <w:t>142 Cohort 3.</w:t>
      </w:r>
      <w:r w:rsidRPr="008B02E0">
        <w:t xml:space="preserve"> </w:t>
      </w:r>
      <w:r w:rsidRPr="008B02E0">
        <w:rPr>
          <w:iCs/>
        </w:rPr>
        <w:t>These measures were uncertain</w:t>
      </w:r>
      <w:r w:rsidR="00910E79" w:rsidRPr="008B02E0">
        <w:rPr>
          <w:iCs/>
        </w:rPr>
        <w:t xml:space="preserve"> </w:t>
      </w:r>
      <w:r w:rsidRPr="008B02E0">
        <w:rPr>
          <w:iCs/>
        </w:rPr>
        <w:t>due to the small number of patients (41/45 reported at baseline).</w:t>
      </w:r>
    </w:p>
    <w:p w14:paraId="42E3159D" w14:textId="6346280F" w:rsidR="00EB6430" w:rsidRPr="008B02E0" w:rsidRDefault="00EB6430" w:rsidP="00AE5B32">
      <w:pPr>
        <w:pStyle w:val="3-BodyText"/>
        <w:rPr>
          <w:color w:val="0066FF"/>
        </w:rPr>
      </w:pPr>
      <w:r w:rsidRPr="008B02E0">
        <w:rPr>
          <w:iCs/>
        </w:rPr>
        <w:t>For KN</w:t>
      </w:r>
      <w:r w:rsidR="009E5502">
        <w:rPr>
          <w:iCs/>
        </w:rPr>
        <w:noBreakHyphen/>
      </w:r>
      <w:r w:rsidRPr="008B02E0">
        <w:rPr>
          <w:iCs/>
        </w:rPr>
        <w:t>177, the EORTC QLQ</w:t>
      </w:r>
      <w:r w:rsidR="009E5502">
        <w:rPr>
          <w:iCs/>
        </w:rPr>
        <w:noBreakHyphen/>
      </w:r>
      <w:r w:rsidRPr="008B02E0">
        <w:rPr>
          <w:iCs/>
        </w:rPr>
        <w:t xml:space="preserve">C30 global score over time had </w:t>
      </w:r>
      <w:r w:rsidR="00011F7F" w:rsidRPr="008B02E0">
        <w:rPr>
          <w:iCs/>
        </w:rPr>
        <w:t xml:space="preserve">a </w:t>
      </w:r>
      <w:r w:rsidRPr="008B02E0">
        <w:rPr>
          <w:iCs/>
        </w:rPr>
        <w:t xml:space="preserve">maximum follow up of 45 weeks. In general, pembrolizumab showed an improvement from baseline and chemotherapy </w:t>
      </w:r>
      <w:r w:rsidR="00421B9F" w:rsidRPr="008B02E0">
        <w:rPr>
          <w:iCs/>
        </w:rPr>
        <w:t xml:space="preserve">showed a </w:t>
      </w:r>
      <w:r w:rsidRPr="008B02E0">
        <w:rPr>
          <w:iCs/>
        </w:rPr>
        <w:t>decrease from baseline, but neither arm appeared to reach a meaningful difference of 10+ points. Time to EORTC QLQ</w:t>
      </w:r>
      <w:r w:rsidR="009E5502">
        <w:rPr>
          <w:iCs/>
        </w:rPr>
        <w:noBreakHyphen/>
      </w:r>
      <w:r w:rsidRPr="008B02E0">
        <w:rPr>
          <w:iCs/>
        </w:rPr>
        <w:t xml:space="preserve">C30 deterioration was shown to be longer for the pembrolizumab arm than the chemotherapy arm (HR 0.61, </w:t>
      </w:r>
      <w:r w:rsidRPr="008B02E0">
        <w:rPr>
          <w:iCs/>
        </w:rPr>
        <w:lastRenderedPageBreak/>
        <w:t>95%CI 0.38, 0.98). EQ</w:t>
      </w:r>
      <w:r w:rsidR="009E5502">
        <w:rPr>
          <w:iCs/>
        </w:rPr>
        <w:noBreakHyphen/>
      </w:r>
      <w:r w:rsidRPr="008B02E0">
        <w:rPr>
          <w:iCs/>
        </w:rPr>
        <w:t>5D</w:t>
      </w:r>
      <w:r w:rsidR="009E5502">
        <w:rPr>
          <w:iCs/>
        </w:rPr>
        <w:noBreakHyphen/>
      </w:r>
      <w:r w:rsidRPr="008B02E0">
        <w:rPr>
          <w:iCs/>
        </w:rPr>
        <w:t xml:space="preserve">3L VAS and utility scores were reported at Week 18, and </w:t>
      </w:r>
      <w:r w:rsidR="0062528A" w:rsidRPr="008B02E0">
        <w:rPr>
          <w:iCs/>
        </w:rPr>
        <w:t xml:space="preserve">were </w:t>
      </w:r>
      <w:r w:rsidRPr="008B02E0">
        <w:rPr>
          <w:iCs/>
        </w:rPr>
        <w:t xml:space="preserve">generally </w:t>
      </w:r>
      <w:r w:rsidR="0062528A" w:rsidRPr="008B02E0">
        <w:rPr>
          <w:iCs/>
        </w:rPr>
        <w:t xml:space="preserve">similar to the </w:t>
      </w:r>
      <w:r w:rsidRPr="008B02E0">
        <w:rPr>
          <w:iCs/>
        </w:rPr>
        <w:t>EORTC QLQ</w:t>
      </w:r>
      <w:r w:rsidR="009E5502">
        <w:rPr>
          <w:iCs/>
        </w:rPr>
        <w:noBreakHyphen/>
      </w:r>
      <w:r w:rsidRPr="008B02E0">
        <w:rPr>
          <w:iCs/>
        </w:rPr>
        <w:t xml:space="preserve">C30 results, showing an increase from baseline in the pembrolizumab arm and </w:t>
      </w:r>
      <w:r w:rsidR="00CD44CE" w:rsidRPr="008B02E0">
        <w:rPr>
          <w:iCs/>
        </w:rPr>
        <w:t xml:space="preserve">a </w:t>
      </w:r>
      <w:r w:rsidRPr="008B02E0">
        <w:rPr>
          <w:iCs/>
        </w:rPr>
        <w:t>decrease in the chemotherapy arm, neither arm appeared to reach a meaningful difference from baseline.</w:t>
      </w:r>
    </w:p>
    <w:p w14:paraId="1CC112F6" w14:textId="77777777" w:rsidR="00EB6430" w:rsidRPr="008B02E0" w:rsidRDefault="00EB6430" w:rsidP="00AE5B32">
      <w:pPr>
        <w:pStyle w:val="5-SubsectionSubheading"/>
      </w:pPr>
      <w:bookmarkStart w:id="47" w:name="_Toc135217983"/>
      <w:bookmarkStart w:id="48" w:name="_Toc197719840"/>
      <w:bookmarkStart w:id="49" w:name="_Toc198731744"/>
      <w:r w:rsidRPr="008B02E0">
        <w:t xml:space="preserve">Indirect comparison of </w:t>
      </w:r>
      <w:bookmarkEnd w:id="47"/>
      <w:r w:rsidRPr="008B02E0">
        <w:t>nivolumab plus ipilimumab versus pembrolizumab</w:t>
      </w:r>
      <w:bookmarkEnd w:id="48"/>
      <w:bookmarkEnd w:id="49"/>
    </w:p>
    <w:p w14:paraId="36012290" w14:textId="7AD47BDB" w:rsidR="00EB6430" w:rsidRPr="008B02E0" w:rsidRDefault="00EB6430" w:rsidP="00AE5B32">
      <w:pPr>
        <w:pStyle w:val="3-BodyText"/>
      </w:pPr>
      <w:r w:rsidRPr="008B02E0">
        <w:t>The submission proposed that both CM</w:t>
      </w:r>
      <w:r w:rsidR="009E5502">
        <w:noBreakHyphen/>
      </w:r>
      <w:r w:rsidRPr="008B02E0">
        <w:t>8HW and CM</w:t>
      </w:r>
      <w:r w:rsidR="009E5502">
        <w:noBreakHyphen/>
      </w:r>
      <w:r w:rsidRPr="008B02E0">
        <w:t xml:space="preserve">142 Cohort 3 </w:t>
      </w:r>
      <w:r w:rsidR="00FB395C" w:rsidRPr="008B02E0">
        <w:t xml:space="preserve">could </w:t>
      </w:r>
      <w:r w:rsidRPr="008B02E0">
        <w:t xml:space="preserve">be used in indirect comparisons of PFS to pembrolizumab, </w:t>
      </w:r>
      <w:r w:rsidR="00FB395C" w:rsidRPr="008B02E0">
        <w:rPr>
          <w:iCs/>
        </w:rPr>
        <w:t xml:space="preserve">however </w:t>
      </w:r>
      <w:r w:rsidRPr="008B02E0">
        <w:rPr>
          <w:iCs/>
        </w:rPr>
        <w:t>only CM</w:t>
      </w:r>
      <w:r w:rsidR="009E5502">
        <w:rPr>
          <w:iCs/>
        </w:rPr>
        <w:noBreakHyphen/>
      </w:r>
      <w:r w:rsidRPr="008B02E0">
        <w:rPr>
          <w:iCs/>
        </w:rPr>
        <w:t xml:space="preserve">8HW 1L was </w:t>
      </w:r>
      <w:r w:rsidR="00FB395C" w:rsidRPr="008B02E0">
        <w:rPr>
          <w:iCs/>
        </w:rPr>
        <w:t>used</w:t>
      </w:r>
      <w:r w:rsidRPr="008B02E0">
        <w:rPr>
          <w:iCs/>
        </w:rPr>
        <w:t>.</w:t>
      </w:r>
      <w:r w:rsidR="00A066AE" w:rsidRPr="008B02E0">
        <w:rPr>
          <w:iCs/>
        </w:rPr>
        <w:t xml:space="preserve"> Given the treatment regimen in CM</w:t>
      </w:r>
      <w:r w:rsidR="009E5502">
        <w:rPr>
          <w:iCs/>
        </w:rPr>
        <w:noBreakHyphen/>
      </w:r>
      <w:r w:rsidR="00A066AE" w:rsidRPr="008B02E0">
        <w:rPr>
          <w:iCs/>
        </w:rPr>
        <w:t>142 Cohort 3 differed from the proposed PBS restriction, it may be reasonable that CM</w:t>
      </w:r>
      <w:r w:rsidR="009E5502">
        <w:rPr>
          <w:iCs/>
        </w:rPr>
        <w:noBreakHyphen/>
      </w:r>
      <w:r w:rsidR="00A066AE" w:rsidRPr="008B02E0">
        <w:rPr>
          <w:iCs/>
        </w:rPr>
        <w:t>142 data was excluded from the indirect comparison.</w:t>
      </w:r>
    </w:p>
    <w:p w14:paraId="6497B4D1" w14:textId="77777777" w:rsidR="00EB6430" w:rsidRPr="008B02E0" w:rsidRDefault="00EB6430" w:rsidP="00AE5B32"/>
    <w:p w14:paraId="2B00B335" w14:textId="266EF9C8" w:rsidR="00EB6430" w:rsidRPr="008B02E0" w:rsidRDefault="00EB6430" w:rsidP="00AE5B32">
      <w:pPr>
        <w:pStyle w:val="TableFigureHeading"/>
      </w:pPr>
      <w:r w:rsidRPr="008B02E0">
        <w:t xml:space="preserve">Figure </w:t>
      </w:r>
      <w:r w:rsidR="008258C7">
        <w:fldChar w:fldCharType="begin"/>
      </w:r>
      <w:r w:rsidR="008258C7">
        <w:instrText xml:space="preserve"> SEQ Figure \* ARABIC </w:instrText>
      </w:r>
      <w:r w:rsidR="008258C7">
        <w:fldChar w:fldCharType="separate"/>
      </w:r>
      <w:r w:rsidR="00B542C9">
        <w:rPr>
          <w:noProof/>
        </w:rPr>
        <w:t>4</w:t>
      </w:r>
      <w:r w:rsidR="008258C7">
        <w:rPr>
          <w:noProof/>
        </w:rPr>
        <w:fldChar w:fldCharType="end"/>
      </w:r>
      <w:r w:rsidRPr="008B02E0">
        <w:t>: Network diagram of trials included to inform an indirect comparison of NIVO + IPI and pembrolizumab</w:t>
      </w:r>
    </w:p>
    <w:p w14:paraId="54E7C6B4" w14:textId="77777777" w:rsidR="00EB6430" w:rsidRPr="008B02E0" w:rsidRDefault="00EB6430" w:rsidP="00AE5B32">
      <w:pPr>
        <w:rPr>
          <w:color w:val="3366FF"/>
        </w:rPr>
      </w:pPr>
      <w:r w:rsidRPr="008B02E0">
        <w:rPr>
          <w:noProof/>
          <w:color w:val="000000" w:themeColor="text1"/>
        </w:rPr>
        <w:drawing>
          <wp:inline distT="0" distB="0" distL="0" distR="0" wp14:anchorId="398AB97D" wp14:editId="7EB1425D">
            <wp:extent cx="5536849" cy="2072178"/>
            <wp:effectExtent l="0" t="0" r="6985" b="4445"/>
            <wp:docPr id="49" name="Picture 104" descr="Figure 4: Network diagram of trials included to inform an indirect comparison of NIVO + IPI and pembroli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4" descr="Figure 4: Network diagram of trials included to inform an indirect comparison of NIVO + IPI and pembrolizuma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0119" cy="2077144"/>
                    </a:xfrm>
                    <a:prstGeom prst="rect">
                      <a:avLst/>
                    </a:prstGeom>
                    <a:noFill/>
                    <a:ln>
                      <a:noFill/>
                    </a:ln>
                  </pic:spPr>
                </pic:pic>
              </a:graphicData>
            </a:graphic>
          </wp:inline>
        </w:drawing>
      </w:r>
    </w:p>
    <w:p w14:paraId="5ABEC80C" w14:textId="77777777" w:rsidR="00EB6430" w:rsidRPr="008B02E0" w:rsidRDefault="00EB6430" w:rsidP="00AE5B32">
      <w:pPr>
        <w:pStyle w:val="TableFigureFooter"/>
      </w:pPr>
      <w:r w:rsidRPr="008B02E0">
        <w:t>Note: Solid line represents potential adjusted comparison; dashed line represents potential unadjusted comparison</w:t>
      </w:r>
    </w:p>
    <w:p w14:paraId="640D5A56" w14:textId="77777777" w:rsidR="00EB6430" w:rsidRPr="008B02E0" w:rsidRDefault="00EB6430" w:rsidP="00AE5B32">
      <w:pPr>
        <w:pStyle w:val="TableFigureFooter"/>
      </w:pPr>
      <w:r w:rsidRPr="008B02E0">
        <w:t>NIVO=nivolumab, IPI=ipilimumab, PEMBRO=pembrolizumab, CHEMO=chemotherapy.</w:t>
      </w:r>
    </w:p>
    <w:p w14:paraId="6F4F773F" w14:textId="77777777" w:rsidR="00EB6430" w:rsidRPr="008B02E0" w:rsidRDefault="00EB6430" w:rsidP="00AE5B32">
      <w:pPr>
        <w:pStyle w:val="TableFigureFooter"/>
      </w:pPr>
    </w:p>
    <w:p w14:paraId="569E9C34" w14:textId="0B7656F7" w:rsidR="00EB6430" w:rsidRPr="008B02E0" w:rsidRDefault="00EB6430" w:rsidP="00AE5B32">
      <w:pPr>
        <w:pStyle w:val="3-BodyText"/>
      </w:pPr>
      <w:r w:rsidRPr="008B02E0">
        <w:t xml:space="preserve">Two approaches to indirect comparisons were presented in the submission: Bucher and </w:t>
      </w:r>
      <w:r w:rsidR="00AB3304" w:rsidRPr="008B02E0">
        <w:t>an anchored</w:t>
      </w:r>
      <w:r w:rsidR="005D6D82" w:rsidRPr="008B02E0">
        <w:t xml:space="preserve"> and unanchored </w:t>
      </w:r>
      <w:r w:rsidRPr="008B02E0">
        <w:t>MAIC</w:t>
      </w:r>
      <w:r w:rsidR="00C64849" w:rsidRPr="008B02E0">
        <w:t xml:space="preserve"> </w:t>
      </w:r>
      <w:r w:rsidR="00A066AE" w:rsidRPr="008B02E0">
        <w:t>of the locally confirmed MSI</w:t>
      </w:r>
      <w:r w:rsidR="009E5502">
        <w:noBreakHyphen/>
      </w:r>
      <w:r w:rsidR="00A066AE" w:rsidRPr="008B02E0">
        <w:t>H/dMMR patients from KN</w:t>
      </w:r>
      <w:r w:rsidR="009E5502">
        <w:noBreakHyphen/>
      </w:r>
      <w:r w:rsidR="00A066AE" w:rsidRPr="008B02E0">
        <w:t>177 and CM</w:t>
      </w:r>
      <w:r w:rsidR="009E5502">
        <w:noBreakHyphen/>
      </w:r>
      <w:r w:rsidR="00A066AE" w:rsidRPr="008B02E0">
        <w:t>8HW</w:t>
      </w:r>
      <w:r w:rsidRPr="008B02E0">
        <w:t>. Both approaches utilised data from the 17 July 2023 DCO of KN</w:t>
      </w:r>
      <w:r w:rsidR="009E5502">
        <w:noBreakHyphen/>
      </w:r>
      <w:r w:rsidRPr="008B02E0">
        <w:t>177, but different DCOs of CM</w:t>
      </w:r>
      <w:r w:rsidR="009E5502">
        <w:noBreakHyphen/>
      </w:r>
      <w:r w:rsidRPr="008B02E0">
        <w:t xml:space="preserve">8HW 1L were used for each method. </w:t>
      </w:r>
      <w:r w:rsidRPr="008B02E0">
        <w:rPr>
          <w:iCs/>
        </w:rPr>
        <w:t>The Bucher indirect comparison was performed on CM</w:t>
      </w:r>
      <w:r w:rsidR="009E5502">
        <w:rPr>
          <w:iCs/>
        </w:rPr>
        <w:noBreakHyphen/>
      </w:r>
      <w:r w:rsidRPr="008B02E0">
        <w:rPr>
          <w:iCs/>
        </w:rPr>
        <w:t>8HW 1L data for the DCO 12 October 2023 (median follow up 31.5 months), and the matching</w:t>
      </w:r>
      <w:r w:rsidR="009E5502">
        <w:rPr>
          <w:iCs/>
        </w:rPr>
        <w:noBreakHyphen/>
      </w:r>
      <w:r w:rsidRPr="008B02E0">
        <w:rPr>
          <w:iCs/>
        </w:rPr>
        <w:t>adjusted indirect comparisons used CM</w:t>
      </w:r>
      <w:r w:rsidR="009E5502">
        <w:rPr>
          <w:iCs/>
        </w:rPr>
        <w:noBreakHyphen/>
      </w:r>
      <w:r w:rsidRPr="008B02E0">
        <w:rPr>
          <w:iCs/>
        </w:rPr>
        <w:t xml:space="preserve">8HW 1L data from DCO 28 August 2024 (median follow up </w:t>
      </w:r>
      <w:r w:rsidR="00E24F8D">
        <w:rPr>
          <w:iCs/>
        </w:rPr>
        <w:br/>
      </w:r>
      <w:r w:rsidRPr="008B02E0">
        <w:rPr>
          <w:iCs/>
        </w:rPr>
        <w:t>47.0 months).</w:t>
      </w:r>
      <w:r w:rsidR="00B91938" w:rsidRPr="008B02E0">
        <w:rPr>
          <w:iCs/>
        </w:rPr>
        <w:t xml:space="preserve"> The</w:t>
      </w:r>
      <w:r w:rsidR="00E14FDD" w:rsidRPr="008B02E0">
        <w:rPr>
          <w:iCs/>
        </w:rPr>
        <w:t xml:space="preserve"> </w:t>
      </w:r>
      <w:r w:rsidR="00B91938" w:rsidRPr="008B02E0">
        <w:rPr>
          <w:iCs/>
        </w:rPr>
        <w:t>approach to indirect comparison differ</w:t>
      </w:r>
      <w:r w:rsidR="00C767E8" w:rsidRPr="008B02E0">
        <w:rPr>
          <w:iCs/>
        </w:rPr>
        <w:t>ed</w:t>
      </w:r>
      <w:r w:rsidR="00B91938" w:rsidRPr="008B02E0">
        <w:rPr>
          <w:iCs/>
        </w:rPr>
        <w:t xml:space="preserve"> from the base case approach presented in the NICE evaluation. There</w:t>
      </w:r>
      <w:r w:rsidR="00701770" w:rsidRPr="008B02E0">
        <w:rPr>
          <w:iCs/>
        </w:rPr>
        <w:t>,</w:t>
      </w:r>
      <w:r w:rsidR="00B91938" w:rsidRPr="008B02E0">
        <w:rPr>
          <w:iCs/>
        </w:rPr>
        <w:t xml:space="preserve"> a fractional polynomial network meta</w:t>
      </w:r>
      <w:r w:rsidR="009E5502">
        <w:rPr>
          <w:iCs/>
        </w:rPr>
        <w:noBreakHyphen/>
      </w:r>
      <w:r w:rsidR="00B91938" w:rsidRPr="008B02E0">
        <w:rPr>
          <w:iCs/>
        </w:rPr>
        <w:t>analysis</w:t>
      </w:r>
      <w:r w:rsidR="00CD5008" w:rsidRPr="008B02E0">
        <w:rPr>
          <w:iCs/>
        </w:rPr>
        <w:t xml:space="preserve"> (FPNMA)</w:t>
      </w:r>
      <w:r w:rsidR="00B91938" w:rsidRPr="008B02E0">
        <w:rPr>
          <w:iCs/>
        </w:rPr>
        <w:t xml:space="preserve"> was used, which </w:t>
      </w:r>
      <w:r w:rsidR="00701770" w:rsidRPr="008B02E0">
        <w:rPr>
          <w:iCs/>
        </w:rPr>
        <w:t>used fixed effects models to compare nivolumab plus ipilimumab to pembroliz</w:t>
      </w:r>
      <w:r w:rsidR="00CD5008" w:rsidRPr="008B02E0">
        <w:rPr>
          <w:iCs/>
        </w:rPr>
        <w:t>umab via the common comparator arm and considered time</w:t>
      </w:r>
      <w:r w:rsidR="009E5502">
        <w:rPr>
          <w:iCs/>
        </w:rPr>
        <w:noBreakHyphen/>
      </w:r>
      <w:r w:rsidR="00CD5008" w:rsidRPr="008B02E0">
        <w:rPr>
          <w:iCs/>
        </w:rPr>
        <w:t>varying hazard ratios. It was not possible to compare the output of the FPNMA to the indirect comparisons presented in the current submission.</w:t>
      </w:r>
      <w:r w:rsidR="00B91938" w:rsidRPr="008B02E0">
        <w:rPr>
          <w:iCs/>
        </w:rPr>
        <w:t xml:space="preserve"> </w:t>
      </w:r>
    </w:p>
    <w:p w14:paraId="1DDB5B86" w14:textId="363B2B89" w:rsidR="00EB6430" w:rsidRPr="008B02E0" w:rsidRDefault="00EB6430" w:rsidP="00AE5B32">
      <w:pPr>
        <w:pStyle w:val="3-BodyText"/>
      </w:pPr>
      <w:bookmarkStart w:id="50" w:name="_Ref200707146"/>
      <w:r w:rsidRPr="008B02E0">
        <w:t xml:space="preserve">The Bucher method demonstrated a significant PFS benefit for nivolumab plus ipilimumab compared to pembrolizumab (HR 0.53, 95% CI 0.34, 0.83). </w:t>
      </w:r>
      <w:r w:rsidRPr="008B02E0">
        <w:rPr>
          <w:iCs/>
        </w:rPr>
        <w:t>As there were some differences in baseline characteristics of CM</w:t>
      </w:r>
      <w:r w:rsidR="009E5502">
        <w:rPr>
          <w:iCs/>
        </w:rPr>
        <w:noBreakHyphen/>
      </w:r>
      <w:r w:rsidRPr="008B02E0">
        <w:rPr>
          <w:iCs/>
        </w:rPr>
        <w:t>8HW 1L and KN</w:t>
      </w:r>
      <w:r w:rsidR="009E5502">
        <w:rPr>
          <w:iCs/>
        </w:rPr>
        <w:noBreakHyphen/>
      </w:r>
      <w:r w:rsidRPr="008B02E0">
        <w:rPr>
          <w:iCs/>
        </w:rPr>
        <w:t>177</w:t>
      </w:r>
      <w:r w:rsidR="00AF12D6" w:rsidRPr="008B02E0">
        <w:rPr>
          <w:iCs/>
        </w:rPr>
        <w:t xml:space="preserve"> (see paragraph </w:t>
      </w:r>
      <w:r w:rsidR="00AF12D6" w:rsidRPr="008B02E0">
        <w:rPr>
          <w:iCs/>
          <w:highlight w:val="yellow"/>
        </w:rPr>
        <w:lastRenderedPageBreak/>
        <w:fldChar w:fldCharType="begin"/>
      </w:r>
      <w:r w:rsidR="00AF12D6" w:rsidRPr="008B02E0">
        <w:rPr>
          <w:iCs/>
        </w:rPr>
        <w:instrText xml:space="preserve"> REF _Ref198639340 \w </w:instrText>
      </w:r>
      <w:r w:rsidR="00AF12D6" w:rsidRPr="008B02E0">
        <w:rPr>
          <w:iCs/>
          <w:highlight w:val="yellow"/>
        </w:rPr>
        <w:fldChar w:fldCharType="separate"/>
      </w:r>
      <w:r w:rsidR="00B542C9">
        <w:rPr>
          <w:iCs/>
        </w:rPr>
        <w:t>6.21</w:t>
      </w:r>
      <w:r w:rsidR="00AF12D6" w:rsidRPr="008B02E0">
        <w:rPr>
          <w:iCs/>
          <w:highlight w:val="yellow"/>
        </w:rPr>
        <w:fldChar w:fldCharType="end"/>
      </w:r>
      <w:r w:rsidR="00AF12D6" w:rsidRPr="008B02E0">
        <w:rPr>
          <w:iCs/>
        </w:rPr>
        <w:t>)</w:t>
      </w:r>
      <w:r w:rsidRPr="008B02E0">
        <w:rPr>
          <w:iCs/>
        </w:rPr>
        <w:t>, transitivity assumptions may not be reasonable and therefore the</w:t>
      </w:r>
      <w:r w:rsidR="00A450B8" w:rsidRPr="008B02E0">
        <w:rPr>
          <w:iCs/>
        </w:rPr>
        <w:t xml:space="preserve"> </w:t>
      </w:r>
      <w:r w:rsidR="00A450B8" w:rsidRPr="008B02E0">
        <w:t>evaluation considered that the</w:t>
      </w:r>
      <w:r w:rsidRPr="008B02E0">
        <w:t xml:space="preserve"> </w:t>
      </w:r>
      <w:r w:rsidRPr="008B02E0">
        <w:rPr>
          <w:iCs/>
        </w:rPr>
        <w:t>Bucher method of comparison may not be the most appropriate method.</w:t>
      </w:r>
      <w:bookmarkEnd w:id="50"/>
    </w:p>
    <w:p w14:paraId="4FE53077" w14:textId="2FB298EB" w:rsidR="00A751CD" w:rsidRPr="008B02E0" w:rsidRDefault="00A751CD" w:rsidP="00AE5B32">
      <w:pPr>
        <w:pStyle w:val="3-BodyText"/>
        <w:rPr>
          <w:iCs/>
        </w:rPr>
      </w:pPr>
      <w:r w:rsidRPr="008B02E0">
        <w:rPr>
          <w:iCs/>
        </w:rPr>
        <w:t xml:space="preserve">An anchored MAIC was chosen </w:t>
      </w:r>
      <w:r w:rsidR="00CD13B5" w:rsidRPr="008B02E0">
        <w:rPr>
          <w:iCs/>
        </w:rPr>
        <w:t xml:space="preserve">by the submission </w:t>
      </w:r>
      <w:r w:rsidRPr="008B02E0">
        <w:rPr>
          <w:iCs/>
        </w:rPr>
        <w:t>as a methodology for ITC as it allows for an adjustment in treatment effect modifiers. Furthermore, as the proportional hazards assumption was found to be violated, a time</w:t>
      </w:r>
      <w:r w:rsidR="009E5502">
        <w:rPr>
          <w:iCs/>
        </w:rPr>
        <w:noBreakHyphen/>
      </w:r>
      <w:r w:rsidRPr="008B02E0">
        <w:rPr>
          <w:iCs/>
        </w:rPr>
        <w:t xml:space="preserve">varying approach was </w:t>
      </w:r>
      <w:r w:rsidR="003D09BA" w:rsidRPr="008B02E0">
        <w:rPr>
          <w:iCs/>
        </w:rPr>
        <w:t xml:space="preserve">also </w:t>
      </w:r>
      <w:r w:rsidRPr="008B02E0">
        <w:rPr>
          <w:iCs/>
        </w:rPr>
        <w:t xml:space="preserve">used. </w:t>
      </w:r>
      <w:r w:rsidR="0012235C" w:rsidRPr="008B02E0">
        <w:rPr>
          <w:iCs/>
        </w:rPr>
        <w:t>T</w:t>
      </w:r>
      <w:r w:rsidRPr="008B02E0">
        <w:rPr>
          <w:iCs/>
        </w:rPr>
        <w:t>o assess the impact of matching on the ITC results, a sensitivity analysis was conducted, using data from CM</w:t>
      </w:r>
      <w:r w:rsidR="009E5502">
        <w:rPr>
          <w:iCs/>
        </w:rPr>
        <w:noBreakHyphen/>
      </w:r>
      <w:r w:rsidRPr="008B02E0">
        <w:rPr>
          <w:iCs/>
        </w:rPr>
        <w:t>8HW patients without re</w:t>
      </w:r>
      <w:r w:rsidR="009E5502">
        <w:rPr>
          <w:iCs/>
        </w:rPr>
        <w:noBreakHyphen/>
      </w:r>
      <w:r w:rsidRPr="008B02E0">
        <w:rPr>
          <w:iCs/>
        </w:rPr>
        <w:t xml:space="preserve">weighting/matching. Furthermore, an additional analysis was explored using an unanchored methodology, i.e. matching the </w:t>
      </w:r>
      <w:r w:rsidR="0012235C" w:rsidRPr="008B02E0">
        <w:rPr>
          <w:iCs/>
        </w:rPr>
        <w:t>nivolumab with ipilimumab</w:t>
      </w:r>
      <w:r w:rsidRPr="008B02E0">
        <w:rPr>
          <w:iCs/>
        </w:rPr>
        <w:t xml:space="preserve"> arm to the </w:t>
      </w:r>
      <w:r w:rsidR="0012235C" w:rsidRPr="008B02E0">
        <w:rPr>
          <w:iCs/>
        </w:rPr>
        <w:t>pembrolizumab</w:t>
      </w:r>
      <w:r w:rsidRPr="008B02E0">
        <w:rPr>
          <w:iCs/>
        </w:rPr>
        <w:t xml:space="preserve"> arm and estimating the relative efficacy without the common comparator </w:t>
      </w:r>
      <w:r w:rsidR="003076DA" w:rsidRPr="008B02E0">
        <w:rPr>
          <w:iCs/>
        </w:rPr>
        <w:t xml:space="preserve">of </w:t>
      </w:r>
      <w:r w:rsidRPr="008B02E0">
        <w:rPr>
          <w:iCs/>
        </w:rPr>
        <w:t xml:space="preserve">chemotherapy. </w:t>
      </w:r>
      <w:r w:rsidR="00DC083B" w:rsidRPr="008B02E0">
        <w:rPr>
          <w:iCs/>
        </w:rPr>
        <w:t xml:space="preserve">The PSCR noted that the </w:t>
      </w:r>
      <w:r w:rsidR="000B6F8C" w:rsidRPr="008B02E0">
        <w:rPr>
          <w:iCs/>
        </w:rPr>
        <w:t xml:space="preserve">unanchored MAIC </w:t>
      </w:r>
      <w:r w:rsidR="00090129" w:rsidRPr="008B02E0">
        <w:rPr>
          <w:iCs/>
        </w:rPr>
        <w:t>was</w:t>
      </w:r>
      <w:r w:rsidR="000B6F8C" w:rsidRPr="008B02E0">
        <w:rPr>
          <w:iCs/>
        </w:rPr>
        <w:t xml:space="preserve"> not </w:t>
      </w:r>
      <w:r w:rsidR="00930699" w:rsidRPr="008B02E0">
        <w:rPr>
          <w:iCs/>
        </w:rPr>
        <w:t>impacted</w:t>
      </w:r>
      <w:r w:rsidR="000B6F8C" w:rsidRPr="008B02E0">
        <w:rPr>
          <w:iCs/>
        </w:rPr>
        <w:t xml:space="preserve"> by the PFS KM curves from CM</w:t>
      </w:r>
      <w:r w:rsidR="009E5502">
        <w:rPr>
          <w:iCs/>
        </w:rPr>
        <w:noBreakHyphen/>
      </w:r>
      <w:r w:rsidR="000B6F8C" w:rsidRPr="008B02E0">
        <w:rPr>
          <w:iCs/>
        </w:rPr>
        <w:t>8HW and KN</w:t>
      </w:r>
      <w:r w:rsidR="009E5502">
        <w:rPr>
          <w:iCs/>
        </w:rPr>
        <w:noBreakHyphen/>
      </w:r>
      <w:r w:rsidR="000B6F8C" w:rsidRPr="008B02E0">
        <w:rPr>
          <w:iCs/>
        </w:rPr>
        <w:t>177 intersecting the chemotherapy arm</w:t>
      </w:r>
      <w:r w:rsidR="008477CE" w:rsidRPr="008B02E0">
        <w:rPr>
          <w:iCs/>
        </w:rPr>
        <w:t xml:space="preserve">s, as </w:t>
      </w:r>
      <w:r w:rsidR="00930699" w:rsidRPr="008B02E0">
        <w:rPr>
          <w:iCs/>
        </w:rPr>
        <w:t>the chemotherapy</w:t>
      </w:r>
      <w:r w:rsidR="008477CE" w:rsidRPr="008B02E0">
        <w:rPr>
          <w:iCs/>
        </w:rPr>
        <w:t xml:space="preserve"> arms were not included in the analysis.</w:t>
      </w:r>
    </w:p>
    <w:p w14:paraId="36F7032B" w14:textId="41308343" w:rsidR="00000D96" w:rsidRPr="008B02E0" w:rsidRDefault="00E842E8" w:rsidP="00AE5B32">
      <w:pPr>
        <w:pStyle w:val="3-BodyText"/>
      </w:pPr>
      <w:r w:rsidRPr="008B02E0">
        <w:rPr>
          <w:rFonts w:ascii="Segoe UI" w:hAnsi="Segoe UI" w:cs="Segoe UI"/>
          <w:iCs/>
          <w:snapToGrid/>
          <w:color w:val="424242"/>
          <w:shd w:val="clear" w:color="auto" w:fill="FAFAFA"/>
        </w:rPr>
        <w:t>L</w:t>
      </w:r>
      <w:r w:rsidRPr="008B02E0">
        <w:rPr>
          <w:iCs/>
        </w:rPr>
        <w:t>ogistic propensity score models were used to estimate weights that adjust individual patient data (IPD) to match the baseline characteristics of a comparator trial's aggregate population.</w:t>
      </w:r>
      <w:r w:rsidRPr="008B02E0">
        <w:rPr>
          <w:b/>
          <w:bCs/>
          <w:iCs/>
        </w:rPr>
        <w:t xml:space="preserve"> </w:t>
      </w:r>
      <w:r w:rsidR="00A751CD" w:rsidRPr="008B02E0">
        <w:rPr>
          <w:iCs/>
        </w:rPr>
        <w:t>The</w:t>
      </w:r>
      <w:r w:rsidR="00EB6430" w:rsidRPr="008B02E0">
        <w:t xml:space="preserve"> logistic propensity score models</w:t>
      </w:r>
      <w:r w:rsidR="003C27E7" w:rsidRPr="008B02E0">
        <w:t xml:space="preserve"> </w:t>
      </w:r>
      <w:r w:rsidR="00EB6430" w:rsidRPr="008B02E0">
        <w:t>included variables where IPD were available from CM</w:t>
      </w:r>
      <w:r w:rsidR="009E5502">
        <w:noBreakHyphen/>
      </w:r>
      <w:r w:rsidR="00EB6430" w:rsidRPr="008B02E0">
        <w:t> 8HW 1L (anchored N= 303, i.e., nivolumab plus ipilimumab and chemotherapy arms; unanchored N=202, i.e., nivolumab plus ipilimumab only) and aggregate data was available from KN</w:t>
      </w:r>
      <w:r w:rsidR="009E5502">
        <w:noBreakHyphen/>
      </w:r>
      <w:r w:rsidR="00EB6430" w:rsidRPr="008B02E0">
        <w:t>177 (anchored N= 307, i.e., pembrolizumab and chemotherapy arms; unanchored N=153, i.e., pembrolizumab arm only).</w:t>
      </w:r>
      <w:r w:rsidR="00B91938" w:rsidRPr="008B02E0">
        <w:rPr>
          <w:iCs/>
        </w:rPr>
        <w:t xml:space="preserve"> </w:t>
      </w:r>
      <w:r w:rsidR="00EB6430" w:rsidRPr="008B02E0">
        <w:t xml:space="preserve"> </w:t>
      </w:r>
    </w:p>
    <w:p w14:paraId="1BC18EF5" w14:textId="3BF812D3" w:rsidR="00EB6430" w:rsidRPr="008B02E0" w:rsidRDefault="00EB6430" w:rsidP="00AE5B32">
      <w:pPr>
        <w:pStyle w:val="3-BodyText"/>
      </w:pPr>
      <w:r w:rsidRPr="008B02E0">
        <w:t>The patient related factors for the anchored analysis included:</w:t>
      </w:r>
    </w:p>
    <w:p w14:paraId="6B960473" w14:textId="1C309801" w:rsidR="00EB6430" w:rsidRPr="008B02E0" w:rsidRDefault="00EB6430" w:rsidP="00AE5B32">
      <w:pPr>
        <w:pStyle w:val="ListParagraph"/>
        <w:ind w:left="1134" w:hanging="425"/>
      </w:pPr>
      <w:r w:rsidRPr="008B02E0">
        <w:t>Median age</w:t>
      </w:r>
      <w:r w:rsidR="00316DFF" w:rsidRPr="008B02E0">
        <w:t>;</w:t>
      </w:r>
    </w:p>
    <w:p w14:paraId="7535B080" w14:textId="55DD6012" w:rsidR="00EB6430" w:rsidRPr="008B02E0" w:rsidRDefault="00EB6430" w:rsidP="00AE5B32">
      <w:pPr>
        <w:pStyle w:val="ListParagraph"/>
        <w:ind w:left="1134" w:hanging="425"/>
      </w:pPr>
      <w:r w:rsidRPr="008B02E0">
        <w:t>ECOG performance status equal to 0 (%)</w:t>
      </w:r>
      <w:r w:rsidR="00316DFF" w:rsidRPr="008B02E0">
        <w:t>;</w:t>
      </w:r>
    </w:p>
    <w:p w14:paraId="27C1211A" w14:textId="14CE081A" w:rsidR="00EB6430" w:rsidRPr="008B02E0" w:rsidRDefault="00EB6430" w:rsidP="00AE5B32">
      <w:pPr>
        <w:pStyle w:val="ListParagraph"/>
        <w:ind w:left="1134" w:hanging="425"/>
      </w:pPr>
      <w:r w:rsidRPr="008B02E0">
        <w:rPr>
          <w:i/>
          <w:iCs/>
        </w:rPr>
        <w:t>BRAF</w:t>
      </w:r>
      <w:r w:rsidRPr="008B02E0">
        <w:t>/</w:t>
      </w:r>
      <w:r w:rsidRPr="008B02E0">
        <w:rPr>
          <w:i/>
          <w:iCs/>
        </w:rPr>
        <w:t>KRAS</w:t>
      </w:r>
      <w:r w:rsidRPr="008B02E0">
        <w:t>/</w:t>
      </w:r>
      <w:r w:rsidRPr="008B02E0">
        <w:rPr>
          <w:i/>
          <w:iCs/>
        </w:rPr>
        <w:t>NRAS</w:t>
      </w:r>
      <w:r w:rsidRPr="008B02E0">
        <w:t xml:space="preserve"> mutation status, i.e., all wild</w:t>
      </w:r>
      <w:r w:rsidR="009E5502">
        <w:noBreakHyphen/>
      </w:r>
      <w:r w:rsidRPr="008B02E0">
        <w:t xml:space="preserve">type (WT), </w:t>
      </w:r>
      <w:r w:rsidRPr="008B02E0">
        <w:rPr>
          <w:i/>
          <w:iCs/>
        </w:rPr>
        <w:t>KRAS</w:t>
      </w:r>
      <w:r w:rsidRPr="008B02E0">
        <w:t>/</w:t>
      </w:r>
      <w:r w:rsidRPr="008B02E0">
        <w:rPr>
          <w:i/>
          <w:iCs/>
        </w:rPr>
        <w:t>NRAS</w:t>
      </w:r>
      <w:r w:rsidRPr="008B02E0">
        <w:t xml:space="preserve"> mutant, </w:t>
      </w:r>
      <w:r w:rsidRPr="008B02E0">
        <w:rPr>
          <w:i/>
          <w:iCs/>
        </w:rPr>
        <w:t>BRAF</w:t>
      </w:r>
      <w:r w:rsidRPr="008B02E0">
        <w:t xml:space="preserve"> mutant, not evaluable (%)</w:t>
      </w:r>
      <w:r w:rsidR="00316DFF" w:rsidRPr="008B02E0">
        <w:t>;</w:t>
      </w:r>
    </w:p>
    <w:p w14:paraId="371FAD00" w14:textId="6A93EFEE" w:rsidR="00EB6430" w:rsidRPr="008B02E0" w:rsidRDefault="00EB6430" w:rsidP="00AE5B32">
      <w:pPr>
        <w:pStyle w:val="ListParagraph"/>
        <w:ind w:left="1134" w:hanging="425"/>
      </w:pPr>
      <w:r w:rsidRPr="008B02E0">
        <w:t>Primary tumour on the left (%)</w:t>
      </w:r>
      <w:r w:rsidR="00316DFF" w:rsidRPr="008B02E0">
        <w:t>;</w:t>
      </w:r>
    </w:p>
    <w:p w14:paraId="553CA893" w14:textId="3D21CAF1" w:rsidR="00EB6430" w:rsidRPr="008B02E0" w:rsidRDefault="00EB6430" w:rsidP="00AE5B32">
      <w:pPr>
        <w:pStyle w:val="ListParagraph"/>
        <w:ind w:left="1134" w:hanging="425"/>
      </w:pPr>
      <w:r w:rsidRPr="008B02E0">
        <w:t>Liver metastasis per BICR assessment (%)</w:t>
      </w:r>
      <w:r w:rsidR="00316DFF" w:rsidRPr="008B02E0">
        <w:t>;</w:t>
      </w:r>
    </w:p>
    <w:p w14:paraId="131BE57F" w14:textId="44678E2B" w:rsidR="00EB6430" w:rsidRPr="008B02E0" w:rsidRDefault="00EB6430" w:rsidP="00AE5B32">
      <w:pPr>
        <w:pStyle w:val="ListParagraph"/>
        <w:ind w:left="1134" w:hanging="425"/>
      </w:pPr>
      <w:r w:rsidRPr="008B02E0">
        <w:t>Liver or lung metastasis per BICR assessment (%)</w:t>
      </w:r>
      <w:r w:rsidR="00316DFF" w:rsidRPr="008B02E0">
        <w:t>; and</w:t>
      </w:r>
    </w:p>
    <w:p w14:paraId="304007AA" w14:textId="12EF675B" w:rsidR="00EB6430" w:rsidRPr="008B02E0" w:rsidRDefault="00EB6430" w:rsidP="00AE5B32">
      <w:pPr>
        <w:pStyle w:val="ListParagraph"/>
        <w:ind w:left="1134" w:hanging="425"/>
      </w:pPr>
      <w:r w:rsidRPr="008B02E0">
        <w:t>Region, i.e., Asia, Western Europe/North America, rest of the world (%)</w:t>
      </w:r>
      <w:r w:rsidR="00316DFF" w:rsidRPr="008B02E0">
        <w:t>.</w:t>
      </w:r>
    </w:p>
    <w:p w14:paraId="2372C606" w14:textId="77777777" w:rsidR="00EB6430" w:rsidRPr="008B02E0" w:rsidRDefault="00EB6430" w:rsidP="00AE5B32">
      <w:pPr>
        <w:pStyle w:val="3-BodyText"/>
      </w:pPr>
      <w:r w:rsidRPr="008B02E0">
        <w:t>The patient related factors for the unanchored analysis include the above, plus:</w:t>
      </w:r>
    </w:p>
    <w:p w14:paraId="05238FAD" w14:textId="0912B108" w:rsidR="00EB6430" w:rsidRPr="008B02E0" w:rsidRDefault="00EB6430" w:rsidP="00AE5B32">
      <w:pPr>
        <w:pStyle w:val="ListParagraph"/>
        <w:ind w:left="1134" w:hanging="425"/>
      </w:pPr>
      <w:r w:rsidRPr="008B02E0">
        <w:t>Prior chemotherapy, adjuvant or neoadjuvant (%)</w:t>
      </w:r>
      <w:r w:rsidR="002701AA" w:rsidRPr="008B02E0">
        <w:t>;</w:t>
      </w:r>
    </w:p>
    <w:p w14:paraId="404B9BDE" w14:textId="3A89E326" w:rsidR="00EB6430" w:rsidRPr="008B02E0" w:rsidRDefault="00EB6430" w:rsidP="00AE5B32">
      <w:pPr>
        <w:pStyle w:val="ListParagraph"/>
        <w:ind w:left="1134" w:hanging="425"/>
      </w:pPr>
      <w:r w:rsidRPr="008B02E0">
        <w:t>synchronous/metachronous metastases, i.e., recurrent metachronous, newly diagnosed with metastatic disease, unknown (%)</w:t>
      </w:r>
      <w:r w:rsidR="002701AA" w:rsidRPr="008B02E0">
        <w:t>; and</w:t>
      </w:r>
    </w:p>
    <w:p w14:paraId="2FA75A15" w14:textId="45B7F9F1" w:rsidR="00EB6430" w:rsidRPr="008B02E0" w:rsidRDefault="00EB6430" w:rsidP="00AE5B32">
      <w:pPr>
        <w:pStyle w:val="ListParagraph"/>
        <w:ind w:left="1134" w:hanging="425"/>
      </w:pPr>
      <w:r w:rsidRPr="008B02E0">
        <w:t>Liver or lung metastasis per BICR assessment (%)</w:t>
      </w:r>
      <w:r w:rsidR="002701AA" w:rsidRPr="008B02E0">
        <w:t>.</w:t>
      </w:r>
    </w:p>
    <w:p w14:paraId="4237A794" w14:textId="5B81733C" w:rsidR="00EB6430" w:rsidRPr="008B02E0" w:rsidRDefault="00EB6430" w:rsidP="00AE5B32">
      <w:pPr>
        <w:pStyle w:val="3-BodyText"/>
      </w:pPr>
      <w:r w:rsidRPr="008B02E0">
        <w:lastRenderedPageBreak/>
        <w:t xml:space="preserve">A summary of the matched and unmatched patient characteristics in the anchored and unanchored MAICs is presented in </w:t>
      </w:r>
      <w:fldSimple w:instr=" REF _Ref197719179  \* MERGEFORMAT ">
        <w:r w:rsidR="00B542C9" w:rsidRPr="00B542C9">
          <w:rPr>
            <w:rStyle w:val="CommentReference"/>
            <w:rFonts w:asciiTheme="minorHAnsi" w:eastAsiaTheme="majorEastAsia" w:hAnsiTheme="minorHAnsi"/>
            <w:b w:val="0"/>
            <w:sz w:val="24"/>
            <w:szCs w:val="24"/>
          </w:rPr>
          <w:t xml:space="preserve">Table </w:t>
        </w:r>
        <w:r w:rsidR="00B542C9" w:rsidRPr="00B542C9">
          <w:rPr>
            <w:rStyle w:val="CommentReference"/>
            <w:rFonts w:asciiTheme="minorHAnsi" w:hAnsiTheme="minorHAnsi"/>
            <w:b w:val="0"/>
            <w:sz w:val="24"/>
            <w:szCs w:val="24"/>
          </w:rPr>
          <w:t>5</w:t>
        </w:r>
      </w:fldSimple>
      <w:r w:rsidRPr="008B02E0">
        <w:t>.</w:t>
      </w:r>
    </w:p>
    <w:p w14:paraId="6C24AB56" w14:textId="5B48D271" w:rsidR="00EB6430" w:rsidRPr="008B02E0" w:rsidRDefault="00EB6430" w:rsidP="00AE5B32">
      <w:pPr>
        <w:pStyle w:val="TableFigureHeading"/>
        <w:keepLines/>
      </w:pPr>
      <w:bookmarkStart w:id="51" w:name="_Ref197719179"/>
      <w:r w:rsidRPr="008B02E0">
        <w:rPr>
          <w:rStyle w:val="CommentReference"/>
          <w:b/>
          <w:szCs w:val="24"/>
        </w:rPr>
        <w:t xml:space="preserve">Table </w:t>
      </w:r>
      <w:r w:rsidRPr="008B02E0">
        <w:rPr>
          <w:rStyle w:val="CommentReference"/>
          <w:b/>
          <w:szCs w:val="24"/>
        </w:rPr>
        <w:fldChar w:fldCharType="begin"/>
      </w:r>
      <w:r w:rsidRPr="008B02E0">
        <w:rPr>
          <w:rStyle w:val="CommentReference"/>
          <w:b/>
          <w:szCs w:val="24"/>
        </w:rPr>
        <w:instrText xml:space="preserve"> SEQ Table \* ARABIC </w:instrText>
      </w:r>
      <w:r w:rsidRPr="008B02E0">
        <w:rPr>
          <w:rStyle w:val="CommentReference"/>
          <w:b/>
          <w:szCs w:val="24"/>
        </w:rPr>
        <w:fldChar w:fldCharType="separate"/>
      </w:r>
      <w:r w:rsidR="00B542C9">
        <w:rPr>
          <w:rStyle w:val="CommentReference"/>
          <w:b/>
          <w:noProof/>
          <w:szCs w:val="24"/>
        </w:rPr>
        <w:t>5</w:t>
      </w:r>
      <w:r w:rsidRPr="008B02E0">
        <w:rPr>
          <w:rStyle w:val="CommentReference"/>
          <w:b/>
          <w:szCs w:val="24"/>
        </w:rPr>
        <w:fldChar w:fldCharType="end"/>
      </w:r>
      <w:bookmarkEnd w:id="51"/>
      <w:r w:rsidRPr="008B02E0">
        <w:rPr>
          <w:rStyle w:val="CommentReference"/>
          <w:b/>
          <w:szCs w:val="24"/>
        </w:rPr>
        <w:t xml:space="preserve">: </w:t>
      </w:r>
      <w:r w:rsidRPr="008B02E0">
        <w:t>Covariate matching for CM</w:t>
      </w:r>
      <w:r w:rsidR="009E5502">
        <w:noBreakHyphen/>
      </w:r>
      <w:r w:rsidRPr="008B02E0">
        <w:t>8HW to KN</w:t>
      </w:r>
      <w:r w:rsidR="009E5502">
        <w:noBreakHyphen/>
      </w:r>
      <w:r w:rsidRPr="008B02E0">
        <w:t>177</w:t>
      </w:r>
    </w:p>
    <w:tbl>
      <w:tblPr>
        <w:tblStyle w:val="PBAClayout"/>
        <w:tblW w:w="5000" w:type="pct"/>
        <w:tblLook w:val="0420" w:firstRow="1" w:lastRow="0" w:firstColumn="0" w:lastColumn="0" w:noHBand="0" w:noVBand="1"/>
        <w:tblCaption w:val="Table 5: Covariate matching for CM 8HW to KN 177"/>
      </w:tblPr>
      <w:tblGrid>
        <w:gridCol w:w="2122"/>
        <w:gridCol w:w="992"/>
        <w:gridCol w:w="1136"/>
        <w:gridCol w:w="1167"/>
        <w:gridCol w:w="1279"/>
        <w:gridCol w:w="1161"/>
        <w:gridCol w:w="1160"/>
      </w:tblGrid>
      <w:tr w:rsidR="00EB6430" w:rsidRPr="008B02E0" w14:paraId="425B4B57" w14:textId="77777777" w:rsidTr="00D17F3A">
        <w:trPr>
          <w:trHeight w:val="20"/>
          <w:tblHeader/>
        </w:trPr>
        <w:tc>
          <w:tcPr>
            <w:tcW w:w="1177" w:type="pct"/>
            <w:tcBorders>
              <w:bottom w:val="nil"/>
            </w:tcBorders>
          </w:tcPr>
          <w:p w14:paraId="55CDE286" w14:textId="77777777" w:rsidR="00EB6430" w:rsidRPr="008B02E0" w:rsidRDefault="00EB6430" w:rsidP="00AE5B32">
            <w:pPr>
              <w:pStyle w:val="In-tableHeading"/>
              <w:keepLines/>
              <w:rPr>
                <w:lang w:val="en-AU"/>
              </w:rPr>
            </w:pPr>
          </w:p>
        </w:tc>
        <w:tc>
          <w:tcPr>
            <w:tcW w:w="1827" w:type="pct"/>
            <w:gridSpan w:val="3"/>
          </w:tcPr>
          <w:p w14:paraId="56781841" w14:textId="77777777" w:rsidR="00EB6430" w:rsidRPr="008B02E0" w:rsidRDefault="00EB6430" w:rsidP="00AE5B32">
            <w:pPr>
              <w:pStyle w:val="In-tableHeading"/>
              <w:keepLines/>
              <w:jc w:val="center"/>
              <w:rPr>
                <w:lang w:val="en-AU"/>
              </w:rPr>
            </w:pPr>
            <w:r w:rsidRPr="008B02E0">
              <w:rPr>
                <w:lang w:val="en-AU"/>
              </w:rPr>
              <w:t>Anchored MAIC</w:t>
            </w:r>
          </w:p>
        </w:tc>
        <w:tc>
          <w:tcPr>
            <w:tcW w:w="1996" w:type="pct"/>
            <w:gridSpan w:val="3"/>
          </w:tcPr>
          <w:p w14:paraId="58474CD4" w14:textId="77777777" w:rsidR="00EB6430" w:rsidRPr="008B02E0" w:rsidRDefault="00EB6430" w:rsidP="00AE5B32">
            <w:pPr>
              <w:pStyle w:val="In-tableHeading"/>
              <w:keepLines/>
              <w:jc w:val="center"/>
              <w:rPr>
                <w:lang w:val="en-AU"/>
              </w:rPr>
            </w:pPr>
            <w:r w:rsidRPr="008B02E0">
              <w:rPr>
                <w:lang w:val="en-AU"/>
              </w:rPr>
              <w:t>Unanchored MAIC</w:t>
            </w:r>
          </w:p>
        </w:tc>
      </w:tr>
      <w:tr w:rsidR="00EB6430" w:rsidRPr="008B02E0" w14:paraId="0B5AA513" w14:textId="77777777" w:rsidTr="00D17F3A">
        <w:trPr>
          <w:trHeight w:val="20"/>
          <w:tblHeader/>
        </w:trPr>
        <w:tc>
          <w:tcPr>
            <w:tcW w:w="1177" w:type="pct"/>
            <w:tcBorders>
              <w:top w:val="nil"/>
            </w:tcBorders>
            <w:hideMark/>
          </w:tcPr>
          <w:p w14:paraId="436618C7" w14:textId="77777777" w:rsidR="00EB6430" w:rsidRPr="008B02E0" w:rsidRDefault="00EB6430" w:rsidP="00AE5B32">
            <w:pPr>
              <w:pStyle w:val="In-tableHeading"/>
              <w:keepLines/>
              <w:rPr>
                <w:lang w:val="en-AU"/>
              </w:rPr>
            </w:pPr>
            <w:r w:rsidRPr="008B02E0">
              <w:rPr>
                <w:lang w:val="en-AU"/>
              </w:rPr>
              <w:t>Identified prognostic variable</w:t>
            </w:r>
          </w:p>
        </w:tc>
        <w:tc>
          <w:tcPr>
            <w:tcW w:w="550" w:type="pct"/>
            <w:hideMark/>
          </w:tcPr>
          <w:p w14:paraId="3ED171C5" w14:textId="31628DC7" w:rsidR="00EB6430" w:rsidRPr="008B02E0" w:rsidRDefault="00EB6430" w:rsidP="00AE5B32">
            <w:pPr>
              <w:pStyle w:val="In-tableHeading"/>
              <w:keepLines/>
              <w:jc w:val="center"/>
              <w:rPr>
                <w:lang w:val="en-AU"/>
              </w:rPr>
            </w:pPr>
            <w:r w:rsidRPr="008B02E0">
              <w:rPr>
                <w:lang w:val="en-AU"/>
              </w:rPr>
              <w:t>KN</w:t>
            </w:r>
            <w:r w:rsidR="009E5502">
              <w:rPr>
                <w:lang w:val="en-AU"/>
              </w:rPr>
              <w:noBreakHyphen/>
            </w:r>
            <w:r w:rsidRPr="008B02E0">
              <w:rPr>
                <w:lang w:val="en-AU"/>
              </w:rPr>
              <w:t>177</w:t>
            </w:r>
          </w:p>
          <w:p w14:paraId="0406667D" w14:textId="77777777" w:rsidR="00EB6430" w:rsidRPr="008B02E0" w:rsidRDefault="00EB6430" w:rsidP="00AE5B32">
            <w:pPr>
              <w:pStyle w:val="In-tableHeading"/>
              <w:keepLines/>
              <w:jc w:val="center"/>
              <w:rPr>
                <w:lang w:val="en-AU"/>
              </w:rPr>
            </w:pPr>
            <w:r w:rsidRPr="008B02E0">
              <w:rPr>
                <w:lang w:val="en-AU"/>
              </w:rPr>
              <w:t>(N=307)</w:t>
            </w:r>
          </w:p>
        </w:tc>
        <w:tc>
          <w:tcPr>
            <w:tcW w:w="630" w:type="pct"/>
            <w:hideMark/>
          </w:tcPr>
          <w:p w14:paraId="04968DAC" w14:textId="07CE1AF8" w:rsidR="00EB6430" w:rsidRPr="008B02E0" w:rsidRDefault="00EB6430" w:rsidP="00AE5B32">
            <w:pPr>
              <w:pStyle w:val="In-tableHeading"/>
              <w:keepLines/>
              <w:jc w:val="center"/>
              <w:rPr>
                <w:lang w:val="en-AU"/>
              </w:rPr>
            </w:pPr>
            <w:r w:rsidRPr="008B02E0">
              <w:rPr>
                <w:lang w:val="en-AU"/>
              </w:rPr>
              <w:t>CM</w:t>
            </w:r>
            <w:r w:rsidR="009E5502">
              <w:rPr>
                <w:lang w:val="en-AU"/>
              </w:rPr>
              <w:noBreakHyphen/>
            </w:r>
            <w:r w:rsidRPr="008B02E0">
              <w:rPr>
                <w:lang w:val="en-AU"/>
              </w:rPr>
              <w:t>8HW 1L</w:t>
            </w:r>
          </w:p>
          <w:p w14:paraId="1EC5C52C" w14:textId="77777777" w:rsidR="00EB6430" w:rsidRPr="008B02E0" w:rsidRDefault="00EB6430" w:rsidP="00AE5B32">
            <w:pPr>
              <w:pStyle w:val="In-tableHeading"/>
              <w:keepLines/>
              <w:jc w:val="center"/>
              <w:rPr>
                <w:lang w:val="en-AU"/>
              </w:rPr>
            </w:pPr>
            <w:r w:rsidRPr="008B02E0">
              <w:rPr>
                <w:lang w:val="en-AU"/>
              </w:rPr>
              <w:t>(N=303)</w:t>
            </w:r>
          </w:p>
          <w:p w14:paraId="2429D99D" w14:textId="77777777" w:rsidR="00EB6430" w:rsidRPr="008B02E0" w:rsidRDefault="00EB6430" w:rsidP="00AE5B32">
            <w:pPr>
              <w:pStyle w:val="In-tableHeading"/>
              <w:keepLines/>
              <w:jc w:val="center"/>
              <w:rPr>
                <w:lang w:val="en-AU"/>
              </w:rPr>
            </w:pPr>
            <w:r w:rsidRPr="008B02E0">
              <w:rPr>
                <w:lang w:val="en-AU"/>
              </w:rPr>
              <w:t>unadjusted</w:t>
            </w:r>
          </w:p>
        </w:tc>
        <w:tc>
          <w:tcPr>
            <w:tcW w:w="647" w:type="pct"/>
            <w:hideMark/>
          </w:tcPr>
          <w:p w14:paraId="748E3173" w14:textId="1611E32F" w:rsidR="00EB6430" w:rsidRPr="008B02E0" w:rsidRDefault="00EB6430" w:rsidP="00AE5B32">
            <w:pPr>
              <w:pStyle w:val="In-tableHeading"/>
              <w:keepLines/>
              <w:jc w:val="center"/>
              <w:rPr>
                <w:lang w:val="en-AU"/>
              </w:rPr>
            </w:pPr>
            <w:r w:rsidRPr="008B02E0">
              <w:rPr>
                <w:lang w:val="en-AU"/>
              </w:rPr>
              <w:t>CM</w:t>
            </w:r>
            <w:r w:rsidR="009E5502">
              <w:rPr>
                <w:lang w:val="en-AU"/>
              </w:rPr>
              <w:noBreakHyphen/>
            </w:r>
            <w:r w:rsidRPr="008B02E0">
              <w:rPr>
                <w:lang w:val="en-AU"/>
              </w:rPr>
              <w:t>8HW 1L</w:t>
            </w:r>
          </w:p>
          <w:p w14:paraId="0E0C0BAE" w14:textId="4E359E17" w:rsidR="00EB6430" w:rsidRPr="008B02E0" w:rsidRDefault="00EB6430" w:rsidP="00AE5B32">
            <w:pPr>
              <w:pStyle w:val="In-tableHeading"/>
              <w:keepLines/>
              <w:jc w:val="center"/>
              <w:rPr>
                <w:lang w:val="en-AU"/>
              </w:rPr>
            </w:pPr>
            <w:r w:rsidRPr="008B02E0">
              <w:rPr>
                <w:lang w:val="en-AU"/>
              </w:rPr>
              <w:t>(</w:t>
            </w:r>
            <w:r w:rsidR="00CD5008" w:rsidRPr="008B02E0">
              <w:rPr>
                <w:lang w:val="en-AU"/>
              </w:rPr>
              <w:t>ESS</w:t>
            </w:r>
            <w:r w:rsidRPr="008B02E0">
              <w:rPr>
                <w:lang w:val="en-AU"/>
              </w:rPr>
              <w:t>=228.7)</w:t>
            </w:r>
          </w:p>
          <w:p w14:paraId="7F28D245" w14:textId="77777777" w:rsidR="00EB6430" w:rsidRPr="008B02E0" w:rsidRDefault="00EB6430" w:rsidP="00AE5B32">
            <w:pPr>
              <w:pStyle w:val="In-tableHeading"/>
              <w:keepLines/>
              <w:jc w:val="center"/>
              <w:rPr>
                <w:lang w:val="en-AU"/>
              </w:rPr>
            </w:pPr>
            <w:r w:rsidRPr="008B02E0">
              <w:rPr>
                <w:lang w:val="en-AU"/>
              </w:rPr>
              <w:t>matched</w:t>
            </w:r>
          </w:p>
        </w:tc>
        <w:tc>
          <w:tcPr>
            <w:tcW w:w="709" w:type="pct"/>
          </w:tcPr>
          <w:p w14:paraId="5C17ACE2" w14:textId="46E77F97" w:rsidR="00EB6430" w:rsidRPr="008B02E0" w:rsidRDefault="00EB6430" w:rsidP="00AE5B32">
            <w:pPr>
              <w:pStyle w:val="In-tableHeading"/>
              <w:keepLines/>
              <w:jc w:val="center"/>
              <w:rPr>
                <w:lang w:val="en-AU"/>
              </w:rPr>
            </w:pPr>
            <w:r w:rsidRPr="008B02E0">
              <w:rPr>
                <w:lang w:val="en-AU"/>
              </w:rPr>
              <w:t>KN</w:t>
            </w:r>
            <w:r w:rsidR="009E5502">
              <w:rPr>
                <w:lang w:val="en-AU"/>
              </w:rPr>
              <w:noBreakHyphen/>
            </w:r>
            <w:r w:rsidRPr="008B02E0">
              <w:rPr>
                <w:lang w:val="en-AU"/>
              </w:rPr>
              <w:t>177 Pembrolizumab</w:t>
            </w:r>
          </w:p>
          <w:p w14:paraId="135031D8" w14:textId="77777777" w:rsidR="00EB6430" w:rsidRPr="008B02E0" w:rsidRDefault="00EB6430" w:rsidP="00AE5B32">
            <w:pPr>
              <w:pStyle w:val="In-tableHeading"/>
              <w:keepLines/>
              <w:jc w:val="center"/>
              <w:rPr>
                <w:lang w:val="en-AU"/>
              </w:rPr>
            </w:pPr>
            <w:r w:rsidRPr="008B02E0">
              <w:rPr>
                <w:lang w:val="en-AU"/>
              </w:rPr>
              <w:t>(N=153)</w:t>
            </w:r>
          </w:p>
        </w:tc>
        <w:tc>
          <w:tcPr>
            <w:tcW w:w="644" w:type="pct"/>
          </w:tcPr>
          <w:p w14:paraId="0694F9D9" w14:textId="11619F31" w:rsidR="00EB6430" w:rsidRPr="008B02E0" w:rsidRDefault="00EB6430" w:rsidP="00AE5B32">
            <w:pPr>
              <w:pStyle w:val="In-tableHeading"/>
              <w:keepLines/>
              <w:jc w:val="center"/>
              <w:rPr>
                <w:lang w:val="en-AU"/>
              </w:rPr>
            </w:pPr>
            <w:r w:rsidRPr="008B02E0">
              <w:rPr>
                <w:lang w:val="en-AU"/>
              </w:rPr>
              <w:t>CM</w:t>
            </w:r>
            <w:r w:rsidR="009E5502">
              <w:rPr>
                <w:lang w:val="en-AU"/>
              </w:rPr>
              <w:noBreakHyphen/>
            </w:r>
            <w:r w:rsidRPr="008B02E0">
              <w:rPr>
                <w:lang w:val="en-AU"/>
              </w:rPr>
              <w:t>8HW 1L NIVO+IPI</w:t>
            </w:r>
          </w:p>
          <w:p w14:paraId="1C41AD29" w14:textId="77777777" w:rsidR="00EB6430" w:rsidRPr="008B02E0" w:rsidRDefault="00EB6430" w:rsidP="00AE5B32">
            <w:pPr>
              <w:pStyle w:val="In-tableHeading"/>
              <w:keepLines/>
              <w:jc w:val="center"/>
              <w:rPr>
                <w:lang w:val="en-AU"/>
              </w:rPr>
            </w:pPr>
            <w:r w:rsidRPr="008B02E0">
              <w:rPr>
                <w:lang w:val="en-AU"/>
              </w:rPr>
              <w:t>(N=202)</w:t>
            </w:r>
          </w:p>
          <w:p w14:paraId="1E9CC1A2" w14:textId="77777777" w:rsidR="00EB6430" w:rsidRPr="008B02E0" w:rsidRDefault="00EB6430" w:rsidP="00AE5B32">
            <w:pPr>
              <w:pStyle w:val="In-tableHeading"/>
              <w:keepLines/>
              <w:jc w:val="center"/>
              <w:rPr>
                <w:lang w:val="en-AU"/>
              </w:rPr>
            </w:pPr>
            <w:r w:rsidRPr="008B02E0">
              <w:rPr>
                <w:lang w:val="en-AU"/>
              </w:rPr>
              <w:t>unadjusted</w:t>
            </w:r>
          </w:p>
        </w:tc>
        <w:tc>
          <w:tcPr>
            <w:tcW w:w="643" w:type="pct"/>
          </w:tcPr>
          <w:p w14:paraId="7EBD1F1E" w14:textId="454F1CDA" w:rsidR="00EB6430" w:rsidRPr="008B02E0" w:rsidRDefault="00EB6430" w:rsidP="00AE5B32">
            <w:pPr>
              <w:pStyle w:val="In-tableHeading"/>
              <w:keepLines/>
              <w:jc w:val="center"/>
              <w:rPr>
                <w:lang w:val="en-AU"/>
              </w:rPr>
            </w:pPr>
            <w:r w:rsidRPr="008B02E0">
              <w:rPr>
                <w:lang w:val="en-AU"/>
              </w:rPr>
              <w:t>CM</w:t>
            </w:r>
            <w:r w:rsidR="009E5502">
              <w:rPr>
                <w:lang w:val="en-AU"/>
              </w:rPr>
              <w:noBreakHyphen/>
            </w:r>
            <w:r w:rsidRPr="008B02E0">
              <w:rPr>
                <w:lang w:val="en-AU"/>
              </w:rPr>
              <w:t>8HW 1L NIVO+IPI</w:t>
            </w:r>
          </w:p>
          <w:p w14:paraId="385FB5BD" w14:textId="2BCA1170" w:rsidR="00EB6430" w:rsidRPr="008B02E0" w:rsidRDefault="00EB6430" w:rsidP="00AE5B32">
            <w:pPr>
              <w:pStyle w:val="In-tableHeading"/>
              <w:keepLines/>
              <w:jc w:val="center"/>
              <w:rPr>
                <w:lang w:val="en-AU"/>
              </w:rPr>
            </w:pPr>
            <w:r w:rsidRPr="008B02E0">
              <w:rPr>
                <w:lang w:val="en-AU"/>
              </w:rPr>
              <w:t>(</w:t>
            </w:r>
            <w:r w:rsidR="00CD5008" w:rsidRPr="008B02E0">
              <w:rPr>
                <w:lang w:val="en-AU"/>
              </w:rPr>
              <w:t>ESS</w:t>
            </w:r>
            <w:r w:rsidRPr="008B02E0">
              <w:rPr>
                <w:lang w:val="en-AU"/>
              </w:rPr>
              <w:t>=127.65)</w:t>
            </w:r>
          </w:p>
          <w:p w14:paraId="4ACBE69B" w14:textId="411256B0" w:rsidR="00EB6430" w:rsidRPr="008B02E0" w:rsidRDefault="00EB6430" w:rsidP="00AE5B32">
            <w:pPr>
              <w:pStyle w:val="In-tableHeading"/>
              <w:keepLines/>
              <w:jc w:val="center"/>
              <w:rPr>
                <w:lang w:val="en-AU"/>
              </w:rPr>
            </w:pPr>
            <w:r w:rsidRPr="008B02E0">
              <w:rPr>
                <w:lang w:val="en-AU"/>
              </w:rPr>
              <w:t>matched</w:t>
            </w:r>
          </w:p>
        </w:tc>
      </w:tr>
      <w:tr w:rsidR="00EB6430" w:rsidRPr="008B02E0" w14:paraId="3A37D070" w14:textId="77777777" w:rsidTr="00D17F3A">
        <w:trPr>
          <w:trHeight w:val="20"/>
        </w:trPr>
        <w:tc>
          <w:tcPr>
            <w:tcW w:w="1177" w:type="pct"/>
            <w:hideMark/>
          </w:tcPr>
          <w:p w14:paraId="2F7B786F" w14:textId="77777777" w:rsidR="00EB6430" w:rsidRPr="008B02E0" w:rsidRDefault="00EB6430" w:rsidP="00AE5B32">
            <w:pPr>
              <w:pStyle w:val="TableText0"/>
              <w:keepLines/>
              <w:contextualSpacing/>
            </w:pPr>
            <w:r w:rsidRPr="008B02E0">
              <w:t>Age, in years [median, range]</w:t>
            </w:r>
          </w:p>
        </w:tc>
        <w:tc>
          <w:tcPr>
            <w:tcW w:w="550" w:type="pct"/>
            <w:hideMark/>
          </w:tcPr>
          <w:p w14:paraId="2EC80C72" w14:textId="77777777" w:rsidR="00EB6430" w:rsidRPr="008B02E0" w:rsidRDefault="00EB6430" w:rsidP="00AE5B32">
            <w:pPr>
              <w:pStyle w:val="TableText0"/>
              <w:keepLines/>
              <w:contextualSpacing/>
              <w:jc w:val="center"/>
            </w:pPr>
            <w:r w:rsidRPr="008B02E0">
              <w:t>63 (24 – 93)</w:t>
            </w:r>
          </w:p>
        </w:tc>
        <w:tc>
          <w:tcPr>
            <w:tcW w:w="630" w:type="pct"/>
            <w:hideMark/>
          </w:tcPr>
          <w:p w14:paraId="4B924E40" w14:textId="77777777" w:rsidR="00EB6430" w:rsidRPr="008B02E0" w:rsidRDefault="00EB6430" w:rsidP="00AE5B32">
            <w:pPr>
              <w:pStyle w:val="TableText0"/>
              <w:keepLines/>
              <w:contextualSpacing/>
              <w:jc w:val="center"/>
            </w:pPr>
            <w:r w:rsidRPr="008B02E0">
              <w:t>63 (21 – 87)</w:t>
            </w:r>
          </w:p>
        </w:tc>
        <w:tc>
          <w:tcPr>
            <w:tcW w:w="647" w:type="pct"/>
            <w:hideMark/>
          </w:tcPr>
          <w:p w14:paraId="46D0C91D" w14:textId="77777777" w:rsidR="00EB6430" w:rsidRPr="008B02E0" w:rsidRDefault="00EB6430" w:rsidP="00AE5B32">
            <w:pPr>
              <w:pStyle w:val="TableText0"/>
              <w:keepLines/>
              <w:contextualSpacing/>
              <w:jc w:val="center"/>
            </w:pPr>
            <w:r w:rsidRPr="008B02E0">
              <w:t>63 (21 – 87)</w:t>
            </w:r>
          </w:p>
        </w:tc>
        <w:tc>
          <w:tcPr>
            <w:tcW w:w="709" w:type="pct"/>
          </w:tcPr>
          <w:p w14:paraId="52C02B89" w14:textId="77777777" w:rsidR="00EB6430" w:rsidRPr="008B02E0" w:rsidRDefault="00EB6430" w:rsidP="00AE5B32">
            <w:pPr>
              <w:pStyle w:val="TableText0"/>
              <w:keepLines/>
              <w:contextualSpacing/>
              <w:jc w:val="center"/>
            </w:pPr>
            <w:r w:rsidRPr="008B02E0">
              <w:t>63 (24 – 93)</w:t>
            </w:r>
          </w:p>
        </w:tc>
        <w:tc>
          <w:tcPr>
            <w:tcW w:w="644" w:type="pct"/>
          </w:tcPr>
          <w:p w14:paraId="315303FB" w14:textId="77777777" w:rsidR="00EB6430" w:rsidRPr="008B02E0" w:rsidRDefault="00EB6430" w:rsidP="00AE5B32">
            <w:pPr>
              <w:pStyle w:val="TableText0"/>
              <w:keepLines/>
              <w:contextualSpacing/>
              <w:jc w:val="center"/>
            </w:pPr>
            <w:r w:rsidRPr="008B02E0">
              <w:t>62 (21 – 86)</w:t>
            </w:r>
          </w:p>
        </w:tc>
        <w:tc>
          <w:tcPr>
            <w:tcW w:w="643" w:type="pct"/>
          </w:tcPr>
          <w:p w14:paraId="58CC8C86" w14:textId="77777777" w:rsidR="00EB6430" w:rsidRPr="008B02E0" w:rsidRDefault="00EB6430" w:rsidP="00AE5B32">
            <w:pPr>
              <w:pStyle w:val="TableText0"/>
              <w:keepLines/>
              <w:contextualSpacing/>
              <w:jc w:val="center"/>
            </w:pPr>
            <w:r w:rsidRPr="008B02E0">
              <w:t>63 (21 – 86)</w:t>
            </w:r>
          </w:p>
        </w:tc>
      </w:tr>
      <w:tr w:rsidR="00EB6430" w:rsidRPr="008B02E0" w14:paraId="2C8CFB57" w14:textId="77777777" w:rsidTr="00D17F3A">
        <w:trPr>
          <w:trHeight w:val="20"/>
        </w:trPr>
        <w:tc>
          <w:tcPr>
            <w:tcW w:w="1177" w:type="pct"/>
            <w:hideMark/>
          </w:tcPr>
          <w:p w14:paraId="0A4437C6" w14:textId="2CDEEE2D" w:rsidR="00EB6430" w:rsidRPr="008B02E0" w:rsidRDefault="00EB6430" w:rsidP="00AE5B32">
            <w:pPr>
              <w:pStyle w:val="TableText0"/>
              <w:keepLines/>
              <w:contextualSpacing/>
            </w:pPr>
            <w:r w:rsidRPr="008B02E0">
              <w:t>ECOG performance status</w:t>
            </w:r>
            <w:r w:rsidR="007A52FB" w:rsidRPr="008B02E0">
              <w:t xml:space="preserve"> =</w:t>
            </w:r>
            <w:r w:rsidRPr="008B02E0">
              <w:t xml:space="preserve"> 0</w:t>
            </w:r>
          </w:p>
        </w:tc>
        <w:tc>
          <w:tcPr>
            <w:tcW w:w="550" w:type="pct"/>
            <w:hideMark/>
          </w:tcPr>
          <w:p w14:paraId="761C6DA9" w14:textId="77777777" w:rsidR="00EB6430" w:rsidRPr="008B02E0" w:rsidRDefault="00EB6430" w:rsidP="00AE5B32">
            <w:pPr>
              <w:pStyle w:val="TableText0"/>
              <w:keepLines/>
              <w:contextualSpacing/>
              <w:jc w:val="center"/>
            </w:pPr>
            <w:r w:rsidRPr="008B02E0">
              <w:t>159 (52%)</w:t>
            </w:r>
          </w:p>
        </w:tc>
        <w:tc>
          <w:tcPr>
            <w:tcW w:w="630" w:type="pct"/>
            <w:hideMark/>
          </w:tcPr>
          <w:p w14:paraId="3BA7D838" w14:textId="77777777" w:rsidR="00EB6430" w:rsidRPr="008B02E0" w:rsidRDefault="00EB6430" w:rsidP="00AE5B32">
            <w:pPr>
              <w:pStyle w:val="TableText0"/>
              <w:keepLines/>
              <w:contextualSpacing/>
              <w:jc w:val="center"/>
            </w:pPr>
            <w:r w:rsidRPr="008B02E0">
              <w:t>163 (54%)</w:t>
            </w:r>
          </w:p>
        </w:tc>
        <w:tc>
          <w:tcPr>
            <w:tcW w:w="647" w:type="pct"/>
            <w:hideMark/>
          </w:tcPr>
          <w:p w14:paraId="311E9E82" w14:textId="77777777" w:rsidR="00EB6430" w:rsidRPr="008B02E0" w:rsidRDefault="00EB6430" w:rsidP="00AE5B32">
            <w:pPr>
              <w:pStyle w:val="TableText0"/>
              <w:keepLines/>
              <w:contextualSpacing/>
              <w:jc w:val="center"/>
            </w:pPr>
            <w:r w:rsidRPr="008B02E0">
              <w:t>118.5 (52%)</w:t>
            </w:r>
          </w:p>
        </w:tc>
        <w:tc>
          <w:tcPr>
            <w:tcW w:w="709" w:type="pct"/>
          </w:tcPr>
          <w:p w14:paraId="7EB3A39C" w14:textId="77777777" w:rsidR="00EB6430" w:rsidRPr="008B02E0" w:rsidRDefault="00EB6430" w:rsidP="00AE5B32">
            <w:pPr>
              <w:pStyle w:val="TableText0"/>
              <w:keepLines/>
              <w:contextualSpacing/>
              <w:jc w:val="center"/>
            </w:pPr>
            <w:r w:rsidRPr="008B02E0">
              <w:t>75 (49%)</w:t>
            </w:r>
          </w:p>
        </w:tc>
        <w:tc>
          <w:tcPr>
            <w:tcW w:w="644" w:type="pct"/>
          </w:tcPr>
          <w:p w14:paraId="4C989554" w14:textId="77777777" w:rsidR="00EB6430" w:rsidRPr="008B02E0" w:rsidRDefault="00EB6430" w:rsidP="00AE5B32">
            <w:pPr>
              <w:pStyle w:val="TableText0"/>
              <w:keepLines/>
              <w:contextualSpacing/>
              <w:jc w:val="center"/>
            </w:pPr>
            <w:r w:rsidRPr="008B02E0">
              <w:t>111 (55%)</w:t>
            </w:r>
          </w:p>
        </w:tc>
        <w:tc>
          <w:tcPr>
            <w:tcW w:w="643" w:type="pct"/>
          </w:tcPr>
          <w:p w14:paraId="14A58286" w14:textId="77777777" w:rsidR="00EB6430" w:rsidRPr="008B02E0" w:rsidRDefault="00EB6430" w:rsidP="00AE5B32">
            <w:pPr>
              <w:pStyle w:val="TableText0"/>
              <w:keepLines/>
              <w:contextualSpacing/>
              <w:jc w:val="center"/>
            </w:pPr>
            <w:r w:rsidRPr="008B02E0">
              <w:t>62.6 (49%)</w:t>
            </w:r>
          </w:p>
        </w:tc>
      </w:tr>
      <w:tr w:rsidR="00EB6430" w:rsidRPr="008B02E0" w14:paraId="1BF3223B" w14:textId="77777777" w:rsidTr="00D17F3A">
        <w:trPr>
          <w:trHeight w:val="20"/>
        </w:trPr>
        <w:tc>
          <w:tcPr>
            <w:tcW w:w="5000" w:type="pct"/>
            <w:gridSpan w:val="7"/>
            <w:hideMark/>
          </w:tcPr>
          <w:p w14:paraId="3792F5F9" w14:textId="77777777" w:rsidR="00EB6430" w:rsidRPr="008B02E0" w:rsidRDefault="00EB6430" w:rsidP="00AE5B32">
            <w:pPr>
              <w:pStyle w:val="TableText0"/>
              <w:keepLines/>
              <w:contextualSpacing/>
            </w:pPr>
            <w:r w:rsidRPr="008B02E0">
              <w:rPr>
                <w:i/>
              </w:rPr>
              <w:t>BRAF</w:t>
            </w:r>
            <w:r w:rsidRPr="008B02E0">
              <w:rPr>
                <w:iCs/>
              </w:rPr>
              <w:t>/</w:t>
            </w:r>
            <w:r w:rsidRPr="008B02E0">
              <w:rPr>
                <w:i/>
              </w:rPr>
              <w:t>KRAS</w:t>
            </w:r>
            <w:r w:rsidRPr="008B02E0">
              <w:rPr>
                <w:iCs/>
              </w:rPr>
              <w:t>/</w:t>
            </w:r>
            <w:r w:rsidRPr="008B02E0">
              <w:rPr>
                <w:i/>
              </w:rPr>
              <w:t>NRAS</w:t>
            </w:r>
            <w:r w:rsidRPr="008B02E0">
              <w:t xml:space="preserve"> mutation status</w:t>
            </w:r>
            <w:r w:rsidRPr="008B02E0">
              <w:rPr>
                <w:vertAlign w:val="superscript"/>
              </w:rPr>
              <w:t>a</w:t>
            </w:r>
          </w:p>
        </w:tc>
      </w:tr>
      <w:tr w:rsidR="00EB6430" w:rsidRPr="008B02E0" w14:paraId="72A5590D" w14:textId="77777777" w:rsidTr="00D17F3A">
        <w:trPr>
          <w:trHeight w:val="20"/>
        </w:trPr>
        <w:tc>
          <w:tcPr>
            <w:tcW w:w="1177" w:type="pct"/>
            <w:hideMark/>
          </w:tcPr>
          <w:p w14:paraId="597503EE" w14:textId="77777777" w:rsidR="00EB6430" w:rsidRPr="008B02E0" w:rsidRDefault="00EB6430" w:rsidP="00AE5B32">
            <w:pPr>
              <w:pStyle w:val="TableText0"/>
              <w:keepLines/>
              <w:ind w:left="107"/>
              <w:contextualSpacing/>
            </w:pPr>
            <w:r w:rsidRPr="008B02E0">
              <w:rPr>
                <w:i/>
              </w:rPr>
              <w:t>BRAF</w:t>
            </w:r>
            <w:r w:rsidRPr="008B02E0">
              <w:rPr>
                <w:iCs/>
              </w:rPr>
              <w:t xml:space="preserve">, </w:t>
            </w:r>
            <w:r w:rsidRPr="008B02E0">
              <w:rPr>
                <w:i/>
              </w:rPr>
              <w:t>KRAS</w:t>
            </w:r>
            <w:r w:rsidRPr="008B02E0">
              <w:rPr>
                <w:iCs/>
              </w:rPr>
              <w:t xml:space="preserve">, </w:t>
            </w:r>
            <w:r w:rsidRPr="008B02E0">
              <w:rPr>
                <w:i/>
              </w:rPr>
              <w:t>NRAS</w:t>
            </w:r>
            <w:r w:rsidRPr="008B02E0">
              <w:t xml:space="preserve"> all wild type</w:t>
            </w:r>
          </w:p>
        </w:tc>
        <w:tc>
          <w:tcPr>
            <w:tcW w:w="550" w:type="pct"/>
            <w:hideMark/>
          </w:tcPr>
          <w:p w14:paraId="79249AC6" w14:textId="77777777" w:rsidR="00EB6430" w:rsidRPr="008B02E0" w:rsidRDefault="00EB6430" w:rsidP="00AE5B32">
            <w:pPr>
              <w:pStyle w:val="TableText0"/>
              <w:keepLines/>
              <w:contextualSpacing/>
              <w:jc w:val="center"/>
            </w:pPr>
            <w:r w:rsidRPr="008B02E0">
              <w:t>69 (22%)</w:t>
            </w:r>
          </w:p>
        </w:tc>
        <w:tc>
          <w:tcPr>
            <w:tcW w:w="630" w:type="pct"/>
            <w:hideMark/>
          </w:tcPr>
          <w:p w14:paraId="0C528B8E" w14:textId="77777777" w:rsidR="00EB6430" w:rsidRPr="008B02E0" w:rsidRDefault="00EB6430" w:rsidP="00AE5B32">
            <w:pPr>
              <w:pStyle w:val="TableText0"/>
              <w:keepLines/>
              <w:contextualSpacing/>
              <w:jc w:val="center"/>
            </w:pPr>
            <w:r w:rsidRPr="008B02E0">
              <w:t>74 (24%)</w:t>
            </w:r>
          </w:p>
        </w:tc>
        <w:tc>
          <w:tcPr>
            <w:tcW w:w="647" w:type="pct"/>
            <w:hideMark/>
          </w:tcPr>
          <w:p w14:paraId="55C0702C" w14:textId="77777777" w:rsidR="00EB6430" w:rsidRPr="008B02E0" w:rsidRDefault="00EB6430" w:rsidP="00AE5B32">
            <w:pPr>
              <w:pStyle w:val="TableText0"/>
              <w:keepLines/>
              <w:contextualSpacing/>
              <w:jc w:val="center"/>
            </w:pPr>
            <w:r w:rsidRPr="008B02E0">
              <w:t>51.4 (22%)</w:t>
            </w:r>
          </w:p>
        </w:tc>
        <w:tc>
          <w:tcPr>
            <w:tcW w:w="709" w:type="pct"/>
          </w:tcPr>
          <w:p w14:paraId="529C1A8E" w14:textId="77777777" w:rsidR="00EB6430" w:rsidRPr="008B02E0" w:rsidRDefault="00EB6430" w:rsidP="00AE5B32">
            <w:pPr>
              <w:pStyle w:val="TableText0"/>
              <w:keepLines/>
              <w:contextualSpacing/>
              <w:jc w:val="center"/>
            </w:pPr>
            <w:r w:rsidRPr="008B02E0">
              <w:t>34 (22%)</w:t>
            </w:r>
          </w:p>
        </w:tc>
        <w:tc>
          <w:tcPr>
            <w:tcW w:w="644" w:type="pct"/>
          </w:tcPr>
          <w:p w14:paraId="49B399DE" w14:textId="77777777" w:rsidR="00EB6430" w:rsidRPr="008B02E0" w:rsidRDefault="00EB6430" w:rsidP="00AE5B32">
            <w:pPr>
              <w:pStyle w:val="TableText0"/>
              <w:keepLines/>
              <w:contextualSpacing/>
              <w:jc w:val="center"/>
            </w:pPr>
            <w:r w:rsidRPr="008B02E0">
              <w:t>49 (24%)</w:t>
            </w:r>
          </w:p>
        </w:tc>
        <w:tc>
          <w:tcPr>
            <w:tcW w:w="643" w:type="pct"/>
          </w:tcPr>
          <w:p w14:paraId="0A22C327" w14:textId="77777777" w:rsidR="00EB6430" w:rsidRPr="008B02E0" w:rsidRDefault="00EB6430" w:rsidP="00AE5B32">
            <w:pPr>
              <w:pStyle w:val="TableText0"/>
              <w:keepLines/>
              <w:contextualSpacing/>
              <w:jc w:val="center"/>
            </w:pPr>
            <w:r w:rsidRPr="008B02E0">
              <w:t>28.4 (22%)</w:t>
            </w:r>
          </w:p>
        </w:tc>
      </w:tr>
      <w:tr w:rsidR="00EB6430" w:rsidRPr="008B02E0" w14:paraId="215CA088" w14:textId="77777777" w:rsidTr="00D17F3A">
        <w:trPr>
          <w:trHeight w:val="20"/>
        </w:trPr>
        <w:tc>
          <w:tcPr>
            <w:tcW w:w="1177" w:type="pct"/>
            <w:hideMark/>
          </w:tcPr>
          <w:p w14:paraId="4C56362B" w14:textId="77777777" w:rsidR="00EB6430" w:rsidRPr="008B02E0" w:rsidRDefault="00EB6430" w:rsidP="00AE5B32">
            <w:pPr>
              <w:pStyle w:val="TableText0"/>
              <w:keepLines/>
              <w:ind w:left="107"/>
              <w:contextualSpacing/>
            </w:pPr>
            <w:r w:rsidRPr="008B02E0">
              <w:rPr>
                <w:i/>
              </w:rPr>
              <w:t>KRAS</w:t>
            </w:r>
            <w:r w:rsidRPr="008B02E0">
              <w:rPr>
                <w:iCs/>
              </w:rPr>
              <w:t xml:space="preserve"> or </w:t>
            </w:r>
            <w:r w:rsidRPr="008B02E0">
              <w:rPr>
                <w:i/>
              </w:rPr>
              <w:t>NRAS</w:t>
            </w:r>
            <w:r w:rsidRPr="008B02E0">
              <w:t xml:space="preserve"> mutant</w:t>
            </w:r>
          </w:p>
        </w:tc>
        <w:tc>
          <w:tcPr>
            <w:tcW w:w="550" w:type="pct"/>
            <w:hideMark/>
          </w:tcPr>
          <w:p w14:paraId="2268DF92" w14:textId="77777777" w:rsidR="00EB6430" w:rsidRPr="008B02E0" w:rsidRDefault="00EB6430" w:rsidP="00AE5B32">
            <w:pPr>
              <w:pStyle w:val="TableText0"/>
              <w:keepLines/>
              <w:contextualSpacing/>
              <w:jc w:val="center"/>
            </w:pPr>
            <w:r w:rsidRPr="008B02E0">
              <w:t>74 (24%)</w:t>
            </w:r>
          </w:p>
        </w:tc>
        <w:tc>
          <w:tcPr>
            <w:tcW w:w="630" w:type="pct"/>
            <w:hideMark/>
          </w:tcPr>
          <w:p w14:paraId="2C55B69D" w14:textId="77777777" w:rsidR="00EB6430" w:rsidRPr="008B02E0" w:rsidRDefault="00EB6430" w:rsidP="00AE5B32">
            <w:pPr>
              <w:pStyle w:val="TableText0"/>
              <w:keepLines/>
              <w:contextualSpacing/>
              <w:jc w:val="center"/>
            </w:pPr>
            <w:r w:rsidRPr="008B02E0">
              <w:t>76 (25%)</w:t>
            </w:r>
          </w:p>
        </w:tc>
        <w:tc>
          <w:tcPr>
            <w:tcW w:w="647" w:type="pct"/>
            <w:hideMark/>
          </w:tcPr>
          <w:p w14:paraId="6F4B5EF4" w14:textId="77777777" w:rsidR="00EB6430" w:rsidRPr="008B02E0" w:rsidRDefault="00EB6430" w:rsidP="00AE5B32">
            <w:pPr>
              <w:pStyle w:val="TableText0"/>
              <w:keepLines/>
              <w:contextualSpacing/>
              <w:jc w:val="center"/>
            </w:pPr>
            <w:r w:rsidRPr="008B02E0">
              <w:t>55.1 (24%)</w:t>
            </w:r>
          </w:p>
        </w:tc>
        <w:tc>
          <w:tcPr>
            <w:tcW w:w="709" w:type="pct"/>
          </w:tcPr>
          <w:p w14:paraId="3986A024" w14:textId="77777777" w:rsidR="00EB6430" w:rsidRPr="008B02E0" w:rsidRDefault="00EB6430" w:rsidP="00AE5B32">
            <w:pPr>
              <w:pStyle w:val="TableText0"/>
              <w:keepLines/>
              <w:contextualSpacing/>
              <w:jc w:val="center"/>
            </w:pPr>
            <w:r w:rsidRPr="008B02E0">
              <w:t>33 (22%)</w:t>
            </w:r>
          </w:p>
        </w:tc>
        <w:tc>
          <w:tcPr>
            <w:tcW w:w="644" w:type="pct"/>
          </w:tcPr>
          <w:p w14:paraId="7CBA5553" w14:textId="77777777" w:rsidR="00EB6430" w:rsidRPr="008B02E0" w:rsidRDefault="00EB6430" w:rsidP="00AE5B32">
            <w:pPr>
              <w:pStyle w:val="TableText0"/>
              <w:keepLines/>
              <w:contextualSpacing/>
              <w:jc w:val="center"/>
            </w:pPr>
            <w:r w:rsidRPr="008B02E0">
              <w:t>50 (25%)</w:t>
            </w:r>
          </w:p>
        </w:tc>
        <w:tc>
          <w:tcPr>
            <w:tcW w:w="643" w:type="pct"/>
          </w:tcPr>
          <w:p w14:paraId="13683F9A" w14:textId="77777777" w:rsidR="00EB6430" w:rsidRPr="008B02E0" w:rsidRDefault="00EB6430" w:rsidP="00AE5B32">
            <w:pPr>
              <w:pStyle w:val="TableText0"/>
              <w:keepLines/>
              <w:contextualSpacing/>
              <w:jc w:val="center"/>
            </w:pPr>
            <w:r w:rsidRPr="008B02E0">
              <w:t>27.5 (22%)</w:t>
            </w:r>
          </w:p>
        </w:tc>
      </w:tr>
      <w:tr w:rsidR="00EB6430" w:rsidRPr="008B02E0" w14:paraId="2528D7F1" w14:textId="77777777" w:rsidTr="00D17F3A">
        <w:trPr>
          <w:trHeight w:val="20"/>
        </w:trPr>
        <w:tc>
          <w:tcPr>
            <w:tcW w:w="1177" w:type="pct"/>
            <w:hideMark/>
          </w:tcPr>
          <w:p w14:paraId="798753F9" w14:textId="77777777" w:rsidR="00EB6430" w:rsidRPr="008B02E0" w:rsidRDefault="00EB6430" w:rsidP="00AE5B32">
            <w:pPr>
              <w:pStyle w:val="TableText0"/>
              <w:keepLines/>
              <w:ind w:left="107"/>
              <w:contextualSpacing/>
            </w:pPr>
            <w:r w:rsidRPr="008B02E0">
              <w:rPr>
                <w:i/>
              </w:rPr>
              <w:t>BRAF</w:t>
            </w:r>
            <w:r w:rsidRPr="008B02E0">
              <w:t xml:space="preserve"> mutant</w:t>
            </w:r>
          </w:p>
        </w:tc>
        <w:tc>
          <w:tcPr>
            <w:tcW w:w="550" w:type="pct"/>
            <w:hideMark/>
          </w:tcPr>
          <w:p w14:paraId="57AD7E1A" w14:textId="77777777" w:rsidR="00EB6430" w:rsidRPr="008B02E0" w:rsidRDefault="00EB6430" w:rsidP="00AE5B32">
            <w:pPr>
              <w:pStyle w:val="TableText0"/>
              <w:keepLines/>
              <w:contextualSpacing/>
              <w:jc w:val="center"/>
            </w:pPr>
            <w:r w:rsidRPr="008B02E0">
              <w:t>77 (25%)</w:t>
            </w:r>
          </w:p>
        </w:tc>
        <w:tc>
          <w:tcPr>
            <w:tcW w:w="630" w:type="pct"/>
            <w:hideMark/>
          </w:tcPr>
          <w:p w14:paraId="35CB9505" w14:textId="77777777" w:rsidR="00EB6430" w:rsidRPr="008B02E0" w:rsidRDefault="00EB6430" w:rsidP="00AE5B32">
            <w:pPr>
              <w:pStyle w:val="TableText0"/>
              <w:keepLines/>
              <w:contextualSpacing/>
              <w:jc w:val="center"/>
            </w:pPr>
            <w:r w:rsidRPr="008B02E0">
              <w:t>87 (29%)</w:t>
            </w:r>
          </w:p>
        </w:tc>
        <w:tc>
          <w:tcPr>
            <w:tcW w:w="647" w:type="pct"/>
            <w:hideMark/>
          </w:tcPr>
          <w:p w14:paraId="5E20B808" w14:textId="77777777" w:rsidR="00EB6430" w:rsidRPr="008B02E0" w:rsidRDefault="00EB6430" w:rsidP="00AE5B32">
            <w:pPr>
              <w:pStyle w:val="TableText0"/>
              <w:keepLines/>
              <w:contextualSpacing/>
              <w:jc w:val="center"/>
            </w:pPr>
            <w:r w:rsidRPr="008B02E0">
              <w:t>57.4 (25%)</w:t>
            </w:r>
          </w:p>
        </w:tc>
        <w:tc>
          <w:tcPr>
            <w:tcW w:w="709" w:type="pct"/>
          </w:tcPr>
          <w:p w14:paraId="2840F53B" w14:textId="77777777" w:rsidR="00EB6430" w:rsidRPr="008B02E0" w:rsidRDefault="00EB6430" w:rsidP="00AE5B32">
            <w:pPr>
              <w:pStyle w:val="TableText0"/>
              <w:keepLines/>
              <w:contextualSpacing/>
              <w:jc w:val="center"/>
            </w:pPr>
            <w:r w:rsidRPr="008B02E0">
              <w:t>34 (22%)</w:t>
            </w:r>
          </w:p>
        </w:tc>
        <w:tc>
          <w:tcPr>
            <w:tcW w:w="644" w:type="pct"/>
          </w:tcPr>
          <w:p w14:paraId="5F0CA89B" w14:textId="77777777" w:rsidR="00EB6430" w:rsidRPr="008B02E0" w:rsidRDefault="00EB6430" w:rsidP="00AE5B32">
            <w:pPr>
              <w:pStyle w:val="TableText0"/>
              <w:keepLines/>
              <w:contextualSpacing/>
              <w:jc w:val="center"/>
            </w:pPr>
            <w:r w:rsidRPr="008B02E0">
              <w:t>60 (30%)</w:t>
            </w:r>
          </w:p>
        </w:tc>
        <w:tc>
          <w:tcPr>
            <w:tcW w:w="643" w:type="pct"/>
          </w:tcPr>
          <w:p w14:paraId="03AD29CA" w14:textId="77777777" w:rsidR="00EB6430" w:rsidRPr="008B02E0" w:rsidRDefault="00EB6430" w:rsidP="00AE5B32">
            <w:pPr>
              <w:pStyle w:val="TableText0"/>
              <w:keepLines/>
              <w:contextualSpacing/>
              <w:jc w:val="center"/>
            </w:pPr>
            <w:r w:rsidRPr="008B02E0">
              <w:t>28.4 (22%)</w:t>
            </w:r>
          </w:p>
        </w:tc>
      </w:tr>
      <w:tr w:rsidR="00EB6430" w:rsidRPr="008B02E0" w14:paraId="0F61D921" w14:textId="77777777" w:rsidTr="00D17F3A">
        <w:trPr>
          <w:trHeight w:val="20"/>
        </w:trPr>
        <w:tc>
          <w:tcPr>
            <w:tcW w:w="1177" w:type="pct"/>
            <w:hideMark/>
          </w:tcPr>
          <w:p w14:paraId="2AF0FCD0" w14:textId="77777777" w:rsidR="00EB6430" w:rsidRPr="008B02E0" w:rsidRDefault="00EB6430" w:rsidP="00AE5B32">
            <w:pPr>
              <w:pStyle w:val="TableText0"/>
              <w:keepLines/>
              <w:ind w:left="107"/>
              <w:contextualSpacing/>
            </w:pPr>
            <w:r w:rsidRPr="008B02E0">
              <w:t>Could not be evaluated</w:t>
            </w:r>
          </w:p>
        </w:tc>
        <w:tc>
          <w:tcPr>
            <w:tcW w:w="550" w:type="pct"/>
            <w:hideMark/>
          </w:tcPr>
          <w:p w14:paraId="7A1F7D3E" w14:textId="77777777" w:rsidR="00EB6430" w:rsidRPr="008B02E0" w:rsidRDefault="00EB6430" w:rsidP="00AE5B32">
            <w:pPr>
              <w:pStyle w:val="TableText0"/>
              <w:keepLines/>
              <w:contextualSpacing/>
              <w:jc w:val="center"/>
            </w:pPr>
            <w:r w:rsidRPr="008B02E0">
              <w:t>90 (29%)</w:t>
            </w:r>
          </w:p>
        </w:tc>
        <w:tc>
          <w:tcPr>
            <w:tcW w:w="630" w:type="pct"/>
            <w:hideMark/>
          </w:tcPr>
          <w:p w14:paraId="2514B0E1" w14:textId="77777777" w:rsidR="00EB6430" w:rsidRPr="008B02E0" w:rsidRDefault="00EB6430" w:rsidP="00AE5B32">
            <w:pPr>
              <w:pStyle w:val="TableText0"/>
              <w:keepLines/>
              <w:contextualSpacing/>
              <w:jc w:val="center"/>
            </w:pPr>
            <w:r w:rsidRPr="008B02E0">
              <w:t>75 (25%)</w:t>
            </w:r>
          </w:p>
        </w:tc>
        <w:tc>
          <w:tcPr>
            <w:tcW w:w="647" w:type="pct"/>
            <w:hideMark/>
          </w:tcPr>
          <w:p w14:paraId="25D27D3C" w14:textId="77777777" w:rsidR="00EB6430" w:rsidRPr="008B02E0" w:rsidRDefault="00EB6430" w:rsidP="00AE5B32">
            <w:pPr>
              <w:pStyle w:val="TableText0"/>
              <w:keepLines/>
              <w:contextualSpacing/>
              <w:jc w:val="center"/>
            </w:pPr>
            <w:r w:rsidRPr="008B02E0">
              <w:t>67.0 (29%)</w:t>
            </w:r>
          </w:p>
        </w:tc>
        <w:tc>
          <w:tcPr>
            <w:tcW w:w="709" w:type="pct"/>
          </w:tcPr>
          <w:p w14:paraId="171B23F1" w14:textId="77777777" w:rsidR="00EB6430" w:rsidRPr="008B02E0" w:rsidRDefault="00EB6430" w:rsidP="00AE5B32">
            <w:pPr>
              <w:pStyle w:val="TableText0"/>
              <w:keepLines/>
              <w:contextualSpacing/>
              <w:jc w:val="center"/>
            </w:pPr>
            <w:r w:rsidRPr="008B02E0">
              <w:t>52 (34%)</w:t>
            </w:r>
          </w:p>
        </w:tc>
        <w:tc>
          <w:tcPr>
            <w:tcW w:w="644" w:type="pct"/>
          </w:tcPr>
          <w:p w14:paraId="073E906C" w14:textId="77777777" w:rsidR="00EB6430" w:rsidRPr="008B02E0" w:rsidRDefault="00EB6430" w:rsidP="00AE5B32">
            <w:pPr>
              <w:pStyle w:val="TableText0"/>
              <w:keepLines/>
              <w:contextualSpacing/>
              <w:jc w:val="center"/>
            </w:pPr>
            <w:r w:rsidRPr="008B02E0">
              <w:t>50 (25%)</w:t>
            </w:r>
          </w:p>
        </w:tc>
        <w:tc>
          <w:tcPr>
            <w:tcW w:w="643" w:type="pct"/>
          </w:tcPr>
          <w:p w14:paraId="063737BC" w14:textId="77777777" w:rsidR="00EB6430" w:rsidRPr="008B02E0" w:rsidRDefault="00EB6430" w:rsidP="00AE5B32">
            <w:pPr>
              <w:pStyle w:val="TableText0"/>
              <w:keepLines/>
              <w:contextualSpacing/>
              <w:jc w:val="center"/>
            </w:pPr>
            <w:r w:rsidRPr="008B02E0">
              <w:t>43.4 (34%)</w:t>
            </w:r>
          </w:p>
        </w:tc>
      </w:tr>
      <w:tr w:rsidR="00EB6430" w:rsidRPr="008B02E0" w14:paraId="45DA66BD" w14:textId="77777777" w:rsidTr="00D17F3A">
        <w:trPr>
          <w:trHeight w:val="20"/>
        </w:trPr>
        <w:tc>
          <w:tcPr>
            <w:tcW w:w="5000" w:type="pct"/>
            <w:gridSpan w:val="7"/>
            <w:hideMark/>
          </w:tcPr>
          <w:p w14:paraId="37D37273" w14:textId="77777777" w:rsidR="00EB6430" w:rsidRPr="008B02E0" w:rsidRDefault="00EB6430" w:rsidP="00AE5B32">
            <w:pPr>
              <w:pStyle w:val="TableText0"/>
              <w:keepLines/>
              <w:contextualSpacing/>
            </w:pPr>
            <w:r w:rsidRPr="008B02E0">
              <w:t>Site of primary tumour (sidedness)</w:t>
            </w:r>
          </w:p>
        </w:tc>
      </w:tr>
      <w:tr w:rsidR="00EB6430" w:rsidRPr="008B02E0" w14:paraId="1F9931C9" w14:textId="77777777" w:rsidTr="00D17F3A">
        <w:trPr>
          <w:trHeight w:val="20"/>
        </w:trPr>
        <w:tc>
          <w:tcPr>
            <w:tcW w:w="1177" w:type="pct"/>
            <w:hideMark/>
          </w:tcPr>
          <w:p w14:paraId="66A44D01" w14:textId="77777777" w:rsidR="00EB6430" w:rsidRPr="008B02E0" w:rsidRDefault="00EB6430" w:rsidP="00AE5B32">
            <w:pPr>
              <w:pStyle w:val="TableText0"/>
              <w:keepLines/>
              <w:ind w:left="107"/>
              <w:contextualSpacing/>
            </w:pPr>
            <w:r w:rsidRPr="008B02E0">
              <w:t>Right</w:t>
            </w:r>
          </w:p>
        </w:tc>
        <w:tc>
          <w:tcPr>
            <w:tcW w:w="550" w:type="pct"/>
            <w:hideMark/>
          </w:tcPr>
          <w:p w14:paraId="482B123A" w14:textId="77777777" w:rsidR="00EB6430" w:rsidRPr="008B02E0" w:rsidRDefault="00EB6430" w:rsidP="00AE5B32">
            <w:pPr>
              <w:pStyle w:val="TableText0"/>
              <w:keepLines/>
              <w:contextualSpacing/>
              <w:jc w:val="center"/>
            </w:pPr>
            <w:r w:rsidRPr="008B02E0">
              <w:t>219 (71%)</w:t>
            </w:r>
          </w:p>
        </w:tc>
        <w:tc>
          <w:tcPr>
            <w:tcW w:w="630" w:type="pct"/>
            <w:hideMark/>
          </w:tcPr>
          <w:p w14:paraId="3767265E" w14:textId="77777777" w:rsidR="00EB6430" w:rsidRPr="008B02E0" w:rsidRDefault="00EB6430" w:rsidP="00AE5B32">
            <w:pPr>
              <w:pStyle w:val="TableText0"/>
              <w:keepLines/>
              <w:contextualSpacing/>
              <w:jc w:val="center"/>
            </w:pPr>
            <w:r w:rsidRPr="008B02E0">
              <w:t>205 (68%)</w:t>
            </w:r>
          </w:p>
        </w:tc>
        <w:tc>
          <w:tcPr>
            <w:tcW w:w="647" w:type="pct"/>
            <w:hideMark/>
          </w:tcPr>
          <w:p w14:paraId="0B37C230" w14:textId="77777777" w:rsidR="00EB6430" w:rsidRPr="008B02E0" w:rsidRDefault="00EB6430" w:rsidP="00AE5B32">
            <w:pPr>
              <w:pStyle w:val="TableText0"/>
              <w:keepLines/>
              <w:contextualSpacing/>
              <w:jc w:val="center"/>
            </w:pPr>
            <w:r w:rsidRPr="008B02E0">
              <w:t>163.2 (71%)</w:t>
            </w:r>
          </w:p>
        </w:tc>
        <w:tc>
          <w:tcPr>
            <w:tcW w:w="709" w:type="pct"/>
          </w:tcPr>
          <w:p w14:paraId="75215D56" w14:textId="77777777" w:rsidR="00EB6430" w:rsidRPr="008B02E0" w:rsidRDefault="00EB6430" w:rsidP="00AE5B32">
            <w:pPr>
              <w:pStyle w:val="TableText0"/>
              <w:keepLines/>
              <w:contextualSpacing/>
              <w:jc w:val="center"/>
            </w:pPr>
            <w:r w:rsidRPr="008B02E0">
              <w:t>107 (70%)</w:t>
            </w:r>
          </w:p>
        </w:tc>
        <w:tc>
          <w:tcPr>
            <w:tcW w:w="644" w:type="pct"/>
          </w:tcPr>
          <w:p w14:paraId="1C06AB66" w14:textId="77777777" w:rsidR="00EB6430" w:rsidRPr="008B02E0" w:rsidRDefault="00EB6430" w:rsidP="00AE5B32">
            <w:pPr>
              <w:pStyle w:val="TableText0"/>
              <w:keepLines/>
              <w:contextualSpacing/>
              <w:jc w:val="center"/>
            </w:pPr>
            <w:r w:rsidRPr="008B02E0">
              <w:t>137 (68%)</w:t>
            </w:r>
          </w:p>
        </w:tc>
        <w:tc>
          <w:tcPr>
            <w:tcW w:w="643" w:type="pct"/>
          </w:tcPr>
          <w:p w14:paraId="46EA24F9" w14:textId="77777777" w:rsidR="00EB6430" w:rsidRPr="008B02E0" w:rsidRDefault="00EB6430" w:rsidP="00AE5B32">
            <w:pPr>
              <w:pStyle w:val="TableText0"/>
              <w:keepLines/>
              <w:contextualSpacing/>
              <w:jc w:val="center"/>
            </w:pPr>
            <w:r w:rsidRPr="008B02E0">
              <w:t>89.3 (70%)</w:t>
            </w:r>
          </w:p>
        </w:tc>
      </w:tr>
      <w:tr w:rsidR="00EB6430" w:rsidRPr="008B02E0" w14:paraId="11CD29FD" w14:textId="77777777" w:rsidTr="00D17F3A">
        <w:trPr>
          <w:trHeight w:val="20"/>
        </w:trPr>
        <w:tc>
          <w:tcPr>
            <w:tcW w:w="1177" w:type="pct"/>
            <w:hideMark/>
          </w:tcPr>
          <w:p w14:paraId="5317B0E1" w14:textId="77777777" w:rsidR="00EB6430" w:rsidRPr="008B02E0" w:rsidRDefault="00EB6430" w:rsidP="00AE5B32">
            <w:pPr>
              <w:pStyle w:val="TableText0"/>
              <w:keepLines/>
              <w:ind w:left="107"/>
              <w:contextualSpacing/>
            </w:pPr>
            <w:r w:rsidRPr="008B02E0">
              <w:t>Left</w:t>
            </w:r>
          </w:p>
        </w:tc>
        <w:tc>
          <w:tcPr>
            <w:tcW w:w="550" w:type="pct"/>
            <w:hideMark/>
          </w:tcPr>
          <w:p w14:paraId="4EE97ECE" w14:textId="77777777" w:rsidR="00EB6430" w:rsidRPr="008B02E0" w:rsidRDefault="00EB6430" w:rsidP="00AE5B32">
            <w:pPr>
              <w:pStyle w:val="TableText0"/>
              <w:keepLines/>
              <w:contextualSpacing/>
              <w:jc w:val="center"/>
            </w:pPr>
            <w:r w:rsidRPr="008B02E0">
              <w:t>88 (29%)</w:t>
            </w:r>
          </w:p>
        </w:tc>
        <w:tc>
          <w:tcPr>
            <w:tcW w:w="630" w:type="pct"/>
            <w:hideMark/>
          </w:tcPr>
          <w:p w14:paraId="6EB28138" w14:textId="77777777" w:rsidR="00EB6430" w:rsidRPr="008B02E0" w:rsidRDefault="00EB6430" w:rsidP="00AE5B32">
            <w:pPr>
              <w:pStyle w:val="TableText0"/>
              <w:keepLines/>
              <w:contextualSpacing/>
              <w:jc w:val="center"/>
            </w:pPr>
            <w:r w:rsidRPr="008B02E0">
              <w:t>98 (32%)</w:t>
            </w:r>
          </w:p>
        </w:tc>
        <w:tc>
          <w:tcPr>
            <w:tcW w:w="647" w:type="pct"/>
            <w:hideMark/>
          </w:tcPr>
          <w:p w14:paraId="5114401F" w14:textId="77777777" w:rsidR="00EB6430" w:rsidRPr="008B02E0" w:rsidRDefault="00EB6430" w:rsidP="00AE5B32">
            <w:pPr>
              <w:pStyle w:val="TableText0"/>
              <w:keepLines/>
              <w:contextualSpacing/>
              <w:jc w:val="center"/>
            </w:pPr>
            <w:r w:rsidRPr="008B02E0">
              <w:t>65.6 (29%)</w:t>
            </w:r>
          </w:p>
        </w:tc>
        <w:tc>
          <w:tcPr>
            <w:tcW w:w="709" w:type="pct"/>
          </w:tcPr>
          <w:p w14:paraId="10ECCBFE" w14:textId="77777777" w:rsidR="00EB6430" w:rsidRPr="008B02E0" w:rsidRDefault="00EB6430" w:rsidP="00AE5B32">
            <w:pPr>
              <w:pStyle w:val="TableText0"/>
              <w:keepLines/>
              <w:contextualSpacing/>
              <w:jc w:val="center"/>
            </w:pPr>
            <w:r w:rsidRPr="008B02E0">
              <w:t>46 (30%)</w:t>
            </w:r>
          </w:p>
        </w:tc>
        <w:tc>
          <w:tcPr>
            <w:tcW w:w="644" w:type="pct"/>
          </w:tcPr>
          <w:p w14:paraId="675A83DF" w14:textId="77777777" w:rsidR="00EB6430" w:rsidRPr="008B02E0" w:rsidRDefault="00EB6430" w:rsidP="00AE5B32">
            <w:pPr>
              <w:pStyle w:val="TableText0"/>
              <w:keepLines/>
              <w:contextualSpacing/>
              <w:jc w:val="center"/>
            </w:pPr>
            <w:r w:rsidRPr="008B02E0">
              <w:t>65 (32%)</w:t>
            </w:r>
          </w:p>
        </w:tc>
        <w:tc>
          <w:tcPr>
            <w:tcW w:w="643" w:type="pct"/>
          </w:tcPr>
          <w:p w14:paraId="1681EF7C" w14:textId="77777777" w:rsidR="00EB6430" w:rsidRPr="008B02E0" w:rsidRDefault="00EB6430" w:rsidP="00AE5B32">
            <w:pPr>
              <w:pStyle w:val="TableText0"/>
              <w:keepLines/>
              <w:contextualSpacing/>
              <w:jc w:val="center"/>
            </w:pPr>
            <w:r w:rsidRPr="008B02E0">
              <w:t>38.4 (30%)</w:t>
            </w:r>
          </w:p>
        </w:tc>
      </w:tr>
      <w:tr w:rsidR="00EB6430" w:rsidRPr="008B02E0" w14:paraId="4727CCB8" w14:textId="77777777" w:rsidTr="00D17F3A">
        <w:trPr>
          <w:trHeight w:val="20"/>
        </w:trPr>
        <w:tc>
          <w:tcPr>
            <w:tcW w:w="1177" w:type="pct"/>
            <w:hideMark/>
          </w:tcPr>
          <w:p w14:paraId="06D07C65" w14:textId="77777777" w:rsidR="00EB6430" w:rsidRPr="008B02E0" w:rsidRDefault="00EB6430" w:rsidP="00AE5B32">
            <w:pPr>
              <w:pStyle w:val="TableText0"/>
              <w:keepLines/>
              <w:ind w:left="107"/>
              <w:contextualSpacing/>
            </w:pPr>
            <w:r w:rsidRPr="008B02E0">
              <w:t>Liver metastasis</w:t>
            </w:r>
          </w:p>
        </w:tc>
        <w:tc>
          <w:tcPr>
            <w:tcW w:w="550" w:type="pct"/>
            <w:hideMark/>
          </w:tcPr>
          <w:p w14:paraId="0740EBFD" w14:textId="77777777" w:rsidR="00EB6430" w:rsidRPr="008B02E0" w:rsidRDefault="00EB6430" w:rsidP="00AE5B32">
            <w:pPr>
              <w:pStyle w:val="TableText0"/>
              <w:keepLines/>
              <w:contextualSpacing/>
              <w:jc w:val="center"/>
            </w:pPr>
            <w:r w:rsidRPr="008B02E0">
              <w:t>125 (41%)</w:t>
            </w:r>
          </w:p>
        </w:tc>
        <w:tc>
          <w:tcPr>
            <w:tcW w:w="630" w:type="pct"/>
            <w:hideMark/>
          </w:tcPr>
          <w:p w14:paraId="60A9EC59" w14:textId="77777777" w:rsidR="00EB6430" w:rsidRPr="008B02E0" w:rsidRDefault="00EB6430" w:rsidP="00AE5B32">
            <w:pPr>
              <w:pStyle w:val="TableText0"/>
              <w:keepLines/>
              <w:contextualSpacing/>
              <w:jc w:val="center"/>
            </w:pPr>
            <w:r w:rsidRPr="008B02E0">
              <w:t>117 (39%)</w:t>
            </w:r>
          </w:p>
        </w:tc>
        <w:tc>
          <w:tcPr>
            <w:tcW w:w="647" w:type="pct"/>
            <w:hideMark/>
          </w:tcPr>
          <w:p w14:paraId="71DD0F4F" w14:textId="77777777" w:rsidR="00EB6430" w:rsidRPr="008B02E0" w:rsidRDefault="00EB6430" w:rsidP="00AE5B32">
            <w:pPr>
              <w:pStyle w:val="TableText0"/>
              <w:keepLines/>
              <w:contextualSpacing/>
              <w:jc w:val="center"/>
            </w:pPr>
            <w:r w:rsidRPr="008B02E0">
              <w:t>93.1 (41%)</w:t>
            </w:r>
          </w:p>
        </w:tc>
        <w:tc>
          <w:tcPr>
            <w:tcW w:w="709" w:type="pct"/>
          </w:tcPr>
          <w:p w14:paraId="48A14901" w14:textId="77777777" w:rsidR="00EB6430" w:rsidRPr="008B02E0" w:rsidRDefault="00EB6430" w:rsidP="00AE5B32">
            <w:pPr>
              <w:pStyle w:val="TableText0"/>
              <w:keepLines/>
              <w:contextualSpacing/>
              <w:jc w:val="center"/>
            </w:pPr>
            <w:r w:rsidRPr="008B02E0">
              <w:t>71 (46%)</w:t>
            </w:r>
          </w:p>
        </w:tc>
        <w:tc>
          <w:tcPr>
            <w:tcW w:w="644" w:type="pct"/>
          </w:tcPr>
          <w:p w14:paraId="6E7A7637" w14:textId="77777777" w:rsidR="00EB6430" w:rsidRPr="008B02E0" w:rsidRDefault="00EB6430" w:rsidP="00AE5B32">
            <w:pPr>
              <w:pStyle w:val="TableText0"/>
              <w:keepLines/>
              <w:contextualSpacing/>
              <w:jc w:val="center"/>
            </w:pPr>
            <w:r w:rsidRPr="008B02E0">
              <w:t>75 (37%)</w:t>
            </w:r>
          </w:p>
        </w:tc>
        <w:tc>
          <w:tcPr>
            <w:tcW w:w="643" w:type="pct"/>
          </w:tcPr>
          <w:p w14:paraId="6B16076D" w14:textId="77777777" w:rsidR="00EB6430" w:rsidRPr="008B02E0" w:rsidRDefault="00EB6430" w:rsidP="00AE5B32">
            <w:pPr>
              <w:pStyle w:val="TableText0"/>
              <w:keepLines/>
              <w:contextualSpacing/>
              <w:jc w:val="center"/>
            </w:pPr>
            <w:r w:rsidRPr="008B02E0">
              <w:t>59.2 (46%)</w:t>
            </w:r>
          </w:p>
        </w:tc>
      </w:tr>
      <w:tr w:rsidR="00EB6430" w:rsidRPr="008B02E0" w14:paraId="1E810FD4" w14:textId="77777777" w:rsidTr="00D17F3A">
        <w:trPr>
          <w:trHeight w:val="20"/>
        </w:trPr>
        <w:tc>
          <w:tcPr>
            <w:tcW w:w="1177" w:type="pct"/>
            <w:hideMark/>
          </w:tcPr>
          <w:p w14:paraId="5CE58CE1" w14:textId="77777777" w:rsidR="00EB6430" w:rsidRPr="008B02E0" w:rsidRDefault="00EB6430" w:rsidP="00AE5B32">
            <w:pPr>
              <w:pStyle w:val="TableText0"/>
              <w:keepLines/>
              <w:ind w:left="107"/>
              <w:contextualSpacing/>
            </w:pPr>
            <w:r w:rsidRPr="008B02E0">
              <w:t>Liver or lung metastasis</w:t>
            </w:r>
          </w:p>
        </w:tc>
        <w:tc>
          <w:tcPr>
            <w:tcW w:w="550" w:type="pct"/>
            <w:hideMark/>
          </w:tcPr>
          <w:p w14:paraId="6D5A6C00" w14:textId="77777777" w:rsidR="00EB6430" w:rsidRPr="008B02E0" w:rsidRDefault="00EB6430" w:rsidP="00AE5B32">
            <w:pPr>
              <w:pStyle w:val="TableText0"/>
              <w:keepLines/>
              <w:contextualSpacing/>
              <w:jc w:val="center"/>
            </w:pPr>
            <w:r w:rsidRPr="008B02E0">
              <w:t>159 (52%)</w:t>
            </w:r>
          </w:p>
        </w:tc>
        <w:tc>
          <w:tcPr>
            <w:tcW w:w="630" w:type="pct"/>
            <w:hideMark/>
          </w:tcPr>
          <w:p w14:paraId="40EE3B27" w14:textId="77777777" w:rsidR="00EB6430" w:rsidRPr="008B02E0" w:rsidRDefault="00EB6430" w:rsidP="00AE5B32">
            <w:pPr>
              <w:pStyle w:val="TableText0"/>
              <w:keepLines/>
              <w:contextualSpacing/>
              <w:jc w:val="center"/>
            </w:pPr>
            <w:r w:rsidRPr="008B02E0">
              <w:t>155 (51%)</w:t>
            </w:r>
          </w:p>
        </w:tc>
        <w:tc>
          <w:tcPr>
            <w:tcW w:w="647" w:type="pct"/>
            <w:hideMark/>
          </w:tcPr>
          <w:p w14:paraId="0E602A74" w14:textId="77777777" w:rsidR="00EB6430" w:rsidRPr="008B02E0" w:rsidRDefault="00EB6430" w:rsidP="00AE5B32">
            <w:pPr>
              <w:pStyle w:val="TableText0"/>
              <w:keepLines/>
              <w:contextualSpacing/>
              <w:jc w:val="center"/>
              <w:rPr>
                <w:highlight w:val="yellow"/>
              </w:rPr>
            </w:pPr>
            <w:r w:rsidRPr="008B02E0">
              <w:t>118.5 (52%)</w:t>
            </w:r>
          </w:p>
        </w:tc>
        <w:tc>
          <w:tcPr>
            <w:tcW w:w="709" w:type="pct"/>
          </w:tcPr>
          <w:p w14:paraId="1A494B1B" w14:textId="77777777" w:rsidR="00EB6430" w:rsidRPr="008B02E0" w:rsidRDefault="00EB6430" w:rsidP="00AE5B32">
            <w:pPr>
              <w:pStyle w:val="TableText0"/>
              <w:keepLines/>
              <w:contextualSpacing/>
              <w:jc w:val="center"/>
            </w:pPr>
            <w:r w:rsidRPr="008B02E0">
              <w:t>36 (24%)</w:t>
            </w:r>
          </w:p>
        </w:tc>
        <w:tc>
          <w:tcPr>
            <w:tcW w:w="644" w:type="pct"/>
          </w:tcPr>
          <w:p w14:paraId="08D30FAC" w14:textId="77777777" w:rsidR="00EB6430" w:rsidRPr="008B02E0" w:rsidRDefault="00EB6430" w:rsidP="00AE5B32">
            <w:pPr>
              <w:pStyle w:val="TableText0"/>
              <w:keepLines/>
              <w:contextualSpacing/>
              <w:jc w:val="center"/>
            </w:pPr>
            <w:r w:rsidRPr="008B02E0">
              <w:t>44 (22%)</w:t>
            </w:r>
          </w:p>
        </w:tc>
        <w:tc>
          <w:tcPr>
            <w:tcW w:w="643" w:type="pct"/>
          </w:tcPr>
          <w:p w14:paraId="240CEA31" w14:textId="77777777" w:rsidR="00EB6430" w:rsidRPr="008B02E0" w:rsidRDefault="00EB6430" w:rsidP="00AE5B32">
            <w:pPr>
              <w:pStyle w:val="TableText0"/>
              <w:keepLines/>
              <w:contextualSpacing/>
              <w:jc w:val="center"/>
            </w:pPr>
            <w:r w:rsidRPr="008B02E0">
              <w:t>30.0 (24%)</w:t>
            </w:r>
          </w:p>
        </w:tc>
      </w:tr>
      <w:tr w:rsidR="00EB6430" w:rsidRPr="008B02E0" w14:paraId="004874E8" w14:textId="77777777" w:rsidTr="00D17F3A">
        <w:trPr>
          <w:trHeight w:val="20"/>
        </w:trPr>
        <w:tc>
          <w:tcPr>
            <w:tcW w:w="5000" w:type="pct"/>
            <w:gridSpan w:val="7"/>
            <w:hideMark/>
          </w:tcPr>
          <w:p w14:paraId="5848EA11" w14:textId="77777777" w:rsidR="00EB6430" w:rsidRPr="008B02E0" w:rsidRDefault="00EB6430" w:rsidP="00AE5B32">
            <w:pPr>
              <w:pStyle w:val="TableText0"/>
              <w:keepLines/>
              <w:contextualSpacing/>
            </w:pPr>
            <w:r w:rsidRPr="008B02E0">
              <w:t>Region</w:t>
            </w:r>
            <w:r w:rsidRPr="008B02E0">
              <w:rPr>
                <w:vertAlign w:val="superscript"/>
              </w:rPr>
              <w:t>b</w:t>
            </w:r>
          </w:p>
        </w:tc>
      </w:tr>
      <w:tr w:rsidR="00EB6430" w:rsidRPr="008B02E0" w14:paraId="4C3E652F" w14:textId="77777777" w:rsidTr="00D17F3A">
        <w:trPr>
          <w:trHeight w:val="20"/>
        </w:trPr>
        <w:tc>
          <w:tcPr>
            <w:tcW w:w="1177" w:type="pct"/>
            <w:hideMark/>
          </w:tcPr>
          <w:p w14:paraId="76B99CE1" w14:textId="77777777" w:rsidR="00EB6430" w:rsidRPr="008B02E0" w:rsidRDefault="00EB6430" w:rsidP="00AE5B32">
            <w:pPr>
              <w:pStyle w:val="TableText0"/>
              <w:keepLines/>
              <w:ind w:left="107"/>
              <w:contextualSpacing/>
            </w:pPr>
            <w:r w:rsidRPr="008B02E0">
              <w:t>Asia</w:t>
            </w:r>
          </w:p>
        </w:tc>
        <w:tc>
          <w:tcPr>
            <w:tcW w:w="550" w:type="pct"/>
            <w:hideMark/>
          </w:tcPr>
          <w:p w14:paraId="49C45136" w14:textId="77777777" w:rsidR="00EB6430" w:rsidRPr="008B02E0" w:rsidRDefault="00EB6430" w:rsidP="00AE5B32">
            <w:pPr>
              <w:pStyle w:val="TableText0"/>
              <w:keepLines/>
              <w:contextualSpacing/>
              <w:jc w:val="center"/>
            </w:pPr>
            <w:r w:rsidRPr="008B02E0">
              <w:t>48 (16%)</w:t>
            </w:r>
          </w:p>
        </w:tc>
        <w:tc>
          <w:tcPr>
            <w:tcW w:w="630" w:type="pct"/>
            <w:hideMark/>
          </w:tcPr>
          <w:p w14:paraId="0B6C5505" w14:textId="77777777" w:rsidR="00EB6430" w:rsidRPr="008B02E0" w:rsidRDefault="00EB6430" w:rsidP="00AE5B32">
            <w:pPr>
              <w:pStyle w:val="TableText0"/>
              <w:keepLines/>
              <w:contextualSpacing/>
              <w:jc w:val="center"/>
            </w:pPr>
            <w:r w:rsidRPr="008B02E0">
              <w:t>30 (10%)</w:t>
            </w:r>
          </w:p>
        </w:tc>
        <w:tc>
          <w:tcPr>
            <w:tcW w:w="647" w:type="pct"/>
            <w:hideMark/>
          </w:tcPr>
          <w:p w14:paraId="56065078" w14:textId="77777777" w:rsidR="00EB6430" w:rsidRPr="008B02E0" w:rsidRDefault="00EB6430" w:rsidP="00AE5B32">
            <w:pPr>
              <w:pStyle w:val="TableText0"/>
              <w:keepLines/>
              <w:contextualSpacing/>
              <w:jc w:val="center"/>
            </w:pPr>
            <w:r w:rsidRPr="008B02E0">
              <w:t>35.8 (16%)</w:t>
            </w:r>
          </w:p>
        </w:tc>
        <w:tc>
          <w:tcPr>
            <w:tcW w:w="709" w:type="pct"/>
          </w:tcPr>
          <w:p w14:paraId="4B49F983" w14:textId="77777777" w:rsidR="00EB6430" w:rsidRPr="008B02E0" w:rsidRDefault="00EB6430" w:rsidP="00AE5B32">
            <w:pPr>
              <w:pStyle w:val="TableText0"/>
              <w:keepLines/>
              <w:contextualSpacing/>
              <w:jc w:val="center"/>
            </w:pPr>
            <w:r w:rsidRPr="008B02E0">
              <w:t>22 (14%)</w:t>
            </w:r>
          </w:p>
        </w:tc>
        <w:tc>
          <w:tcPr>
            <w:tcW w:w="644" w:type="pct"/>
          </w:tcPr>
          <w:p w14:paraId="6FF60256" w14:textId="77777777" w:rsidR="00EB6430" w:rsidRPr="008B02E0" w:rsidRDefault="00EB6430" w:rsidP="00AE5B32">
            <w:pPr>
              <w:pStyle w:val="TableText0"/>
              <w:keepLines/>
              <w:contextualSpacing/>
              <w:jc w:val="center"/>
            </w:pPr>
            <w:r w:rsidRPr="008B02E0">
              <w:t>19 (9%)</w:t>
            </w:r>
          </w:p>
        </w:tc>
        <w:tc>
          <w:tcPr>
            <w:tcW w:w="643" w:type="pct"/>
          </w:tcPr>
          <w:p w14:paraId="4BC47EB9" w14:textId="77777777" w:rsidR="00EB6430" w:rsidRPr="008B02E0" w:rsidRDefault="00EB6430" w:rsidP="00AE5B32">
            <w:pPr>
              <w:pStyle w:val="TableText0"/>
              <w:keepLines/>
              <w:contextualSpacing/>
              <w:jc w:val="center"/>
            </w:pPr>
            <w:r w:rsidRPr="008B02E0">
              <w:t>18.4 (14%)</w:t>
            </w:r>
          </w:p>
        </w:tc>
      </w:tr>
      <w:tr w:rsidR="00EB6430" w:rsidRPr="008B02E0" w14:paraId="5058505E" w14:textId="77777777" w:rsidTr="00D17F3A">
        <w:trPr>
          <w:trHeight w:val="20"/>
        </w:trPr>
        <w:tc>
          <w:tcPr>
            <w:tcW w:w="1177" w:type="pct"/>
            <w:hideMark/>
          </w:tcPr>
          <w:p w14:paraId="10BC9E15" w14:textId="77777777" w:rsidR="00EB6430" w:rsidRPr="008B02E0" w:rsidRDefault="00EB6430" w:rsidP="00AE5B32">
            <w:pPr>
              <w:pStyle w:val="TableText0"/>
              <w:keepLines/>
              <w:ind w:left="107"/>
              <w:contextualSpacing/>
            </w:pPr>
            <w:r w:rsidRPr="008B02E0">
              <w:t>Western Europe/North America</w:t>
            </w:r>
          </w:p>
        </w:tc>
        <w:tc>
          <w:tcPr>
            <w:tcW w:w="550" w:type="pct"/>
            <w:hideMark/>
          </w:tcPr>
          <w:p w14:paraId="2F095596" w14:textId="77777777" w:rsidR="00EB6430" w:rsidRPr="008B02E0" w:rsidRDefault="00EB6430" w:rsidP="00AE5B32">
            <w:pPr>
              <w:pStyle w:val="TableText0"/>
              <w:keepLines/>
              <w:contextualSpacing/>
              <w:jc w:val="center"/>
            </w:pPr>
            <w:r w:rsidRPr="008B02E0">
              <w:t>222 (72%)</w:t>
            </w:r>
          </w:p>
        </w:tc>
        <w:tc>
          <w:tcPr>
            <w:tcW w:w="630" w:type="pct"/>
            <w:hideMark/>
          </w:tcPr>
          <w:p w14:paraId="142519B0" w14:textId="77777777" w:rsidR="00EB6430" w:rsidRPr="008B02E0" w:rsidRDefault="00EB6430" w:rsidP="00AE5B32">
            <w:pPr>
              <w:pStyle w:val="TableText0"/>
              <w:keepLines/>
              <w:contextualSpacing/>
              <w:jc w:val="center"/>
            </w:pPr>
            <w:r w:rsidRPr="008B02E0">
              <w:t>178 (59%)</w:t>
            </w:r>
          </w:p>
        </w:tc>
        <w:tc>
          <w:tcPr>
            <w:tcW w:w="647" w:type="pct"/>
            <w:hideMark/>
          </w:tcPr>
          <w:p w14:paraId="6E571F45" w14:textId="77777777" w:rsidR="00EB6430" w:rsidRPr="008B02E0" w:rsidRDefault="00EB6430" w:rsidP="00AE5B32">
            <w:pPr>
              <w:pStyle w:val="TableText0"/>
              <w:keepLines/>
              <w:contextualSpacing/>
              <w:jc w:val="center"/>
            </w:pPr>
            <w:r w:rsidRPr="008B02E0">
              <w:t>165.4 (72%)</w:t>
            </w:r>
          </w:p>
        </w:tc>
        <w:tc>
          <w:tcPr>
            <w:tcW w:w="709" w:type="pct"/>
          </w:tcPr>
          <w:p w14:paraId="1F578BF6" w14:textId="77777777" w:rsidR="00EB6430" w:rsidRPr="008B02E0" w:rsidRDefault="00EB6430" w:rsidP="00AE5B32">
            <w:pPr>
              <w:pStyle w:val="TableText0"/>
              <w:keepLines/>
              <w:contextualSpacing/>
              <w:jc w:val="center"/>
            </w:pPr>
            <w:r w:rsidRPr="008B02E0">
              <w:t>109 (71%)</w:t>
            </w:r>
          </w:p>
        </w:tc>
        <w:tc>
          <w:tcPr>
            <w:tcW w:w="644" w:type="pct"/>
          </w:tcPr>
          <w:p w14:paraId="7CA11370" w14:textId="77777777" w:rsidR="00EB6430" w:rsidRPr="008B02E0" w:rsidRDefault="00EB6430" w:rsidP="00AE5B32">
            <w:pPr>
              <w:pStyle w:val="TableText0"/>
              <w:keepLines/>
              <w:contextualSpacing/>
              <w:jc w:val="center"/>
            </w:pPr>
            <w:r w:rsidRPr="008B02E0">
              <w:t>115 (57%)</w:t>
            </w:r>
          </w:p>
        </w:tc>
        <w:tc>
          <w:tcPr>
            <w:tcW w:w="643" w:type="pct"/>
          </w:tcPr>
          <w:p w14:paraId="4A739CEF" w14:textId="77777777" w:rsidR="00EB6430" w:rsidRPr="008B02E0" w:rsidRDefault="00EB6430" w:rsidP="00AE5B32">
            <w:pPr>
              <w:pStyle w:val="TableText0"/>
              <w:keepLines/>
              <w:contextualSpacing/>
              <w:jc w:val="center"/>
            </w:pPr>
            <w:r w:rsidRPr="008B02E0">
              <w:t>90.9 (71%)</w:t>
            </w:r>
          </w:p>
        </w:tc>
      </w:tr>
      <w:tr w:rsidR="00EB6430" w:rsidRPr="008B02E0" w14:paraId="375A2E31" w14:textId="77777777" w:rsidTr="00D17F3A">
        <w:trPr>
          <w:trHeight w:val="20"/>
        </w:trPr>
        <w:tc>
          <w:tcPr>
            <w:tcW w:w="1177" w:type="pct"/>
            <w:hideMark/>
          </w:tcPr>
          <w:p w14:paraId="6710144A" w14:textId="77777777" w:rsidR="00EB6430" w:rsidRPr="008B02E0" w:rsidRDefault="00EB6430" w:rsidP="00AE5B32">
            <w:pPr>
              <w:pStyle w:val="TableText0"/>
              <w:keepLines/>
              <w:ind w:left="107"/>
              <w:contextualSpacing/>
            </w:pPr>
            <w:r w:rsidRPr="008B02E0">
              <w:t>Rest of the world</w:t>
            </w:r>
          </w:p>
        </w:tc>
        <w:tc>
          <w:tcPr>
            <w:tcW w:w="550" w:type="pct"/>
            <w:hideMark/>
          </w:tcPr>
          <w:p w14:paraId="6EE75B88" w14:textId="77777777" w:rsidR="00EB6430" w:rsidRPr="008B02E0" w:rsidRDefault="00EB6430" w:rsidP="00AE5B32">
            <w:pPr>
              <w:pStyle w:val="TableText0"/>
              <w:keepLines/>
              <w:contextualSpacing/>
              <w:jc w:val="center"/>
            </w:pPr>
            <w:r w:rsidRPr="008B02E0">
              <w:t>37 (12%)</w:t>
            </w:r>
          </w:p>
        </w:tc>
        <w:tc>
          <w:tcPr>
            <w:tcW w:w="630" w:type="pct"/>
            <w:hideMark/>
          </w:tcPr>
          <w:p w14:paraId="3CAF6BE3" w14:textId="77777777" w:rsidR="00EB6430" w:rsidRPr="008B02E0" w:rsidRDefault="00EB6430" w:rsidP="00AE5B32">
            <w:pPr>
              <w:pStyle w:val="TableText0"/>
              <w:keepLines/>
              <w:contextualSpacing/>
              <w:jc w:val="center"/>
            </w:pPr>
            <w:r w:rsidRPr="008B02E0">
              <w:t>95 (31%)</w:t>
            </w:r>
          </w:p>
        </w:tc>
        <w:tc>
          <w:tcPr>
            <w:tcW w:w="647" w:type="pct"/>
            <w:hideMark/>
          </w:tcPr>
          <w:p w14:paraId="30CACA7E" w14:textId="77777777" w:rsidR="00EB6430" w:rsidRPr="008B02E0" w:rsidRDefault="00EB6430" w:rsidP="00AE5B32">
            <w:pPr>
              <w:pStyle w:val="TableText0"/>
              <w:keepLines/>
              <w:contextualSpacing/>
              <w:jc w:val="center"/>
            </w:pPr>
            <w:r w:rsidRPr="008B02E0">
              <w:t>27.6 (12%)</w:t>
            </w:r>
          </w:p>
        </w:tc>
        <w:tc>
          <w:tcPr>
            <w:tcW w:w="709" w:type="pct"/>
          </w:tcPr>
          <w:p w14:paraId="6EC7143E" w14:textId="77777777" w:rsidR="00EB6430" w:rsidRPr="008B02E0" w:rsidRDefault="00EB6430" w:rsidP="00AE5B32">
            <w:pPr>
              <w:pStyle w:val="TableText0"/>
              <w:keepLines/>
              <w:contextualSpacing/>
              <w:jc w:val="center"/>
            </w:pPr>
            <w:r w:rsidRPr="008B02E0">
              <w:t>22 (14%)</w:t>
            </w:r>
          </w:p>
        </w:tc>
        <w:tc>
          <w:tcPr>
            <w:tcW w:w="644" w:type="pct"/>
          </w:tcPr>
          <w:p w14:paraId="666091DF" w14:textId="77777777" w:rsidR="00EB6430" w:rsidRPr="008B02E0" w:rsidRDefault="00EB6430" w:rsidP="00AE5B32">
            <w:pPr>
              <w:pStyle w:val="TableText0"/>
              <w:keepLines/>
              <w:contextualSpacing/>
              <w:jc w:val="center"/>
            </w:pPr>
            <w:r w:rsidRPr="008B02E0">
              <w:t>68 (34%)</w:t>
            </w:r>
          </w:p>
        </w:tc>
        <w:tc>
          <w:tcPr>
            <w:tcW w:w="643" w:type="pct"/>
          </w:tcPr>
          <w:p w14:paraId="21C901E3" w14:textId="77777777" w:rsidR="00EB6430" w:rsidRPr="008B02E0" w:rsidRDefault="00EB6430" w:rsidP="00AE5B32">
            <w:pPr>
              <w:pStyle w:val="TableText0"/>
              <w:keepLines/>
              <w:contextualSpacing/>
              <w:jc w:val="center"/>
            </w:pPr>
            <w:r w:rsidRPr="008B02E0">
              <w:t>18.4 (14%)</w:t>
            </w:r>
          </w:p>
        </w:tc>
      </w:tr>
      <w:tr w:rsidR="00EB6430" w:rsidRPr="008B02E0" w14:paraId="36BA139F" w14:textId="77777777" w:rsidTr="00D17F3A">
        <w:trPr>
          <w:trHeight w:val="20"/>
        </w:trPr>
        <w:tc>
          <w:tcPr>
            <w:tcW w:w="1177" w:type="pct"/>
            <w:vAlign w:val="top"/>
          </w:tcPr>
          <w:p w14:paraId="19AAE7A4" w14:textId="77777777" w:rsidR="00EB6430" w:rsidRPr="008B02E0" w:rsidRDefault="00EB6430" w:rsidP="00AE5B32">
            <w:pPr>
              <w:pStyle w:val="TableText0"/>
              <w:keepLines/>
              <w:contextualSpacing/>
            </w:pPr>
            <w:r w:rsidRPr="008B02E0">
              <w:t>Prior chemotherapy (adjuvant or neoadjuvant)</w:t>
            </w:r>
          </w:p>
        </w:tc>
        <w:tc>
          <w:tcPr>
            <w:tcW w:w="550" w:type="pct"/>
          </w:tcPr>
          <w:p w14:paraId="4C855040" w14:textId="724121E6" w:rsidR="00EB6430" w:rsidRPr="008B02E0" w:rsidRDefault="009E5502" w:rsidP="00AE5B32">
            <w:pPr>
              <w:pStyle w:val="TableText0"/>
              <w:keepLines/>
              <w:contextualSpacing/>
              <w:jc w:val="center"/>
            </w:pPr>
            <w:r>
              <w:noBreakHyphen/>
            </w:r>
          </w:p>
        </w:tc>
        <w:tc>
          <w:tcPr>
            <w:tcW w:w="630" w:type="pct"/>
          </w:tcPr>
          <w:p w14:paraId="316480A4" w14:textId="6C509929" w:rsidR="00EB6430" w:rsidRPr="008B02E0" w:rsidRDefault="009E5502" w:rsidP="00AE5B32">
            <w:pPr>
              <w:pStyle w:val="TableText0"/>
              <w:keepLines/>
              <w:contextualSpacing/>
              <w:jc w:val="center"/>
            </w:pPr>
            <w:r>
              <w:noBreakHyphen/>
            </w:r>
          </w:p>
        </w:tc>
        <w:tc>
          <w:tcPr>
            <w:tcW w:w="647" w:type="pct"/>
          </w:tcPr>
          <w:p w14:paraId="77A7E1CD" w14:textId="7A0856B0" w:rsidR="00EB6430" w:rsidRPr="008B02E0" w:rsidRDefault="009E5502" w:rsidP="00AE5B32">
            <w:pPr>
              <w:pStyle w:val="TableText0"/>
              <w:keepLines/>
              <w:contextualSpacing/>
              <w:jc w:val="center"/>
            </w:pPr>
            <w:r>
              <w:noBreakHyphen/>
            </w:r>
          </w:p>
        </w:tc>
        <w:tc>
          <w:tcPr>
            <w:tcW w:w="709" w:type="pct"/>
          </w:tcPr>
          <w:p w14:paraId="7E8E6796" w14:textId="77777777" w:rsidR="00EB6430" w:rsidRPr="008B02E0" w:rsidRDefault="00EB6430" w:rsidP="00AE5B32">
            <w:pPr>
              <w:pStyle w:val="TableText0"/>
              <w:keepLines/>
              <w:contextualSpacing/>
              <w:jc w:val="center"/>
            </w:pPr>
            <w:r w:rsidRPr="008B02E0">
              <w:t>38 (25%)</w:t>
            </w:r>
          </w:p>
        </w:tc>
        <w:tc>
          <w:tcPr>
            <w:tcW w:w="644" w:type="pct"/>
          </w:tcPr>
          <w:p w14:paraId="3828D7E9" w14:textId="77777777" w:rsidR="00EB6430" w:rsidRPr="008B02E0" w:rsidRDefault="00EB6430" w:rsidP="00AE5B32">
            <w:pPr>
              <w:pStyle w:val="TableText0"/>
              <w:keepLines/>
              <w:contextualSpacing/>
              <w:jc w:val="center"/>
            </w:pPr>
            <w:r w:rsidRPr="008B02E0">
              <w:t>66 (33%)</w:t>
            </w:r>
          </w:p>
        </w:tc>
        <w:tc>
          <w:tcPr>
            <w:tcW w:w="643" w:type="pct"/>
          </w:tcPr>
          <w:p w14:paraId="11EFC736" w14:textId="77777777" w:rsidR="00EB6430" w:rsidRPr="008B02E0" w:rsidRDefault="00EB6430" w:rsidP="00AE5B32">
            <w:pPr>
              <w:pStyle w:val="TableText0"/>
              <w:keepLines/>
              <w:contextualSpacing/>
              <w:jc w:val="center"/>
            </w:pPr>
            <w:r w:rsidRPr="008B02E0">
              <w:t>31.7 (25%)</w:t>
            </w:r>
          </w:p>
        </w:tc>
      </w:tr>
      <w:tr w:rsidR="00EB6430" w:rsidRPr="008B02E0" w14:paraId="6D13F753" w14:textId="77777777" w:rsidTr="00D17F3A">
        <w:trPr>
          <w:trHeight w:val="20"/>
        </w:trPr>
        <w:tc>
          <w:tcPr>
            <w:tcW w:w="5000" w:type="pct"/>
            <w:gridSpan w:val="7"/>
          </w:tcPr>
          <w:p w14:paraId="1B8F8CA9" w14:textId="77777777" w:rsidR="00EB6430" w:rsidRPr="008B02E0" w:rsidRDefault="00EB6430" w:rsidP="00AE5B32">
            <w:pPr>
              <w:pStyle w:val="TableText0"/>
              <w:keepLines/>
              <w:contextualSpacing/>
            </w:pPr>
            <w:r w:rsidRPr="008B02E0">
              <w:t xml:space="preserve">Synchronous/metachronous metastases </w:t>
            </w:r>
          </w:p>
        </w:tc>
      </w:tr>
      <w:tr w:rsidR="00EB6430" w:rsidRPr="008B02E0" w14:paraId="28F1B9D6" w14:textId="77777777" w:rsidTr="00D17F3A">
        <w:trPr>
          <w:trHeight w:val="20"/>
        </w:trPr>
        <w:tc>
          <w:tcPr>
            <w:tcW w:w="1177" w:type="pct"/>
            <w:vAlign w:val="top"/>
          </w:tcPr>
          <w:p w14:paraId="32041361" w14:textId="77777777" w:rsidR="00EB6430" w:rsidRPr="008B02E0" w:rsidRDefault="00EB6430" w:rsidP="00AE5B32">
            <w:pPr>
              <w:pStyle w:val="TableText0"/>
              <w:keepLines/>
              <w:ind w:left="107"/>
              <w:contextualSpacing/>
            </w:pPr>
            <w:r w:rsidRPr="008B02E0">
              <w:t>Recurrent metachronous</w:t>
            </w:r>
          </w:p>
        </w:tc>
        <w:tc>
          <w:tcPr>
            <w:tcW w:w="550" w:type="pct"/>
          </w:tcPr>
          <w:p w14:paraId="61683D30" w14:textId="71732ACA" w:rsidR="00EB6430" w:rsidRPr="008B02E0" w:rsidRDefault="009E5502" w:rsidP="00AE5B32">
            <w:pPr>
              <w:pStyle w:val="TableText0"/>
              <w:keepLines/>
              <w:contextualSpacing/>
              <w:jc w:val="center"/>
            </w:pPr>
            <w:r>
              <w:noBreakHyphen/>
            </w:r>
          </w:p>
        </w:tc>
        <w:tc>
          <w:tcPr>
            <w:tcW w:w="630" w:type="pct"/>
          </w:tcPr>
          <w:p w14:paraId="7700492E" w14:textId="54370672" w:rsidR="00EB6430" w:rsidRPr="008B02E0" w:rsidRDefault="009E5502" w:rsidP="00AE5B32">
            <w:pPr>
              <w:pStyle w:val="TableText0"/>
              <w:keepLines/>
              <w:contextualSpacing/>
              <w:jc w:val="center"/>
            </w:pPr>
            <w:r>
              <w:noBreakHyphen/>
            </w:r>
          </w:p>
        </w:tc>
        <w:tc>
          <w:tcPr>
            <w:tcW w:w="647" w:type="pct"/>
          </w:tcPr>
          <w:p w14:paraId="61045562" w14:textId="1E9C3D97" w:rsidR="00EB6430" w:rsidRPr="008B02E0" w:rsidRDefault="009E5502" w:rsidP="00AE5B32">
            <w:pPr>
              <w:pStyle w:val="TableText0"/>
              <w:keepLines/>
              <w:contextualSpacing/>
              <w:jc w:val="center"/>
            </w:pPr>
            <w:r>
              <w:noBreakHyphen/>
            </w:r>
          </w:p>
        </w:tc>
        <w:tc>
          <w:tcPr>
            <w:tcW w:w="709" w:type="pct"/>
          </w:tcPr>
          <w:p w14:paraId="7E4C6B30" w14:textId="77777777" w:rsidR="00EB6430" w:rsidRPr="008B02E0" w:rsidRDefault="00EB6430" w:rsidP="00AE5B32">
            <w:pPr>
              <w:pStyle w:val="TableText0"/>
              <w:keepLines/>
              <w:contextualSpacing/>
              <w:jc w:val="center"/>
            </w:pPr>
            <w:r w:rsidRPr="008B02E0">
              <w:t>80 (52%)</w:t>
            </w:r>
          </w:p>
        </w:tc>
        <w:tc>
          <w:tcPr>
            <w:tcW w:w="644" w:type="pct"/>
          </w:tcPr>
          <w:p w14:paraId="54B9016E" w14:textId="77777777" w:rsidR="00EB6430" w:rsidRPr="008B02E0" w:rsidRDefault="00EB6430" w:rsidP="00AE5B32">
            <w:pPr>
              <w:pStyle w:val="TableText0"/>
              <w:keepLines/>
              <w:contextualSpacing/>
              <w:jc w:val="center"/>
            </w:pPr>
            <w:r w:rsidRPr="008B02E0">
              <w:t>116 (58%)</w:t>
            </w:r>
          </w:p>
        </w:tc>
        <w:tc>
          <w:tcPr>
            <w:tcW w:w="643" w:type="pct"/>
          </w:tcPr>
          <w:p w14:paraId="5878AF80" w14:textId="77777777" w:rsidR="00EB6430" w:rsidRPr="008B02E0" w:rsidRDefault="00EB6430" w:rsidP="00AE5B32">
            <w:pPr>
              <w:pStyle w:val="TableText0"/>
              <w:keepLines/>
              <w:contextualSpacing/>
              <w:jc w:val="center"/>
            </w:pPr>
            <w:r w:rsidRPr="008B02E0">
              <w:t>66.8 (52%)</w:t>
            </w:r>
          </w:p>
        </w:tc>
      </w:tr>
      <w:tr w:rsidR="00EB6430" w:rsidRPr="008B02E0" w14:paraId="4EFF35DB" w14:textId="77777777" w:rsidTr="00D17F3A">
        <w:trPr>
          <w:trHeight w:val="20"/>
        </w:trPr>
        <w:tc>
          <w:tcPr>
            <w:tcW w:w="1177" w:type="pct"/>
            <w:vAlign w:val="top"/>
          </w:tcPr>
          <w:p w14:paraId="5C7315A4" w14:textId="77777777" w:rsidR="00EB6430" w:rsidRPr="008B02E0" w:rsidRDefault="00EB6430" w:rsidP="00AE5B32">
            <w:pPr>
              <w:pStyle w:val="TableText0"/>
              <w:keepLines/>
              <w:ind w:left="107"/>
              <w:contextualSpacing/>
            </w:pPr>
            <w:r w:rsidRPr="008B02E0">
              <w:t>Newly diagnosed with metastatic disease</w:t>
            </w:r>
          </w:p>
        </w:tc>
        <w:tc>
          <w:tcPr>
            <w:tcW w:w="550" w:type="pct"/>
          </w:tcPr>
          <w:p w14:paraId="461218AF" w14:textId="1C5DBD8F" w:rsidR="00EB6430" w:rsidRPr="008B02E0" w:rsidRDefault="009E5502" w:rsidP="00AE5B32">
            <w:pPr>
              <w:pStyle w:val="TableText0"/>
              <w:keepLines/>
              <w:contextualSpacing/>
              <w:jc w:val="center"/>
            </w:pPr>
            <w:r>
              <w:noBreakHyphen/>
            </w:r>
          </w:p>
        </w:tc>
        <w:tc>
          <w:tcPr>
            <w:tcW w:w="630" w:type="pct"/>
          </w:tcPr>
          <w:p w14:paraId="3F49BED3" w14:textId="06D5EEE4" w:rsidR="00EB6430" w:rsidRPr="008B02E0" w:rsidRDefault="009E5502" w:rsidP="00AE5B32">
            <w:pPr>
              <w:pStyle w:val="TableText0"/>
              <w:keepLines/>
              <w:contextualSpacing/>
              <w:jc w:val="center"/>
            </w:pPr>
            <w:r>
              <w:noBreakHyphen/>
            </w:r>
          </w:p>
        </w:tc>
        <w:tc>
          <w:tcPr>
            <w:tcW w:w="647" w:type="pct"/>
          </w:tcPr>
          <w:p w14:paraId="0B2A88E9" w14:textId="512E4118" w:rsidR="00EB6430" w:rsidRPr="008B02E0" w:rsidRDefault="009E5502" w:rsidP="00AE5B32">
            <w:pPr>
              <w:pStyle w:val="TableText0"/>
              <w:keepLines/>
              <w:contextualSpacing/>
              <w:jc w:val="center"/>
            </w:pPr>
            <w:r>
              <w:noBreakHyphen/>
            </w:r>
          </w:p>
        </w:tc>
        <w:tc>
          <w:tcPr>
            <w:tcW w:w="709" w:type="pct"/>
          </w:tcPr>
          <w:p w14:paraId="79D30777" w14:textId="77777777" w:rsidR="00EB6430" w:rsidRPr="008B02E0" w:rsidRDefault="00EB6430" w:rsidP="00AE5B32">
            <w:pPr>
              <w:pStyle w:val="TableText0"/>
              <w:keepLines/>
              <w:contextualSpacing/>
              <w:jc w:val="center"/>
            </w:pPr>
            <w:r w:rsidRPr="008B02E0">
              <w:t>73 (48%)</w:t>
            </w:r>
          </w:p>
        </w:tc>
        <w:tc>
          <w:tcPr>
            <w:tcW w:w="644" w:type="pct"/>
          </w:tcPr>
          <w:p w14:paraId="2FD2629B" w14:textId="77777777" w:rsidR="00EB6430" w:rsidRPr="008B02E0" w:rsidRDefault="00EB6430" w:rsidP="00AE5B32">
            <w:pPr>
              <w:pStyle w:val="TableText0"/>
              <w:keepLines/>
              <w:contextualSpacing/>
              <w:jc w:val="center"/>
            </w:pPr>
            <w:r w:rsidRPr="008B02E0">
              <w:t>85 (42%)</w:t>
            </w:r>
          </w:p>
        </w:tc>
        <w:tc>
          <w:tcPr>
            <w:tcW w:w="643" w:type="pct"/>
          </w:tcPr>
          <w:p w14:paraId="351DB03F" w14:textId="77777777" w:rsidR="00EB6430" w:rsidRPr="008B02E0" w:rsidRDefault="00EB6430" w:rsidP="00AE5B32">
            <w:pPr>
              <w:pStyle w:val="TableText0"/>
              <w:keepLines/>
              <w:contextualSpacing/>
              <w:jc w:val="center"/>
            </w:pPr>
            <w:r w:rsidRPr="008B02E0">
              <w:t>60.9 (48%)</w:t>
            </w:r>
          </w:p>
        </w:tc>
      </w:tr>
      <w:tr w:rsidR="00EB6430" w:rsidRPr="008B02E0" w14:paraId="372F4A8B" w14:textId="77777777" w:rsidTr="00D17F3A">
        <w:trPr>
          <w:trHeight w:val="20"/>
        </w:trPr>
        <w:tc>
          <w:tcPr>
            <w:tcW w:w="1177" w:type="pct"/>
            <w:vAlign w:val="top"/>
          </w:tcPr>
          <w:p w14:paraId="2FC1EBA6" w14:textId="77777777" w:rsidR="00EB6430" w:rsidRPr="008B02E0" w:rsidRDefault="00EB6430" w:rsidP="00AE5B32">
            <w:pPr>
              <w:pStyle w:val="TableText0"/>
              <w:keepLines/>
              <w:ind w:left="107"/>
              <w:contextualSpacing/>
            </w:pPr>
            <w:r w:rsidRPr="008B02E0">
              <w:t>Not reported/missing</w:t>
            </w:r>
          </w:p>
        </w:tc>
        <w:tc>
          <w:tcPr>
            <w:tcW w:w="550" w:type="pct"/>
          </w:tcPr>
          <w:p w14:paraId="3D7A1805" w14:textId="42CBB8D4" w:rsidR="00EB6430" w:rsidRPr="008B02E0" w:rsidRDefault="009E5502" w:rsidP="00AE5B32">
            <w:pPr>
              <w:pStyle w:val="TableText0"/>
              <w:keepLines/>
              <w:contextualSpacing/>
              <w:jc w:val="center"/>
            </w:pPr>
            <w:r>
              <w:noBreakHyphen/>
            </w:r>
          </w:p>
        </w:tc>
        <w:tc>
          <w:tcPr>
            <w:tcW w:w="630" w:type="pct"/>
          </w:tcPr>
          <w:p w14:paraId="0FF8540E" w14:textId="3B7CF767" w:rsidR="00EB6430" w:rsidRPr="008B02E0" w:rsidRDefault="009E5502" w:rsidP="00AE5B32">
            <w:pPr>
              <w:pStyle w:val="TableText0"/>
              <w:keepLines/>
              <w:contextualSpacing/>
              <w:jc w:val="center"/>
            </w:pPr>
            <w:r>
              <w:noBreakHyphen/>
            </w:r>
          </w:p>
        </w:tc>
        <w:tc>
          <w:tcPr>
            <w:tcW w:w="647" w:type="pct"/>
          </w:tcPr>
          <w:p w14:paraId="44BD6791" w14:textId="66A97549" w:rsidR="00EB6430" w:rsidRPr="008B02E0" w:rsidRDefault="009E5502" w:rsidP="00AE5B32">
            <w:pPr>
              <w:pStyle w:val="TableText0"/>
              <w:keepLines/>
              <w:contextualSpacing/>
              <w:jc w:val="center"/>
            </w:pPr>
            <w:r>
              <w:noBreakHyphen/>
            </w:r>
          </w:p>
        </w:tc>
        <w:tc>
          <w:tcPr>
            <w:tcW w:w="709" w:type="pct"/>
          </w:tcPr>
          <w:p w14:paraId="313AEE48" w14:textId="77777777" w:rsidR="00EB6430" w:rsidRPr="008B02E0" w:rsidRDefault="00EB6430" w:rsidP="00AE5B32">
            <w:pPr>
              <w:pStyle w:val="TableText0"/>
              <w:keepLines/>
              <w:contextualSpacing/>
              <w:jc w:val="center"/>
            </w:pPr>
            <w:r w:rsidRPr="008B02E0">
              <w:t>0 (0%)</w:t>
            </w:r>
          </w:p>
        </w:tc>
        <w:tc>
          <w:tcPr>
            <w:tcW w:w="644" w:type="pct"/>
          </w:tcPr>
          <w:p w14:paraId="3CD41A5F" w14:textId="77777777" w:rsidR="00EB6430" w:rsidRPr="008B02E0" w:rsidRDefault="00EB6430" w:rsidP="00AE5B32">
            <w:pPr>
              <w:pStyle w:val="TableText0"/>
              <w:keepLines/>
              <w:contextualSpacing/>
              <w:jc w:val="center"/>
            </w:pPr>
            <w:r w:rsidRPr="008B02E0">
              <w:t>1 (0%)</w:t>
            </w:r>
          </w:p>
        </w:tc>
        <w:tc>
          <w:tcPr>
            <w:tcW w:w="643" w:type="pct"/>
          </w:tcPr>
          <w:p w14:paraId="30047CAA" w14:textId="77777777" w:rsidR="00EB6430" w:rsidRPr="008B02E0" w:rsidRDefault="00EB6430" w:rsidP="00AE5B32">
            <w:pPr>
              <w:pStyle w:val="TableText0"/>
              <w:keepLines/>
              <w:contextualSpacing/>
              <w:jc w:val="center"/>
            </w:pPr>
            <w:r w:rsidRPr="008B02E0">
              <w:t>0 (0%)</w:t>
            </w:r>
          </w:p>
        </w:tc>
      </w:tr>
    </w:tbl>
    <w:p w14:paraId="2C4B8699" w14:textId="77777777" w:rsidR="00EB6430" w:rsidRPr="008B02E0" w:rsidRDefault="00EB6430" w:rsidP="00AE5B32">
      <w:pPr>
        <w:pStyle w:val="TableFigureFooter"/>
        <w:keepNext/>
        <w:keepLines/>
      </w:pPr>
      <w:r w:rsidRPr="008B02E0">
        <w:t xml:space="preserve">Source: Tables 4 and 11 of Attachment 9 of the submission </w:t>
      </w:r>
    </w:p>
    <w:p w14:paraId="687755B9" w14:textId="21719CFF" w:rsidR="00EB6430" w:rsidRPr="008B02E0" w:rsidRDefault="00CD5008" w:rsidP="00AE5B32">
      <w:pPr>
        <w:pStyle w:val="TableFigureFooter"/>
        <w:keepNext/>
        <w:keepLines/>
      </w:pPr>
      <w:r w:rsidRPr="008B02E0">
        <w:t xml:space="preserve">ESS=effective sample size, </w:t>
      </w:r>
      <w:r w:rsidR="00EB6430" w:rsidRPr="008B02E0">
        <w:t>NIVO=nivolumab, IPI=ipilimumab, MAIC=matching adjusted indirect comparison, ECOG=Easter</w:t>
      </w:r>
      <w:r w:rsidR="008F7CBB" w:rsidRPr="008B02E0">
        <w:t>n</w:t>
      </w:r>
      <w:r w:rsidR="00EB6430" w:rsidRPr="008B02E0">
        <w:t xml:space="preserve"> Cooperative Oncology Group</w:t>
      </w:r>
      <w:r w:rsidR="00EB6430" w:rsidRPr="008B02E0">
        <w:rPr>
          <w:rFonts w:eastAsia="Calibri"/>
        </w:rPr>
        <w:t>; N = total participants in group</w:t>
      </w:r>
    </w:p>
    <w:p w14:paraId="4520989C" w14:textId="0024D89B" w:rsidR="00EB6430" w:rsidRPr="008B02E0" w:rsidRDefault="00EB6430" w:rsidP="00AE5B32">
      <w:pPr>
        <w:pStyle w:val="TableFigureFooter"/>
        <w:keepNext/>
        <w:keepLines/>
      </w:pPr>
      <w:r w:rsidRPr="008B02E0">
        <w:rPr>
          <w:vertAlign w:val="superscript"/>
        </w:rPr>
        <w:t>a</w:t>
      </w:r>
      <w:r w:rsidRPr="008B02E0">
        <w:tab/>
        <w:t>3 patients in KN</w:t>
      </w:r>
      <w:r w:rsidR="009E5502">
        <w:noBreakHyphen/>
      </w:r>
      <w:r w:rsidRPr="008B02E0">
        <w:t>177 and 9 in CM</w:t>
      </w:r>
      <w:r w:rsidR="009E5502">
        <w:noBreakHyphen/>
      </w:r>
      <w:r w:rsidRPr="008B02E0">
        <w:t xml:space="preserve">8HW had KRAS/NRAS AND </w:t>
      </w:r>
      <w:r w:rsidRPr="008B02E0">
        <w:rPr>
          <w:iCs/>
        </w:rPr>
        <w:t xml:space="preserve">BRAF </w:t>
      </w:r>
      <w:r w:rsidRPr="008B02E0">
        <w:t>mutations</w:t>
      </w:r>
      <w:r w:rsidR="007A52FB" w:rsidRPr="008B02E0">
        <w:t>.</w:t>
      </w:r>
    </w:p>
    <w:p w14:paraId="0E8B82EC" w14:textId="44A09AA1" w:rsidR="00EB6430" w:rsidRPr="008B02E0" w:rsidRDefault="00EB6430" w:rsidP="00AE5B32">
      <w:pPr>
        <w:pStyle w:val="TableFigureFooter"/>
        <w:keepNext/>
        <w:keepLines/>
      </w:pPr>
      <w:r w:rsidRPr="008B02E0">
        <w:rPr>
          <w:vertAlign w:val="superscript"/>
        </w:rPr>
        <w:t>b</w:t>
      </w:r>
      <w:r w:rsidRPr="008B02E0">
        <w:tab/>
        <w:t>CM</w:t>
      </w:r>
      <w:r w:rsidR="009E5502">
        <w:noBreakHyphen/>
      </w:r>
      <w:r w:rsidRPr="008B02E0">
        <w:t>8HW classified reclassified patients from Czech Republic and Romania to “rest of the world”</w:t>
      </w:r>
    </w:p>
    <w:p w14:paraId="192A60F1" w14:textId="02A6C94E" w:rsidR="00EB6430" w:rsidRPr="008B02E0" w:rsidRDefault="00EB6430" w:rsidP="00AE5B32">
      <w:pPr>
        <w:pStyle w:val="3-BodyText"/>
      </w:pPr>
      <w:r w:rsidRPr="008B02E0">
        <w:t xml:space="preserve">Results for the MAICs are presented below. </w:t>
      </w:r>
      <w:r w:rsidR="00960286" w:rsidRPr="008B02E0">
        <w:t>P</w:t>
      </w:r>
      <w:r w:rsidRPr="008B02E0">
        <w:t>arametric survival functions (exponential, generalised gamma, log</w:t>
      </w:r>
      <w:r w:rsidR="009E5502">
        <w:noBreakHyphen/>
      </w:r>
      <w:r w:rsidRPr="008B02E0">
        <w:t>logistic, Weibull, Gamma, Gompertz, log</w:t>
      </w:r>
      <w:r w:rsidR="009E5502">
        <w:noBreakHyphen/>
      </w:r>
      <w:r w:rsidRPr="008B02E0">
        <w:t>normal) were fitted to the weighted KM curves. Based on visual and statistical fit (measured by Akaike Information Criterion, AIC; and Bayesian Information Criterion, BIC), generalised gamma distributions were chosen</w:t>
      </w:r>
      <w:r w:rsidR="002A04BD" w:rsidRPr="008B02E0">
        <w:t xml:space="preserve"> (</w:t>
      </w:r>
      <w:r w:rsidR="002A04BD" w:rsidRPr="008B02E0">
        <w:fldChar w:fldCharType="begin"/>
      </w:r>
      <w:r w:rsidR="002A04BD" w:rsidRPr="008B02E0">
        <w:instrText xml:space="preserve"> REF _Ref200621010 \h </w:instrText>
      </w:r>
      <w:r w:rsidR="002A04BD" w:rsidRPr="008B02E0">
        <w:fldChar w:fldCharType="separate"/>
      </w:r>
      <w:r w:rsidR="00B542C9" w:rsidRPr="008B02E0">
        <w:t xml:space="preserve">Figure </w:t>
      </w:r>
      <w:r w:rsidR="00B542C9">
        <w:rPr>
          <w:noProof/>
        </w:rPr>
        <w:t>5</w:t>
      </w:r>
      <w:r w:rsidR="002A04BD" w:rsidRPr="008B02E0">
        <w:fldChar w:fldCharType="end"/>
      </w:r>
      <w:r w:rsidR="002A04BD" w:rsidRPr="008B02E0">
        <w:t>).</w:t>
      </w:r>
      <w:r w:rsidRPr="008B02E0">
        <w:t xml:space="preserve"> </w:t>
      </w:r>
      <w:r w:rsidR="00153DBB" w:rsidRPr="008B02E0">
        <w:t xml:space="preserve">These functions were then </w:t>
      </w:r>
      <w:r w:rsidRPr="008B02E0">
        <w:t>used to estimate time</w:t>
      </w:r>
      <w:r w:rsidR="009E5502">
        <w:noBreakHyphen/>
      </w:r>
      <w:r w:rsidRPr="008B02E0">
        <w:t>varying HRs for nivolumab plus ipilimumab versus pembrolizumab</w:t>
      </w:r>
      <w:r w:rsidR="00863EA6" w:rsidRPr="008B02E0">
        <w:t xml:space="preserve"> (</w:t>
      </w:r>
      <w:r w:rsidR="00863EA6" w:rsidRPr="008B02E0">
        <w:fldChar w:fldCharType="begin"/>
      </w:r>
      <w:r w:rsidR="00863EA6" w:rsidRPr="008B02E0">
        <w:instrText xml:space="preserve"> REF _Ref197719518 \h  \* MERGEFORMAT </w:instrText>
      </w:r>
      <w:r w:rsidR="00863EA6" w:rsidRPr="008B02E0">
        <w:fldChar w:fldCharType="separate"/>
      </w:r>
      <w:r w:rsidR="00B542C9" w:rsidRPr="00B542C9">
        <w:t>Table 6</w:t>
      </w:r>
      <w:r w:rsidR="00863EA6" w:rsidRPr="008B02E0">
        <w:fldChar w:fldCharType="end"/>
      </w:r>
      <w:r w:rsidR="00863EA6" w:rsidRPr="008B02E0">
        <w:t>)</w:t>
      </w:r>
      <w:r w:rsidRPr="008B02E0">
        <w:t xml:space="preserve">. </w:t>
      </w:r>
      <w:bookmarkStart w:id="52" w:name="_Hlk197695950"/>
      <w:r w:rsidRPr="008B02E0">
        <w:t>A similar approach was applied in the economic analysis using time to progression data from CM</w:t>
      </w:r>
      <w:r w:rsidR="009E5502">
        <w:rPr>
          <w:iCs/>
        </w:rPr>
        <w:noBreakHyphen/>
      </w:r>
      <w:r w:rsidRPr="008B02E0">
        <w:rPr>
          <w:iCs/>
        </w:rPr>
        <w:t>8HW 1L</w:t>
      </w:r>
      <w:bookmarkEnd w:id="52"/>
      <w:r w:rsidRPr="008B02E0">
        <w:rPr>
          <w:iCs/>
        </w:rPr>
        <w:t>.</w:t>
      </w:r>
    </w:p>
    <w:p w14:paraId="09D5C2CA" w14:textId="356868BB" w:rsidR="00EB6430" w:rsidRPr="008B02E0" w:rsidRDefault="00EB6430" w:rsidP="00AE5B32">
      <w:pPr>
        <w:pStyle w:val="TableFigureHeading"/>
      </w:pPr>
      <w:bookmarkStart w:id="53" w:name="_Ref200621010"/>
      <w:r w:rsidRPr="008B02E0">
        <w:lastRenderedPageBreak/>
        <w:t xml:space="preserve">Figure </w:t>
      </w:r>
      <w:r w:rsidR="008258C7">
        <w:fldChar w:fldCharType="begin"/>
      </w:r>
      <w:r w:rsidR="008258C7">
        <w:instrText xml:space="preserve"> SEQ Figure \* ARABIC </w:instrText>
      </w:r>
      <w:r w:rsidR="008258C7">
        <w:fldChar w:fldCharType="separate"/>
      </w:r>
      <w:r w:rsidR="00B542C9">
        <w:rPr>
          <w:noProof/>
        </w:rPr>
        <w:t>5</w:t>
      </w:r>
      <w:r w:rsidR="008258C7">
        <w:rPr>
          <w:noProof/>
        </w:rPr>
        <w:fldChar w:fldCharType="end"/>
      </w:r>
      <w:bookmarkEnd w:id="53"/>
      <w:r w:rsidRPr="008B02E0">
        <w:t>: MAIC inputs and results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6"/>
      </w:tblGrid>
      <w:tr w:rsidR="00EB6430" w:rsidRPr="008B02E0" w14:paraId="441268CB" w14:textId="77777777" w:rsidTr="00D17F3A">
        <w:trPr>
          <w:tblHeader/>
        </w:trPr>
        <w:tc>
          <w:tcPr>
            <w:tcW w:w="4508" w:type="dxa"/>
            <w:vAlign w:val="center"/>
          </w:tcPr>
          <w:p w14:paraId="689E6C90" w14:textId="77777777" w:rsidR="00EB6430" w:rsidRPr="008B02E0" w:rsidRDefault="00EB6430" w:rsidP="00AE5B32">
            <w:pPr>
              <w:pStyle w:val="In-tableHeading"/>
              <w:keepNext w:val="0"/>
              <w:jc w:val="center"/>
              <w:rPr>
                <w:lang w:val="en-AU"/>
              </w:rPr>
            </w:pPr>
            <w:r w:rsidRPr="008B02E0">
              <w:rPr>
                <w:lang w:val="en-AU"/>
              </w:rPr>
              <w:t>Anchored MAIC</w:t>
            </w:r>
          </w:p>
        </w:tc>
        <w:tc>
          <w:tcPr>
            <w:tcW w:w="4509" w:type="dxa"/>
            <w:vAlign w:val="center"/>
          </w:tcPr>
          <w:p w14:paraId="20B7BE76" w14:textId="77777777" w:rsidR="00EB6430" w:rsidRPr="008B02E0" w:rsidRDefault="00EB6430" w:rsidP="00AE5B32">
            <w:pPr>
              <w:pStyle w:val="In-tableHeading"/>
              <w:keepNext w:val="0"/>
              <w:jc w:val="center"/>
              <w:rPr>
                <w:lang w:val="en-AU"/>
              </w:rPr>
            </w:pPr>
            <w:r w:rsidRPr="008B02E0">
              <w:rPr>
                <w:lang w:val="en-AU"/>
              </w:rPr>
              <w:t>Unanchored MAIC</w:t>
            </w:r>
          </w:p>
        </w:tc>
      </w:tr>
      <w:tr w:rsidR="00EB6430" w:rsidRPr="008B02E0" w14:paraId="405FE689" w14:textId="77777777" w:rsidTr="00D17F3A">
        <w:trPr>
          <w:tblHeader/>
        </w:trPr>
        <w:tc>
          <w:tcPr>
            <w:tcW w:w="4508" w:type="dxa"/>
            <w:vAlign w:val="center"/>
          </w:tcPr>
          <w:p w14:paraId="114B08DE" w14:textId="48D9D6F4" w:rsidR="00EB6430" w:rsidRPr="008B02E0" w:rsidRDefault="00EB6430" w:rsidP="00AE5B32">
            <w:pPr>
              <w:pStyle w:val="In-tableHeading"/>
              <w:keepNext w:val="0"/>
              <w:jc w:val="center"/>
              <w:rPr>
                <w:lang w:val="en-AU"/>
              </w:rPr>
            </w:pPr>
            <w:r w:rsidRPr="008B02E0">
              <w:rPr>
                <w:lang w:val="en-AU"/>
              </w:rPr>
              <w:t>Comparison of CM</w:t>
            </w:r>
            <w:r w:rsidR="009E5502">
              <w:rPr>
                <w:lang w:val="en-AU"/>
              </w:rPr>
              <w:noBreakHyphen/>
            </w:r>
            <w:r w:rsidRPr="008B02E0">
              <w:rPr>
                <w:lang w:val="en-AU"/>
              </w:rPr>
              <w:t>8HW KM curves</w:t>
            </w:r>
            <w:r w:rsidR="001564C8" w:rsidRPr="008B02E0">
              <w:rPr>
                <w:lang w:val="en-AU"/>
              </w:rPr>
              <w:t xml:space="preserve"> before and after matching</w:t>
            </w:r>
          </w:p>
        </w:tc>
        <w:tc>
          <w:tcPr>
            <w:tcW w:w="4509" w:type="dxa"/>
            <w:vAlign w:val="center"/>
          </w:tcPr>
          <w:p w14:paraId="069FED51" w14:textId="02B03E88" w:rsidR="00EB6430" w:rsidRPr="008B02E0" w:rsidRDefault="00EB6430" w:rsidP="00AE5B32">
            <w:pPr>
              <w:pStyle w:val="In-tableHeading"/>
              <w:keepNext w:val="0"/>
              <w:jc w:val="center"/>
              <w:rPr>
                <w:lang w:val="en-AU"/>
              </w:rPr>
            </w:pPr>
            <w:r w:rsidRPr="008B02E0">
              <w:rPr>
                <w:lang w:val="en-AU"/>
              </w:rPr>
              <w:t>Comparison of CM</w:t>
            </w:r>
            <w:r w:rsidR="009E5502">
              <w:rPr>
                <w:lang w:val="en-AU"/>
              </w:rPr>
              <w:noBreakHyphen/>
            </w:r>
            <w:r w:rsidRPr="008B02E0">
              <w:rPr>
                <w:lang w:val="en-AU"/>
              </w:rPr>
              <w:t>8HW KM curves</w:t>
            </w:r>
            <w:r w:rsidR="001564C8" w:rsidRPr="008B02E0">
              <w:rPr>
                <w:lang w:val="en-AU"/>
              </w:rPr>
              <w:t xml:space="preserve"> before and after matching</w:t>
            </w:r>
          </w:p>
        </w:tc>
      </w:tr>
      <w:tr w:rsidR="00EB6430" w:rsidRPr="008B02E0" w14:paraId="7E9B39C3" w14:textId="77777777" w:rsidTr="00D17F3A">
        <w:trPr>
          <w:tblHeader/>
        </w:trPr>
        <w:tc>
          <w:tcPr>
            <w:tcW w:w="4508" w:type="dxa"/>
            <w:vAlign w:val="center"/>
          </w:tcPr>
          <w:p w14:paraId="3A1BF2C2" w14:textId="77777777" w:rsidR="00EB6430" w:rsidRPr="008B02E0" w:rsidRDefault="00EB6430" w:rsidP="00AE5B32">
            <w:pPr>
              <w:pStyle w:val="In-tableHeading"/>
              <w:keepNext w:val="0"/>
              <w:jc w:val="center"/>
              <w:rPr>
                <w:lang w:val="en-AU"/>
              </w:rPr>
            </w:pPr>
            <w:r w:rsidRPr="008B02E0">
              <w:rPr>
                <w:b w:val="0"/>
                <w:bCs/>
                <w:noProof/>
                <w:lang w:val="en-AU"/>
              </w:rPr>
              <w:drawing>
                <wp:inline distT="0" distB="0" distL="0" distR="0" wp14:anchorId="4475D333" wp14:editId="52DE5D94">
                  <wp:extent cx="2790000" cy="1672453"/>
                  <wp:effectExtent l="0" t="0" r="0" b="4445"/>
                  <wp:docPr id="50" name="Picture 4" descr="Figure 5: MAIC inputs and results - Anchored M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 descr="Figure 5: MAIC inputs and results - Anchored MA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0000" cy="1672453"/>
                          </a:xfrm>
                          <a:prstGeom prst="rect">
                            <a:avLst/>
                          </a:prstGeom>
                          <a:noFill/>
                          <a:ln>
                            <a:noFill/>
                          </a:ln>
                        </pic:spPr>
                      </pic:pic>
                    </a:graphicData>
                  </a:graphic>
                </wp:inline>
              </w:drawing>
            </w:r>
          </w:p>
        </w:tc>
        <w:tc>
          <w:tcPr>
            <w:tcW w:w="4509" w:type="dxa"/>
            <w:vAlign w:val="center"/>
          </w:tcPr>
          <w:p w14:paraId="5D3CBFE9" w14:textId="77777777" w:rsidR="00EB6430" w:rsidRPr="008B02E0" w:rsidRDefault="00EB6430" w:rsidP="00AE5B32">
            <w:pPr>
              <w:pStyle w:val="In-tableHeading"/>
              <w:keepNext w:val="0"/>
              <w:jc w:val="center"/>
              <w:rPr>
                <w:lang w:val="en-AU"/>
              </w:rPr>
            </w:pPr>
            <w:r w:rsidRPr="008B02E0">
              <w:rPr>
                <w:noProof/>
                <w:lang w:val="en-AU"/>
              </w:rPr>
              <w:drawing>
                <wp:inline distT="0" distB="0" distL="0" distR="0" wp14:anchorId="25C121E0" wp14:editId="5E7277B1">
                  <wp:extent cx="2790000" cy="1672700"/>
                  <wp:effectExtent l="0" t="0" r="0" b="3810"/>
                  <wp:docPr id="51" name="Picture 2" descr="Figure 5: MAIC inputs and results - Unanchored M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descr="Figure 5: MAIC inputs and results - Unanchored MAI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0000" cy="1672700"/>
                          </a:xfrm>
                          <a:prstGeom prst="rect">
                            <a:avLst/>
                          </a:prstGeom>
                          <a:noFill/>
                          <a:ln>
                            <a:noFill/>
                          </a:ln>
                        </pic:spPr>
                      </pic:pic>
                    </a:graphicData>
                  </a:graphic>
                </wp:inline>
              </w:drawing>
            </w:r>
          </w:p>
        </w:tc>
      </w:tr>
      <w:tr w:rsidR="00EB6430" w:rsidRPr="008B02E0" w14:paraId="0604123E" w14:textId="77777777" w:rsidTr="00D17F3A">
        <w:tc>
          <w:tcPr>
            <w:tcW w:w="4508" w:type="dxa"/>
            <w:vAlign w:val="center"/>
          </w:tcPr>
          <w:p w14:paraId="2403F22A" w14:textId="77777777" w:rsidR="00EB6430" w:rsidRPr="008B02E0" w:rsidRDefault="00EB6430" w:rsidP="00AE5B32">
            <w:pPr>
              <w:pStyle w:val="TableText0"/>
              <w:jc w:val="center"/>
              <w:rPr>
                <w:b/>
                <w:bCs w:val="0"/>
                <w:noProof/>
              </w:rPr>
            </w:pPr>
            <w:r w:rsidRPr="008B02E0">
              <w:rPr>
                <w:b/>
                <w:bCs w:val="0"/>
                <w:noProof/>
              </w:rPr>
              <w:t>KM and chosen parametric fit (generalised gamma)</w:t>
            </w:r>
          </w:p>
        </w:tc>
        <w:tc>
          <w:tcPr>
            <w:tcW w:w="4509" w:type="dxa"/>
            <w:vAlign w:val="center"/>
          </w:tcPr>
          <w:p w14:paraId="466E06B4" w14:textId="77777777" w:rsidR="00EB6430" w:rsidRPr="008B02E0" w:rsidRDefault="00EB6430" w:rsidP="00AE5B32">
            <w:pPr>
              <w:pStyle w:val="TableText0"/>
              <w:jc w:val="center"/>
              <w:rPr>
                <w:b/>
                <w:bCs w:val="0"/>
                <w:noProof/>
              </w:rPr>
            </w:pPr>
            <w:r w:rsidRPr="008B02E0">
              <w:rPr>
                <w:b/>
                <w:bCs w:val="0"/>
                <w:noProof/>
              </w:rPr>
              <w:t>KM and chosen parametric fit (generalised gamma)</w:t>
            </w:r>
          </w:p>
        </w:tc>
      </w:tr>
      <w:tr w:rsidR="00EB6430" w:rsidRPr="008B02E0" w14:paraId="498377C8" w14:textId="77777777" w:rsidTr="00D17F3A">
        <w:tc>
          <w:tcPr>
            <w:tcW w:w="4508" w:type="dxa"/>
            <w:vAlign w:val="center"/>
          </w:tcPr>
          <w:p w14:paraId="653C88BF" w14:textId="77777777" w:rsidR="00EB6430" w:rsidRPr="008B02E0" w:rsidRDefault="00EB6430" w:rsidP="00AE5B32">
            <w:pPr>
              <w:pStyle w:val="TableText0"/>
              <w:keepNext w:val="0"/>
              <w:jc w:val="center"/>
              <w:rPr>
                <w:b/>
                <w:bCs w:val="0"/>
                <w:noProof/>
              </w:rPr>
            </w:pPr>
            <w:r w:rsidRPr="008B02E0">
              <w:rPr>
                <w:b/>
                <w:bCs w:val="0"/>
                <w:noProof/>
              </w:rPr>
              <w:drawing>
                <wp:inline distT="0" distB="0" distL="0" distR="0" wp14:anchorId="34FF783E" wp14:editId="2C97AE8E">
                  <wp:extent cx="2790000" cy="1675486"/>
                  <wp:effectExtent l="0" t="0" r="0" b="1270"/>
                  <wp:docPr id="52" name="Picture 3" descr="Figure 5: MAIC inputs and results - KM and chosen parametric fit (generalised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 descr="Figure 5: MAIC inputs and results - KM and chosen parametric fit (generalised gamm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0000" cy="1675486"/>
                          </a:xfrm>
                          <a:prstGeom prst="rect">
                            <a:avLst/>
                          </a:prstGeom>
                          <a:noFill/>
                          <a:ln>
                            <a:noFill/>
                          </a:ln>
                        </pic:spPr>
                      </pic:pic>
                    </a:graphicData>
                  </a:graphic>
                </wp:inline>
              </w:drawing>
            </w:r>
          </w:p>
        </w:tc>
        <w:tc>
          <w:tcPr>
            <w:tcW w:w="4509" w:type="dxa"/>
            <w:vAlign w:val="center"/>
          </w:tcPr>
          <w:p w14:paraId="5E56F861" w14:textId="77777777" w:rsidR="00EB6430" w:rsidRPr="008B02E0" w:rsidRDefault="00EB6430" w:rsidP="00AE5B32">
            <w:pPr>
              <w:pStyle w:val="TableText0"/>
              <w:keepNext w:val="0"/>
              <w:jc w:val="center"/>
              <w:rPr>
                <w:b/>
                <w:bCs w:val="0"/>
                <w:noProof/>
              </w:rPr>
            </w:pPr>
            <w:r w:rsidRPr="008B02E0">
              <w:rPr>
                <w:b/>
                <w:bCs w:val="0"/>
                <w:noProof/>
              </w:rPr>
              <w:drawing>
                <wp:inline distT="0" distB="0" distL="0" distR="0" wp14:anchorId="7C070951" wp14:editId="0485012C">
                  <wp:extent cx="2790000" cy="1672700"/>
                  <wp:effectExtent l="0" t="0" r="0" b="3810"/>
                  <wp:docPr id="53" name="Picture 3" descr="Figure 5: MAIC inputs and results - KM and chose parametric fit (generalised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 descr="Figure 5: MAIC inputs and results - KM and chose parametric fit (generalised gamm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0000" cy="1672700"/>
                          </a:xfrm>
                          <a:prstGeom prst="rect">
                            <a:avLst/>
                          </a:prstGeom>
                          <a:noFill/>
                          <a:ln>
                            <a:noFill/>
                          </a:ln>
                        </pic:spPr>
                      </pic:pic>
                    </a:graphicData>
                  </a:graphic>
                </wp:inline>
              </w:drawing>
            </w:r>
          </w:p>
        </w:tc>
      </w:tr>
    </w:tbl>
    <w:p w14:paraId="539705A0" w14:textId="77777777" w:rsidR="00EB6430" w:rsidRPr="008B02E0" w:rsidRDefault="00EB6430" w:rsidP="00AE5B32">
      <w:pPr>
        <w:pStyle w:val="TableFigureFooter"/>
      </w:pPr>
      <w:r w:rsidRPr="008B02E0">
        <w:t>Source: Figures 3, 9, 13, 16 of Attachment 9 of the submission</w:t>
      </w:r>
    </w:p>
    <w:p w14:paraId="63BFC063" w14:textId="5A4EED6A" w:rsidR="00EB6430" w:rsidRPr="008B02E0" w:rsidRDefault="00EB6430" w:rsidP="00AE5B32">
      <w:pPr>
        <w:pStyle w:val="TableFigureFooter"/>
      </w:pPr>
      <w:r w:rsidRPr="008B02E0">
        <w:t>KM=Kaplan</w:t>
      </w:r>
      <w:r w:rsidR="009E5502">
        <w:noBreakHyphen/>
      </w:r>
      <w:r w:rsidRPr="008B02E0">
        <w:t>Meier, MAIC=matching adjusted indirect comparison, NIVO=nivolumab, IPI=ipilimumab</w:t>
      </w:r>
    </w:p>
    <w:p w14:paraId="32D76579" w14:textId="3CB4CFF0" w:rsidR="001564C8" w:rsidRPr="008B02E0" w:rsidRDefault="001564C8" w:rsidP="00AE5B32">
      <w:pPr>
        <w:pStyle w:val="TableFigureFooter"/>
      </w:pPr>
      <w:r w:rsidRPr="008B02E0">
        <w:t>The submission referred to unadjusted curves as unweighted, matched curves as weighted.</w:t>
      </w:r>
    </w:p>
    <w:p w14:paraId="4E447A12" w14:textId="12FEF581" w:rsidR="00EB6430" w:rsidRPr="008B02E0" w:rsidRDefault="00EB6430" w:rsidP="00AE5B32">
      <w:pPr>
        <w:pStyle w:val="TableFigureHeading"/>
      </w:pPr>
      <w:bookmarkStart w:id="54" w:name="_Ref197719518"/>
      <w:bookmarkStart w:id="55" w:name="_Ref198661397"/>
      <w:r w:rsidRPr="008B02E0">
        <w:rPr>
          <w:rStyle w:val="CommentReference"/>
          <w:b/>
          <w:szCs w:val="24"/>
        </w:rPr>
        <w:t xml:space="preserve">Table </w:t>
      </w:r>
      <w:r w:rsidRPr="008B02E0">
        <w:rPr>
          <w:rStyle w:val="CommentReference"/>
          <w:b/>
          <w:szCs w:val="24"/>
        </w:rPr>
        <w:fldChar w:fldCharType="begin"/>
      </w:r>
      <w:r w:rsidRPr="008B02E0">
        <w:rPr>
          <w:rStyle w:val="CommentReference"/>
          <w:b/>
          <w:szCs w:val="24"/>
        </w:rPr>
        <w:instrText xml:space="preserve"> SEQ Table \* ARABIC </w:instrText>
      </w:r>
      <w:r w:rsidRPr="008B02E0">
        <w:rPr>
          <w:rStyle w:val="CommentReference"/>
          <w:b/>
          <w:szCs w:val="24"/>
        </w:rPr>
        <w:fldChar w:fldCharType="separate"/>
      </w:r>
      <w:r w:rsidR="00B542C9">
        <w:rPr>
          <w:rStyle w:val="CommentReference"/>
          <w:b/>
          <w:noProof/>
          <w:szCs w:val="24"/>
        </w:rPr>
        <w:t>6</w:t>
      </w:r>
      <w:r w:rsidRPr="008B02E0">
        <w:rPr>
          <w:rStyle w:val="CommentReference"/>
          <w:b/>
          <w:szCs w:val="24"/>
        </w:rPr>
        <w:fldChar w:fldCharType="end"/>
      </w:r>
      <w:bookmarkEnd w:id="54"/>
      <w:r w:rsidRPr="008B02E0">
        <w:rPr>
          <w:rStyle w:val="CommentReference"/>
          <w:b/>
          <w:szCs w:val="24"/>
        </w:rPr>
        <w:t xml:space="preserve">: </w:t>
      </w:r>
      <w:r w:rsidRPr="008B02E0">
        <w:t>Time</w:t>
      </w:r>
      <w:r w:rsidR="009E5502">
        <w:noBreakHyphen/>
      </w:r>
      <w:r w:rsidRPr="008B02E0">
        <w:t>varying hazard ratios (nivolumab plus ipilimumab versus pembrolizumab)</w:t>
      </w:r>
      <w:bookmarkEnd w:id="55"/>
    </w:p>
    <w:tbl>
      <w:tblPr>
        <w:tblStyle w:val="TableGrid"/>
        <w:tblW w:w="5000" w:type="pct"/>
        <w:tblLook w:val="04A0" w:firstRow="1" w:lastRow="0" w:firstColumn="1" w:lastColumn="0" w:noHBand="0" w:noVBand="1"/>
        <w:tblCaption w:val="Table 6: Time varying hazard ratios (nivolumab plus ipilimumab versus pembrolizumab)"/>
      </w:tblPr>
      <w:tblGrid>
        <w:gridCol w:w="1413"/>
        <w:gridCol w:w="1618"/>
        <w:gridCol w:w="1995"/>
        <w:gridCol w:w="1995"/>
        <w:gridCol w:w="1996"/>
      </w:tblGrid>
      <w:tr w:rsidR="00EB6430" w:rsidRPr="008B02E0" w14:paraId="4C02B96E" w14:textId="77777777" w:rsidTr="00D17F3A">
        <w:tc>
          <w:tcPr>
            <w:tcW w:w="784" w:type="pct"/>
            <w:tcBorders>
              <w:bottom w:val="nil"/>
            </w:tcBorders>
          </w:tcPr>
          <w:p w14:paraId="340BD1CB" w14:textId="77777777" w:rsidR="00EB6430" w:rsidRPr="008B02E0" w:rsidRDefault="00EB6430" w:rsidP="00AE5B32">
            <w:pPr>
              <w:pStyle w:val="In-tableHeading"/>
              <w:rPr>
                <w:lang w:val="en-AU"/>
              </w:rPr>
            </w:pPr>
            <w:r w:rsidRPr="008B02E0">
              <w:rPr>
                <w:lang w:val="en-AU"/>
              </w:rPr>
              <w:t>Time (months)</w:t>
            </w:r>
          </w:p>
        </w:tc>
        <w:tc>
          <w:tcPr>
            <w:tcW w:w="2003" w:type="pct"/>
            <w:gridSpan w:val="2"/>
          </w:tcPr>
          <w:p w14:paraId="447C16A3" w14:textId="77777777" w:rsidR="00EB6430" w:rsidRPr="008B02E0" w:rsidRDefault="00EB6430" w:rsidP="00AE5B32">
            <w:pPr>
              <w:pStyle w:val="In-tableHeading"/>
              <w:jc w:val="center"/>
              <w:rPr>
                <w:lang w:val="en-AU"/>
              </w:rPr>
            </w:pPr>
            <w:r w:rsidRPr="008B02E0">
              <w:rPr>
                <w:lang w:val="en-AU"/>
              </w:rPr>
              <w:t>Anchored MAIC</w:t>
            </w:r>
          </w:p>
        </w:tc>
        <w:tc>
          <w:tcPr>
            <w:tcW w:w="2213" w:type="pct"/>
            <w:gridSpan w:val="2"/>
          </w:tcPr>
          <w:p w14:paraId="677D4667" w14:textId="77777777" w:rsidR="00EB6430" w:rsidRPr="008B02E0" w:rsidRDefault="00EB6430" w:rsidP="00AE5B32">
            <w:pPr>
              <w:pStyle w:val="In-tableHeading"/>
              <w:jc w:val="center"/>
              <w:rPr>
                <w:lang w:val="en-AU"/>
              </w:rPr>
            </w:pPr>
            <w:r w:rsidRPr="008B02E0">
              <w:rPr>
                <w:lang w:val="en-AU"/>
              </w:rPr>
              <w:t>Unanchored MAIC</w:t>
            </w:r>
          </w:p>
        </w:tc>
      </w:tr>
      <w:tr w:rsidR="00EB6430" w:rsidRPr="008B02E0" w14:paraId="0BA0522C" w14:textId="77777777" w:rsidTr="00D17F3A">
        <w:tc>
          <w:tcPr>
            <w:tcW w:w="784" w:type="pct"/>
            <w:tcBorders>
              <w:top w:val="nil"/>
            </w:tcBorders>
          </w:tcPr>
          <w:p w14:paraId="1F908CE6" w14:textId="77777777" w:rsidR="00EB6430" w:rsidRPr="008B02E0" w:rsidRDefault="00EB6430" w:rsidP="00AE5B32">
            <w:pPr>
              <w:pStyle w:val="TableText0"/>
            </w:pPr>
          </w:p>
        </w:tc>
        <w:tc>
          <w:tcPr>
            <w:tcW w:w="897" w:type="pct"/>
          </w:tcPr>
          <w:p w14:paraId="077A2887" w14:textId="77777777" w:rsidR="00EB6430" w:rsidRPr="008B02E0" w:rsidRDefault="00EB6430" w:rsidP="00AE5B32">
            <w:pPr>
              <w:pStyle w:val="TableText0"/>
              <w:rPr>
                <w:b/>
                <w:bCs w:val="0"/>
              </w:rPr>
            </w:pPr>
            <w:r w:rsidRPr="008B02E0">
              <w:rPr>
                <w:b/>
                <w:bCs w:val="0"/>
              </w:rPr>
              <w:t>HR</w:t>
            </w:r>
          </w:p>
        </w:tc>
        <w:tc>
          <w:tcPr>
            <w:tcW w:w="1106" w:type="pct"/>
          </w:tcPr>
          <w:p w14:paraId="747175C4" w14:textId="77777777" w:rsidR="00EB6430" w:rsidRPr="008B02E0" w:rsidRDefault="00EB6430" w:rsidP="00AE5B32">
            <w:pPr>
              <w:pStyle w:val="TableText0"/>
              <w:rPr>
                <w:b/>
                <w:bCs w:val="0"/>
              </w:rPr>
            </w:pPr>
            <w:r w:rsidRPr="008B02E0">
              <w:rPr>
                <w:b/>
                <w:bCs w:val="0"/>
              </w:rPr>
              <w:t>95% CI</w:t>
            </w:r>
          </w:p>
        </w:tc>
        <w:tc>
          <w:tcPr>
            <w:tcW w:w="1106" w:type="pct"/>
          </w:tcPr>
          <w:p w14:paraId="3FBFDF48" w14:textId="77777777" w:rsidR="00EB6430" w:rsidRPr="008B02E0" w:rsidRDefault="00EB6430" w:rsidP="00AE5B32">
            <w:pPr>
              <w:pStyle w:val="TableText0"/>
              <w:rPr>
                <w:b/>
                <w:bCs w:val="0"/>
              </w:rPr>
            </w:pPr>
            <w:r w:rsidRPr="008B02E0">
              <w:rPr>
                <w:b/>
                <w:bCs w:val="0"/>
              </w:rPr>
              <w:t>HR</w:t>
            </w:r>
          </w:p>
        </w:tc>
        <w:tc>
          <w:tcPr>
            <w:tcW w:w="1107" w:type="pct"/>
          </w:tcPr>
          <w:p w14:paraId="3EE5A965" w14:textId="77777777" w:rsidR="00EB6430" w:rsidRPr="008B02E0" w:rsidRDefault="00EB6430" w:rsidP="00AE5B32">
            <w:pPr>
              <w:pStyle w:val="TableText0"/>
              <w:rPr>
                <w:b/>
                <w:bCs w:val="0"/>
              </w:rPr>
            </w:pPr>
            <w:r w:rsidRPr="008B02E0">
              <w:rPr>
                <w:b/>
                <w:bCs w:val="0"/>
              </w:rPr>
              <w:t>95% CI</w:t>
            </w:r>
          </w:p>
        </w:tc>
      </w:tr>
      <w:tr w:rsidR="00EB6430" w:rsidRPr="008B02E0" w14:paraId="080E78A1" w14:textId="77777777" w:rsidTr="00D17F3A">
        <w:tc>
          <w:tcPr>
            <w:tcW w:w="784" w:type="pct"/>
          </w:tcPr>
          <w:p w14:paraId="207D2A98" w14:textId="77777777" w:rsidR="00EB6430" w:rsidRPr="008B02E0" w:rsidRDefault="00EB6430" w:rsidP="00AE5B32">
            <w:pPr>
              <w:pStyle w:val="TableText0"/>
            </w:pPr>
            <w:r w:rsidRPr="008B02E0">
              <w:t>1</w:t>
            </w:r>
          </w:p>
        </w:tc>
        <w:tc>
          <w:tcPr>
            <w:tcW w:w="897" w:type="pct"/>
          </w:tcPr>
          <w:p w14:paraId="7CD7BD11" w14:textId="77777777" w:rsidR="00EB6430" w:rsidRPr="008B02E0" w:rsidRDefault="00EB6430" w:rsidP="00AE5B32">
            <w:pPr>
              <w:pStyle w:val="TableText0"/>
            </w:pPr>
            <w:r w:rsidRPr="008B02E0">
              <w:t>0.39</w:t>
            </w:r>
          </w:p>
        </w:tc>
        <w:tc>
          <w:tcPr>
            <w:tcW w:w="1106" w:type="pct"/>
          </w:tcPr>
          <w:p w14:paraId="7B7D29B0" w14:textId="77777777" w:rsidR="00EB6430" w:rsidRPr="008B02E0" w:rsidRDefault="00EB6430" w:rsidP="00AE5B32">
            <w:pPr>
              <w:pStyle w:val="TableText0"/>
            </w:pPr>
            <w:r w:rsidRPr="008B02E0">
              <w:t>(0.11, 1.36)</w:t>
            </w:r>
          </w:p>
        </w:tc>
        <w:tc>
          <w:tcPr>
            <w:tcW w:w="1106" w:type="pct"/>
          </w:tcPr>
          <w:p w14:paraId="0BB5302A" w14:textId="77777777" w:rsidR="00EB6430" w:rsidRPr="008B02E0" w:rsidRDefault="00EB6430" w:rsidP="00AE5B32">
            <w:pPr>
              <w:pStyle w:val="TableText0"/>
            </w:pPr>
            <w:r w:rsidRPr="008B02E0">
              <w:t>0.65</w:t>
            </w:r>
          </w:p>
        </w:tc>
        <w:tc>
          <w:tcPr>
            <w:tcW w:w="1107" w:type="pct"/>
          </w:tcPr>
          <w:p w14:paraId="41056C09" w14:textId="77777777" w:rsidR="00EB6430" w:rsidRPr="008B02E0" w:rsidRDefault="00EB6430" w:rsidP="00AE5B32">
            <w:pPr>
              <w:pStyle w:val="TableText0"/>
            </w:pPr>
            <w:r w:rsidRPr="008B02E0">
              <w:t>(0.41, 1.04)</w:t>
            </w:r>
          </w:p>
        </w:tc>
      </w:tr>
      <w:tr w:rsidR="00EB6430" w:rsidRPr="008B02E0" w14:paraId="36A05F7D" w14:textId="77777777" w:rsidTr="00D17F3A">
        <w:tc>
          <w:tcPr>
            <w:tcW w:w="784" w:type="pct"/>
          </w:tcPr>
          <w:p w14:paraId="2E36666C" w14:textId="77777777" w:rsidR="00EB6430" w:rsidRPr="008B02E0" w:rsidRDefault="00EB6430" w:rsidP="00AE5B32">
            <w:pPr>
              <w:pStyle w:val="TableText0"/>
            </w:pPr>
            <w:r w:rsidRPr="008B02E0">
              <w:t>12</w:t>
            </w:r>
          </w:p>
        </w:tc>
        <w:tc>
          <w:tcPr>
            <w:tcW w:w="897" w:type="pct"/>
          </w:tcPr>
          <w:p w14:paraId="7803FDF8" w14:textId="77777777" w:rsidR="00EB6430" w:rsidRPr="008B02E0" w:rsidRDefault="00EB6430" w:rsidP="00AE5B32">
            <w:pPr>
              <w:pStyle w:val="TableText0"/>
            </w:pPr>
            <w:r w:rsidRPr="008B02E0">
              <w:t>0.41</w:t>
            </w:r>
          </w:p>
        </w:tc>
        <w:tc>
          <w:tcPr>
            <w:tcW w:w="1106" w:type="pct"/>
          </w:tcPr>
          <w:p w14:paraId="4C3310E6" w14:textId="77777777" w:rsidR="00EB6430" w:rsidRPr="008B02E0" w:rsidRDefault="00EB6430" w:rsidP="00AE5B32">
            <w:pPr>
              <w:pStyle w:val="TableText0"/>
            </w:pPr>
            <w:r w:rsidRPr="008B02E0">
              <w:t>(0.22, 0.74)</w:t>
            </w:r>
          </w:p>
        </w:tc>
        <w:tc>
          <w:tcPr>
            <w:tcW w:w="1106" w:type="pct"/>
          </w:tcPr>
          <w:p w14:paraId="5E1C207E" w14:textId="77777777" w:rsidR="00EB6430" w:rsidRPr="008B02E0" w:rsidRDefault="00EB6430" w:rsidP="00AE5B32">
            <w:pPr>
              <w:pStyle w:val="TableText0"/>
            </w:pPr>
            <w:r w:rsidRPr="008B02E0">
              <w:t>0.51</w:t>
            </w:r>
          </w:p>
        </w:tc>
        <w:tc>
          <w:tcPr>
            <w:tcW w:w="1107" w:type="pct"/>
          </w:tcPr>
          <w:p w14:paraId="781772E9" w14:textId="77777777" w:rsidR="00EB6430" w:rsidRPr="008B02E0" w:rsidRDefault="00EB6430" w:rsidP="00AE5B32">
            <w:pPr>
              <w:pStyle w:val="TableText0"/>
            </w:pPr>
            <w:r w:rsidRPr="008B02E0">
              <w:t>(0.34, 0.76)</w:t>
            </w:r>
          </w:p>
        </w:tc>
      </w:tr>
      <w:tr w:rsidR="00EB6430" w:rsidRPr="008B02E0" w14:paraId="55117A46" w14:textId="77777777" w:rsidTr="00D17F3A">
        <w:tc>
          <w:tcPr>
            <w:tcW w:w="784" w:type="pct"/>
          </w:tcPr>
          <w:p w14:paraId="417C0837" w14:textId="77777777" w:rsidR="00EB6430" w:rsidRPr="008B02E0" w:rsidRDefault="00EB6430" w:rsidP="00AE5B32">
            <w:pPr>
              <w:pStyle w:val="TableText0"/>
            </w:pPr>
            <w:r w:rsidRPr="008B02E0">
              <w:t>24</w:t>
            </w:r>
          </w:p>
        </w:tc>
        <w:tc>
          <w:tcPr>
            <w:tcW w:w="897" w:type="pct"/>
          </w:tcPr>
          <w:p w14:paraId="4E53FC99" w14:textId="77777777" w:rsidR="00EB6430" w:rsidRPr="008B02E0" w:rsidRDefault="00EB6430" w:rsidP="00AE5B32">
            <w:pPr>
              <w:pStyle w:val="TableText0"/>
            </w:pPr>
            <w:r w:rsidRPr="008B02E0">
              <w:t>0.45</w:t>
            </w:r>
          </w:p>
        </w:tc>
        <w:tc>
          <w:tcPr>
            <w:tcW w:w="1106" w:type="pct"/>
          </w:tcPr>
          <w:p w14:paraId="070E5287" w14:textId="77777777" w:rsidR="00EB6430" w:rsidRPr="008B02E0" w:rsidRDefault="00EB6430" w:rsidP="00AE5B32">
            <w:pPr>
              <w:pStyle w:val="TableText0"/>
            </w:pPr>
            <w:r w:rsidRPr="008B02E0">
              <w:t>(0.22, 0.94)</w:t>
            </w:r>
          </w:p>
        </w:tc>
        <w:tc>
          <w:tcPr>
            <w:tcW w:w="1106" w:type="pct"/>
          </w:tcPr>
          <w:p w14:paraId="4B80A975" w14:textId="77777777" w:rsidR="00EB6430" w:rsidRPr="008B02E0" w:rsidRDefault="00EB6430" w:rsidP="00AE5B32">
            <w:pPr>
              <w:pStyle w:val="TableText0"/>
            </w:pPr>
            <w:r w:rsidRPr="008B02E0">
              <w:t>0.55</w:t>
            </w:r>
          </w:p>
        </w:tc>
        <w:tc>
          <w:tcPr>
            <w:tcW w:w="1107" w:type="pct"/>
          </w:tcPr>
          <w:p w14:paraId="21F1D1FC" w14:textId="77777777" w:rsidR="00EB6430" w:rsidRPr="008B02E0" w:rsidRDefault="00EB6430" w:rsidP="00AE5B32">
            <w:pPr>
              <w:pStyle w:val="TableText0"/>
            </w:pPr>
            <w:r w:rsidRPr="008B02E0">
              <w:t>(0.37, 0.82)</w:t>
            </w:r>
          </w:p>
        </w:tc>
      </w:tr>
      <w:tr w:rsidR="00EB6430" w:rsidRPr="008B02E0" w14:paraId="25FB9AB5" w14:textId="77777777" w:rsidTr="00D17F3A">
        <w:tc>
          <w:tcPr>
            <w:tcW w:w="784" w:type="pct"/>
          </w:tcPr>
          <w:p w14:paraId="1A8CC572" w14:textId="77777777" w:rsidR="00EB6430" w:rsidRPr="008B02E0" w:rsidRDefault="00EB6430" w:rsidP="00AE5B32">
            <w:pPr>
              <w:pStyle w:val="TableText0"/>
            </w:pPr>
            <w:r w:rsidRPr="008B02E0">
              <w:t>36</w:t>
            </w:r>
          </w:p>
        </w:tc>
        <w:tc>
          <w:tcPr>
            <w:tcW w:w="897" w:type="pct"/>
          </w:tcPr>
          <w:p w14:paraId="257F5D1D" w14:textId="77777777" w:rsidR="00EB6430" w:rsidRPr="008B02E0" w:rsidRDefault="00EB6430" w:rsidP="00AE5B32">
            <w:pPr>
              <w:pStyle w:val="TableText0"/>
            </w:pPr>
            <w:r w:rsidRPr="008B02E0">
              <w:t>0.5</w:t>
            </w:r>
          </w:p>
        </w:tc>
        <w:tc>
          <w:tcPr>
            <w:tcW w:w="1106" w:type="pct"/>
          </w:tcPr>
          <w:p w14:paraId="2223EBF1" w14:textId="77777777" w:rsidR="00EB6430" w:rsidRPr="008B02E0" w:rsidRDefault="00EB6430" w:rsidP="00AE5B32">
            <w:pPr>
              <w:pStyle w:val="TableText0"/>
            </w:pPr>
            <w:r w:rsidRPr="008B02E0">
              <w:t>(0.22, 1.12)</w:t>
            </w:r>
          </w:p>
        </w:tc>
        <w:tc>
          <w:tcPr>
            <w:tcW w:w="1106" w:type="pct"/>
          </w:tcPr>
          <w:p w14:paraId="571F3E30" w14:textId="77777777" w:rsidR="00EB6430" w:rsidRPr="008B02E0" w:rsidRDefault="00EB6430" w:rsidP="00AE5B32">
            <w:pPr>
              <w:pStyle w:val="TableText0"/>
            </w:pPr>
            <w:r w:rsidRPr="008B02E0">
              <w:t>0.6</w:t>
            </w:r>
          </w:p>
        </w:tc>
        <w:tc>
          <w:tcPr>
            <w:tcW w:w="1107" w:type="pct"/>
          </w:tcPr>
          <w:p w14:paraId="64A195C5" w14:textId="77777777" w:rsidR="00EB6430" w:rsidRPr="008B02E0" w:rsidRDefault="00EB6430" w:rsidP="00AE5B32">
            <w:pPr>
              <w:pStyle w:val="TableText0"/>
            </w:pPr>
            <w:r w:rsidRPr="008B02E0">
              <w:t>(0.41, 0.88)</w:t>
            </w:r>
          </w:p>
        </w:tc>
      </w:tr>
      <w:tr w:rsidR="00EB6430" w:rsidRPr="008B02E0" w14:paraId="113288B2" w14:textId="77777777" w:rsidTr="00D17F3A">
        <w:tc>
          <w:tcPr>
            <w:tcW w:w="784" w:type="pct"/>
          </w:tcPr>
          <w:p w14:paraId="406ADA0F" w14:textId="77777777" w:rsidR="00EB6430" w:rsidRPr="008B02E0" w:rsidRDefault="00EB6430" w:rsidP="00AE5B32">
            <w:pPr>
              <w:pStyle w:val="TableText0"/>
            </w:pPr>
            <w:r w:rsidRPr="008B02E0">
              <w:t>48</w:t>
            </w:r>
          </w:p>
        </w:tc>
        <w:tc>
          <w:tcPr>
            <w:tcW w:w="897" w:type="pct"/>
          </w:tcPr>
          <w:p w14:paraId="5E3C5627" w14:textId="77777777" w:rsidR="00EB6430" w:rsidRPr="008B02E0" w:rsidRDefault="00EB6430" w:rsidP="00AE5B32">
            <w:pPr>
              <w:pStyle w:val="TableText0"/>
            </w:pPr>
            <w:r w:rsidRPr="008B02E0">
              <w:t>0.55</w:t>
            </w:r>
          </w:p>
        </w:tc>
        <w:tc>
          <w:tcPr>
            <w:tcW w:w="1106" w:type="pct"/>
          </w:tcPr>
          <w:p w14:paraId="4BC1F4CD" w14:textId="77777777" w:rsidR="00EB6430" w:rsidRPr="008B02E0" w:rsidRDefault="00EB6430" w:rsidP="00AE5B32">
            <w:pPr>
              <w:pStyle w:val="TableText0"/>
            </w:pPr>
            <w:r w:rsidRPr="008B02E0">
              <w:t>(0.23, 1.29)</w:t>
            </w:r>
          </w:p>
        </w:tc>
        <w:tc>
          <w:tcPr>
            <w:tcW w:w="1106" w:type="pct"/>
          </w:tcPr>
          <w:p w14:paraId="6AD9461F" w14:textId="77777777" w:rsidR="00EB6430" w:rsidRPr="008B02E0" w:rsidRDefault="00EB6430" w:rsidP="00AE5B32">
            <w:pPr>
              <w:pStyle w:val="TableText0"/>
            </w:pPr>
            <w:r w:rsidRPr="008B02E0">
              <w:t>0.65</w:t>
            </w:r>
          </w:p>
        </w:tc>
        <w:tc>
          <w:tcPr>
            <w:tcW w:w="1107" w:type="pct"/>
          </w:tcPr>
          <w:p w14:paraId="2C63F173" w14:textId="77777777" w:rsidR="00EB6430" w:rsidRPr="008B02E0" w:rsidRDefault="00EB6430" w:rsidP="00AE5B32">
            <w:pPr>
              <w:pStyle w:val="TableText0"/>
            </w:pPr>
            <w:r w:rsidRPr="008B02E0">
              <w:t>(0.46, 0.93)</w:t>
            </w:r>
          </w:p>
        </w:tc>
      </w:tr>
      <w:tr w:rsidR="00EB6430" w:rsidRPr="008B02E0" w14:paraId="07EF943D" w14:textId="77777777" w:rsidTr="00D17F3A">
        <w:tc>
          <w:tcPr>
            <w:tcW w:w="784" w:type="pct"/>
          </w:tcPr>
          <w:p w14:paraId="5AB2C5D1" w14:textId="77777777" w:rsidR="00EB6430" w:rsidRPr="008B02E0" w:rsidRDefault="00EB6430" w:rsidP="00AE5B32">
            <w:pPr>
              <w:pStyle w:val="TableText0"/>
            </w:pPr>
            <w:r w:rsidRPr="008B02E0">
              <w:t>60</w:t>
            </w:r>
          </w:p>
        </w:tc>
        <w:tc>
          <w:tcPr>
            <w:tcW w:w="897" w:type="pct"/>
          </w:tcPr>
          <w:p w14:paraId="175BC2C3" w14:textId="77777777" w:rsidR="00EB6430" w:rsidRPr="008B02E0" w:rsidRDefault="00EB6430" w:rsidP="00AE5B32">
            <w:pPr>
              <w:pStyle w:val="TableText0"/>
            </w:pPr>
            <w:r w:rsidRPr="008B02E0">
              <w:t>0.59</w:t>
            </w:r>
          </w:p>
        </w:tc>
        <w:tc>
          <w:tcPr>
            <w:tcW w:w="1106" w:type="pct"/>
          </w:tcPr>
          <w:p w14:paraId="364B7288" w14:textId="77777777" w:rsidR="00EB6430" w:rsidRPr="008B02E0" w:rsidRDefault="00EB6430" w:rsidP="00AE5B32">
            <w:pPr>
              <w:pStyle w:val="TableText0"/>
            </w:pPr>
            <w:r w:rsidRPr="008B02E0">
              <w:t>(0.24, 1.44)</w:t>
            </w:r>
          </w:p>
        </w:tc>
        <w:tc>
          <w:tcPr>
            <w:tcW w:w="1106" w:type="pct"/>
          </w:tcPr>
          <w:p w14:paraId="07758E05" w14:textId="77777777" w:rsidR="00EB6430" w:rsidRPr="008B02E0" w:rsidRDefault="00EB6430" w:rsidP="00AE5B32">
            <w:pPr>
              <w:pStyle w:val="TableText0"/>
            </w:pPr>
            <w:r w:rsidRPr="008B02E0">
              <w:t>0.71</w:t>
            </w:r>
          </w:p>
        </w:tc>
        <w:tc>
          <w:tcPr>
            <w:tcW w:w="1107" w:type="pct"/>
          </w:tcPr>
          <w:p w14:paraId="43D61BA6" w14:textId="77777777" w:rsidR="00EB6430" w:rsidRPr="008B02E0" w:rsidRDefault="00EB6430" w:rsidP="00AE5B32">
            <w:pPr>
              <w:pStyle w:val="TableText0"/>
            </w:pPr>
            <w:r w:rsidRPr="008B02E0">
              <w:t>(0.51, 0.98)</w:t>
            </w:r>
          </w:p>
        </w:tc>
      </w:tr>
      <w:tr w:rsidR="00EB6430" w:rsidRPr="008B02E0" w14:paraId="75DD93DE" w14:textId="77777777" w:rsidTr="00D17F3A">
        <w:tc>
          <w:tcPr>
            <w:tcW w:w="784" w:type="pct"/>
          </w:tcPr>
          <w:p w14:paraId="0D168EFA" w14:textId="77777777" w:rsidR="00EB6430" w:rsidRPr="008B02E0" w:rsidRDefault="00EB6430" w:rsidP="00AE5B32">
            <w:pPr>
              <w:pStyle w:val="TableText0"/>
            </w:pPr>
            <w:r w:rsidRPr="008B02E0">
              <w:t>72</w:t>
            </w:r>
          </w:p>
        </w:tc>
        <w:tc>
          <w:tcPr>
            <w:tcW w:w="897" w:type="pct"/>
          </w:tcPr>
          <w:p w14:paraId="3577C3BE" w14:textId="77777777" w:rsidR="00EB6430" w:rsidRPr="008B02E0" w:rsidRDefault="00EB6430" w:rsidP="00AE5B32">
            <w:pPr>
              <w:pStyle w:val="TableText0"/>
            </w:pPr>
            <w:r w:rsidRPr="008B02E0">
              <w:t>0.63</w:t>
            </w:r>
          </w:p>
        </w:tc>
        <w:tc>
          <w:tcPr>
            <w:tcW w:w="1106" w:type="pct"/>
          </w:tcPr>
          <w:p w14:paraId="4E9D2F55" w14:textId="77777777" w:rsidR="00EB6430" w:rsidRPr="008B02E0" w:rsidRDefault="00EB6430" w:rsidP="00AE5B32">
            <w:pPr>
              <w:pStyle w:val="TableText0"/>
            </w:pPr>
            <w:r w:rsidRPr="008B02E0">
              <w:t>(0.25, 1.58)</w:t>
            </w:r>
          </w:p>
        </w:tc>
        <w:tc>
          <w:tcPr>
            <w:tcW w:w="1106" w:type="pct"/>
          </w:tcPr>
          <w:p w14:paraId="7F2DAB83" w14:textId="77777777" w:rsidR="00EB6430" w:rsidRPr="008B02E0" w:rsidRDefault="00EB6430" w:rsidP="00AE5B32">
            <w:pPr>
              <w:pStyle w:val="TableText0"/>
            </w:pPr>
            <w:r w:rsidRPr="008B02E0">
              <w:t>0.76</w:t>
            </w:r>
          </w:p>
        </w:tc>
        <w:tc>
          <w:tcPr>
            <w:tcW w:w="1107" w:type="pct"/>
          </w:tcPr>
          <w:p w14:paraId="1619C66A" w14:textId="77777777" w:rsidR="00EB6430" w:rsidRPr="008B02E0" w:rsidRDefault="00EB6430" w:rsidP="00AE5B32">
            <w:pPr>
              <w:pStyle w:val="TableText0"/>
            </w:pPr>
            <w:r w:rsidRPr="008B02E0">
              <w:t>(0.56, 1.03)</w:t>
            </w:r>
          </w:p>
        </w:tc>
      </w:tr>
      <w:tr w:rsidR="00EB6430" w:rsidRPr="008B02E0" w14:paraId="060E7B57" w14:textId="77777777" w:rsidTr="00D17F3A">
        <w:tc>
          <w:tcPr>
            <w:tcW w:w="784" w:type="pct"/>
          </w:tcPr>
          <w:p w14:paraId="507E90CD" w14:textId="77777777" w:rsidR="00EB6430" w:rsidRPr="008B02E0" w:rsidRDefault="00EB6430" w:rsidP="00AE5B32">
            <w:pPr>
              <w:pStyle w:val="TableText0"/>
            </w:pPr>
            <w:r w:rsidRPr="008B02E0">
              <w:t>84</w:t>
            </w:r>
          </w:p>
        </w:tc>
        <w:tc>
          <w:tcPr>
            <w:tcW w:w="897" w:type="pct"/>
          </w:tcPr>
          <w:p w14:paraId="2285EAB5" w14:textId="77777777" w:rsidR="00EB6430" w:rsidRPr="008B02E0" w:rsidRDefault="00EB6430" w:rsidP="00AE5B32">
            <w:pPr>
              <w:pStyle w:val="TableText0"/>
            </w:pPr>
            <w:r w:rsidRPr="008B02E0">
              <w:t>0.67</w:t>
            </w:r>
          </w:p>
        </w:tc>
        <w:tc>
          <w:tcPr>
            <w:tcW w:w="1106" w:type="pct"/>
          </w:tcPr>
          <w:p w14:paraId="0689DA41" w14:textId="77777777" w:rsidR="00EB6430" w:rsidRPr="008B02E0" w:rsidRDefault="00EB6430" w:rsidP="00AE5B32">
            <w:pPr>
              <w:pStyle w:val="TableText0"/>
            </w:pPr>
            <w:r w:rsidRPr="008B02E0">
              <w:t>(0.27, 1.7)</w:t>
            </w:r>
          </w:p>
        </w:tc>
        <w:tc>
          <w:tcPr>
            <w:tcW w:w="1106" w:type="pct"/>
          </w:tcPr>
          <w:p w14:paraId="7186A170" w14:textId="77777777" w:rsidR="00EB6430" w:rsidRPr="008B02E0" w:rsidRDefault="00EB6430" w:rsidP="00AE5B32">
            <w:pPr>
              <w:pStyle w:val="TableText0"/>
            </w:pPr>
            <w:r w:rsidRPr="008B02E0">
              <w:t>0.81</w:t>
            </w:r>
          </w:p>
        </w:tc>
        <w:tc>
          <w:tcPr>
            <w:tcW w:w="1107" w:type="pct"/>
          </w:tcPr>
          <w:p w14:paraId="54EC3DDF" w14:textId="77777777" w:rsidR="00EB6430" w:rsidRPr="008B02E0" w:rsidRDefault="00EB6430" w:rsidP="00AE5B32">
            <w:pPr>
              <w:pStyle w:val="TableText0"/>
            </w:pPr>
            <w:r w:rsidRPr="008B02E0">
              <w:t>(0.61, 1.07)</w:t>
            </w:r>
          </w:p>
        </w:tc>
      </w:tr>
      <w:tr w:rsidR="00EB6430" w:rsidRPr="008B02E0" w14:paraId="42E8B86E" w14:textId="77777777" w:rsidTr="00D17F3A">
        <w:tc>
          <w:tcPr>
            <w:tcW w:w="784" w:type="pct"/>
          </w:tcPr>
          <w:p w14:paraId="749E7E96" w14:textId="77777777" w:rsidR="00EB6430" w:rsidRPr="008B02E0" w:rsidRDefault="00EB6430" w:rsidP="00AE5B32">
            <w:pPr>
              <w:pStyle w:val="TableText0"/>
            </w:pPr>
            <w:r w:rsidRPr="008B02E0">
              <w:t>96</w:t>
            </w:r>
          </w:p>
        </w:tc>
        <w:tc>
          <w:tcPr>
            <w:tcW w:w="897" w:type="pct"/>
          </w:tcPr>
          <w:p w14:paraId="7F6B335B" w14:textId="77777777" w:rsidR="00EB6430" w:rsidRPr="008B02E0" w:rsidRDefault="00EB6430" w:rsidP="00AE5B32">
            <w:pPr>
              <w:pStyle w:val="TableText0"/>
            </w:pPr>
            <w:r w:rsidRPr="008B02E0">
              <w:t>0.71</w:t>
            </w:r>
          </w:p>
        </w:tc>
        <w:tc>
          <w:tcPr>
            <w:tcW w:w="1106" w:type="pct"/>
          </w:tcPr>
          <w:p w14:paraId="4E9E156E" w14:textId="77777777" w:rsidR="00EB6430" w:rsidRPr="008B02E0" w:rsidRDefault="00EB6430" w:rsidP="00AE5B32">
            <w:pPr>
              <w:pStyle w:val="TableText0"/>
            </w:pPr>
            <w:r w:rsidRPr="008B02E0">
              <w:t>(0.28, 1.82)</w:t>
            </w:r>
          </w:p>
        </w:tc>
        <w:tc>
          <w:tcPr>
            <w:tcW w:w="1106" w:type="pct"/>
          </w:tcPr>
          <w:p w14:paraId="21A9020B" w14:textId="77777777" w:rsidR="00EB6430" w:rsidRPr="008B02E0" w:rsidRDefault="00EB6430" w:rsidP="00AE5B32">
            <w:pPr>
              <w:pStyle w:val="TableText0"/>
            </w:pPr>
            <w:r w:rsidRPr="008B02E0">
              <w:t>0.86</w:t>
            </w:r>
          </w:p>
        </w:tc>
        <w:tc>
          <w:tcPr>
            <w:tcW w:w="1107" w:type="pct"/>
          </w:tcPr>
          <w:p w14:paraId="6BC014BE" w14:textId="77777777" w:rsidR="00EB6430" w:rsidRPr="008B02E0" w:rsidRDefault="00EB6430" w:rsidP="00AE5B32">
            <w:pPr>
              <w:pStyle w:val="TableText0"/>
            </w:pPr>
            <w:r w:rsidRPr="008B02E0">
              <w:t>(0.67, 1.12)</w:t>
            </w:r>
          </w:p>
        </w:tc>
      </w:tr>
      <w:tr w:rsidR="00EB6430" w:rsidRPr="008B02E0" w14:paraId="4D83E660" w14:textId="77777777" w:rsidTr="00D17F3A">
        <w:tc>
          <w:tcPr>
            <w:tcW w:w="784" w:type="pct"/>
          </w:tcPr>
          <w:p w14:paraId="74F83417" w14:textId="77777777" w:rsidR="00EB6430" w:rsidRPr="008B02E0" w:rsidRDefault="00EB6430" w:rsidP="00AE5B32">
            <w:pPr>
              <w:pStyle w:val="TableText0"/>
            </w:pPr>
            <w:r w:rsidRPr="008B02E0">
              <w:t>108</w:t>
            </w:r>
          </w:p>
        </w:tc>
        <w:tc>
          <w:tcPr>
            <w:tcW w:w="897" w:type="pct"/>
          </w:tcPr>
          <w:p w14:paraId="70F35847" w14:textId="77777777" w:rsidR="00EB6430" w:rsidRPr="008B02E0" w:rsidRDefault="00EB6430" w:rsidP="00AE5B32">
            <w:pPr>
              <w:pStyle w:val="TableText0"/>
            </w:pPr>
            <w:r w:rsidRPr="008B02E0">
              <w:t>0.74</w:t>
            </w:r>
          </w:p>
        </w:tc>
        <w:tc>
          <w:tcPr>
            <w:tcW w:w="1106" w:type="pct"/>
          </w:tcPr>
          <w:p w14:paraId="428E9ACC" w14:textId="77777777" w:rsidR="00EB6430" w:rsidRPr="008B02E0" w:rsidRDefault="00EB6430" w:rsidP="00AE5B32">
            <w:pPr>
              <w:pStyle w:val="TableText0"/>
            </w:pPr>
            <w:r w:rsidRPr="008B02E0">
              <w:t>(0.29, 1.88)</w:t>
            </w:r>
          </w:p>
        </w:tc>
        <w:tc>
          <w:tcPr>
            <w:tcW w:w="1106" w:type="pct"/>
          </w:tcPr>
          <w:p w14:paraId="73D55973" w14:textId="77777777" w:rsidR="00EB6430" w:rsidRPr="008B02E0" w:rsidRDefault="00EB6430" w:rsidP="00AE5B32">
            <w:pPr>
              <w:pStyle w:val="TableText0"/>
            </w:pPr>
            <w:r w:rsidRPr="008B02E0">
              <w:t>0.9</w:t>
            </w:r>
          </w:p>
        </w:tc>
        <w:tc>
          <w:tcPr>
            <w:tcW w:w="1107" w:type="pct"/>
          </w:tcPr>
          <w:p w14:paraId="5AD58CB5" w14:textId="77777777" w:rsidR="00EB6430" w:rsidRPr="008B02E0" w:rsidRDefault="00EB6430" w:rsidP="00AE5B32">
            <w:pPr>
              <w:pStyle w:val="TableText0"/>
            </w:pPr>
            <w:r w:rsidRPr="008B02E0">
              <w:t>(0.71, 1.14)</w:t>
            </w:r>
          </w:p>
        </w:tc>
      </w:tr>
      <w:tr w:rsidR="00EB6430" w:rsidRPr="008B02E0" w14:paraId="255E86D7" w14:textId="77777777" w:rsidTr="00D17F3A">
        <w:tc>
          <w:tcPr>
            <w:tcW w:w="784" w:type="pct"/>
          </w:tcPr>
          <w:p w14:paraId="5829DCEC" w14:textId="77777777" w:rsidR="00EB6430" w:rsidRPr="008B02E0" w:rsidRDefault="00EB6430" w:rsidP="00AE5B32">
            <w:pPr>
              <w:pStyle w:val="TableText0"/>
            </w:pPr>
            <w:r w:rsidRPr="008B02E0">
              <w:t>120</w:t>
            </w:r>
          </w:p>
        </w:tc>
        <w:tc>
          <w:tcPr>
            <w:tcW w:w="897" w:type="pct"/>
          </w:tcPr>
          <w:p w14:paraId="590D20BA" w14:textId="77777777" w:rsidR="00EB6430" w:rsidRPr="008B02E0" w:rsidRDefault="00EB6430" w:rsidP="00AE5B32">
            <w:pPr>
              <w:pStyle w:val="TableText0"/>
            </w:pPr>
            <w:r w:rsidRPr="008B02E0">
              <w:t>0.75</w:t>
            </w:r>
          </w:p>
        </w:tc>
        <w:tc>
          <w:tcPr>
            <w:tcW w:w="1106" w:type="pct"/>
          </w:tcPr>
          <w:p w14:paraId="67AD54FD" w14:textId="77777777" w:rsidR="00EB6430" w:rsidRPr="008B02E0" w:rsidRDefault="00EB6430" w:rsidP="00AE5B32">
            <w:pPr>
              <w:pStyle w:val="TableText0"/>
            </w:pPr>
            <w:r w:rsidRPr="008B02E0">
              <w:t>(0.3, 1.92)</w:t>
            </w:r>
          </w:p>
        </w:tc>
        <w:tc>
          <w:tcPr>
            <w:tcW w:w="1106" w:type="pct"/>
          </w:tcPr>
          <w:p w14:paraId="7FA24A71" w14:textId="77777777" w:rsidR="00EB6430" w:rsidRPr="008B02E0" w:rsidRDefault="00EB6430" w:rsidP="00AE5B32">
            <w:pPr>
              <w:pStyle w:val="TableText0"/>
            </w:pPr>
            <w:r w:rsidRPr="008B02E0">
              <w:t>0.92</w:t>
            </w:r>
          </w:p>
        </w:tc>
        <w:tc>
          <w:tcPr>
            <w:tcW w:w="1107" w:type="pct"/>
          </w:tcPr>
          <w:p w14:paraId="100EDDC5" w14:textId="77777777" w:rsidR="00EB6430" w:rsidRPr="008B02E0" w:rsidRDefault="00EB6430" w:rsidP="00AE5B32">
            <w:pPr>
              <w:pStyle w:val="TableText0"/>
            </w:pPr>
            <w:r w:rsidRPr="008B02E0">
              <w:t>(0.74, 1.15)</w:t>
            </w:r>
          </w:p>
        </w:tc>
      </w:tr>
    </w:tbl>
    <w:p w14:paraId="3667A964" w14:textId="77777777" w:rsidR="00EB6430" w:rsidRPr="008B02E0" w:rsidRDefault="00EB6430" w:rsidP="00AE5B32">
      <w:pPr>
        <w:pStyle w:val="TableFigureFooter"/>
      </w:pPr>
      <w:r w:rsidRPr="008B02E0">
        <w:t>Source: Tables 8 and 14 of Attachment 9 of the submission</w:t>
      </w:r>
    </w:p>
    <w:p w14:paraId="41DA3F83" w14:textId="77777777" w:rsidR="00EB6430" w:rsidRPr="008B02E0" w:rsidRDefault="00EB6430" w:rsidP="00AE5B32">
      <w:pPr>
        <w:pStyle w:val="TableFigureFooter"/>
      </w:pPr>
      <w:r w:rsidRPr="008B02E0">
        <w:t>HR=hazard ratio, MAIC=matching adjusted indirect comparison, CI=confidence interval</w:t>
      </w:r>
    </w:p>
    <w:p w14:paraId="6CC36ACA" w14:textId="77777777" w:rsidR="00EB6430" w:rsidRPr="008B02E0" w:rsidRDefault="00EB6430" w:rsidP="00AE5B32">
      <w:pPr>
        <w:pStyle w:val="TableFigureFooter"/>
      </w:pPr>
      <w:r w:rsidRPr="008B02E0">
        <w:t>HR&lt;1 favoured nivolumab plus ipilimumab</w:t>
      </w:r>
    </w:p>
    <w:p w14:paraId="6E1B6AC5" w14:textId="4E5F1124" w:rsidR="00F873CD" w:rsidRPr="008B02E0" w:rsidRDefault="00EB6430" w:rsidP="00AE5B32">
      <w:pPr>
        <w:pStyle w:val="3-BodyText"/>
      </w:pPr>
      <w:r w:rsidRPr="008B02E0">
        <w:t>In the anchored MAIC, the time</w:t>
      </w:r>
      <w:r w:rsidR="009E5502">
        <w:noBreakHyphen/>
      </w:r>
      <w:r w:rsidRPr="008B02E0">
        <w:t xml:space="preserve">varying hazard ratio point estimates ranged from 0.39 in Month 1 to 0.75 in Month 120, but only at Month 12 and Month 24 did the 95 % CIs </w:t>
      </w:r>
      <w:r w:rsidR="00605723" w:rsidRPr="008B02E0">
        <w:t>do not include</w:t>
      </w:r>
      <w:r w:rsidR="00111F5C">
        <w:t xml:space="preserve"> </w:t>
      </w:r>
      <w:r w:rsidRPr="008B02E0">
        <w:t xml:space="preserve">1, </w:t>
      </w:r>
      <w:r w:rsidRPr="008B02E0">
        <w:rPr>
          <w:iCs/>
        </w:rPr>
        <w:t>suggesting there was high uncertainty in these estimates</w:t>
      </w:r>
      <w:r w:rsidRPr="008B02E0">
        <w:t>. In comparison, the time</w:t>
      </w:r>
      <w:r w:rsidR="009E5502">
        <w:noBreakHyphen/>
      </w:r>
      <w:r w:rsidRPr="008B02E0">
        <w:t xml:space="preserve">varying hazard ratio point estimates ranged from 0.51 in Month 12 to 0.92 in Month 120 in the unanchored MAIC, but the 95% CIs did not include 1 </w:t>
      </w:r>
      <w:r w:rsidRPr="008B02E0">
        <w:lastRenderedPageBreak/>
        <w:t xml:space="preserve">from Month 12 to Month 60. </w:t>
      </w:r>
      <w:r w:rsidRPr="008B02E0">
        <w:rPr>
          <w:iCs/>
        </w:rPr>
        <w:t xml:space="preserve">There was a </w:t>
      </w:r>
      <w:r w:rsidR="00EB0614" w:rsidRPr="008B02E0">
        <w:rPr>
          <w:iCs/>
        </w:rPr>
        <w:t xml:space="preserve">high degree </w:t>
      </w:r>
      <w:r w:rsidRPr="008B02E0">
        <w:rPr>
          <w:iCs/>
        </w:rPr>
        <w:t>of overlap in the hazard ratios at each time point between the two approaches</w:t>
      </w:r>
      <w:r w:rsidRPr="008B02E0">
        <w:t xml:space="preserve">. </w:t>
      </w:r>
    </w:p>
    <w:p w14:paraId="0033D059" w14:textId="30AA4B9E" w:rsidR="007F3A49" w:rsidRPr="008B02E0" w:rsidRDefault="00F239CB" w:rsidP="00AE5B32">
      <w:pPr>
        <w:pStyle w:val="3-BodyText"/>
      </w:pPr>
      <w:bookmarkStart w:id="56" w:name="_Ref205616818"/>
      <w:r w:rsidRPr="008B02E0">
        <w:rPr>
          <w:color w:val="000000" w:themeColor="text1"/>
        </w:rPr>
        <w:t>The submission noted that t</w:t>
      </w:r>
      <w:r w:rsidR="00FA1881" w:rsidRPr="008B02E0">
        <w:rPr>
          <w:color w:val="000000" w:themeColor="text1"/>
        </w:rPr>
        <w:t xml:space="preserve">he anchored analysis </w:t>
      </w:r>
      <w:r w:rsidR="009B6159">
        <w:rPr>
          <w:color w:val="000000" w:themeColor="text1"/>
        </w:rPr>
        <w:t>was</w:t>
      </w:r>
      <w:r w:rsidR="00FA1881" w:rsidRPr="008B02E0">
        <w:rPr>
          <w:color w:val="000000" w:themeColor="text1"/>
        </w:rPr>
        <w:t xml:space="preserve"> unable to</w:t>
      </w:r>
      <w:r w:rsidR="003F3FC4">
        <w:rPr>
          <w:color w:val="000000" w:themeColor="text1"/>
        </w:rPr>
        <w:t xml:space="preserve"> properly</w:t>
      </w:r>
      <w:r w:rsidR="00FA1881" w:rsidRPr="008B02E0">
        <w:rPr>
          <w:color w:val="000000" w:themeColor="text1"/>
        </w:rPr>
        <w:t xml:space="preserve"> </w:t>
      </w:r>
      <w:r w:rsidRPr="008B02E0">
        <w:rPr>
          <w:color w:val="000000" w:themeColor="text1"/>
        </w:rPr>
        <w:t>match</w:t>
      </w:r>
      <w:r w:rsidR="00FA1881" w:rsidRPr="008B02E0">
        <w:rPr>
          <w:color w:val="000000" w:themeColor="text1"/>
        </w:rPr>
        <w:t xml:space="preserve"> the </w:t>
      </w:r>
      <w:r w:rsidR="00213AE2" w:rsidRPr="008B02E0">
        <w:rPr>
          <w:color w:val="000000" w:themeColor="text1"/>
        </w:rPr>
        <w:t>chemotherapy</w:t>
      </w:r>
      <w:r w:rsidR="00FA1881" w:rsidRPr="008B02E0">
        <w:rPr>
          <w:color w:val="000000" w:themeColor="text1"/>
        </w:rPr>
        <w:t xml:space="preserve"> comparator arms across studies, with the </w:t>
      </w:r>
      <w:r w:rsidR="00213AE2" w:rsidRPr="008B02E0">
        <w:rPr>
          <w:color w:val="000000" w:themeColor="text1"/>
        </w:rPr>
        <w:t xml:space="preserve">chemotherapy </w:t>
      </w:r>
      <w:r w:rsidR="00FA1881" w:rsidRPr="008B02E0">
        <w:rPr>
          <w:color w:val="000000" w:themeColor="text1"/>
        </w:rPr>
        <w:t>arm of CM</w:t>
      </w:r>
      <w:r w:rsidR="009E5502">
        <w:rPr>
          <w:color w:val="000000" w:themeColor="text1"/>
        </w:rPr>
        <w:noBreakHyphen/>
      </w:r>
      <w:r w:rsidR="00FA1881" w:rsidRPr="008B02E0">
        <w:rPr>
          <w:color w:val="000000" w:themeColor="text1"/>
        </w:rPr>
        <w:t>8HW displaying a poorer PFS than the KN</w:t>
      </w:r>
      <w:r w:rsidR="009E5502">
        <w:rPr>
          <w:color w:val="000000" w:themeColor="text1"/>
        </w:rPr>
        <w:noBreakHyphen/>
      </w:r>
      <w:r w:rsidR="00FA1881" w:rsidRPr="008B02E0">
        <w:rPr>
          <w:color w:val="000000" w:themeColor="text1"/>
        </w:rPr>
        <w:t xml:space="preserve">177 </w:t>
      </w:r>
      <w:r w:rsidR="00213AE2" w:rsidRPr="008B02E0">
        <w:rPr>
          <w:color w:val="000000" w:themeColor="text1"/>
        </w:rPr>
        <w:t xml:space="preserve">chemotherapy </w:t>
      </w:r>
      <w:r w:rsidR="00FA1881" w:rsidRPr="008B02E0">
        <w:rPr>
          <w:color w:val="000000" w:themeColor="text1"/>
        </w:rPr>
        <w:t>arm</w:t>
      </w:r>
      <w:r w:rsidR="00C874EF" w:rsidRPr="008B02E0">
        <w:rPr>
          <w:color w:val="000000" w:themeColor="text1"/>
        </w:rPr>
        <w:t>,</w:t>
      </w:r>
      <w:r w:rsidR="00FA1881" w:rsidRPr="008B02E0">
        <w:rPr>
          <w:color w:val="000000" w:themeColor="text1"/>
        </w:rPr>
        <w:t xml:space="preserve"> even after matching. </w:t>
      </w:r>
      <w:r w:rsidR="0027603F" w:rsidRPr="008B02E0">
        <w:rPr>
          <w:color w:val="000000" w:themeColor="text1"/>
        </w:rPr>
        <w:t xml:space="preserve">The submission stated that </w:t>
      </w:r>
      <w:r w:rsidR="00FA1881" w:rsidRPr="008B02E0">
        <w:rPr>
          <w:color w:val="000000" w:themeColor="text1"/>
        </w:rPr>
        <w:t xml:space="preserve">if matching does not lead to a ‘common comparator’ the anchored analysis results </w:t>
      </w:r>
      <w:r w:rsidR="00C07815">
        <w:rPr>
          <w:color w:val="000000" w:themeColor="text1"/>
        </w:rPr>
        <w:t>would be</w:t>
      </w:r>
      <w:r w:rsidR="00FA1881" w:rsidRPr="008B02E0">
        <w:rPr>
          <w:color w:val="000000" w:themeColor="text1"/>
        </w:rPr>
        <w:t xml:space="preserve"> biased and lead to more optimistic results for </w:t>
      </w:r>
      <w:r w:rsidR="0027603F" w:rsidRPr="008B02E0">
        <w:rPr>
          <w:color w:val="000000" w:themeColor="text1"/>
        </w:rPr>
        <w:t>nivolumab plus ipilimumab</w:t>
      </w:r>
      <w:r w:rsidR="00FA1881" w:rsidRPr="008B02E0">
        <w:rPr>
          <w:color w:val="000000" w:themeColor="text1"/>
        </w:rPr>
        <w:t xml:space="preserve">. </w:t>
      </w:r>
      <w:r w:rsidR="0027603F" w:rsidRPr="008B02E0">
        <w:t xml:space="preserve">For this reason, the </w:t>
      </w:r>
      <w:r w:rsidR="00EB6430" w:rsidRPr="008B02E0">
        <w:t>submission preferred the unanchored MAIC</w:t>
      </w:r>
      <w:r w:rsidR="0027603F" w:rsidRPr="008B02E0">
        <w:t xml:space="preserve"> and</w:t>
      </w:r>
      <w:r w:rsidR="00EB6430" w:rsidRPr="008B02E0">
        <w:t xml:space="preserve"> was presented as the more conservative estimate.</w:t>
      </w:r>
      <w:bookmarkEnd w:id="56"/>
      <w:r w:rsidR="00EB6430" w:rsidRPr="008B02E0">
        <w:t xml:space="preserve"> </w:t>
      </w:r>
    </w:p>
    <w:p w14:paraId="1FE4BE4C" w14:textId="70BA0FBF" w:rsidR="00EB6430" w:rsidRPr="008B02E0" w:rsidRDefault="00E96EC5" w:rsidP="00AE5B32">
      <w:pPr>
        <w:pStyle w:val="3-BodyText"/>
      </w:pPr>
      <w:bookmarkStart w:id="57" w:name="_Ref200707256"/>
      <w:r w:rsidRPr="008B02E0">
        <w:rPr>
          <w:iCs/>
        </w:rPr>
        <w:t>The evaluation considered that alt</w:t>
      </w:r>
      <w:r w:rsidR="00EB6430" w:rsidRPr="008B02E0">
        <w:rPr>
          <w:iCs/>
        </w:rPr>
        <w:t xml:space="preserve">hough the point estimates of the unanchored MAIC were more conservative, the narrower intervals compared to the anchored MAIC assumed a higher confidence in these estimates, which may be unreasonable given that randomisation is no longer preserved and that the </w:t>
      </w:r>
      <w:r w:rsidR="00336877" w:rsidRPr="008B02E0">
        <w:rPr>
          <w:iCs/>
        </w:rPr>
        <w:t>effective sample size (</w:t>
      </w:r>
      <w:r w:rsidR="00EB6430" w:rsidRPr="008B02E0">
        <w:rPr>
          <w:iCs/>
        </w:rPr>
        <w:t>ESS</w:t>
      </w:r>
      <w:r w:rsidR="00336877" w:rsidRPr="008B02E0">
        <w:rPr>
          <w:iCs/>
        </w:rPr>
        <w:t>)</w:t>
      </w:r>
      <w:r w:rsidR="00EB6430" w:rsidRPr="008B02E0">
        <w:rPr>
          <w:iCs/>
        </w:rPr>
        <w:t xml:space="preserve"> was smaller than the anchored MAIC.</w:t>
      </w:r>
      <w:bookmarkEnd w:id="57"/>
      <w:r w:rsidR="00EB6430" w:rsidRPr="008B02E0">
        <w:t xml:space="preserve"> </w:t>
      </w:r>
    </w:p>
    <w:p w14:paraId="25652747" w14:textId="22E4B9CD" w:rsidR="00EB6430" w:rsidRPr="008B02E0" w:rsidRDefault="00EB6430" w:rsidP="00AE5B32">
      <w:pPr>
        <w:pStyle w:val="3-BodyText"/>
      </w:pPr>
      <w:bookmarkStart w:id="58" w:name="_Ref200706736"/>
      <w:r w:rsidRPr="008B02E0">
        <w:rPr>
          <w:iCs/>
        </w:rPr>
        <w:t>The</w:t>
      </w:r>
      <w:r w:rsidRPr="008B02E0">
        <w:t xml:space="preserve"> results </w:t>
      </w:r>
      <w:r w:rsidR="00833523" w:rsidRPr="008B02E0">
        <w:t>of the MAIC</w:t>
      </w:r>
      <w:r w:rsidR="00833523" w:rsidRPr="008B02E0">
        <w:rPr>
          <w:iCs/>
        </w:rPr>
        <w:t xml:space="preserve"> </w:t>
      </w:r>
      <w:r w:rsidRPr="008B02E0">
        <w:rPr>
          <w:iCs/>
        </w:rPr>
        <w:t>were unlikely to be robust due to important limitations, including</w:t>
      </w:r>
      <w:r w:rsidRPr="008B02E0">
        <w:t>:</w:t>
      </w:r>
      <w:bookmarkEnd w:id="58"/>
    </w:p>
    <w:p w14:paraId="34A09514" w14:textId="3D2766DD" w:rsidR="00EB6430" w:rsidRPr="008B02E0" w:rsidRDefault="00EB6430" w:rsidP="00AE5B32">
      <w:pPr>
        <w:pStyle w:val="ListParagraph"/>
        <w:ind w:left="1134"/>
        <w:rPr>
          <w:iCs/>
        </w:rPr>
      </w:pPr>
      <w:r w:rsidRPr="008B02E0">
        <w:rPr>
          <w:iCs/>
        </w:rPr>
        <w:t>The submission preferred the unanchored MAIC, which required the acceptance of the strong assumption that absolute outcomes can be predicted from the covariates; that is, it assumed that all effect modifiers and prognostic factors were accounted for. This was unlikely to have been met</w:t>
      </w:r>
      <w:r w:rsidR="001564C8" w:rsidRPr="008B02E0">
        <w:rPr>
          <w:iCs/>
        </w:rPr>
        <w:t xml:space="preserve"> as the</w:t>
      </w:r>
      <w:r w:rsidR="00D924B9" w:rsidRPr="008B02E0">
        <w:rPr>
          <w:iCs/>
        </w:rPr>
        <w:t>re were</w:t>
      </w:r>
      <w:r w:rsidR="001564C8" w:rsidRPr="008B02E0">
        <w:rPr>
          <w:iCs/>
        </w:rPr>
        <w:t xml:space="preserve"> several </w:t>
      </w:r>
      <w:r w:rsidR="001564C8" w:rsidRPr="008B02E0">
        <w:t>factors that could not be included (unknown for the KN</w:t>
      </w:r>
      <w:r w:rsidR="009E5502">
        <w:noBreakHyphen/>
      </w:r>
      <w:r w:rsidR="001564C8" w:rsidRPr="008B02E0">
        <w:t>177 population</w:t>
      </w:r>
      <w:r w:rsidR="00DA1A04" w:rsidRPr="008B02E0">
        <w:t>)</w:t>
      </w:r>
      <w:r w:rsidR="00FF622E" w:rsidRPr="008B02E0">
        <w:t xml:space="preserve"> (see paragraph </w:t>
      </w:r>
      <w:r w:rsidR="00FF622E" w:rsidRPr="008B02E0">
        <w:fldChar w:fldCharType="begin"/>
      </w:r>
      <w:r w:rsidR="00FF622E" w:rsidRPr="008B02E0">
        <w:instrText xml:space="preserve"> REF _Ref198721334 \r \h </w:instrText>
      </w:r>
      <w:r w:rsidR="00FF622E" w:rsidRPr="008B02E0">
        <w:fldChar w:fldCharType="separate"/>
      </w:r>
      <w:r w:rsidR="00B542C9">
        <w:t>0</w:t>
      </w:r>
      <w:r w:rsidR="00FF622E" w:rsidRPr="008B02E0">
        <w:fldChar w:fldCharType="end"/>
      </w:r>
      <w:r w:rsidR="00FF622E" w:rsidRPr="008B02E0">
        <w:t>)</w:t>
      </w:r>
      <w:r w:rsidRPr="008B02E0">
        <w:rPr>
          <w:iCs/>
        </w:rPr>
        <w:t>.</w:t>
      </w:r>
    </w:p>
    <w:p w14:paraId="0F83E248" w14:textId="40FBD08F" w:rsidR="00EB6430" w:rsidRPr="008B02E0" w:rsidRDefault="00EB6430" w:rsidP="00AE5B32">
      <w:pPr>
        <w:pStyle w:val="ListParagraph"/>
        <w:ind w:left="1134"/>
        <w:rPr>
          <w:iCs/>
        </w:rPr>
      </w:pPr>
      <w:r w:rsidRPr="008B02E0">
        <w:t>The</w:t>
      </w:r>
      <w:r w:rsidR="00B9767B" w:rsidRPr="008B02E0">
        <w:t xml:space="preserve"> ESC noted that the</w:t>
      </w:r>
      <w:r w:rsidRPr="008B02E0">
        <w:rPr>
          <w:iCs/>
        </w:rPr>
        <w:t xml:space="preserve"> submission did not consider the</w:t>
      </w:r>
      <w:r w:rsidR="00340CA6" w:rsidRPr="008B02E0">
        <w:rPr>
          <w:iCs/>
        </w:rPr>
        <w:t xml:space="preserve"> median</w:t>
      </w:r>
      <w:r w:rsidRPr="008B02E0">
        <w:rPr>
          <w:iCs/>
        </w:rPr>
        <w:t xml:space="preserve"> length of follow up (47.0 months in CM</w:t>
      </w:r>
      <w:r w:rsidR="009E5502">
        <w:rPr>
          <w:iCs/>
        </w:rPr>
        <w:noBreakHyphen/>
      </w:r>
      <w:r w:rsidRPr="008B02E0">
        <w:rPr>
          <w:iCs/>
        </w:rPr>
        <w:t>8HW 1L, 73.3 months in KN</w:t>
      </w:r>
      <w:r w:rsidR="009E5502">
        <w:rPr>
          <w:iCs/>
        </w:rPr>
        <w:noBreakHyphen/>
      </w:r>
      <w:r w:rsidRPr="008B02E0">
        <w:rPr>
          <w:iCs/>
        </w:rPr>
        <w:t xml:space="preserve">177) or </w:t>
      </w:r>
      <w:r w:rsidR="005B7428" w:rsidRPr="008B02E0">
        <w:rPr>
          <w:iCs/>
        </w:rPr>
        <w:t xml:space="preserve">Lynch syndrome </w:t>
      </w:r>
      <w:r w:rsidRPr="008B02E0">
        <w:rPr>
          <w:iCs/>
        </w:rPr>
        <w:t>as other potential covariates.</w:t>
      </w:r>
      <w:r w:rsidR="001564C8" w:rsidRPr="008B02E0">
        <w:rPr>
          <w:iCs/>
        </w:rPr>
        <w:t xml:space="preserve"> </w:t>
      </w:r>
      <w:r w:rsidR="00C22C0E" w:rsidRPr="008B02E0">
        <w:t xml:space="preserve">The ESC </w:t>
      </w:r>
      <w:r w:rsidR="00831CC9" w:rsidRPr="008B02E0">
        <w:t>noted</w:t>
      </w:r>
      <w:r w:rsidR="00C22C0E" w:rsidRPr="008B02E0">
        <w:t xml:space="preserve"> that the</w:t>
      </w:r>
      <w:r w:rsidR="001564C8" w:rsidRPr="008B02E0">
        <w:rPr>
          <w:iCs/>
        </w:rPr>
        <w:t xml:space="preserve"> earlier follow</w:t>
      </w:r>
      <w:r w:rsidR="009E5502">
        <w:rPr>
          <w:iCs/>
        </w:rPr>
        <w:noBreakHyphen/>
      </w:r>
      <w:r w:rsidR="001564C8" w:rsidRPr="008B02E0">
        <w:rPr>
          <w:iCs/>
        </w:rPr>
        <w:t>up may benefit nivolumab plus ipilimumab as dat</w:t>
      </w:r>
      <w:r w:rsidR="009253ED" w:rsidRPr="008B02E0">
        <w:rPr>
          <w:iCs/>
        </w:rPr>
        <w:t>a for the long</w:t>
      </w:r>
      <w:r w:rsidR="009E5502">
        <w:rPr>
          <w:iCs/>
        </w:rPr>
        <w:noBreakHyphen/>
      </w:r>
      <w:r w:rsidR="009253ED" w:rsidRPr="008B02E0">
        <w:rPr>
          <w:iCs/>
        </w:rPr>
        <w:t>term extrapolation was limited and appeared optimistic.</w:t>
      </w:r>
      <w:r w:rsidR="00C925B5" w:rsidRPr="008B02E0">
        <w:rPr>
          <w:iCs/>
        </w:rPr>
        <w:t xml:space="preserve"> </w:t>
      </w:r>
      <w:r w:rsidR="00C925B5" w:rsidRPr="008B02E0">
        <w:t xml:space="preserve">The ESC </w:t>
      </w:r>
      <w:r w:rsidR="00D01428" w:rsidRPr="008B02E0">
        <w:t xml:space="preserve">also </w:t>
      </w:r>
      <w:r w:rsidR="00831CC9" w:rsidRPr="008B02E0">
        <w:t xml:space="preserve">considered that a higher proportion of patients with </w:t>
      </w:r>
      <w:r w:rsidR="00163050" w:rsidRPr="008B02E0">
        <w:t>L</w:t>
      </w:r>
      <w:r w:rsidR="00831CC9" w:rsidRPr="008B02E0">
        <w:t xml:space="preserve">ynch syndrome in the trial </w:t>
      </w:r>
      <w:r w:rsidR="005F6908" w:rsidRPr="008B02E0">
        <w:t>may</w:t>
      </w:r>
      <w:r w:rsidR="00831CC9" w:rsidRPr="008B02E0">
        <w:t xml:space="preserve"> bias against nivolumab plus ipilimumab</w:t>
      </w:r>
      <w:r w:rsidR="005F6908" w:rsidRPr="008B02E0">
        <w:t xml:space="preserve">, given that these patients </w:t>
      </w:r>
      <w:r w:rsidR="00D01428" w:rsidRPr="008B02E0">
        <w:t xml:space="preserve">typically </w:t>
      </w:r>
      <w:r w:rsidR="005F6908" w:rsidRPr="008B02E0">
        <w:t>respond well to single agent therapy</w:t>
      </w:r>
      <w:r w:rsidR="00D01428" w:rsidRPr="008B02E0">
        <w:t>.</w:t>
      </w:r>
      <w:r w:rsidR="005F6908" w:rsidRPr="008B02E0">
        <w:t xml:space="preserve"> </w:t>
      </w:r>
      <w:r w:rsidR="00D01428" w:rsidRPr="008B02E0">
        <w:t>The ESC</w:t>
      </w:r>
      <w:r w:rsidR="00831CC9" w:rsidRPr="008B02E0">
        <w:t xml:space="preserve"> </w:t>
      </w:r>
      <w:r w:rsidR="00C925B5" w:rsidRPr="008B02E0">
        <w:t xml:space="preserve">considered </w:t>
      </w:r>
      <w:r w:rsidR="00D01428" w:rsidRPr="008B02E0">
        <w:t xml:space="preserve">that </w:t>
      </w:r>
      <w:r w:rsidR="00CB4209" w:rsidRPr="008B02E0">
        <w:t>the consideration of</w:t>
      </w:r>
      <w:r w:rsidR="00CB4209" w:rsidRPr="008B02E0">
        <w:rPr>
          <w:iCs/>
        </w:rPr>
        <w:t xml:space="preserve"> </w:t>
      </w:r>
      <w:r w:rsidR="00CB4209" w:rsidRPr="008B02E0">
        <w:t>BRAF/KRAS/NRAS mutation status would partially</w:t>
      </w:r>
      <w:r w:rsidR="00062105" w:rsidRPr="008B02E0">
        <w:t xml:space="preserve"> also</w:t>
      </w:r>
      <w:r w:rsidR="00CB4209" w:rsidRPr="008B02E0">
        <w:t xml:space="preserve"> account </w:t>
      </w:r>
      <w:r w:rsidR="0052423D" w:rsidRPr="008B02E0">
        <w:t>for lynch syndrome status</w:t>
      </w:r>
      <w:r w:rsidR="00D01428" w:rsidRPr="008B02E0">
        <w:t>, given that patients without the BRAF mutation are more likely to have lynch syndrome.</w:t>
      </w:r>
    </w:p>
    <w:p w14:paraId="518C989B" w14:textId="7AC54F85" w:rsidR="00EB6430" w:rsidRPr="008B02E0" w:rsidRDefault="00EB6430" w:rsidP="00AE5B32">
      <w:pPr>
        <w:pStyle w:val="ListParagraph"/>
        <w:ind w:left="1134"/>
        <w:rPr>
          <w:iCs/>
        </w:rPr>
      </w:pPr>
      <w:r w:rsidRPr="008B02E0">
        <w:rPr>
          <w:iCs/>
        </w:rPr>
        <w:t>By matching nivolumab plus ipilimumab IPD to pembrolizumab aggregate data, another implicit assumption was that the target population was closer to that represented in the KN</w:t>
      </w:r>
      <w:r w:rsidR="009E5502">
        <w:rPr>
          <w:iCs/>
        </w:rPr>
        <w:noBreakHyphen/>
      </w:r>
      <w:r w:rsidRPr="008B02E0">
        <w:rPr>
          <w:iCs/>
        </w:rPr>
        <w:t>177 than in CM</w:t>
      </w:r>
      <w:r w:rsidR="009E5502">
        <w:rPr>
          <w:iCs/>
        </w:rPr>
        <w:noBreakHyphen/>
      </w:r>
      <w:r w:rsidRPr="008B02E0">
        <w:rPr>
          <w:iCs/>
        </w:rPr>
        <w:t xml:space="preserve">8HW, which may not be true. </w:t>
      </w:r>
    </w:p>
    <w:p w14:paraId="19C751D8" w14:textId="77777777" w:rsidR="00EB6430" w:rsidRPr="008B02E0" w:rsidRDefault="00EB6430" w:rsidP="00AE5B32">
      <w:pPr>
        <w:pStyle w:val="4-SubsectionHeading"/>
      </w:pPr>
      <w:bookmarkStart w:id="59" w:name="_Toc22897642"/>
      <w:bookmarkStart w:id="60" w:name="_Toc197719841"/>
      <w:bookmarkStart w:id="61" w:name="_Toc198731745"/>
      <w:r w:rsidRPr="008B02E0">
        <w:t>Comparative harms</w:t>
      </w:r>
      <w:bookmarkEnd w:id="59"/>
      <w:bookmarkEnd w:id="60"/>
      <w:bookmarkEnd w:id="61"/>
    </w:p>
    <w:p w14:paraId="0E9B95A7" w14:textId="51B440D3" w:rsidR="00EB6430" w:rsidRPr="008B02E0" w:rsidRDefault="00EB6430" w:rsidP="00AE5B32">
      <w:pPr>
        <w:pStyle w:val="3-BodyText"/>
        <w:rPr>
          <w:color w:val="0066FF"/>
        </w:rPr>
      </w:pPr>
      <w:r w:rsidRPr="008B02E0">
        <w:t xml:space="preserve">The key </w:t>
      </w:r>
      <w:r w:rsidR="00E906CC" w:rsidRPr="008B02E0">
        <w:t>adverse events (</w:t>
      </w:r>
      <w:r w:rsidRPr="008B02E0">
        <w:t>AEs</w:t>
      </w:r>
      <w:r w:rsidR="00E906CC" w:rsidRPr="008B02E0">
        <w:t>)</w:t>
      </w:r>
      <w:r w:rsidRPr="008B02E0">
        <w:t xml:space="preserve"> from all studies and immune</w:t>
      </w:r>
      <w:r w:rsidR="009E5502">
        <w:noBreakHyphen/>
      </w:r>
      <w:r w:rsidRPr="008B02E0">
        <w:t xml:space="preserve">mediated AEs </w:t>
      </w:r>
      <w:r w:rsidR="00CD67B7" w:rsidRPr="008B02E0">
        <w:t xml:space="preserve">(IMAE) </w:t>
      </w:r>
      <w:r w:rsidRPr="008B02E0">
        <w:t>occurring in the CM</w:t>
      </w:r>
      <w:r w:rsidR="009E5502">
        <w:noBreakHyphen/>
      </w:r>
      <w:r w:rsidRPr="008B02E0">
        <w:t>8HW or KN</w:t>
      </w:r>
      <w:r w:rsidR="009E5502">
        <w:noBreakHyphen/>
      </w:r>
      <w:r w:rsidRPr="008B02E0">
        <w:t xml:space="preserve">177 are summarised in </w:t>
      </w:r>
      <w:r w:rsidR="008258C7">
        <w:fldChar w:fldCharType="begin"/>
      </w:r>
      <w:r w:rsidR="008258C7">
        <w:instrText xml:space="preserve"> REF _Ref197696446 </w:instrText>
      </w:r>
      <w:r w:rsidR="008258C7">
        <w:fldChar w:fldCharType="separate"/>
      </w:r>
      <w:r w:rsidR="00B542C9" w:rsidRPr="008B02E0">
        <w:t xml:space="preserve">Table </w:t>
      </w:r>
      <w:r w:rsidR="00B542C9">
        <w:rPr>
          <w:noProof/>
        </w:rPr>
        <w:t>7</w:t>
      </w:r>
      <w:r w:rsidR="008258C7">
        <w:rPr>
          <w:noProof/>
        </w:rPr>
        <w:fldChar w:fldCharType="end"/>
      </w:r>
      <w:r w:rsidRPr="008B02E0">
        <w:t xml:space="preserve"> and </w:t>
      </w:r>
      <w:r w:rsidR="008258C7">
        <w:fldChar w:fldCharType="begin"/>
      </w:r>
      <w:r w:rsidR="008258C7">
        <w:instrText xml:space="preserve"> REF _Ref197696453 </w:instrText>
      </w:r>
      <w:r w:rsidR="008258C7">
        <w:fldChar w:fldCharType="separate"/>
      </w:r>
      <w:r w:rsidR="00B542C9" w:rsidRPr="008B02E0">
        <w:t xml:space="preserve">Table </w:t>
      </w:r>
      <w:r w:rsidR="00B542C9">
        <w:rPr>
          <w:noProof/>
        </w:rPr>
        <w:t>8</w:t>
      </w:r>
      <w:r w:rsidR="008258C7">
        <w:rPr>
          <w:noProof/>
        </w:rPr>
        <w:fldChar w:fldCharType="end"/>
      </w:r>
      <w:r w:rsidRPr="008B02E0">
        <w:t xml:space="preserve">, </w:t>
      </w:r>
      <w:r w:rsidRPr="008B02E0">
        <w:lastRenderedPageBreak/>
        <w:t>respectively. In all included studies, the safety analysis cohorts included all</w:t>
      </w:r>
      <w:r w:rsidR="009E5502">
        <w:noBreakHyphen/>
      </w:r>
      <w:r w:rsidRPr="008B02E0">
        <w:t>treated study participants who received at least one dose of the study drug.</w:t>
      </w:r>
    </w:p>
    <w:p w14:paraId="01C8D467" w14:textId="22DEF84B" w:rsidR="00EB6430" w:rsidRPr="008B02E0" w:rsidRDefault="00EB6430" w:rsidP="00AE5B32">
      <w:pPr>
        <w:pStyle w:val="TableFigureHeading"/>
        <w:keepLines/>
        <w:rPr>
          <w:rStyle w:val="CommentReference"/>
          <w:b/>
          <w:szCs w:val="24"/>
        </w:rPr>
      </w:pPr>
      <w:bookmarkStart w:id="62" w:name="_Ref197696446"/>
      <w:r w:rsidRPr="008B02E0">
        <w:t xml:space="preserve">Table </w:t>
      </w:r>
      <w:r w:rsidR="008258C7">
        <w:fldChar w:fldCharType="begin"/>
      </w:r>
      <w:r w:rsidR="008258C7">
        <w:instrText xml:space="preserve"> SEQ Table \* ARABIC </w:instrText>
      </w:r>
      <w:r w:rsidR="008258C7">
        <w:fldChar w:fldCharType="separate"/>
      </w:r>
      <w:r w:rsidR="00B542C9">
        <w:rPr>
          <w:noProof/>
        </w:rPr>
        <w:t>7</w:t>
      </w:r>
      <w:r w:rsidR="008258C7">
        <w:rPr>
          <w:noProof/>
        </w:rPr>
        <w:fldChar w:fldCharType="end"/>
      </w:r>
      <w:bookmarkEnd w:id="62"/>
      <w:r w:rsidRPr="008B02E0">
        <w:t xml:space="preserve">: </w:t>
      </w:r>
      <w:r w:rsidRPr="008B02E0">
        <w:rPr>
          <w:rStyle w:val="CommentReference"/>
          <w:b/>
          <w:szCs w:val="24"/>
        </w:rPr>
        <w:t>Summary of adverse events in the studies</w:t>
      </w:r>
    </w:p>
    <w:tbl>
      <w:tblPr>
        <w:tblStyle w:val="PBAClayout"/>
        <w:tblW w:w="0" w:type="auto"/>
        <w:tblLayout w:type="fixed"/>
        <w:tblLook w:val="04A0" w:firstRow="1" w:lastRow="0" w:firstColumn="1" w:lastColumn="0" w:noHBand="0" w:noVBand="1"/>
        <w:tblCaption w:val="Table 7: Summary of adverse events in the studies"/>
      </w:tblPr>
      <w:tblGrid>
        <w:gridCol w:w="1980"/>
        <w:gridCol w:w="992"/>
        <w:gridCol w:w="851"/>
        <w:gridCol w:w="992"/>
        <w:gridCol w:w="992"/>
        <w:gridCol w:w="851"/>
        <w:gridCol w:w="992"/>
        <w:gridCol w:w="1367"/>
      </w:tblGrid>
      <w:tr w:rsidR="00EB6430" w:rsidRPr="008B02E0" w14:paraId="7E3968F7" w14:textId="77777777" w:rsidTr="00D17F3A">
        <w:trPr>
          <w:tblHeader/>
        </w:trPr>
        <w:tc>
          <w:tcPr>
            <w:tcW w:w="1980" w:type="dxa"/>
          </w:tcPr>
          <w:p w14:paraId="108937C1" w14:textId="77777777" w:rsidR="00EB6430" w:rsidRPr="008B02E0" w:rsidRDefault="00EB6430" w:rsidP="00AE5B32">
            <w:pPr>
              <w:pStyle w:val="In-tableHeading"/>
              <w:keepLines/>
              <w:rPr>
                <w:rStyle w:val="CommentReference"/>
                <w:b/>
                <w:szCs w:val="24"/>
                <w:lang w:val="en-AU"/>
              </w:rPr>
            </w:pPr>
            <w:r w:rsidRPr="008B02E0">
              <w:rPr>
                <w:rStyle w:val="CommentReference"/>
                <w:b/>
                <w:szCs w:val="24"/>
                <w:lang w:val="en-AU"/>
              </w:rPr>
              <w:t>AE</w:t>
            </w:r>
          </w:p>
        </w:tc>
        <w:tc>
          <w:tcPr>
            <w:tcW w:w="1843" w:type="dxa"/>
            <w:gridSpan w:val="2"/>
          </w:tcPr>
          <w:p w14:paraId="7B2CB3C4" w14:textId="4D28B263"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CM</w:t>
            </w:r>
            <w:r w:rsidR="009E5502">
              <w:rPr>
                <w:rStyle w:val="CommentReference"/>
                <w:b/>
                <w:szCs w:val="24"/>
                <w:lang w:val="en-AU"/>
              </w:rPr>
              <w:noBreakHyphen/>
            </w:r>
            <w:r w:rsidRPr="008B02E0">
              <w:rPr>
                <w:rStyle w:val="CommentReference"/>
                <w:b/>
                <w:szCs w:val="24"/>
                <w:lang w:val="en-AU"/>
              </w:rPr>
              <w:t>8HW 1L</w:t>
            </w:r>
          </w:p>
        </w:tc>
        <w:tc>
          <w:tcPr>
            <w:tcW w:w="1984" w:type="dxa"/>
            <w:gridSpan w:val="2"/>
          </w:tcPr>
          <w:p w14:paraId="7CF95013" w14:textId="7F557CB6"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KN</w:t>
            </w:r>
            <w:r w:rsidR="009E5502">
              <w:rPr>
                <w:rStyle w:val="CommentReference"/>
                <w:b/>
                <w:szCs w:val="24"/>
                <w:lang w:val="en-AU"/>
              </w:rPr>
              <w:noBreakHyphen/>
            </w:r>
            <w:r w:rsidRPr="008B02E0">
              <w:rPr>
                <w:rStyle w:val="CommentReference"/>
                <w:b/>
                <w:szCs w:val="24"/>
                <w:lang w:val="en-AU"/>
              </w:rPr>
              <w:t>177</w:t>
            </w:r>
          </w:p>
        </w:tc>
        <w:tc>
          <w:tcPr>
            <w:tcW w:w="1843" w:type="dxa"/>
            <w:gridSpan w:val="2"/>
          </w:tcPr>
          <w:p w14:paraId="0381DC12" w14:textId="0BF73A7D"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CM</w:t>
            </w:r>
            <w:r w:rsidR="009E5502">
              <w:rPr>
                <w:rStyle w:val="CommentReference"/>
                <w:b/>
                <w:szCs w:val="24"/>
                <w:lang w:val="en-AU"/>
              </w:rPr>
              <w:noBreakHyphen/>
            </w:r>
            <w:r w:rsidRPr="008B02E0">
              <w:rPr>
                <w:rStyle w:val="CommentReference"/>
                <w:b/>
                <w:szCs w:val="24"/>
                <w:lang w:val="en-AU"/>
              </w:rPr>
              <w:t>8HW 1L+</w:t>
            </w:r>
          </w:p>
        </w:tc>
        <w:tc>
          <w:tcPr>
            <w:tcW w:w="1367" w:type="dxa"/>
          </w:tcPr>
          <w:p w14:paraId="27E4590F" w14:textId="5426903E" w:rsidR="00EB6430" w:rsidRPr="008B02E0" w:rsidRDefault="00EB6430" w:rsidP="00AE5B32">
            <w:pPr>
              <w:pStyle w:val="In-tableHeading"/>
              <w:keepLines/>
              <w:jc w:val="center"/>
              <w:rPr>
                <w:rStyle w:val="CommentReference"/>
                <w:b/>
                <w:iCs/>
                <w:szCs w:val="24"/>
                <w:lang w:val="en-AU"/>
              </w:rPr>
            </w:pPr>
            <w:r w:rsidRPr="008B02E0">
              <w:rPr>
                <w:rStyle w:val="CommentReference"/>
                <w:b/>
                <w:iCs/>
                <w:szCs w:val="24"/>
                <w:lang w:val="en-AU"/>
              </w:rPr>
              <w:t>CM</w:t>
            </w:r>
            <w:r w:rsidR="009E5502">
              <w:rPr>
                <w:rStyle w:val="CommentReference"/>
                <w:b/>
                <w:iCs/>
                <w:szCs w:val="24"/>
                <w:lang w:val="en-AU"/>
              </w:rPr>
              <w:noBreakHyphen/>
            </w:r>
            <w:r w:rsidRPr="008B02E0">
              <w:rPr>
                <w:rStyle w:val="CommentReference"/>
                <w:b/>
                <w:iCs/>
                <w:szCs w:val="24"/>
                <w:lang w:val="en-AU"/>
              </w:rPr>
              <w:t>142 Cohort 3</w:t>
            </w:r>
          </w:p>
        </w:tc>
      </w:tr>
      <w:tr w:rsidR="00EB6430" w:rsidRPr="008B02E0" w14:paraId="758B099B" w14:textId="77777777" w:rsidTr="00D17F3A">
        <w:trPr>
          <w:tblHeader/>
        </w:trPr>
        <w:tc>
          <w:tcPr>
            <w:tcW w:w="1980" w:type="dxa"/>
          </w:tcPr>
          <w:p w14:paraId="7B7CC7BC" w14:textId="77777777" w:rsidR="00EB6430" w:rsidRPr="008B02E0" w:rsidRDefault="00EB6430" w:rsidP="00AE5B32">
            <w:pPr>
              <w:pStyle w:val="In-tableHeading"/>
              <w:keepLines/>
              <w:rPr>
                <w:rStyle w:val="CommentReference"/>
                <w:b/>
                <w:szCs w:val="24"/>
                <w:lang w:val="en-AU"/>
              </w:rPr>
            </w:pPr>
          </w:p>
        </w:tc>
        <w:tc>
          <w:tcPr>
            <w:tcW w:w="992" w:type="dxa"/>
          </w:tcPr>
          <w:p w14:paraId="7D0768CF"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NIVO+IPI</w:t>
            </w:r>
          </w:p>
          <w:p w14:paraId="204CD499"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N=200</w:t>
            </w:r>
          </w:p>
        </w:tc>
        <w:tc>
          <w:tcPr>
            <w:tcW w:w="851" w:type="dxa"/>
          </w:tcPr>
          <w:p w14:paraId="3E84ADC0"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Chemo</w:t>
            </w:r>
          </w:p>
          <w:p w14:paraId="030A7320"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N=88</w:t>
            </w:r>
          </w:p>
        </w:tc>
        <w:tc>
          <w:tcPr>
            <w:tcW w:w="992" w:type="dxa"/>
          </w:tcPr>
          <w:p w14:paraId="42EF33F8"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Pembro</w:t>
            </w:r>
          </w:p>
          <w:p w14:paraId="6DA9846A"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N=153</w:t>
            </w:r>
          </w:p>
        </w:tc>
        <w:tc>
          <w:tcPr>
            <w:tcW w:w="992" w:type="dxa"/>
          </w:tcPr>
          <w:p w14:paraId="1B49C6C1"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Chemo</w:t>
            </w:r>
          </w:p>
          <w:p w14:paraId="785A917B"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N=143</w:t>
            </w:r>
          </w:p>
        </w:tc>
        <w:tc>
          <w:tcPr>
            <w:tcW w:w="851" w:type="dxa"/>
          </w:tcPr>
          <w:p w14:paraId="458C24CD"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NIVO+IPI</w:t>
            </w:r>
          </w:p>
          <w:p w14:paraId="2C6CB5E6"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N=352</w:t>
            </w:r>
          </w:p>
        </w:tc>
        <w:tc>
          <w:tcPr>
            <w:tcW w:w="992" w:type="dxa"/>
          </w:tcPr>
          <w:p w14:paraId="618B01D5"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NIVO</w:t>
            </w:r>
          </w:p>
          <w:p w14:paraId="2CD23AF2" w14:textId="77777777" w:rsidR="00EB6430" w:rsidRPr="008B02E0" w:rsidRDefault="00EB6430" w:rsidP="00AE5B32">
            <w:pPr>
              <w:pStyle w:val="In-tableHeading"/>
              <w:keepLines/>
              <w:jc w:val="center"/>
              <w:rPr>
                <w:rStyle w:val="CommentReference"/>
                <w:b/>
                <w:szCs w:val="24"/>
                <w:lang w:val="en-AU"/>
              </w:rPr>
            </w:pPr>
            <w:r w:rsidRPr="008B02E0">
              <w:rPr>
                <w:rStyle w:val="CommentReference"/>
                <w:b/>
                <w:szCs w:val="24"/>
                <w:lang w:val="en-AU"/>
              </w:rPr>
              <w:t>N=351</w:t>
            </w:r>
          </w:p>
        </w:tc>
        <w:tc>
          <w:tcPr>
            <w:tcW w:w="1367" w:type="dxa"/>
          </w:tcPr>
          <w:p w14:paraId="182C2557" w14:textId="77777777" w:rsidR="00EB6430" w:rsidRPr="008B02E0" w:rsidRDefault="00EB6430" w:rsidP="00AE5B32">
            <w:pPr>
              <w:pStyle w:val="In-tableHeading"/>
              <w:keepLines/>
              <w:jc w:val="center"/>
              <w:rPr>
                <w:rStyle w:val="CommentReference"/>
                <w:b/>
                <w:iCs/>
                <w:szCs w:val="24"/>
                <w:lang w:val="en-AU"/>
              </w:rPr>
            </w:pPr>
            <w:r w:rsidRPr="008B02E0">
              <w:rPr>
                <w:rStyle w:val="CommentReference"/>
                <w:b/>
                <w:iCs/>
                <w:szCs w:val="24"/>
                <w:lang w:val="en-AU"/>
              </w:rPr>
              <w:t>NIVO+IPI</w:t>
            </w:r>
          </w:p>
          <w:p w14:paraId="70A142C2" w14:textId="77777777" w:rsidR="00EB6430" w:rsidRPr="008B02E0" w:rsidRDefault="00EB6430" w:rsidP="00AE5B32">
            <w:pPr>
              <w:pStyle w:val="In-tableHeading"/>
              <w:keepLines/>
              <w:jc w:val="center"/>
              <w:rPr>
                <w:rStyle w:val="CommentReference"/>
                <w:b/>
                <w:i/>
                <w:iCs/>
                <w:szCs w:val="24"/>
                <w:lang w:val="en-AU"/>
              </w:rPr>
            </w:pPr>
            <w:r w:rsidRPr="008B02E0">
              <w:rPr>
                <w:rStyle w:val="CommentReference"/>
                <w:b/>
                <w:iCs/>
                <w:szCs w:val="24"/>
                <w:lang w:val="en-AU"/>
              </w:rPr>
              <w:t>N=45</w:t>
            </w:r>
          </w:p>
        </w:tc>
      </w:tr>
      <w:tr w:rsidR="00EB6430" w:rsidRPr="008B02E0" w14:paraId="5DDBFB9D" w14:textId="77777777" w:rsidTr="00D17F3A">
        <w:tc>
          <w:tcPr>
            <w:tcW w:w="1980" w:type="dxa"/>
          </w:tcPr>
          <w:p w14:paraId="71FC6655" w14:textId="77777777" w:rsidR="00EB6430" w:rsidRPr="008B02E0" w:rsidRDefault="00EB6430" w:rsidP="00AE5B32">
            <w:pPr>
              <w:pStyle w:val="TableText0"/>
              <w:keepLines/>
              <w:rPr>
                <w:rStyle w:val="CommentReference"/>
                <w:bCs w:val="0"/>
                <w:szCs w:val="24"/>
              </w:rPr>
            </w:pPr>
            <w:r w:rsidRPr="008B02E0">
              <w:rPr>
                <w:rStyle w:val="CommentReference"/>
                <w:bCs w:val="0"/>
                <w:szCs w:val="24"/>
              </w:rPr>
              <w:t>Any AE</w:t>
            </w:r>
          </w:p>
        </w:tc>
        <w:tc>
          <w:tcPr>
            <w:tcW w:w="992" w:type="dxa"/>
          </w:tcPr>
          <w:p w14:paraId="7AEEC1C9" w14:textId="77777777" w:rsidR="00EB6430" w:rsidRPr="008B02E0" w:rsidRDefault="00EB6430" w:rsidP="00AE5B32">
            <w:pPr>
              <w:pStyle w:val="TableText0"/>
              <w:keepLines/>
              <w:jc w:val="center"/>
              <w:rPr>
                <w:rStyle w:val="CommentReference"/>
                <w:b w:val="0"/>
                <w:szCs w:val="24"/>
              </w:rPr>
            </w:pPr>
            <w:r w:rsidRPr="008B02E0">
              <w:t>197 (99%)</w:t>
            </w:r>
          </w:p>
        </w:tc>
        <w:tc>
          <w:tcPr>
            <w:tcW w:w="851" w:type="dxa"/>
          </w:tcPr>
          <w:p w14:paraId="348D466A" w14:textId="77777777" w:rsidR="00EB6430" w:rsidRPr="008B02E0" w:rsidRDefault="00EB6430" w:rsidP="00AE5B32">
            <w:pPr>
              <w:pStyle w:val="TableText0"/>
              <w:keepLines/>
              <w:jc w:val="center"/>
              <w:rPr>
                <w:rStyle w:val="CommentReference"/>
                <w:b w:val="0"/>
                <w:szCs w:val="24"/>
              </w:rPr>
            </w:pPr>
            <w:r w:rsidRPr="008B02E0">
              <w:t>86 (98%)</w:t>
            </w:r>
          </w:p>
        </w:tc>
        <w:tc>
          <w:tcPr>
            <w:tcW w:w="992" w:type="dxa"/>
          </w:tcPr>
          <w:p w14:paraId="2AD316DE" w14:textId="77777777" w:rsidR="00EB6430" w:rsidRPr="008B02E0" w:rsidRDefault="00EB6430" w:rsidP="00AE5B32">
            <w:pPr>
              <w:pStyle w:val="TableText0"/>
              <w:keepLines/>
              <w:jc w:val="center"/>
              <w:rPr>
                <w:rStyle w:val="CommentReference"/>
                <w:b w:val="0"/>
                <w:szCs w:val="24"/>
              </w:rPr>
            </w:pPr>
            <w:r w:rsidRPr="008B02E0">
              <w:t>149 (97%)</w:t>
            </w:r>
          </w:p>
        </w:tc>
        <w:tc>
          <w:tcPr>
            <w:tcW w:w="992" w:type="dxa"/>
          </w:tcPr>
          <w:p w14:paraId="7F210BA0" w14:textId="77777777" w:rsidR="00EB6430" w:rsidRPr="008B02E0" w:rsidRDefault="00EB6430" w:rsidP="00AE5B32">
            <w:pPr>
              <w:pStyle w:val="TableText0"/>
              <w:keepLines/>
              <w:jc w:val="center"/>
              <w:rPr>
                <w:rStyle w:val="CommentReference"/>
                <w:b w:val="0"/>
                <w:szCs w:val="24"/>
              </w:rPr>
            </w:pPr>
            <w:r w:rsidRPr="008B02E0">
              <w:t>142 (90%)</w:t>
            </w:r>
          </w:p>
        </w:tc>
        <w:tc>
          <w:tcPr>
            <w:tcW w:w="851" w:type="dxa"/>
          </w:tcPr>
          <w:p w14:paraId="31C7F62E"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349 (99%)</w:t>
            </w:r>
          </w:p>
        </w:tc>
        <w:tc>
          <w:tcPr>
            <w:tcW w:w="992" w:type="dxa"/>
          </w:tcPr>
          <w:p w14:paraId="5F3C22B1"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336 (96%)</w:t>
            </w:r>
          </w:p>
        </w:tc>
        <w:tc>
          <w:tcPr>
            <w:tcW w:w="1367" w:type="dxa"/>
          </w:tcPr>
          <w:p w14:paraId="210BD44B"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r>
      <w:tr w:rsidR="00EB6430" w:rsidRPr="008B02E0" w14:paraId="451BC727" w14:textId="77777777" w:rsidTr="00D17F3A">
        <w:tc>
          <w:tcPr>
            <w:tcW w:w="1980" w:type="dxa"/>
          </w:tcPr>
          <w:p w14:paraId="5B50A2FB" w14:textId="77777777" w:rsidR="00EB6430" w:rsidRPr="008B02E0" w:rsidRDefault="00EB6430" w:rsidP="00AE5B32">
            <w:pPr>
              <w:pStyle w:val="TableText0"/>
              <w:keepLines/>
              <w:ind w:left="170"/>
              <w:rPr>
                <w:rStyle w:val="CommentReference"/>
                <w:b w:val="0"/>
                <w:szCs w:val="24"/>
              </w:rPr>
            </w:pPr>
            <w:r w:rsidRPr="008B02E0">
              <w:rPr>
                <w:rStyle w:val="CommentReference"/>
                <w:b w:val="0"/>
                <w:szCs w:val="24"/>
              </w:rPr>
              <w:t>Study drug related</w:t>
            </w:r>
          </w:p>
        </w:tc>
        <w:tc>
          <w:tcPr>
            <w:tcW w:w="992" w:type="dxa"/>
          </w:tcPr>
          <w:p w14:paraId="3F895512" w14:textId="77777777" w:rsidR="00EB6430" w:rsidRPr="008B02E0" w:rsidRDefault="00EB6430" w:rsidP="00AE5B32">
            <w:pPr>
              <w:pStyle w:val="TableText0"/>
              <w:keepLines/>
              <w:jc w:val="center"/>
              <w:rPr>
                <w:rStyle w:val="CommentReference"/>
                <w:b w:val="0"/>
                <w:szCs w:val="24"/>
              </w:rPr>
            </w:pPr>
            <w:r w:rsidRPr="008B02E0">
              <w:t>160 (80%)</w:t>
            </w:r>
          </w:p>
        </w:tc>
        <w:tc>
          <w:tcPr>
            <w:tcW w:w="851" w:type="dxa"/>
          </w:tcPr>
          <w:p w14:paraId="12915DDF" w14:textId="77777777" w:rsidR="00EB6430" w:rsidRPr="008B02E0" w:rsidRDefault="00EB6430" w:rsidP="00AE5B32">
            <w:pPr>
              <w:pStyle w:val="TableText0"/>
              <w:keepLines/>
              <w:jc w:val="center"/>
              <w:rPr>
                <w:rStyle w:val="CommentReference"/>
                <w:b w:val="0"/>
                <w:szCs w:val="24"/>
              </w:rPr>
            </w:pPr>
            <w:r w:rsidRPr="008B02E0">
              <w:t>83 (94%)</w:t>
            </w:r>
          </w:p>
        </w:tc>
        <w:tc>
          <w:tcPr>
            <w:tcW w:w="992" w:type="dxa"/>
          </w:tcPr>
          <w:p w14:paraId="6DCAEEAE" w14:textId="77777777" w:rsidR="00EB6430" w:rsidRPr="008B02E0" w:rsidRDefault="00EB6430" w:rsidP="00AE5B32">
            <w:pPr>
              <w:pStyle w:val="TableText0"/>
              <w:keepLines/>
              <w:jc w:val="center"/>
              <w:rPr>
                <w:rStyle w:val="CommentReference"/>
                <w:b w:val="0"/>
                <w:szCs w:val="24"/>
              </w:rPr>
            </w:pPr>
            <w:r w:rsidRPr="008B02E0">
              <w:t>122 (80%)</w:t>
            </w:r>
          </w:p>
        </w:tc>
        <w:tc>
          <w:tcPr>
            <w:tcW w:w="992" w:type="dxa"/>
          </w:tcPr>
          <w:p w14:paraId="1D336BAB" w14:textId="77777777" w:rsidR="00EB6430" w:rsidRPr="008B02E0" w:rsidRDefault="00EB6430" w:rsidP="00AE5B32">
            <w:pPr>
              <w:pStyle w:val="TableText0"/>
              <w:keepLines/>
              <w:jc w:val="center"/>
              <w:rPr>
                <w:rStyle w:val="CommentReference"/>
                <w:b w:val="0"/>
                <w:szCs w:val="24"/>
              </w:rPr>
            </w:pPr>
            <w:r w:rsidRPr="008B02E0">
              <w:t>141 (99%)</w:t>
            </w:r>
          </w:p>
        </w:tc>
        <w:tc>
          <w:tcPr>
            <w:tcW w:w="851" w:type="dxa"/>
          </w:tcPr>
          <w:p w14:paraId="58B64CAC"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285 (81%)</w:t>
            </w:r>
          </w:p>
        </w:tc>
        <w:tc>
          <w:tcPr>
            <w:tcW w:w="992" w:type="dxa"/>
          </w:tcPr>
          <w:p w14:paraId="64A83C3F"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249 (71%)</w:t>
            </w:r>
          </w:p>
        </w:tc>
        <w:tc>
          <w:tcPr>
            <w:tcW w:w="1367" w:type="dxa"/>
          </w:tcPr>
          <w:p w14:paraId="251C2DF5"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36 (80%)</w:t>
            </w:r>
          </w:p>
        </w:tc>
      </w:tr>
      <w:tr w:rsidR="00EB6430" w:rsidRPr="008B02E0" w14:paraId="73BF35EF" w14:textId="77777777" w:rsidTr="00D17F3A">
        <w:tc>
          <w:tcPr>
            <w:tcW w:w="1980" w:type="dxa"/>
          </w:tcPr>
          <w:p w14:paraId="55B3F104" w14:textId="77777777" w:rsidR="00EB6430" w:rsidRPr="008B02E0" w:rsidRDefault="00EB6430" w:rsidP="00AE5B32">
            <w:pPr>
              <w:pStyle w:val="TableText0"/>
              <w:keepLines/>
              <w:ind w:left="170"/>
              <w:rPr>
                <w:rStyle w:val="CommentReference"/>
                <w:b w:val="0"/>
                <w:szCs w:val="24"/>
              </w:rPr>
            </w:pPr>
            <w:r w:rsidRPr="008B02E0">
              <w:rPr>
                <w:rStyle w:val="CommentReference"/>
                <w:b w:val="0"/>
                <w:szCs w:val="24"/>
              </w:rPr>
              <w:t>≥Grade 3</w:t>
            </w:r>
          </w:p>
        </w:tc>
        <w:tc>
          <w:tcPr>
            <w:tcW w:w="992" w:type="dxa"/>
          </w:tcPr>
          <w:p w14:paraId="73321C16" w14:textId="77777777" w:rsidR="00EB6430" w:rsidRPr="008B02E0" w:rsidRDefault="00EB6430" w:rsidP="00AE5B32">
            <w:pPr>
              <w:pStyle w:val="TableText0"/>
              <w:keepLines/>
              <w:jc w:val="center"/>
              <w:rPr>
                <w:rStyle w:val="CommentReference"/>
                <w:b w:val="0"/>
                <w:szCs w:val="24"/>
              </w:rPr>
            </w:pPr>
            <w:r w:rsidRPr="008B02E0">
              <w:t>96 (48%)</w:t>
            </w:r>
          </w:p>
        </w:tc>
        <w:tc>
          <w:tcPr>
            <w:tcW w:w="851" w:type="dxa"/>
          </w:tcPr>
          <w:p w14:paraId="646C7EF0" w14:textId="77777777" w:rsidR="00EB6430" w:rsidRPr="008B02E0" w:rsidRDefault="00EB6430" w:rsidP="00AE5B32">
            <w:pPr>
              <w:pStyle w:val="TableText0"/>
              <w:keepLines/>
              <w:jc w:val="center"/>
              <w:rPr>
                <w:rStyle w:val="CommentReference"/>
                <w:b w:val="0"/>
                <w:szCs w:val="24"/>
              </w:rPr>
            </w:pPr>
            <w:r w:rsidRPr="008B02E0">
              <w:t>59 (67%)</w:t>
            </w:r>
          </w:p>
        </w:tc>
        <w:tc>
          <w:tcPr>
            <w:tcW w:w="992" w:type="dxa"/>
          </w:tcPr>
          <w:p w14:paraId="314E9C46"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c>
          <w:tcPr>
            <w:tcW w:w="992" w:type="dxa"/>
          </w:tcPr>
          <w:p w14:paraId="2FCDF02A"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c>
          <w:tcPr>
            <w:tcW w:w="851" w:type="dxa"/>
          </w:tcPr>
          <w:p w14:paraId="0A8340B8"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184 (52%)</w:t>
            </w:r>
          </w:p>
        </w:tc>
        <w:tc>
          <w:tcPr>
            <w:tcW w:w="992" w:type="dxa"/>
          </w:tcPr>
          <w:p w14:paraId="685694EE"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161 (46%)</w:t>
            </w:r>
          </w:p>
        </w:tc>
        <w:tc>
          <w:tcPr>
            <w:tcW w:w="1367" w:type="dxa"/>
          </w:tcPr>
          <w:p w14:paraId="5C9C503E"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r>
      <w:tr w:rsidR="00EB6430" w:rsidRPr="008B02E0" w14:paraId="306890FE" w14:textId="77777777" w:rsidTr="00D17F3A">
        <w:tc>
          <w:tcPr>
            <w:tcW w:w="1980" w:type="dxa"/>
          </w:tcPr>
          <w:p w14:paraId="098502BF" w14:textId="77777777" w:rsidR="00EB6430" w:rsidRPr="008B02E0" w:rsidRDefault="00EB6430" w:rsidP="00AE5B32">
            <w:pPr>
              <w:pStyle w:val="TableText0"/>
              <w:keepLines/>
              <w:ind w:left="170"/>
              <w:rPr>
                <w:rStyle w:val="CommentReference"/>
                <w:b w:val="0"/>
                <w:szCs w:val="24"/>
              </w:rPr>
            </w:pPr>
            <w:r w:rsidRPr="008B02E0">
              <w:rPr>
                <w:rStyle w:val="CommentReference"/>
                <w:b w:val="0"/>
                <w:szCs w:val="24"/>
              </w:rPr>
              <w:t>≥Grade 3 drug related</w:t>
            </w:r>
          </w:p>
        </w:tc>
        <w:tc>
          <w:tcPr>
            <w:tcW w:w="992" w:type="dxa"/>
          </w:tcPr>
          <w:p w14:paraId="4EC702AC" w14:textId="77777777" w:rsidR="00EB6430" w:rsidRPr="008B02E0" w:rsidRDefault="00EB6430" w:rsidP="00AE5B32">
            <w:pPr>
              <w:pStyle w:val="TableText0"/>
              <w:keepLines/>
              <w:jc w:val="center"/>
            </w:pPr>
            <w:r w:rsidRPr="008B02E0">
              <w:t>46 (23%)</w:t>
            </w:r>
          </w:p>
        </w:tc>
        <w:tc>
          <w:tcPr>
            <w:tcW w:w="851" w:type="dxa"/>
          </w:tcPr>
          <w:p w14:paraId="43BE5D8C" w14:textId="77777777" w:rsidR="00EB6430" w:rsidRPr="008B02E0" w:rsidRDefault="00EB6430" w:rsidP="00AE5B32">
            <w:pPr>
              <w:pStyle w:val="TableText0"/>
              <w:keepLines/>
              <w:jc w:val="center"/>
            </w:pPr>
            <w:r w:rsidRPr="008B02E0">
              <w:t>42 (48%)</w:t>
            </w:r>
          </w:p>
        </w:tc>
        <w:tc>
          <w:tcPr>
            <w:tcW w:w="992" w:type="dxa"/>
          </w:tcPr>
          <w:p w14:paraId="79178E43" w14:textId="77777777" w:rsidR="00EB6430" w:rsidRPr="008B02E0" w:rsidRDefault="00EB6430" w:rsidP="00AE5B32">
            <w:pPr>
              <w:pStyle w:val="TableText0"/>
              <w:keepLines/>
              <w:jc w:val="center"/>
              <w:rPr>
                <w:rStyle w:val="CommentReference"/>
                <w:b w:val="0"/>
                <w:szCs w:val="24"/>
              </w:rPr>
            </w:pPr>
            <w:r w:rsidRPr="008B02E0">
              <w:t>33 (22%)</w:t>
            </w:r>
          </w:p>
        </w:tc>
        <w:tc>
          <w:tcPr>
            <w:tcW w:w="992" w:type="dxa"/>
          </w:tcPr>
          <w:p w14:paraId="17B98858" w14:textId="77777777" w:rsidR="00EB6430" w:rsidRPr="008B02E0" w:rsidRDefault="00EB6430" w:rsidP="00AE5B32">
            <w:pPr>
              <w:pStyle w:val="TableText0"/>
              <w:keepLines/>
              <w:jc w:val="center"/>
              <w:rPr>
                <w:rStyle w:val="CommentReference"/>
                <w:b w:val="0"/>
                <w:szCs w:val="24"/>
              </w:rPr>
            </w:pPr>
            <w:r w:rsidRPr="008B02E0">
              <w:t>96 (67%)</w:t>
            </w:r>
          </w:p>
        </w:tc>
        <w:tc>
          <w:tcPr>
            <w:tcW w:w="851" w:type="dxa"/>
          </w:tcPr>
          <w:p w14:paraId="43B04FF1"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78 (22%)</w:t>
            </w:r>
          </w:p>
        </w:tc>
        <w:tc>
          <w:tcPr>
            <w:tcW w:w="992" w:type="dxa"/>
          </w:tcPr>
          <w:p w14:paraId="5DF79E53"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50 (14%)</w:t>
            </w:r>
          </w:p>
        </w:tc>
        <w:tc>
          <w:tcPr>
            <w:tcW w:w="1367" w:type="dxa"/>
          </w:tcPr>
          <w:p w14:paraId="7F81C4D1"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r>
      <w:tr w:rsidR="00EB6430" w:rsidRPr="008B02E0" w14:paraId="42020FA8" w14:textId="77777777" w:rsidTr="00D17F3A">
        <w:tc>
          <w:tcPr>
            <w:tcW w:w="1980" w:type="dxa"/>
          </w:tcPr>
          <w:p w14:paraId="368F3EE9" w14:textId="28B07ABC" w:rsidR="00EB6430" w:rsidRPr="008B02E0" w:rsidRDefault="00EB6430" w:rsidP="00AE5B32">
            <w:pPr>
              <w:pStyle w:val="TableText0"/>
              <w:keepLines/>
              <w:rPr>
                <w:rStyle w:val="CommentReference"/>
                <w:b w:val="0"/>
                <w:szCs w:val="24"/>
              </w:rPr>
            </w:pPr>
            <w:r w:rsidRPr="008B02E0">
              <w:rPr>
                <w:rStyle w:val="CommentReference"/>
                <w:b w:val="0"/>
                <w:szCs w:val="24"/>
              </w:rPr>
              <w:t>AE resulting in t</w:t>
            </w:r>
            <w:r w:rsidR="005325D8" w:rsidRPr="008B02E0">
              <w:rPr>
                <w:rStyle w:val="CommentReference"/>
                <w:b w:val="0"/>
                <w:szCs w:val="24"/>
              </w:rPr>
              <w:t>reatment</w:t>
            </w:r>
            <w:r w:rsidRPr="008B02E0">
              <w:rPr>
                <w:rStyle w:val="CommentReference"/>
                <w:b w:val="0"/>
                <w:szCs w:val="24"/>
              </w:rPr>
              <w:t xml:space="preserve"> discontinuation</w:t>
            </w:r>
          </w:p>
        </w:tc>
        <w:tc>
          <w:tcPr>
            <w:tcW w:w="992" w:type="dxa"/>
          </w:tcPr>
          <w:p w14:paraId="306D33EE" w14:textId="77777777" w:rsidR="00EB6430" w:rsidRPr="008B02E0" w:rsidRDefault="00EB6430" w:rsidP="00AE5B32">
            <w:pPr>
              <w:pStyle w:val="TableText0"/>
              <w:keepLines/>
              <w:jc w:val="center"/>
              <w:rPr>
                <w:rStyle w:val="CommentReference"/>
                <w:b w:val="0"/>
                <w:szCs w:val="24"/>
              </w:rPr>
            </w:pPr>
            <w:r w:rsidRPr="008B02E0">
              <w:t>40 (20%)</w:t>
            </w:r>
          </w:p>
        </w:tc>
        <w:tc>
          <w:tcPr>
            <w:tcW w:w="851" w:type="dxa"/>
          </w:tcPr>
          <w:p w14:paraId="686E0FA5" w14:textId="77777777" w:rsidR="00EB6430" w:rsidRPr="008B02E0" w:rsidRDefault="00EB6430" w:rsidP="00AE5B32">
            <w:pPr>
              <w:pStyle w:val="TableText0"/>
              <w:keepLines/>
              <w:jc w:val="center"/>
              <w:rPr>
                <w:rStyle w:val="CommentReference"/>
                <w:b w:val="0"/>
                <w:szCs w:val="24"/>
              </w:rPr>
            </w:pPr>
            <w:r w:rsidRPr="008B02E0">
              <w:t>35 (40%)</w:t>
            </w:r>
          </w:p>
        </w:tc>
        <w:tc>
          <w:tcPr>
            <w:tcW w:w="992" w:type="dxa"/>
          </w:tcPr>
          <w:p w14:paraId="615B1324"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c>
          <w:tcPr>
            <w:tcW w:w="992" w:type="dxa"/>
          </w:tcPr>
          <w:p w14:paraId="7DFA42FC"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NR</w:t>
            </w:r>
          </w:p>
        </w:tc>
        <w:tc>
          <w:tcPr>
            <w:tcW w:w="851" w:type="dxa"/>
          </w:tcPr>
          <w:p w14:paraId="04E8C7DE"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66 (19%)</w:t>
            </w:r>
          </w:p>
        </w:tc>
        <w:tc>
          <w:tcPr>
            <w:tcW w:w="992" w:type="dxa"/>
          </w:tcPr>
          <w:p w14:paraId="71484F1C"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45 (13%)</w:t>
            </w:r>
          </w:p>
        </w:tc>
        <w:tc>
          <w:tcPr>
            <w:tcW w:w="1367" w:type="dxa"/>
          </w:tcPr>
          <w:p w14:paraId="7E0FDF9A" w14:textId="77777777" w:rsidR="00EB6430" w:rsidRPr="008B02E0" w:rsidRDefault="00EB6430" w:rsidP="00AE5B32">
            <w:pPr>
              <w:pStyle w:val="TableText0"/>
              <w:keepLines/>
              <w:jc w:val="center"/>
              <w:rPr>
                <w:rStyle w:val="CommentReference"/>
                <w:b w:val="0"/>
                <w:iCs/>
                <w:szCs w:val="24"/>
              </w:rPr>
            </w:pPr>
            <w:r w:rsidRPr="008B02E0">
              <w:rPr>
                <w:rStyle w:val="CommentReference"/>
                <w:b w:val="0"/>
                <w:iCs/>
                <w:szCs w:val="24"/>
              </w:rPr>
              <w:t>11 (24%)</w:t>
            </w:r>
          </w:p>
        </w:tc>
      </w:tr>
      <w:tr w:rsidR="00EB6430" w:rsidRPr="008B02E0" w14:paraId="0E85387E" w14:textId="77777777" w:rsidTr="00D17F3A">
        <w:tc>
          <w:tcPr>
            <w:tcW w:w="1980" w:type="dxa"/>
          </w:tcPr>
          <w:p w14:paraId="641F6B7B" w14:textId="77777777" w:rsidR="00EB6430" w:rsidRPr="008B02E0" w:rsidRDefault="00EB6430" w:rsidP="00AE5B32">
            <w:pPr>
              <w:pStyle w:val="TableText0"/>
              <w:keepLines/>
              <w:ind w:left="170"/>
              <w:rPr>
                <w:rStyle w:val="CommentReference"/>
                <w:b w:val="0"/>
                <w:szCs w:val="24"/>
              </w:rPr>
            </w:pPr>
            <w:r w:rsidRPr="008B02E0">
              <w:rPr>
                <w:rStyle w:val="CommentReference"/>
                <w:b w:val="0"/>
                <w:szCs w:val="24"/>
              </w:rPr>
              <w:t>Study drug related</w:t>
            </w:r>
          </w:p>
        </w:tc>
        <w:tc>
          <w:tcPr>
            <w:tcW w:w="992" w:type="dxa"/>
          </w:tcPr>
          <w:p w14:paraId="246B4A84" w14:textId="77777777" w:rsidR="00EB6430" w:rsidRPr="008B02E0" w:rsidRDefault="00EB6430" w:rsidP="00AE5B32">
            <w:pPr>
              <w:pStyle w:val="TableText0"/>
              <w:keepLines/>
              <w:jc w:val="center"/>
              <w:rPr>
                <w:rStyle w:val="CommentReference"/>
                <w:b w:val="0"/>
                <w:szCs w:val="24"/>
              </w:rPr>
            </w:pPr>
            <w:r w:rsidRPr="008B02E0">
              <w:t>33 (17%)</w:t>
            </w:r>
          </w:p>
        </w:tc>
        <w:tc>
          <w:tcPr>
            <w:tcW w:w="851" w:type="dxa"/>
          </w:tcPr>
          <w:p w14:paraId="431674F5" w14:textId="77777777" w:rsidR="00EB6430" w:rsidRPr="008B02E0" w:rsidRDefault="00EB6430" w:rsidP="00AE5B32">
            <w:pPr>
              <w:pStyle w:val="TableText0"/>
              <w:keepLines/>
              <w:jc w:val="center"/>
              <w:rPr>
                <w:rStyle w:val="CommentReference"/>
                <w:b w:val="0"/>
                <w:szCs w:val="24"/>
              </w:rPr>
            </w:pPr>
            <w:r w:rsidRPr="008B02E0">
              <w:t>28 (38%)</w:t>
            </w:r>
          </w:p>
        </w:tc>
        <w:tc>
          <w:tcPr>
            <w:tcW w:w="992" w:type="dxa"/>
          </w:tcPr>
          <w:p w14:paraId="4F91AE06" w14:textId="77777777" w:rsidR="00EB6430" w:rsidRPr="008B02E0" w:rsidRDefault="00EB6430" w:rsidP="00AE5B32">
            <w:pPr>
              <w:pStyle w:val="TableText0"/>
              <w:keepLines/>
              <w:jc w:val="center"/>
              <w:rPr>
                <w:rStyle w:val="CommentReference"/>
                <w:b w:val="0"/>
                <w:szCs w:val="24"/>
              </w:rPr>
            </w:pPr>
            <w:r w:rsidRPr="008B02E0">
              <w:t>15 (10%)</w:t>
            </w:r>
          </w:p>
        </w:tc>
        <w:tc>
          <w:tcPr>
            <w:tcW w:w="992" w:type="dxa"/>
          </w:tcPr>
          <w:p w14:paraId="22CDFFE9" w14:textId="77777777" w:rsidR="00EB6430" w:rsidRPr="008B02E0" w:rsidRDefault="00EB6430" w:rsidP="00AE5B32">
            <w:pPr>
              <w:pStyle w:val="TableText0"/>
              <w:keepLines/>
              <w:jc w:val="center"/>
              <w:rPr>
                <w:rStyle w:val="CommentReference"/>
                <w:b w:val="0"/>
                <w:szCs w:val="24"/>
              </w:rPr>
            </w:pPr>
            <w:r w:rsidRPr="008B02E0">
              <w:t>10 (7%)</w:t>
            </w:r>
          </w:p>
        </w:tc>
        <w:tc>
          <w:tcPr>
            <w:tcW w:w="851" w:type="dxa"/>
          </w:tcPr>
          <w:p w14:paraId="53DF5E6B"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47 (13%)</w:t>
            </w:r>
          </w:p>
        </w:tc>
        <w:tc>
          <w:tcPr>
            <w:tcW w:w="992" w:type="dxa"/>
          </w:tcPr>
          <w:p w14:paraId="3B36015E"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31 (9%)</w:t>
            </w:r>
          </w:p>
        </w:tc>
        <w:tc>
          <w:tcPr>
            <w:tcW w:w="1367" w:type="dxa"/>
          </w:tcPr>
          <w:p w14:paraId="21DF4C77" w14:textId="77777777" w:rsidR="00EB6430" w:rsidRPr="008B02E0" w:rsidRDefault="00EB6430" w:rsidP="00AE5B32">
            <w:pPr>
              <w:pStyle w:val="TableText0"/>
              <w:keepLines/>
              <w:jc w:val="center"/>
              <w:rPr>
                <w:rStyle w:val="CommentReference"/>
                <w:b w:val="0"/>
                <w:szCs w:val="24"/>
              </w:rPr>
            </w:pPr>
            <w:r w:rsidRPr="008B02E0">
              <w:rPr>
                <w:rStyle w:val="CommentReference"/>
                <w:b w:val="0"/>
                <w:iCs/>
                <w:szCs w:val="24"/>
              </w:rPr>
              <w:t>6</w:t>
            </w:r>
            <w:r w:rsidRPr="008B02E0">
              <w:rPr>
                <w:rStyle w:val="CommentReference"/>
                <w:b w:val="0"/>
                <w:szCs w:val="24"/>
              </w:rPr>
              <w:t xml:space="preserve"> (13%)</w:t>
            </w:r>
          </w:p>
        </w:tc>
      </w:tr>
      <w:tr w:rsidR="00EB6430" w:rsidRPr="008B02E0" w14:paraId="361EA433" w14:textId="77777777" w:rsidTr="00D17F3A">
        <w:tc>
          <w:tcPr>
            <w:tcW w:w="1980" w:type="dxa"/>
          </w:tcPr>
          <w:p w14:paraId="27D4E349" w14:textId="77777777" w:rsidR="00EB6430" w:rsidRPr="008B02E0" w:rsidRDefault="00EB6430" w:rsidP="00AE5B32">
            <w:pPr>
              <w:pStyle w:val="TableText0"/>
              <w:keepLines/>
              <w:rPr>
                <w:rStyle w:val="CommentReference"/>
                <w:b w:val="0"/>
                <w:szCs w:val="24"/>
              </w:rPr>
            </w:pPr>
            <w:r w:rsidRPr="008B02E0">
              <w:rPr>
                <w:rStyle w:val="CommentReference"/>
                <w:b w:val="0"/>
                <w:szCs w:val="24"/>
              </w:rPr>
              <w:t>Deaths due to study drug toxicity</w:t>
            </w:r>
          </w:p>
        </w:tc>
        <w:tc>
          <w:tcPr>
            <w:tcW w:w="992" w:type="dxa"/>
          </w:tcPr>
          <w:p w14:paraId="2D203320" w14:textId="77777777" w:rsidR="00EB6430" w:rsidRPr="008B02E0" w:rsidRDefault="00EB6430" w:rsidP="00AE5B32">
            <w:pPr>
              <w:pStyle w:val="TableText0"/>
              <w:keepLines/>
              <w:jc w:val="center"/>
              <w:rPr>
                <w:rStyle w:val="CommentReference"/>
                <w:b w:val="0"/>
                <w:szCs w:val="24"/>
              </w:rPr>
            </w:pPr>
            <w:r w:rsidRPr="008B02E0">
              <w:t>2 (1%)</w:t>
            </w:r>
          </w:p>
        </w:tc>
        <w:tc>
          <w:tcPr>
            <w:tcW w:w="851" w:type="dxa"/>
          </w:tcPr>
          <w:p w14:paraId="475610AA" w14:textId="77777777" w:rsidR="00EB6430" w:rsidRPr="008B02E0" w:rsidRDefault="00EB6430" w:rsidP="00AE5B32">
            <w:pPr>
              <w:pStyle w:val="TableText0"/>
              <w:keepLines/>
              <w:jc w:val="center"/>
              <w:rPr>
                <w:rStyle w:val="CommentReference"/>
                <w:b w:val="0"/>
                <w:szCs w:val="24"/>
              </w:rPr>
            </w:pPr>
            <w:r w:rsidRPr="008B02E0">
              <w:t>1 (1%)</w:t>
            </w:r>
          </w:p>
        </w:tc>
        <w:tc>
          <w:tcPr>
            <w:tcW w:w="992" w:type="dxa"/>
          </w:tcPr>
          <w:p w14:paraId="4BCA32E2"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0 (0%)</w:t>
            </w:r>
          </w:p>
        </w:tc>
        <w:tc>
          <w:tcPr>
            <w:tcW w:w="992" w:type="dxa"/>
          </w:tcPr>
          <w:p w14:paraId="270EDBE0"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0 (0%)</w:t>
            </w:r>
          </w:p>
        </w:tc>
        <w:tc>
          <w:tcPr>
            <w:tcW w:w="851" w:type="dxa"/>
          </w:tcPr>
          <w:p w14:paraId="0015D6B4"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2 (&lt;1%)</w:t>
            </w:r>
          </w:p>
        </w:tc>
        <w:tc>
          <w:tcPr>
            <w:tcW w:w="992" w:type="dxa"/>
          </w:tcPr>
          <w:p w14:paraId="60DA5EF3"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1 (&lt;1%)</w:t>
            </w:r>
          </w:p>
        </w:tc>
        <w:tc>
          <w:tcPr>
            <w:tcW w:w="1367" w:type="dxa"/>
          </w:tcPr>
          <w:p w14:paraId="34798CE3" w14:textId="77777777" w:rsidR="00EB6430" w:rsidRPr="008B02E0" w:rsidRDefault="00EB6430" w:rsidP="00AE5B32">
            <w:pPr>
              <w:pStyle w:val="TableText0"/>
              <w:keepLines/>
              <w:jc w:val="center"/>
              <w:rPr>
                <w:rStyle w:val="CommentReference"/>
                <w:b w:val="0"/>
                <w:szCs w:val="24"/>
              </w:rPr>
            </w:pPr>
            <w:r w:rsidRPr="008B02E0">
              <w:rPr>
                <w:rStyle w:val="CommentReference"/>
                <w:b w:val="0"/>
                <w:szCs w:val="24"/>
              </w:rPr>
              <w:t>0 (0%)</w:t>
            </w:r>
          </w:p>
        </w:tc>
      </w:tr>
    </w:tbl>
    <w:p w14:paraId="508E1A29" w14:textId="77777777" w:rsidR="00EB6430" w:rsidRPr="008B02E0" w:rsidRDefault="00EB6430" w:rsidP="00AE5B32">
      <w:pPr>
        <w:pStyle w:val="FooterTableFigure"/>
        <w:keepNext/>
        <w:keepLines/>
        <w:rPr>
          <w:iCs/>
          <w:sz w:val="20"/>
        </w:rPr>
      </w:pPr>
      <w:r w:rsidRPr="008B02E0">
        <w:t xml:space="preserve">Source: Table 55, p87; Table 58, p90, Table 60, p91, of the submission and </w:t>
      </w:r>
      <w:r w:rsidRPr="008B02E0">
        <w:rPr>
          <w:iCs/>
        </w:rPr>
        <w:t>compiled from</w:t>
      </w:r>
      <w:r w:rsidRPr="008B02E0">
        <w:t xml:space="preserve"> </w:t>
      </w:r>
      <w:r w:rsidRPr="008B02E0">
        <w:rPr>
          <w:iCs/>
        </w:rPr>
        <w:t xml:space="preserve">Lenz 2021 (including appendix), </w:t>
      </w:r>
    </w:p>
    <w:p w14:paraId="768E645E" w14:textId="4A8F5F84" w:rsidR="00EB6430" w:rsidRPr="008B02E0" w:rsidRDefault="00EB6430" w:rsidP="00AE5B32">
      <w:pPr>
        <w:pStyle w:val="FooterTableFigure"/>
        <w:keepNext/>
        <w:keepLines/>
        <w:rPr>
          <w:rFonts w:eastAsia="Calibri"/>
        </w:rPr>
      </w:pPr>
      <w:r w:rsidRPr="008B02E0">
        <w:rPr>
          <w:rFonts w:eastAsia="Calibri"/>
        </w:rPr>
        <w:t>IPI=ipilimumab; n = number of participants reporting data; N = total participants in group; NIVO=nivolumab; pembro=pembrolizumab</w:t>
      </w:r>
      <w:r w:rsidR="006D2B2B" w:rsidRPr="008B02E0">
        <w:rPr>
          <w:rFonts w:eastAsia="Calibri"/>
        </w:rPr>
        <w:t>; NR=not reported</w:t>
      </w:r>
    </w:p>
    <w:p w14:paraId="4FAD634F" w14:textId="2FD2D161" w:rsidR="00EB6430" w:rsidRPr="008B02E0" w:rsidRDefault="00EB6430" w:rsidP="00AE5B32">
      <w:pPr>
        <w:pStyle w:val="TableFigureHeading"/>
        <w:rPr>
          <w:rStyle w:val="CommentReference"/>
          <w:b/>
          <w:szCs w:val="24"/>
        </w:rPr>
      </w:pPr>
      <w:bookmarkStart w:id="63" w:name="_Ref197696453"/>
      <w:r w:rsidRPr="008B02E0">
        <w:t xml:space="preserve">Table </w:t>
      </w:r>
      <w:r w:rsidR="008258C7">
        <w:fldChar w:fldCharType="begin"/>
      </w:r>
      <w:r w:rsidR="008258C7">
        <w:instrText xml:space="preserve"> SEQ Table \* ARABIC </w:instrText>
      </w:r>
      <w:r w:rsidR="008258C7">
        <w:fldChar w:fldCharType="separate"/>
      </w:r>
      <w:r w:rsidR="00B542C9">
        <w:rPr>
          <w:noProof/>
        </w:rPr>
        <w:t>8</w:t>
      </w:r>
      <w:r w:rsidR="008258C7">
        <w:rPr>
          <w:noProof/>
        </w:rPr>
        <w:fldChar w:fldCharType="end"/>
      </w:r>
      <w:bookmarkEnd w:id="63"/>
      <w:r w:rsidRPr="008B02E0">
        <w:t>: Immune mediated adverse events in CM</w:t>
      </w:r>
      <w:r w:rsidR="009E5502">
        <w:noBreakHyphen/>
      </w:r>
      <w:r w:rsidRPr="008B02E0">
        <w:t>8HW and KN</w:t>
      </w:r>
      <w:r w:rsidR="009E5502">
        <w:noBreakHyphen/>
      </w:r>
      <w:r w:rsidRPr="008B02E0">
        <w:t>177</w:t>
      </w:r>
    </w:p>
    <w:tbl>
      <w:tblPr>
        <w:tblStyle w:val="PBAClayout"/>
        <w:tblW w:w="5000" w:type="pct"/>
        <w:tblLook w:val="04A0" w:firstRow="1" w:lastRow="0" w:firstColumn="1" w:lastColumn="0" w:noHBand="0" w:noVBand="1"/>
        <w:tblCaption w:val="Table 8: Immune mediated adverse events in CM 8HW and KN 177"/>
      </w:tblPr>
      <w:tblGrid>
        <w:gridCol w:w="2116"/>
        <w:gridCol w:w="682"/>
        <w:gridCol w:w="947"/>
        <w:gridCol w:w="1152"/>
        <w:gridCol w:w="936"/>
        <w:gridCol w:w="931"/>
        <w:gridCol w:w="1232"/>
        <w:gridCol w:w="1021"/>
      </w:tblGrid>
      <w:tr w:rsidR="00EB6430" w:rsidRPr="008B02E0" w14:paraId="69BAFF3C" w14:textId="77777777" w:rsidTr="00D17F3A">
        <w:trPr>
          <w:tblHeader/>
        </w:trPr>
        <w:tc>
          <w:tcPr>
            <w:tcW w:w="1173" w:type="pct"/>
            <w:vMerge w:val="restart"/>
          </w:tcPr>
          <w:p w14:paraId="49C79C99" w14:textId="77777777" w:rsidR="00EB6430" w:rsidRPr="008B02E0" w:rsidRDefault="00EB6430" w:rsidP="00AE5B32">
            <w:pPr>
              <w:pStyle w:val="In-tableHeading"/>
              <w:keepNext w:val="0"/>
              <w:rPr>
                <w:rStyle w:val="CommentReference"/>
                <w:b/>
                <w:szCs w:val="24"/>
                <w:lang w:val="en-AU"/>
              </w:rPr>
            </w:pPr>
            <w:r w:rsidRPr="008B02E0">
              <w:rPr>
                <w:rStyle w:val="CommentReference"/>
                <w:b/>
                <w:szCs w:val="24"/>
                <w:lang w:val="en-AU"/>
              </w:rPr>
              <w:t>AE</w:t>
            </w:r>
          </w:p>
        </w:tc>
        <w:tc>
          <w:tcPr>
            <w:tcW w:w="378" w:type="pct"/>
            <w:vMerge w:val="restart"/>
          </w:tcPr>
          <w:p w14:paraId="09CF7DB1" w14:textId="77777777" w:rsidR="00EB6430" w:rsidRPr="008B02E0" w:rsidRDefault="00EB6430" w:rsidP="00AE5B32">
            <w:pPr>
              <w:pStyle w:val="In-tableHeading"/>
              <w:keepNext w:val="0"/>
              <w:rPr>
                <w:rStyle w:val="CommentReference"/>
                <w:b/>
                <w:szCs w:val="24"/>
                <w:lang w:val="en-AU"/>
              </w:rPr>
            </w:pPr>
            <w:r w:rsidRPr="008B02E0">
              <w:rPr>
                <w:rStyle w:val="CommentReference"/>
                <w:b/>
                <w:szCs w:val="24"/>
                <w:lang w:val="en-AU"/>
              </w:rPr>
              <w:t>Grade</w:t>
            </w:r>
          </w:p>
        </w:tc>
        <w:tc>
          <w:tcPr>
            <w:tcW w:w="1164" w:type="pct"/>
            <w:gridSpan w:val="2"/>
          </w:tcPr>
          <w:p w14:paraId="7815962F" w14:textId="4598B77F"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CM</w:t>
            </w:r>
            <w:r w:rsidR="009E5502">
              <w:rPr>
                <w:rStyle w:val="CommentReference"/>
                <w:b/>
                <w:szCs w:val="24"/>
                <w:lang w:val="en-AU"/>
              </w:rPr>
              <w:noBreakHyphen/>
            </w:r>
            <w:r w:rsidRPr="008B02E0">
              <w:rPr>
                <w:rStyle w:val="CommentReference"/>
                <w:b/>
                <w:szCs w:val="24"/>
                <w:lang w:val="en-AU"/>
              </w:rPr>
              <w:t>8HW 1L</w:t>
            </w:r>
          </w:p>
        </w:tc>
        <w:tc>
          <w:tcPr>
            <w:tcW w:w="1035" w:type="pct"/>
            <w:gridSpan w:val="2"/>
          </w:tcPr>
          <w:p w14:paraId="6F2F93B0" w14:textId="1E551E4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KN</w:t>
            </w:r>
            <w:r w:rsidR="009E5502">
              <w:rPr>
                <w:rStyle w:val="CommentReference"/>
                <w:b/>
                <w:szCs w:val="24"/>
                <w:lang w:val="en-AU"/>
              </w:rPr>
              <w:noBreakHyphen/>
            </w:r>
            <w:r w:rsidRPr="008B02E0">
              <w:rPr>
                <w:rStyle w:val="CommentReference"/>
                <w:b/>
                <w:szCs w:val="24"/>
                <w:lang w:val="en-AU"/>
              </w:rPr>
              <w:t>177</w:t>
            </w:r>
          </w:p>
        </w:tc>
        <w:tc>
          <w:tcPr>
            <w:tcW w:w="1249" w:type="pct"/>
            <w:gridSpan w:val="2"/>
          </w:tcPr>
          <w:p w14:paraId="0F41C8A4" w14:textId="75A9B863"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CM</w:t>
            </w:r>
            <w:r w:rsidR="009E5502">
              <w:rPr>
                <w:rStyle w:val="CommentReference"/>
                <w:b/>
                <w:szCs w:val="24"/>
                <w:lang w:val="en-AU"/>
              </w:rPr>
              <w:noBreakHyphen/>
            </w:r>
            <w:r w:rsidRPr="008B02E0">
              <w:rPr>
                <w:rStyle w:val="CommentReference"/>
                <w:b/>
                <w:szCs w:val="24"/>
                <w:lang w:val="en-AU"/>
              </w:rPr>
              <w:t>8HW 1L+</w:t>
            </w:r>
          </w:p>
        </w:tc>
      </w:tr>
      <w:tr w:rsidR="00EB6430" w:rsidRPr="008B02E0" w14:paraId="0F932F93" w14:textId="77777777" w:rsidTr="00D17F3A">
        <w:trPr>
          <w:tblHeader/>
        </w:trPr>
        <w:tc>
          <w:tcPr>
            <w:tcW w:w="1173" w:type="pct"/>
            <w:vMerge/>
          </w:tcPr>
          <w:p w14:paraId="45DEA1D3" w14:textId="77777777" w:rsidR="00EB6430" w:rsidRPr="008B02E0" w:rsidRDefault="00EB6430" w:rsidP="00AE5B32">
            <w:pPr>
              <w:pStyle w:val="In-tableHeading"/>
              <w:keepNext w:val="0"/>
              <w:rPr>
                <w:rStyle w:val="CommentReference"/>
                <w:b/>
                <w:szCs w:val="24"/>
                <w:lang w:val="en-AU"/>
              </w:rPr>
            </w:pPr>
          </w:p>
        </w:tc>
        <w:tc>
          <w:tcPr>
            <w:tcW w:w="378" w:type="pct"/>
            <w:vMerge/>
          </w:tcPr>
          <w:p w14:paraId="08F2ED41" w14:textId="77777777" w:rsidR="00EB6430" w:rsidRPr="008B02E0" w:rsidRDefault="00EB6430" w:rsidP="00AE5B32">
            <w:pPr>
              <w:pStyle w:val="In-tableHeading"/>
              <w:keepNext w:val="0"/>
              <w:jc w:val="center"/>
              <w:rPr>
                <w:rStyle w:val="CommentReference"/>
                <w:b/>
                <w:szCs w:val="24"/>
                <w:lang w:val="en-AU"/>
              </w:rPr>
            </w:pPr>
          </w:p>
        </w:tc>
        <w:tc>
          <w:tcPr>
            <w:tcW w:w="525" w:type="pct"/>
          </w:tcPr>
          <w:p w14:paraId="6A8482AB"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NIVO+IPI</w:t>
            </w:r>
          </w:p>
          <w:p w14:paraId="7895D2D4"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N=200</w:t>
            </w:r>
          </w:p>
        </w:tc>
        <w:tc>
          <w:tcPr>
            <w:tcW w:w="639" w:type="pct"/>
          </w:tcPr>
          <w:p w14:paraId="26C600C2"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Chemo</w:t>
            </w:r>
          </w:p>
          <w:p w14:paraId="1517E221"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N=88</w:t>
            </w:r>
          </w:p>
        </w:tc>
        <w:tc>
          <w:tcPr>
            <w:tcW w:w="519" w:type="pct"/>
          </w:tcPr>
          <w:p w14:paraId="504AC2AF"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Pembro</w:t>
            </w:r>
          </w:p>
          <w:p w14:paraId="5F1BA457"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N=153</w:t>
            </w:r>
          </w:p>
        </w:tc>
        <w:tc>
          <w:tcPr>
            <w:tcW w:w="516" w:type="pct"/>
          </w:tcPr>
          <w:p w14:paraId="427C859B"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Chemo</w:t>
            </w:r>
          </w:p>
          <w:p w14:paraId="3E1E69A5"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N=143</w:t>
            </w:r>
          </w:p>
        </w:tc>
        <w:tc>
          <w:tcPr>
            <w:tcW w:w="683" w:type="pct"/>
          </w:tcPr>
          <w:p w14:paraId="2FC7ACB8"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NIVO+IPI</w:t>
            </w:r>
          </w:p>
          <w:p w14:paraId="1A39D727"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N=352</w:t>
            </w:r>
          </w:p>
        </w:tc>
        <w:tc>
          <w:tcPr>
            <w:tcW w:w="566" w:type="pct"/>
          </w:tcPr>
          <w:p w14:paraId="37FFB182"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NIVO</w:t>
            </w:r>
          </w:p>
          <w:p w14:paraId="6749A6DC" w14:textId="77777777" w:rsidR="00EB6430" w:rsidRPr="008B02E0" w:rsidRDefault="00EB6430" w:rsidP="00AE5B32">
            <w:pPr>
              <w:pStyle w:val="In-tableHeading"/>
              <w:keepNext w:val="0"/>
              <w:jc w:val="center"/>
              <w:rPr>
                <w:rStyle w:val="CommentReference"/>
                <w:b/>
                <w:szCs w:val="24"/>
                <w:lang w:val="en-AU"/>
              </w:rPr>
            </w:pPr>
            <w:r w:rsidRPr="008B02E0">
              <w:rPr>
                <w:rStyle w:val="CommentReference"/>
                <w:b/>
                <w:szCs w:val="24"/>
                <w:lang w:val="en-AU"/>
              </w:rPr>
              <w:t>N=351</w:t>
            </w:r>
          </w:p>
        </w:tc>
      </w:tr>
      <w:tr w:rsidR="00EB6430" w:rsidRPr="008B02E0" w14:paraId="4C9B2734" w14:textId="77777777" w:rsidTr="00D17F3A">
        <w:tc>
          <w:tcPr>
            <w:tcW w:w="1173" w:type="pct"/>
            <w:vMerge w:val="restart"/>
          </w:tcPr>
          <w:p w14:paraId="1C94D23A" w14:textId="77777777" w:rsidR="00EB6430" w:rsidRPr="008B02E0" w:rsidRDefault="00EB6430" w:rsidP="00AE5B32">
            <w:pPr>
              <w:pStyle w:val="TableText0"/>
              <w:keepNext w:val="0"/>
              <w:rPr>
                <w:rStyle w:val="CommentReference"/>
                <w:b w:val="0"/>
                <w:szCs w:val="24"/>
              </w:rPr>
            </w:pPr>
            <w:r w:rsidRPr="008B02E0">
              <w:t>Hypothyroidism</w:t>
            </w:r>
          </w:p>
        </w:tc>
        <w:tc>
          <w:tcPr>
            <w:tcW w:w="378" w:type="pct"/>
          </w:tcPr>
          <w:p w14:paraId="1451BAEA"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1E7C4D32" w14:textId="77777777" w:rsidR="00EB6430" w:rsidRPr="008B02E0" w:rsidRDefault="00EB6430" w:rsidP="00AE5B32">
            <w:pPr>
              <w:pStyle w:val="TableText0"/>
              <w:keepNext w:val="0"/>
              <w:jc w:val="center"/>
              <w:rPr>
                <w:rStyle w:val="CommentReference"/>
                <w:b w:val="0"/>
                <w:szCs w:val="24"/>
              </w:rPr>
            </w:pPr>
            <w:r w:rsidRPr="008B02E0">
              <w:t>33 (17%)</w:t>
            </w:r>
          </w:p>
        </w:tc>
        <w:tc>
          <w:tcPr>
            <w:tcW w:w="639" w:type="pct"/>
          </w:tcPr>
          <w:p w14:paraId="21AA34C2"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w:t>
            </w:r>
            <w:r w:rsidRPr="008B02E0">
              <w:rPr>
                <w:rStyle w:val="CommentReference"/>
                <w:szCs w:val="24"/>
              </w:rPr>
              <w:t xml:space="preserve"> </w:t>
            </w:r>
            <w:r w:rsidRPr="008B02E0">
              <w:t>(1%)</w:t>
            </w:r>
          </w:p>
        </w:tc>
        <w:tc>
          <w:tcPr>
            <w:tcW w:w="519" w:type="pct"/>
          </w:tcPr>
          <w:p w14:paraId="19B6B5CB"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19 (12%)</w:t>
            </w:r>
          </w:p>
        </w:tc>
        <w:tc>
          <w:tcPr>
            <w:tcW w:w="516" w:type="pct"/>
          </w:tcPr>
          <w:p w14:paraId="1168F2E2"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4 (3%)</w:t>
            </w:r>
          </w:p>
        </w:tc>
        <w:tc>
          <w:tcPr>
            <w:tcW w:w="683" w:type="pct"/>
          </w:tcPr>
          <w:p w14:paraId="023A7C2E"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62 (18%)</w:t>
            </w:r>
            <w:r w:rsidRPr="008B02E0">
              <w:rPr>
                <w:rStyle w:val="CommentReference"/>
                <w:b w:val="0"/>
                <w:iCs/>
                <w:szCs w:val="24"/>
                <w:vertAlign w:val="superscript"/>
              </w:rPr>
              <w:t>a</w:t>
            </w:r>
          </w:p>
        </w:tc>
        <w:tc>
          <w:tcPr>
            <w:tcW w:w="566" w:type="pct"/>
          </w:tcPr>
          <w:p w14:paraId="18BAAD68"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33 (9%)</w:t>
            </w:r>
            <w:r w:rsidRPr="008B02E0">
              <w:rPr>
                <w:rStyle w:val="CommentReference"/>
                <w:b w:val="0"/>
                <w:iCs/>
                <w:szCs w:val="24"/>
                <w:vertAlign w:val="superscript"/>
              </w:rPr>
              <w:t>a</w:t>
            </w:r>
          </w:p>
        </w:tc>
      </w:tr>
      <w:tr w:rsidR="00EB6430" w:rsidRPr="008B02E0" w14:paraId="0808B943" w14:textId="77777777" w:rsidTr="00D17F3A">
        <w:tc>
          <w:tcPr>
            <w:tcW w:w="1173" w:type="pct"/>
            <w:vMerge/>
          </w:tcPr>
          <w:p w14:paraId="773BDE1D" w14:textId="77777777" w:rsidR="00EB6430" w:rsidRPr="008B02E0" w:rsidRDefault="00EB6430" w:rsidP="00AE5B32">
            <w:pPr>
              <w:pStyle w:val="TableText0"/>
              <w:keepNext w:val="0"/>
            </w:pPr>
          </w:p>
        </w:tc>
        <w:tc>
          <w:tcPr>
            <w:tcW w:w="378" w:type="pct"/>
          </w:tcPr>
          <w:p w14:paraId="4EC4F1C6" w14:textId="0CABBDC5"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747C20DA" w14:textId="77777777" w:rsidR="00EB6430" w:rsidRPr="008B02E0" w:rsidRDefault="00EB6430" w:rsidP="00AE5B32">
            <w:pPr>
              <w:pStyle w:val="TableText0"/>
              <w:keepNext w:val="0"/>
              <w:jc w:val="center"/>
            </w:pPr>
            <w:r w:rsidRPr="008B02E0">
              <w:t>2 (1%)</w:t>
            </w:r>
          </w:p>
        </w:tc>
        <w:tc>
          <w:tcPr>
            <w:tcW w:w="639" w:type="pct"/>
          </w:tcPr>
          <w:p w14:paraId="590548EC"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3ACB7E25"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516" w:type="pct"/>
            <w:vAlign w:val="top"/>
          </w:tcPr>
          <w:p w14:paraId="2BB32750"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12F7E1AF"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 (1%)</w:t>
            </w:r>
            <w:r w:rsidRPr="008B02E0">
              <w:rPr>
                <w:rStyle w:val="CommentReference"/>
                <w:b w:val="0"/>
                <w:iCs/>
                <w:szCs w:val="24"/>
                <w:vertAlign w:val="superscript"/>
              </w:rPr>
              <w:t>a</w:t>
            </w:r>
          </w:p>
        </w:tc>
        <w:tc>
          <w:tcPr>
            <w:tcW w:w="566" w:type="pct"/>
          </w:tcPr>
          <w:p w14:paraId="4A99C433"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r w:rsidRPr="008B02E0">
              <w:rPr>
                <w:rStyle w:val="CommentReference"/>
                <w:b w:val="0"/>
                <w:iCs/>
                <w:szCs w:val="24"/>
                <w:vertAlign w:val="superscript"/>
              </w:rPr>
              <w:t>a</w:t>
            </w:r>
          </w:p>
        </w:tc>
      </w:tr>
      <w:tr w:rsidR="00EB6430" w:rsidRPr="008B02E0" w14:paraId="05CCB851" w14:textId="77777777" w:rsidTr="00D17F3A">
        <w:tc>
          <w:tcPr>
            <w:tcW w:w="1173" w:type="pct"/>
            <w:vMerge w:val="restart"/>
          </w:tcPr>
          <w:p w14:paraId="51B805EC" w14:textId="77777777" w:rsidR="00EB6430" w:rsidRPr="008B02E0" w:rsidRDefault="00EB6430" w:rsidP="00AE5B32">
            <w:pPr>
              <w:pStyle w:val="TableText0"/>
              <w:keepNext w:val="0"/>
              <w:rPr>
                <w:rStyle w:val="CommentReference"/>
                <w:b w:val="0"/>
                <w:szCs w:val="24"/>
              </w:rPr>
            </w:pPr>
            <w:r w:rsidRPr="008B02E0">
              <w:t>Adrenal insufficiency</w:t>
            </w:r>
          </w:p>
        </w:tc>
        <w:tc>
          <w:tcPr>
            <w:tcW w:w="378" w:type="pct"/>
          </w:tcPr>
          <w:p w14:paraId="1BC80C9F"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6498FA17" w14:textId="77777777" w:rsidR="00EB6430" w:rsidRPr="008B02E0" w:rsidRDefault="00EB6430" w:rsidP="00AE5B32">
            <w:pPr>
              <w:pStyle w:val="TableText0"/>
              <w:keepNext w:val="0"/>
              <w:jc w:val="center"/>
              <w:rPr>
                <w:rStyle w:val="CommentReference"/>
                <w:b w:val="0"/>
                <w:szCs w:val="24"/>
              </w:rPr>
            </w:pPr>
            <w:r w:rsidRPr="008B02E0">
              <w:t>21 (11%)</w:t>
            </w:r>
          </w:p>
        </w:tc>
        <w:tc>
          <w:tcPr>
            <w:tcW w:w="639" w:type="pct"/>
          </w:tcPr>
          <w:p w14:paraId="5BBF2563"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4F0A296C"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4 (3%)</w:t>
            </w:r>
          </w:p>
        </w:tc>
        <w:tc>
          <w:tcPr>
            <w:tcW w:w="516" w:type="pct"/>
            <w:vAlign w:val="top"/>
          </w:tcPr>
          <w:p w14:paraId="53E3E1A2"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6853F60A"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35 (10%)</w:t>
            </w:r>
          </w:p>
        </w:tc>
        <w:tc>
          <w:tcPr>
            <w:tcW w:w="566" w:type="pct"/>
          </w:tcPr>
          <w:p w14:paraId="7812D6F0"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12 (3%)</w:t>
            </w:r>
          </w:p>
        </w:tc>
      </w:tr>
      <w:tr w:rsidR="00EB6430" w:rsidRPr="008B02E0" w14:paraId="385D81EA" w14:textId="77777777" w:rsidTr="00D17F3A">
        <w:tc>
          <w:tcPr>
            <w:tcW w:w="1173" w:type="pct"/>
            <w:vMerge/>
          </w:tcPr>
          <w:p w14:paraId="19C7AA1C" w14:textId="77777777" w:rsidR="00EB6430" w:rsidRPr="008B02E0" w:rsidRDefault="00EB6430" w:rsidP="00AE5B32">
            <w:pPr>
              <w:pStyle w:val="TableText0"/>
              <w:keepNext w:val="0"/>
            </w:pPr>
          </w:p>
        </w:tc>
        <w:tc>
          <w:tcPr>
            <w:tcW w:w="378" w:type="pct"/>
          </w:tcPr>
          <w:p w14:paraId="1BD5ADDF" w14:textId="7D35FD6F"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6F7BF23D" w14:textId="77777777" w:rsidR="00EB6430" w:rsidRPr="008B02E0" w:rsidRDefault="00EB6430" w:rsidP="00AE5B32">
            <w:pPr>
              <w:pStyle w:val="TableText0"/>
              <w:keepNext w:val="0"/>
              <w:jc w:val="center"/>
            </w:pPr>
            <w:r w:rsidRPr="008B02E0">
              <w:t>7 (4%)</w:t>
            </w:r>
          </w:p>
        </w:tc>
        <w:tc>
          <w:tcPr>
            <w:tcW w:w="639" w:type="pct"/>
          </w:tcPr>
          <w:p w14:paraId="01091124"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53E332AC"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2 (1%)</w:t>
            </w:r>
          </w:p>
        </w:tc>
        <w:tc>
          <w:tcPr>
            <w:tcW w:w="516" w:type="pct"/>
            <w:vAlign w:val="top"/>
          </w:tcPr>
          <w:p w14:paraId="4E1BCAD9"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1B41CE63"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10 (3%)</w:t>
            </w:r>
          </w:p>
        </w:tc>
        <w:tc>
          <w:tcPr>
            <w:tcW w:w="566" w:type="pct"/>
          </w:tcPr>
          <w:p w14:paraId="4697607D"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 (&lt;1%)</w:t>
            </w:r>
          </w:p>
        </w:tc>
      </w:tr>
      <w:tr w:rsidR="00EB6430" w:rsidRPr="008B02E0" w14:paraId="0D621195" w14:textId="77777777" w:rsidTr="00D17F3A">
        <w:tc>
          <w:tcPr>
            <w:tcW w:w="1173" w:type="pct"/>
            <w:vMerge w:val="restart"/>
          </w:tcPr>
          <w:p w14:paraId="764DB410" w14:textId="77777777" w:rsidR="00EB6430" w:rsidRPr="008B02E0" w:rsidRDefault="00EB6430" w:rsidP="00AE5B32">
            <w:pPr>
              <w:pStyle w:val="TableText0"/>
              <w:keepNext w:val="0"/>
              <w:rPr>
                <w:rStyle w:val="CommentReference"/>
                <w:b w:val="0"/>
                <w:szCs w:val="24"/>
              </w:rPr>
            </w:pPr>
            <w:r w:rsidRPr="008B02E0">
              <w:t>Hyperthyroidism</w:t>
            </w:r>
          </w:p>
        </w:tc>
        <w:tc>
          <w:tcPr>
            <w:tcW w:w="378" w:type="pct"/>
          </w:tcPr>
          <w:p w14:paraId="1E01C3A6"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44BB7844" w14:textId="77777777" w:rsidR="00EB6430" w:rsidRPr="008B02E0" w:rsidRDefault="00EB6430" w:rsidP="00AE5B32">
            <w:pPr>
              <w:pStyle w:val="TableText0"/>
              <w:keepNext w:val="0"/>
              <w:jc w:val="center"/>
              <w:rPr>
                <w:rStyle w:val="CommentReference"/>
                <w:b w:val="0"/>
                <w:szCs w:val="24"/>
              </w:rPr>
            </w:pPr>
            <w:r w:rsidRPr="008B02E0">
              <w:t>18 (9%)</w:t>
            </w:r>
          </w:p>
        </w:tc>
        <w:tc>
          <w:tcPr>
            <w:tcW w:w="639" w:type="pct"/>
          </w:tcPr>
          <w:p w14:paraId="6701B50C"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w:t>
            </w:r>
            <w:r w:rsidRPr="008B02E0">
              <w:rPr>
                <w:rStyle w:val="CommentReference"/>
                <w:szCs w:val="24"/>
              </w:rPr>
              <w:t xml:space="preserve"> </w:t>
            </w:r>
            <w:r w:rsidRPr="008B02E0">
              <w:t>(1%)</w:t>
            </w:r>
          </w:p>
        </w:tc>
        <w:tc>
          <w:tcPr>
            <w:tcW w:w="519" w:type="pct"/>
          </w:tcPr>
          <w:p w14:paraId="478B8039"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6</w:t>
            </w:r>
            <w:r w:rsidRPr="008B02E0">
              <w:rPr>
                <w:rStyle w:val="CommentReference"/>
                <w:szCs w:val="24"/>
              </w:rPr>
              <w:t xml:space="preserve"> </w:t>
            </w:r>
            <w:r w:rsidRPr="008B02E0">
              <w:rPr>
                <w:rStyle w:val="CommentReference"/>
                <w:b w:val="0"/>
                <w:bCs w:val="0"/>
                <w:szCs w:val="24"/>
              </w:rPr>
              <w:t>(4%)</w:t>
            </w:r>
          </w:p>
        </w:tc>
        <w:tc>
          <w:tcPr>
            <w:tcW w:w="516" w:type="pct"/>
            <w:vAlign w:val="top"/>
          </w:tcPr>
          <w:p w14:paraId="4DC2F601"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4B64626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42 (12%)</w:t>
            </w:r>
          </w:p>
        </w:tc>
        <w:tc>
          <w:tcPr>
            <w:tcW w:w="566" w:type="pct"/>
          </w:tcPr>
          <w:p w14:paraId="651FBB51"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16 (5%)</w:t>
            </w:r>
          </w:p>
        </w:tc>
      </w:tr>
      <w:tr w:rsidR="00EB6430" w:rsidRPr="008B02E0" w14:paraId="2157AE01" w14:textId="77777777" w:rsidTr="00D17F3A">
        <w:tc>
          <w:tcPr>
            <w:tcW w:w="1173" w:type="pct"/>
            <w:vMerge/>
          </w:tcPr>
          <w:p w14:paraId="06493DF9" w14:textId="77777777" w:rsidR="00EB6430" w:rsidRPr="008B02E0" w:rsidRDefault="00EB6430" w:rsidP="00AE5B32">
            <w:pPr>
              <w:pStyle w:val="TableText0"/>
              <w:keepNext w:val="0"/>
            </w:pPr>
          </w:p>
        </w:tc>
        <w:tc>
          <w:tcPr>
            <w:tcW w:w="378" w:type="pct"/>
          </w:tcPr>
          <w:p w14:paraId="42DB3FD1" w14:textId="47C1BB83"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702BFDE7" w14:textId="77777777" w:rsidR="00EB6430" w:rsidRPr="008B02E0" w:rsidRDefault="00EB6430" w:rsidP="00AE5B32">
            <w:pPr>
              <w:pStyle w:val="TableText0"/>
              <w:keepNext w:val="0"/>
              <w:jc w:val="center"/>
            </w:pPr>
            <w:r w:rsidRPr="008B02E0">
              <w:t>0 (0%)</w:t>
            </w:r>
          </w:p>
        </w:tc>
        <w:tc>
          <w:tcPr>
            <w:tcW w:w="639" w:type="pct"/>
          </w:tcPr>
          <w:p w14:paraId="62B883F9"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5BABC770"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516" w:type="pct"/>
            <w:vAlign w:val="top"/>
          </w:tcPr>
          <w:p w14:paraId="680F07A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23A65895"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p>
        </w:tc>
        <w:tc>
          <w:tcPr>
            <w:tcW w:w="566" w:type="pct"/>
          </w:tcPr>
          <w:p w14:paraId="3FA112B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p>
        </w:tc>
      </w:tr>
      <w:tr w:rsidR="00EB6430" w:rsidRPr="008B02E0" w14:paraId="6579EAFA" w14:textId="77777777" w:rsidTr="00D17F3A">
        <w:tc>
          <w:tcPr>
            <w:tcW w:w="1173" w:type="pct"/>
            <w:vMerge w:val="restart"/>
          </w:tcPr>
          <w:p w14:paraId="3BBB26B1" w14:textId="77777777" w:rsidR="00EB6430" w:rsidRPr="008B02E0" w:rsidRDefault="00EB6430" w:rsidP="00AE5B32">
            <w:pPr>
              <w:pStyle w:val="TableText0"/>
              <w:keepNext w:val="0"/>
              <w:rPr>
                <w:rStyle w:val="CommentReference"/>
                <w:b w:val="0"/>
                <w:szCs w:val="24"/>
              </w:rPr>
            </w:pPr>
            <w:r w:rsidRPr="008B02E0">
              <w:t>Diarrhoea/colitis</w:t>
            </w:r>
          </w:p>
        </w:tc>
        <w:tc>
          <w:tcPr>
            <w:tcW w:w="378" w:type="pct"/>
          </w:tcPr>
          <w:p w14:paraId="15C83556"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3CB2E056" w14:textId="77777777" w:rsidR="00EB6430" w:rsidRPr="008B02E0" w:rsidRDefault="00EB6430" w:rsidP="00AE5B32">
            <w:pPr>
              <w:pStyle w:val="TableText0"/>
              <w:keepNext w:val="0"/>
              <w:jc w:val="center"/>
              <w:rPr>
                <w:rStyle w:val="CommentReference"/>
                <w:b w:val="0"/>
                <w:szCs w:val="24"/>
              </w:rPr>
            </w:pPr>
            <w:r w:rsidRPr="008B02E0">
              <w:t>13 (7%)</w:t>
            </w:r>
          </w:p>
        </w:tc>
        <w:tc>
          <w:tcPr>
            <w:tcW w:w="639" w:type="pct"/>
          </w:tcPr>
          <w:p w14:paraId="355510A5"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w:t>
            </w:r>
            <w:r w:rsidRPr="008B02E0">
              <w:rPr>
                <w:rStyle w:val="CommentReference"/>
                <w:szCs w:val="24"/>
              </w:rPr>
              <w:t xml:space="preserve"> </w:t>
            </w:r>
            <w:r w:rsidRPr="008B02E0">
              <w:t>(1%)</w:t>
            </w:r>
          </w:p>
        </w:tc>
        <w:tc>
          <w:tcPr>
            <w:tcW w:w="519" w:type="pct"/>
          </w:tcPr>
          <w:p w14:paraId="1B6C55C5"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10 (7%)</w:t>
            </w:r>
          </w:p>
        </w:tc>
        <w:tc>
          <w:tcPr>
            <w:tcW w:w="516" w:type="pct"/>
          </w:tcPr>
          <w:p w14:paraId="26233984"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 (&lt;1%)</w:t>
            </w:r>
          </w:p>
        </w:tc>
        <w:tc>
          <w:tcPr>
            <w:tcW w:w="683" w:type="pct"/>
          </w:tcPr>
          <w:p w14:paraId="3062335A"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21 (6%)</w:t>
            </w:r>
          </w:p>
        </w:tc>
        <w:tc>
          <w:tcPr>
            <w:tcW w:w="566" w:type="pct"/>
          </w:tcPr>
          <w:p w14:paraId="4258D897"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13 (4%)</w:t>
            </w:r>
          </w:p>
        </w:tc>
      </w:tr>
      <w:tr w:rsidR="00EB6430" w:rsidRPr="008B02E0" w14:paraId="4A7A409F" w14:textId="77777777" w:rsidTr="00D17F3A">
        <w:tc>
          <w:tcPr>
            <w:tcW w:w="1173" w:type="pct"/>
            <w:vMerge/>
          </w:tcPr>
          <w:p w14:paraId="113855A9" w14:textId="77777777" w:rsidR="00EB6430" w:rsidRPr="008B02E0" w:rsidRDefault="00EB6430" w:rsidP="00AE5B32">
            <w:pPr>
              <w:pStyle w:val="TableText0"/>
              <w:keepNext w:val="0"/>
            </w:pPr>
          </w:p>
        </w:tc>
        <w:tc>
          <w:tcPr>
            <w:tcW w:w="378" w:type="pct"/>
          </w:tcPr>
          <w:p w14:paraId="393AE9E5" w14:textId="2D59587C"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242BC432" w14:textId="77777777" w:rsidR="00EB6430" w:rsidRPr="008B02E0" w:rsidRDefault="00EB6430" w:rsidP="00AE5B32">
            <w:pPr>
              <w:pStyle w:val="TableText0"/>
              <w:keepNext w:val="0"/>
              <w:jc w:val="center"/>
            </w:pPr>
            <w:r w:rsidRPr="008B02E0">
              <w:t>9 (5%)</w:t>
            </w:r>
          </w:p>
        </w:tc>
        <w:tc>
          <w:tcPr>
            <w:tcW w:w="639" w:type="pct"/>
          </w:tcPr>
          <w:p w14:paraId="3E126903"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6353706E"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5 (3%)</w:t>
            </w:r>
          </w:p>
        </w:tc>
        <w:tc>
          <w:tcPr>
            <w:tcW w:w="516" w:type="pct"/>
          </w:tcPr>
          <w:p w14:paraId="130D0BB9"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768770ED"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12 (3%)</w:t>
            </w:r>
          </w:p>
        </w:tc>
        <w:tc>
          <w:tcPr>
            <w:tcW w:w="566" w:type="pct"/>
          </w:tcPr>
          <w:p w14:paraId="45042131"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8 (2%)</w:t>
            </w:r>
          </w:p>
        </w:tc>
      </w:tr>
      <w:tr w:rsidR="00EB6430" w:rsidRPr="008B02E0" w14:paraId="3C350439" w14:textId="77777777" w:rsidTr="00D17F3A">
        <w:tc>
          <w:tcPr>
            <w:tcW w:w="1173" w:type="pct"/>
            <w:vMerge w:val="restart"/>
          </w:tcPr>
          <w:p w14:paraId="4F0DFC36" w14:textId="77777777" w:rsidR="00EB6430" w:rsidRPr="008B02E0" w:rsidRDefault="00EB6430" w:rsidP="00AE5B32">
            <w:pPr>
              <w:pStyle w:val="TableText0"/>
              <w:keepNext w:val="0"/>
              <w:rPr>
                <w:rStyle w:val="CommentReference"/>
                <w:b w:val="0"/>
                <w:szCs w:val="24"/>
              </w:rPr>
            </w:pPr>
            <w:r w:rsidRPr="008B02E0">
              <w:t>Hepatitis</w:t>
            </w:r>
          </w:p>
        </w:tc>
        <w:tc>
          <w:tcPr>
            <w:tcW w:w="378" w:type="pct"/>
          </w:tcPr>
          <w:p w14:paraId="66918566"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77B77577" w14:textId="77777777" w:rsidR="00EB6430" w:rsidRPr="008B02E0" w:rsidRDefault="00EB6430" w:rsidP="00AE5B32">
            <w:pPr>
              <w:pStyle w:val="TableText0"/>
              <w:keepNext w:val="0"/>
              <w:jc w:val="center"/>
              <w:rPr>
                <w:rStyle w:val="CommentReference"/>
                <w:b w:val="0"/>
                <w:szCs w:val="24"/>
              </w:rPr>
            </w:pPr>
            <w:r w:rsidRPr="008B02E0">
              <w:t>11 (6%)</w:t>
            </w:r>
          </w:p>
        </w:tc>
        <w:tc>
          <w:tcPr>
            <w:tcW w:w="639" w:type="pct"/>
          </w:tcPr>
          <w:p w14:paraId="54224726"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42104C74"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4 (3%)</w:t>
            </w:r>
          </w:p>
        </w:tc>
        <w:tc>
          <w:tcPr>
            <w:tcW w:w="516" w:type="pct"/>
            <w:vAlign w:val="top"/>
          </w:tcPr>
          <w:p w14:paraId="0651DB35"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0D53244C"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13 (4%)</w:t>
            </w:r>
          </w:p>
        </w:tc>
        <w:tc>
          <w:tcPr>
            <w:tcW w:w="566" w:type="pct"/>
          </w:tcPr>
          <w:p w14:paraId="49A4393F"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r>
      <w:tr w:rsidR="00EB6430" w:rsidRPr="008B02E0" w14:paraId="1C062582" w14:textId="77777777" w:rsidTr="00D17F3A">
        <w:tc>
          <w:tcPr>
            <w:tcW w:w="1173" w:type="pct"/>
            <w:vMerge/>
          </w:tcPr>
          <w:p w14:paraId="58EFCC7B" w14:textId="77777777" w:rsidR="00EB6430" w:rsidRPr="008B02E0" w:rsidRDefault="00EB6430" w:rsidP="00AE5B32">
            <w:pPr>
              <w:pStyle w:val="TableText0"/>
              <w:keepNext w:val="0"/>
            </w:pPr>
          </w:p>
        </w:tc>
        <w:tc>
          <w:tcPr>
            <w:tcW w:w="378" w:type="pct"/>
          </w:tcPr>
          <w:p w14:paraId="0284795B" w14:textId="57AD33EA"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2F305666" w14:textId="77777777" w:rsidR="00EB6430" w:rsidRPr="008B02E0" w:rsidRDefault="00EB6430" w:rsidP="00AE5B32">
            <w:pPr>
              <w:pStyle w:val="TableText0"/>
              <w:keepNext w:val="0"/>
              <w:jc w:val="center"/>
            </w:pPr>
            <w:r w:rsidRPr="008B02E0">
              <w:t>6 (3%)</w:t>
            </w:r>
          </w:p>
        </w:tc>
        <w:tc>
          <w:tcPr>
            <w:tcW w:w="639" w:type="pct"/>
          </w:tcPr>
          <w:p w14:paraId="6C6F65B0"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089D1198"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4 (3%)</w:t>
            </w:r>
          </w:p>
        </w:tc>
        <w:tc>
          <w:tcPr>
            <w:tcW w:w="516" w:type="pct"/>
            <w:vAlign w:val="top"/>
          </w:tcPr>
          <w:p w14:paraId="0CB8A30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2253F15B"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6 (2%)</w:t>
            </w:r>
          </w:p>
        </w:tc>
        <w:tc>
          <w:tcPr>
            <w:tcW w:w="566" w:type="pct"/>
          </w:tcPr>
          <w:p w14:paraId="095EFC6A"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 (&lt;1%)</w:t>
            </w:r>
          </w:p>
        </w:tc>
      </w:tr>
      <w:tr w:rsidR="00EB6430" w:rsidRPr="008B02E0" w14:paraId="257BF6F1" w14:textId="77777777" w:rsidTr="00D17F3A">
        <w:tc>
          <w:tcPr>
            <w:tcW w:w="1173" w:type="pct"/>
            <w:vMerge w:val="restart"/>
          </w:tcPr>
          <w:p w14:paraId="32D9AC24" w14:textId="77777777" w:rsidR="00EB6430" w:rsidRPr="008B02E0" w:rsidRDefault="00EB6430" w:rsidP="00AE5B32">
            <w:pPr>
              <w:pStyle w:val="TableText0"/>
              <w:keepNext w:val="0"/>
              <w:rPr>
                <w:rStyle w:val="CommentReference"/>
                <w:b w:val="0"/>
                <w:szCs w:val="24"/>
              </w:rPr>
            </w:pPr>
            <w:r w:rsidRPr="008B02E0">
              <w:t>Rash</w:t>
            </w:r>
          </w:p>
        </w:tc>
        <w:tc>
          <w:tcPr>
            <w:tcW w:w="378" w:type="pct"/>
          </w:tcPr>
          <w:p w14:paraId="63ADB898"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1A8F7F0E" w14:textId="77777777" w:rsidR="00EB6430" w:rsidRPr="008B02E0" w:rsidRDefault="00EB6430" w:rsidP="00AE5B32">
            <w:pPr>
              <w:pStyle w:val="TableText0"/>
              <w:keepNext w:val="0"/>
              <w:jc w:val="center"/>
              <w:rPr>
                <w:rStyle w:val="CommentReference"/>
                <w:b w:val="0"/>
                <w:szCs w:val="24"/>
              </w:rPr>
            </w:pPr>
            <w:r w:rsidRPr="008B02E0">
              <w:t>11 (6%)</w:t>
            </w:r>
          </w:p>
        </w:tc>
        <w:tc>
          <w:tcPr>
            <w:tcW w:w="639" w:type="pct"/>
          </w:tcPr>
          <w:p w14:paraId="0E09FBC7"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vAlign w:val="top"/>
          </w:tcPr>
          <w:p w14:paraId="300CC3E8"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74C4611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2CCE7A77"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23 (7%)</w:t>
            </w:r>
          </w:p>
        </w:tc>
        <w:tc>
          <w:tcPr>
            <w:tcW w:w="566" w:type="pct"/>
          </w:tcPr>
          <w:p w14:paraId="083CF47C"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20 (6%)</w:t>
            </w:r>
          </w:p>
        </w:tc>
      </w:tr>
      <w:tr w:rsidR="00EB6430" w:rsidRPr="008B02E0" w14:paraId="6CAA7F30" w14:textId="77777777" w:rsidTr="00D17F3A">
        <w:tc>
          <w:tcPr>
            <w:tcW w:w="1173" w:type="pct"/>
            <w:vMerge/>
          </w:tcPr>
          <w:p w14:paraId="1FBD3061" w14:textId="77777777" w:rsidR="00EB6430" w:rsidRPr="008B02E0" w:rsidRDefault="00EB6430" w:rsidP="00AE5B32">
            <w:pPr>
              <w:pStyle w:val="TableText0"/>
              <w:keepNext w:val="0"/>
            </w:pPr>
          </w:p>
        </w:tc>
        <w:tc>
          <w:tcPr>
            <w:tcW w:w="378" w:type="pct"/>
          </w:tcPr>
          <w:p w14:paraId="37F5AEE3" w14:textId="5B7F5D4B"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67431666" w14:textId="77777777" w:rsidR="00EB6430" w:rsidRPr="008B02E0" w:rsidRDefault="00EB6430" w:rsidP="00AE5B32">
            <w:pPr>
              <w:pStyle w:val="TableText0"/>
              <w:keepNext w:val="0"/>
              <w:jc w:val="center"/>
            </w:pPr>
            <w:r w:rsidRPr="008B02E0">
              <w:t>3 (2%)</w:t>
            </w:r>
          </w:p>
        </w:tc>
        <w:tc>
          <w:tcPr>
            <w:tcW w:w="639" w:type="pct"/>
          </w:tcPr>
          <w:p w14:paraId="13BF4264"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vAlign w:val="top"/>
          </w:tcPr>
          <w:p w14:paraId="2B62A90E"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02FC56CE"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259AD2B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5 (1%)</w:t>
            </w:r>
          </w:p>
        </w:tc>
        <w:tc>
          <w:tcPr>
            <w:tcW w:w="566" w:type="pct"/>
          </w:tcPr>
          <w:p w14:paraId="3F925A99"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 (&lt;1%)</w:t>
            </w:r>
          </w:p>
        </w:tc>
      </w:tr>
      <w:tr w:rsidR="00EB6430" w:rsidRPr="008B02E0" w14:paraId="5E49ABAE" w14:textId="77777777" w:rsidTr="00D17F3A">
        <w:tc>
          <w:tcPr>
            <w:tcW w:w="1173" w:type="pct"/>
            <w:vMerge w:val="restart"/>
          </w:tcPr>
          <w:p w14:paraId="63DE4BF2" w14:textId="77777777" w:rsidR="00EB6430" w:rsidRPr="008B02E0" w:rsidRDefault="00EB6430" w:rsidP="00AE5B32">
            <w:pPr>
              <w:pStyle w:val="TableText0"/>
              <w:keepNext w:val="0"/>
              <w:rPr>
                <w:rStyle w:val="CommentReference"/>
                <w:b w:val="0"/>
                <w:szCs w:val="24"/>
              </w:rPr>
            </w:pPr>
            <w:r w:rsidRPr="008B02E0">
              <w:t>Hypophysitis</w:t>
            </w:r>
          </w:p>
        </w:tc>
        <w:tc>
          <w:tcPr>
            <w:tcW w:w="378" w:type="pct"/>
          </w:tcPr>
          <w:p w14:paraId="62147853"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4658FA31" w14:textId="77777777" w:rsidR="00EB6430" w:rsidRPr="008B02E0" w:rsidRDefault="00EB6430" w:rsidP="00AE5B32">
            <w:pPr>
              <w:pStyle w:val="TableText0"/>
              <w:keepNext w:val="0"/>
              <w:jc w:val="center"/>
              <w:rPr>
                <w:rStyle w:val="CommentReference"/>
                <w:b w:val="0"/>
                <w:szCs w:val="24"/>
              </w:rPr>
            </w:pPr>
            <w:r w:rsidRPr="008B02E0">
              <w:t>10 (5%)</w:t>
            </w:r>
          </w:p>
        </w:tc>
        <w:tc>
          <w:tcPr>
            <w:tcW w:w="639" w:type="pct"/>
          </w:tcPr>
          <w:p w14:paraId="5E83152C"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vAlign w:val="top"/>
          </w:tcPr>
          <w:p w14:paraId="65D01DFC"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7C1B470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3D81BD40"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23 (7%)</w:t>
            </w:r>
          </w:p>
        </w:tc>
        <w:tc>
          <w:tcPr>
            <w:tcW w:w="566" w:type="pct"/>
          </w:tcPr>
          <w:p w14:paraId="3546201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r>
      <w:tr w:rsidR="00EB6430" w:rsidRPr="008B02E0" w14:paraId="6FDBA3C2" w14:textId="77777777" w:rsidTr="00D17F3A">
        <w:tc>
          <w:tcPr>
            <w:tcW w:w="1173" w:type="pct"/>
            <w:vMerge/>
          </w:tcPr>
          <w:p w14:paraId="4B4C1B2F" w14:textId="77777777" w:rsidR="00EB6430" w:rsidRPr="008B02E0" w:rsidRDefault="00EB6430" w:rsidP="00AE5B32">
            <w:pPr>
              <w:pStyle w:val="TableText0"/>
              <w:keepNext w:val="0"/>
            </w:pPr>
          </w:p>
        </w:tc>
        <w:tc>
          <w:tcPr>
            <w:tcW w:w="378" w:type="pct"/>
          </w:tcPr>
          <w:p w14:paraId="41BBC645" w14:textId="4CAC0692"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5BB229FE" w14:textId="77777777" w:rsidR="00EB6430" w:rsidRPr="008B02E0" w:rsidRDefault="00EB6430" w:rsidP="00AE5B32">
            <w:pPr>
              <w:pStyle w:val="TableText0"/>
              <w:keepNext w:val="0"/>
              <w:jc w:val="center"/>
            </w:pPr>
            <w:r w:rsidRPr="008B02E0">
              <w:t>5 (3%)</w:t>
            </w:r>
          </w:p>
        </w:tc>
        <w:tc>
          <w:tcPr>
            <w:tcW w:w="639" w:type="pct"/>
          </w:tcPr>
          <w:p w14:paraId="5D01E8D0"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vAlign w:val="top"/>
          </w:tcPr>
          <w:p w14:paraId="2D4D50DA"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0A237425"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0D2B64B8"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11 (3%)</w:t>
            </w:r>
          </w:p>
        </w:tc>
        <w:tc>
          <w:tcPr>
            <w:tcW w:w="566" w:type="pct"/>
          </w:tcPr>
          <w:p w14:paraId="54C39FF0"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r>
      <w:tr w:rsidR="00EB6430" w:rsidRPr="008B02E0" w14:paraId="755DC9C3" w14:textId="77777777" w:rsidTr="00D17F3A">
        <w:tc>
          <w:tcPr>
            <w:tcW w:w="1173" w:type="pct"/>
            <w:vMerge w:val="restart"/>
          </w:tcPr>
          <w:p w14:paraId="5826470E" w14:textId="77777777" w:rsidR="00EB6430" w:rsidRPr="008B02E0" w:rsidRDefault="00EB6430" w:rsidP="00AE5B32">
            <w:pPr>
              <w:pStyle w:val="TableText0"/>
              <w:keepNext w:val="0"/>
              <w:rPr>
                <w:rStyle w:val="CommentReference"/>
                <w:b w:val="0"/>
                <w:szCs w:val="24"/>
              </w:rPr>
            </w:pPr>
            <w:r w:rsidRPr="008B02E0">
              <w:t>Pneumonitis</w:t>
            </w:r>
          </w:p>
        </w:tc>
        <w:tc>
          <w:tcPr>
            <w:tcW w:w="378" w:type="pct"/>
          </w:tcPr>
          <w:p w14:paraId="4F80CE69"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1B7B6252" w14:textId="77777777" w:rsidR="00EB6430" w:rsidRPr="008B02E0" w:rsidRDefault="00EB6430" w:rsidP="00AE5B32">
            <w:pPr>
              <w:pStyle w:val="TableText0"/>
              <w:keepNext w:val="0"/>
              <w:jc w:val="center"/>
              <w:rPr>
                <w:rStyle w:val="CommentReference"/>
                <w:b w:val="0"/>
                <w:szCs w:val="24"/>
              </w:rPr>
            </w:pPr>
            <w:r w:rsidRPr="008B02E0">
              <w:t>4 (2%)</w:t>
            </w:r>
          </w:p>
        </w:tc>
        <w:tc>
          <w:tcPr>
            <w:tcW w:w="639" w:type="pct"/>
          </w:tcPr>
          <w:p w14:paraId="6777A4E6"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73FE05D6"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6 (4%)</w:t>
            </w:r>
          </w:p>
        </w:tc>
        <w:tc>
          <w:tcPr>
            <w:tcW w:w="516" w:type="pct"/>
          </w:tcPr>
          <w:p w14:paraId="7332CD5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2 (1%)</w:t>
            </w:r>
          </w:p>
        </w:tc>
        <w:tc>
          <w:tcPr>
            <w:tcW w:w="683" w:type="pct"/>
          </w:tcPr>
          <w:p w14:paraId="7EFD54E7"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7 (2%)</w:t>
            </w:r>
          </w:p>
        </w:tc>
        <w:tc>
          <w:tcPr>
            <w:tcW w:w="566" w:type="pct"/>
          </w:tcPr>
          <w:p w14:paraId="57AF2651"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7 (2%)</w:t>
            </w:r>
          </w:p>
        </w:tc>
      </w:tr>
      <w:tr w:rsidR="00EB6430" w:rsidRPr="008B02E0" w14:paraId="497A5537" w14:textId="77777777" w:rsidTr="00D17F3A">
        <w:tc>
          <w:tcPr>
            <w:tcW w:w="1173" w:type="pct"/>
            <w:vMerge/>
          </w:tcPr>
          <w:p w14:paraId="2A1243F7" w14:textId="77777777" w:rsidR="00EB6430" w:rsidRPr="008B02E0" w:rsidRDefault="00EB6430" w:rsidP="00AE5B32">
            <w:pPr>
              <w:pStyle w:val="TableText0"/>
              <w:keepNext w:val="0"/>
            </w:pPr>
          </w:p>
        </w:tc>
        <w:tc>
          <w:tcPr>
            <w:tcW w:w="378" w:type="pct"/>
          </w:tcPr>
          <w:p w14:paraId="19C6139B" w14:textId="4D344268"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5EEACF9D" w14:textId="77777777" w:rsidR="00EB6430" w:rsidRPr="008B02E0" w:rsidRDefault="00EB6430" w:rsidP="00AE5B32">
            <w:pPr>
              <w:pStyle w:val="TableText0"/>
              <w:keepNext w:val="0"/>
              <w:jc w:val="center"/>
            </w:pPr>
            <w:r w:rsidRPr="008B02E0">
              <w:t>3 (2%)</w:t>
            </w:r>
          </w:p>
        </w:tc>
        <w:tc>
          <w:tcPr>
            <w:tcW w:w="639" w:type="pct"/>
          </w:tcPr>
          <w:p w14:paraId="712B9D9D"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314A793C"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516" w:type="pct"/>
          </w:tcPr>
          <w:p w14:paraId="1119CD8A"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25EED95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c>
          <w:tcPr>
            <w:tcW w:w="566" w:type="pct"/>
          </w:tcPr>
          <w:p w14:paraId="5714868B"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r>
      <w:tr w:rsidR="00EB6430" w:rsidRPr="008B02E0" w14:paraId="2E5D6019" w14:textId="77777777" w:rsidTr="00D17F3A">
        <w:tc>
          <w:tcPr>
            <w:tcW w:w="1173" w:type="pct"/>
            <w:vMerge w:val="restart"/>
          </w:tcPr>
          <w:p w14:paraId="75240D32" w14:textId="77777777" w:rsidR="00EB6430" w:rsidRPr="008B02E0" w:rsidRDefault="00EB6430" w:rsidP="00AE5B32">
            <w:pPr>
              <w:pStyle w:val="TableText0"/>
              <w:keepNext w:val="0"/>
              <w:rPr>
                <w:rStyle w:val="CommentReference"/>
                <w:b w:val="0"/>
                <w:szCs w:val="24"/>
              </w:rPr>
            </w:pPr>
            <w:r w:rsidRPr="008B02E0">
              <w:t>Thyroiditis</w:t>
            </w:r>
          </w:p>
        </w:tc>
        <w:tc>
          <w:tcPr>
            <w:tcW w:w="378" w:type="pct"/>
          </w:tcPr>
          <w:p w14:paraId="031B3ECA"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4744762B" w14:textId="77777777" w:rsidR="00EB6430" w:rsidRPr="008B02E0" w:rsidRDefault="00EB6430" w:rsidP="00AE5B32">
            <w:pPr>
              <w:pStyle w:val="TableText0"/>
              <w:keepNext w:val="0"/>
              <w:jc w:val="center"/>
              <w:rPr>
                <w:rStyle w:val="CommentReference"/>
                <w:b w:val="0"/>
                <w:szCs w:val="24"/>
              </w:rPr>
            </w:pPr>
            <w:r w:rsidRPr="008B02E0">
              <w:t>3 (2%)</w:t>
            </w:r>
          </w:p>
        </w:tc>
        <w:tc>
          <w:tcPr>
            <w:tcW w:w="639" w:type="pct"/>
          </w:tcPr>
          <w:p w14:paraId="28761E9A"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5680AF4B"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2 (1%)</w:t>
            </w:r>
          </w:p>
        </w:tc>
        <w:tc>
          <w:tcPr>
            <w:tcW w:w="516" w:type="pct"/>
            <w:vAlign w:val="top"/>
          </w:tcPr>
          <w:p w14:paraId="21D1B6AD"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vAlign w:val="top"/>
          </w:tcPr>
          <w:p w14:paraId="0559C9F1"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NR</w:t>
            </w:r>
            <w:r w:rsidRPr="008B02E0">
              <w:rPr>
                <w:rStyle w:val="CommentReference"/>
                <w:b w:val="0"/>
                <w:iCs/>
                <w:szCs w:val="24"/>
                <w:vertAlign w:val="superscript"/>
              </w:rPr>
              <w:t>a</w:t>
            </w:r>
          </w:p>
        </w:tc>
        <w:tc>
          <w:tcPr>
            <w:tcW w:w="566" w:type="pct"/>
            <w:vAlign w:val="top"/>
          </w:tcPr>
          <w:p w14:paraId="60A4D3C7"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NR</w:t>
            </w:r>
            <w:r w:rsidRPr="008B02E0">
              <w:rPr>
                <w:rStyle w:val="CommentReference"/>
                <w:b w:val="0"/>
                <w:iCs/>
                <w:szCs w:val="24"/>
                <w:vertAlign w:val="superscript"/>
              </w:rPr>
              <w:t>a</w:t>
            </w:r>
          </w:p>
        </w:tc>
      </w:tr>
      <w:tr w:rsidR="00EB6430" w:rsidRPr="008B02E0" w14:paraId="748E2A64" w14:textId="77777777" w:rsidTr="00D17F3A">
        <w:tc>
          <w:tcPr>
            <w:tcW w:w="1173" w:type="pct"/>
            <w:vMerge/>
          </w:tcPr>
          <w:p w14:paraId="4F3C5AA6" w14:textId="77777777" w:rsidR="00EB6430" w:rsidRPr="008B02E0" w:rsidRDefault="00EB6430" w:rsidP="00AE5B32">
            <w:pPr>
              <w:pStyle w:val="TableText0"/>
              <w:keepNext w:val="0"/>
            </w:pPr>
          </w:p>
        </w:tc>
        <w:tc>
          <w:tcPr>
            <w:tcW w:w="378" w:type="pct"/>
          </w:tcPr>
          <w:p w14:paraId="596E7BA7" w14:textId="20C2A742"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7E8A9E57" w14:textId="77777777" w:rsidR="00EB6430" w:rsidRPr="008B02E0" w:rsidRDefault="00EB6430" w:rsidP="00AE5B32">
            <w:pPr>
              <w:pStyle w:val="TableText0"/>
              <w:keepNext w:val="0"/>
              <w:jc w:val="center"/>
            </w:pPr>
            <w:r w:rsidRPr="008B02E0">
              <w:t>1 (&lt;1%)</w:t>
            </w:r>
          </w:p>
        </w:tc>
        <w:tc>
          <w:tcPr>
            <w:tcW w:w="639" w:type="pct"/>
          </w:tcPr>
          <w:p w14:paraId="26E9664B"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63061A4B"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516" w:type="pct"/>
            <w:vAlign w:val="top"/>
          </w:tcPr>
          <w:p w14:paraId="7C2BA149"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vAlign w:val="top"/>
          </w:tcPr>
          <w:p w14:paraId="30D758E5"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NR</w:t>
            </w:r>
            <w:r w:rsidRPr="008B02E0">
              <w:rPr>
                <w:rStyle w:val="CommentReference"/>
                <w:b w:val="0"/>
                <w:iCs/>
                <w:szCs w:val="24"/>
                <w:vertAlign w:val="superscript"/>
              </w:rPr>
              <w:t>a</w:t>
            </w:r>
          </w:p>
        </w:tc>
        <w:tc>
          <w:tcPr>
            <w:tcW w:w="566" w:type="pct"/>
            <w:vAlign w:val="top"/>
          </w:tcPr>
          <w:p w14:paraId="507A07E8"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NR</w:t>
            </w:r>
            <w:r w:rsidRPr="008B02E0">
              <w:rPr>
                <w:rStyle w:val="CommentReference"/>
                <w:b w:val="0"/>
                <w:iCs/>
                <w:szCs w:val="24"/>
                <w:vertAlign w:val="superscript"/>
              </w:rPr>
              <w:t>a</w:t>
            </w:r>
          </w:p>
        </w:tc>
      </w:tr>
      <w:tr w:rsidR="00EB6430" w:rsidRPr="008B02E0" w14:paraId="2F3011D2" w14:textId="77777777" w:rsidTr="00D17F3A">
        <w:tc>
          <w:tcPr>
            <w:tcW w:w="1173" w:type="pct"/>
            <w:vMerge w:val="restart"/>
          </w:tcPr>
          <w:p w14:paraId="0CFD39BD" w14:textId="77777777" w:rsidR="00EB6430" w:rsidRPr="008B02E0" w:rsidRDefault="00EB6430" w:rsidP="00AE5B32">
            <w:pPr>
              <w:pStyle w:val="TableText0"/>
              <w:keepNext w:val="0"/>
              <w:rPr>
                <w:rStyle w:val="CommentReference"/>
                <w:b w:val="0"/>
                <w:szCs w:val="24"/>
              </w:rPr>
            </w:pPr>
            <w:r w:rsidRPr="008B02E0">
              <w:t>Diabetes mellitus</w:t>
            </w:r>
          </w:p>
        </w:tc>
        <w:tc>
          <w:tcPr>
            <w:tcW w:w="378" w:type="pct"/>
          </w:tcPr>
          <w:p w14:paraId="699CC16D"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3DB57486" w14:textId="77777777" w:rsidR="00EB6430" w:rsidRPr="008B02E0" w:rsidRDefault="00EB6430" w:rsidP="00AE5B32">
            <w:pPr>
              <w:pStyle w:val="TableText0"/>
              <w:keepNext w:val="0"/>
              <w:jc w:val="center"/>
              <w:rPr>
                <w:rStyle w:val="CommentReference"/>
                <w:b w:val="0"/>
                <w:szCs w:val="24"/>
              </w:rPr>
            </w:pPr>
            <w:r w:rsidRPr="008B02E0">
              <w:t>2 (1%)</w:t>
            </w:r>
          </w:p>
        </w:tc>
        <w:tc>
          <w:tcPr>
            <w:tcW w:w="639" w:type="pct"/>
          </w:tcPr>
          <w:p w14:paraId="7544112B"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4F538C51"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 (&lt;1%)</w:t>
            </w:r>
          </w:p>
        </w:tc>
        <w:tc>
          <w:tcPr>
            <w:tcW w:w="516" w:type="pct"/>
            <w:vAlign w:val="top"/>
          </w:tcPr>
          <w:p w14:paraId="533AD644"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133ADC8D"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4 (1%)</w:t>
            </w:r>
          </w:p>
        </w:tc>
        <w:tc>
          <w:tcPr>
            <w:tcW w:w="566" w:type="pct"/>
          </w:tcPr>
          <w:p w14:paraId="542BCBA3"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 (&lt;1%)</w:t>
            </w:r>
          </w:p>
        </w:tc>
      </w:tr>
      <w:tr w:rsidR="00EB6430" w:rsidRPr="008B02E0" w14:paraId="25100027" w14:textId="77777777" w:rsidTr="00D17F3A">
        <w:tc>
          <w:tcPr>
            <w:tcW w:w="1173" w:type="pct"/>
            <w:vMerge/>
          </w:tcPr>
          <w:p w14:paraId="62286474" w14:textId="77777777" w:rsidR="00EB6430" w:rsidRPr="008B02E0" w:rsidRDefault="00EB6430" w:rsidP="00AE5B32">
            <w:pPr>
              <w:pStyle w:val="TableText0"/>
              <w:keepNext w:val="0"/>
            </w:pPr>
          </w:p>
        </w:tc>
        <w:tc>
          <w:tcPr>
            <w:tcW w:w="378" w:type="pct"/>
          </w:tcPr>
          <w:p w14:paraId="42A294B3" w14:textId="5849BADB"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722F79B5" w14:textId="77777777" w:rsidR="00EB6430" w:rsidRPr="008B02E0" w:rsidRDefault="00EB6430" w:rsidP="00AE5B32">
            <w:pPr>
              <w:pStyle w:val="TableText0"/>
              <w:keepNext w:val="0"/>
              <w:jc w:val="center"/>
            </w:pPr>
            <w:r w:rsidRPr="008B02E0">
              <w:t>0 (0%)</w:t>
            </w:r>
          </w:p>
        </w:tc>
        <w:tc>
          <w:tcPr>
            <w:tcW w:w="639" w:type="pct"/>
          </w:tcPr>
          <w:p w14:paraId="225CF710"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637EE046"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 (&lt;1%)</w:t>
            </w:r>
          </w:p>
        </w:tc>
        <w:tc>
          <w:tcPr>
            <w:tcW w:w="516" w:type="pct"/>
            <w:vAlign w:val="top"/>
          </w:tcPr>
          <w:p w14:paraId="156ED7DE"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585C0B7B"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 (&lt;1%)</w:t>
            </w:r>
          </w:p>
        </w:tc>
        <w:tc>
          <w:tcPr>
            <w:tcW w:w="566" w:type="pct"/>
          </w:tcPr>
          <w:p w14:paraId="5E31517D"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 (&lt;1%)</w:t>
            </w:r>
          </w:p>
        </w:tc>
      </w:tr>
      <w:tr w:rsidR="00EB6430" w:rsidRPr="008B02E0" w14:paraId="1E80CD34" w14:textId="77777777" w:rsidTr="00D17F3A">
        <w:tc>
          <w:tcPr>
            <w:tcW w:w="1173" w:type="pct"/>
            <w:vMerge w:val="restart"/>
          </w:tcPr>
          <w:p w14:paraId="71E2A68A" w14:textId="77777777" w:rsidR="00EB6430" w:rsidRPr="008B02E0" w:rsidRDefault="00EB6430" w:rsidP="00AE5B32">
            <w:pPr>
              <w:pStyle w:val="TableText0"/>
              <w:keepNext w:val="0"/>
              <w:rPr>
                <w:rStyle w:val="CommentReference"/>
                <w:b w:val="0"/>
                <w:szCs w:val="24"/>
              </w:rPr>
            </w:pPr>
            <w:r w:rsidRPr="008B02E0">
              <w:t>Nephritis and renal dysfunction</w:t>
            </w:r>
          </w:p>
        </w:tc>
        <w:tc>
          <w:tcPr>
            <w:tcW w:w="378" w:type="pct"/>
          </w:tcPr>
          <w:p w14:paraId="1F1BFC30"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0FA68140" w14:textId="77777777" w:rsidR="00EB6430" w:rsidRPr="008B02E0" w:rsidRDefault="00EB6430" w:rsidP="00AE5B32">
            <w:pPr>
              <w:pStyle w:val="TableText0"/>
              <w:keepNext w:val="0"/>
              <w:jc w:val="center"/>
              <w:rPr>
                <w:rStyle w:val="CommentReference"/>
                <w:b w:val="0"/>
                <w:iCs/>
                <w:szCs w:val="24"/>
              </w:rPr>
            </w:pPr>
            <w:r w:rsidRPr="008B02E0">
              <w:rPr>
                <w:iCs/>
              </w:rPr>
              <w:t>2 (1%)</w:t>
            </w:r>
          </w:p>
        </w:tc>
        <w:tc>
          <w:tcPr>
            <w:tcW w:w="639" w:type="pct"/>
          </w:tcPr>
          <w:p w14:paraId="01B9367E"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396C22C4"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 (&lt;1%)</w:t>
            </w:r>
          </w:p>
        </w:tc>
        <w:tc>
          <w:tcPr>
            <w:tcW w:w="516" w:type="pct"/>
            <w:vAlign w:val="top"/>
          </w:tcPr>
          <w:p w14:paraId="047E8C61"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05DC212F"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6 (2%)</w:t>
            </w:r>
          </w:p>
        </w:tc>
        <w:tc>
          <w:tcPr>
            <w:tcW w:w="566" w:type="pct"/>
          </w:tcPr>
          <w:p w14:paraId="68F1C789"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 (&lt;1%)</w:t>
            </w:r>
          </w:p>
        </w:tc>
      </w:tr>
      <w:tr w:rsidR="00EB6430" w:rsidRPr="008B02E0" w14:paraId="4C05F28F" w14:textId="77777777" w:rsidTr="00D17F3A">
        <w:tc>
          <w:tcPr>
            <w:tcW w:w="1173" w:type="pct"/>
            <w:vMerge/>
          </w:tcPr>
          <w:p w14:paraId="4E4D1616" w14:textId="77777777" w:rsidR="00EB6430" w:rsidRPr="008B02E0" w:rsidRDefault="00EB6430" w:rsidP="00AE5B32">
            <w:pPr>
              <w:pStyle w:val="TableText0"/>
              <w:keepNext w:val="0"/>
            </w:pPr>
          </w:p>
        </w:tc>
        <w:tc>
          <w:tcPr>
            <w:tcW w:w="378" w:type="pct"/>
          </w:tcPr>
          <w:p w14:paraId="7E552DCB" w14:textId="4C1B97C1"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24CAC2DA" w14:textId="77777777" w:rsidR="00EB6430" w:rsidRPr="008B02E0" w:rsidRDefault="00EB6430" w:rsidP="00AE5B32">
            <w:pPr>
              <w:pStyle w:val="TableText0"/>
              <w:keepNext w:val="0"/>
              <w:jc w:val="center"/>
            </w:pPr>
            <w:r w:rsidRPr="008B02E0">
              <w:t>1 (&lt;1%)</w:t>
            </w:r>
          </w:p>
        </w:tc>
        <w:tc>
          <w:tcPr>
            <w:tcW w:w="639" w:type="pct"/>
          </w:tcPr>
          <w:p w14:paraId="11A1F3A6" w14:textId="77777777" w:rsidR="00EB6430" w:rsidRPr="008B02E0" w:rsidRDefault="00EB6430" w:rsidP="00AE5B32">
            <w:pPr>
              <w:pStyle w:val="TableText0"/>
              <w:keepNext w:val="0"/>
              <w:jc w:val="center"/>
              <w:rPr>
                <w:rStyle w:val="CommentReference"/>
                <w:b w:val="0"/>
                <w:szCs w:val="24"/>
              </w:rPr>
            </w:pPr>
            <w:r w:rsidRPr="008B02E0">
              <w:t>0 (0%)</w:t>
            </w:r>
          </w:p>
        </w:tc>
        <w:tc>
          <w:tcPr>
            <w:tcW w:w="519" w:type="pct"/>
          </w:tcPr>
          <w:p w14:paraId="0D0CE19A"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516" w:type="pct"/>
            <w:vAlign w:val="top"/>
          </w:tcPr>
          <w:p w14:paraId="4237908F"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0 (0%)</w:t>
            </w:r>
          </w:p>
        </w:tc>
        <w:tc>
          <w:tcPr>
            <w:tcW w:w="683" w:type="pct"/>
          </w:tcPr>
          <w:p w14:paraId="68B19FF4"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2 (&lt;1%)</w:t>
            </w:r>
          </w:p>
        </w:tc>
        <w:tc>
          <w:tcPr>
            <w:tcW w:w="566" w:type="pct"/>
          </w:tcPr>
          <w:p w14:paraId="015243F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1 (&lt;1%)</w:t>
            </w:r>
          </w:p>
        </w:tc>
      </w:tr>
      <w:tr w:rsidR="00EB6430" w:rsidRPr="008B02E0" w14:paraId="06440584" w14:textId="77777777" w:rsidTr="00D17F3A">
        <w:tc>
          <w:tcPr>
            <w:tcW w:w="1173" w:type="pct"/>
            <w:vMerge w:val="restart"/>
          </w:tcPr>
          <w:p w14:paraId="1B3728A7" w14:textId="77777777" w:rsidR="00EB6430" w:rsidRPr="008B02E0" w:rsidRDefault="00EB6430" w:rsidP="00AE5B32">
            <w:pPr>
              <w:pStyle w:val="TableText0"/>
              <w:keepNext w:val="0"/>
              <w:rPr>
                <w:rStyle w:val="CommentReference"/>
                <w:b w:val="0"/>
                <w:szCs w:val="24"/>
              </w:rPr>
            </w:pPr>
            <w:r w:rsidRPr="008B02E0">
              <w:t>Hypersensitivity</w:t>
            </w:r>
          </w:p>
        </w:tc>
        <w:tc>
          <w:tcPr>
            <w:tcW w:w="378" w:type="pct"/>
          </w:tcPr>
          <w:p w14:paraId="2E1F3F4C" w14:textId="77777777" w:rsidR="00EB6430" w:rsidRPr="008B02E0" w:rsidRDefault="00EB6430" w:rsidP="00AE5B32">
            <w:pPr>
              <w:pStyle w:val="TableText0"/>
              <w:keepNext w:val="0"/>
              <w:rPr>
                <w:rStyle w:val="CommentReference"/>
                <w:b w:val="0"/>
                <w:szCs w:val="24"/>
              </w:rPr>
            </w:pPr>
            <w:r w:rsidRPr="008B02E0">
              <w:rPr>
                <w:rStyle w:val="CommentReference"/>
                <w:b w:val="0"/>
                <w:szCs w:val="24"/>
              </w:rPr>
              <w:t xml:space="preserve">Any </w:t>
            </w:r>
          </w:p>
        </w:tc>
        <w:tc>
          <w:tcPr>
            <w:tcW w:w="525" w:type="pct"/>
          </w:tcPr>
          <w:p w14:paraId="7FCC1C06" w14:textId="77777777" w:rsidR="00EB6430" w:rsidRPr="008B02E0" w:rsidRDefault="00EB6430" w:rsidP="00AE5B32">
            <w:pPr>
              <w:pStyle w:val="TableText0"/>
              <w:keepNext w:val="0"/>
              <w:jc w:val="center"/>
              <w:rPr>
                <w:rStyle w:val="CommentReference"/>
                <w:b w:val="0"/>
                <w:szCs w:val="24"/>
              </w:rPr>
            </w:pPr>
            <w:r w:rsidRPr="008B02E0">
              <w:t>0 (0%)</w:t>
            </w:r>
          </w:p>
        </w:tc>
        <w:tc>
          <w:tcPr>
            <w:tcW w:w="639" w:type="pct"/>
          </w:tcPr>
          <w:p w14:paraId="545C1514"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w:t>
            </w:r>
            <w:r w:rsidRPr="008B02E0">
              <w:rPr>
                <w:rStyle w:val="CommentReference"/>
                <w:szCs w:val="24"/>
              </w:rPr>
              <w:t xml:space="preserve"> </w:t>
            </w:r>
            <w:r w:rsidRPr="008B02E0">
              <w:t>(1%)</w:t>
            </w:r>
          </w:p>
        </w:tc>
        <w:tc>
          <w:tcPr>
            <w:tcW w:w="519" w:type="pct"/>
            <w:vAlign w:val="top"/>
          </w:tcPr>
          <w:p w14:paraId="6BA186B1"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2EB919C1"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0E1DD8DC"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p>
        </w:tc>
        <w:tc>
          <w:tcPr>
            <w:tcW w:w="566" w:type="pct"/>
          </w:tcPr>
          <w:p w14:paraId="2A1517EF"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3 (&lt;1%)</w:t>
            </w:r>
          </w:p>
        </w:tc>
      </w:tr>
      <w:tr w:rsidR="00EB6430" w:rsidRPr="008B02E0" w14:paraId="2BDD2FE4" w14:textId="77777777" w:rsidTr="00D17F3A">
        <w:tc>
          <w:tcPr>
            <w:tcW w:w="1173" w:type="pct"/>
            <w:vMerge/>
          </w:tcPr>
          <w:p w14:paraId="7A945CAF" w14:textId="77777777" w:rsidR="00EB6430" w:rsidRPr="008B02E0" w:rsidRDefault="00EB6430" w:rsidP="00AE5B32">
            <w:pPr>
              <w:pStyle w:val="TableText0"/>
              <w:keepNext w:val="0"/>
              <w:rPr>
                <w:rStyle w:val="CommentReference"/>
                <w:b w:val="0"/>
                <w:szCs w:val="24"/>
              </w:rPr>
            </w:pPr>
          </w:p>
        </w:tc>
        <w:tc>
          <w:tcPr>
            <w:tcW w:w="378" w:type="pct"/>
          </w:tcPr>
          <w:p w14:paraId="28B4AD92" w14:textId="786CA388" w:rsidR="00EB6430" w:rsidRPr="008B02E0" w:rsidRDefault="00EB6430" w:rsidP="00AE5B32">
            <w:pPr>
              <w:pStyle w:val="TableText0"/>
              <w:keepNext w:val="0"/>
              <w:rPr>
                <w:rStyle w:val="CommentReference"/>
                <w:b w:val="0"/>
                <w:szCs w:val="24"/>
              </w:rPr>
            </w:pPr>
            <w:r w:rsidRPr="008B02E0">
              <w:rPr>
                <w:rStyle w:val="CommentReference"/>
                <w:b w:val="0"/>
                <w:szCs w:val="24"/>
              </w:rPr>
              <w:t>3</w:t>
            </w:r>
            <w:r w:rsidR="009E5502">
              <w:rPr>
                <w:rStyle w:val="CommentReference"/>
                <w:b w:val="0"/>
                <w:szCs w:val="24"/>
              </w:rPr>
              <w:noBreakHyphen/>
            </w:r>
            <w:r w:rsidRPr="008B02E0">
              <w:rPr>
                <w:rStyle w:val="CommentReference"/>
                <w:b w:val="0"/>
                <w:szCs w:val="24"/>
              </w:rPr>
              <w:t>4</w:t>
            </w:r>
          </w:p>
        </w:tc>
        <w:tc>
          <w:tcPr>
            <w:tcW w:w="525" w:type="pct"/>
          </w:tcPr>
          <w:p w14:paraId="36738797" w14:textId="77777777" w:rsidR="00EB6430" w:rsidRPr="008B02E0" w:rsidRDefault="00EB6430" w:rsidP="00AE5B32">
            <w:pPr>
              <w:pStyle w:val="TableText0"/>
              <w:keepNext w:val="0"/>
              <w:jc w:val="center"/>
              <w:rPr>
                <w:rStyle w:val="CommentReference"/>
                <w:b w:val="0"/>
                <w:szCs w:val="24"/>
              </w:rPr>
            </w:pPr>
            <w:r w:rsidRPr="008B02E0">
              <w:t>0 (0%)</w:t>
            </w:r>
          </w:p>
        </w:tc>
        <w:tc>
          <w:tcPr>
            <w:tcW w:w="639" w:type="pct"/>
          </w:tcPr>
          <w:p w14:paraId="092585A0"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1</w:t>
            </w:r>
            <w:r w:rsidRPr="008B02E0">
              <w:rPr>
                <w:rStyle w:val="CommentReference"/>
                <w:szCs w:val="24"/>
              </w:rPr>
              <w:t xml:space="preserve"> </w:t>
            </w:r>
            <w:r w:rsidRPr="008B02E0">
              <w:t>(1%)</w:t>
            </w:r>
          </w:p>
        </w:tc>
        <w:tc>
          <w:tcPr>
            <w:tcW w:w="519" w:type="pct"/>
            <w:vAlign w:val="top"/>
          </w:tcPr>
          <w:p w14:paraId="7F83EF76"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516" w:type="pct"/>
            <w:vAlign w:val="top"/>
          </w:tcPr>
          <w:p w14:paraId="038685BF" w14:textId="77777777" w:rsidR="00EB6430" w:rsidRPr="008B02E0" w:rsidRDefault="00EB6430" w:rsidP="00AE5B32">
            <w:pPr>
              <w:pStyle w:val="TableText0"/>
              <w:keepNext w:val="0"/>
              <w:jc w:val="center"/>
              <w:rPr>
                <w:rStyle w:val="CommentReference"/>
                <w:b w:val="0"/>
                <w:szCs w:val="24"/>
              </w:rPr>
            </w:pPr>
            <w:r w:rsidRPr="008B02E0">
              <w:rPr>
                <w:rStyle w:val="CommentReference"/>
                <w:b w:val="0"/>
                <w:szCs w:val="24"/>
              </w:rPr>
              <w:t>NR</w:t>
            </w:r>
          </w:p>
        </w:tc>
        <w:tc>
          <w:tcPr>
            <w:tcW w:w="683" w:type="pct"/>
          </w:tcPr>
          <w:p w14:paraId="5AC597DF"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p>
        </w:tc>
        <w:tc>
          <w:tcPr>
            <w:tcW w:w="566" w:type="pct"/>
          </w:tcPr>
          <w:p w14:paraId="69603BA6" w14:textId="77777777" w:rsidR="00EB6430" w:rsidRPr="008B02E0" w:rsidRDefault="00EB6430" w:rsidP="00AE5B32">
            <w:pPr>
              <w:pStyle w:val="TableText0"/>
              <w:keepNext w:val="0"/>
              <w:jc w:val="center"/>
              <w:rPr>
                <w:rStyle w:val="CommentReference"/>
                <w:b w:val="0"/>
                <w:iCs/>
                <w:szCs w:val="24"/>
              </w:rPr>
            </w:pPr>
            <w:r w:rsidRPr="008B02E0">
              <w:rPr>
                <w:rStyle w:val="CommentReference"/>
                <w:b w:val="0"/>
                <w:iCs/>
                <w:szCs w:val="24"/>
              </w:rPr>
              <w:t>0 (0%)</w:t>
            </w:r>
          </w:p>
        </w:tc>
      </w:tr>
    </w:tbl>
    <w:p w14:paraId="5F82F679" w14:textId="3501E81A" w:rsidR="00EB6430" w:rsidRPr="008B02E0" w:rsidRDefault="00EB6430" w:rsidP="00AE5B32">
      <w:pPr>
        <w:pStyle w:val="TableFigureFooter"/>
        <w:rPr>
          <w:iCs/>
        </w:rPr>
      </w:pPr>
      <w:r w:rsidRPr="008B02E0">
        <w:t xml:space="preserve">Sources Table 57, p89, Table 62, p94 and </w:t>
      </w:r>
      <w:r w:rsidRPr="008B02E0">
        <w:rPr>
          <w:iCs/>
        </w:rPr>
        <w:t>compiled from Tables 8.6.2</w:t>
      </w:r>
      <w:r w:rsidR="009E5502">
        <w:rPr>
          <w:iCs/>
        </w:rPr>
        <w:noBreakHyphen/>
      </w:r>
      <w:r w:rsidRPr="008B02E0">
        <w:rPr>
          <w:iCs/>
        </w:rPr>
        <w:t>1, 8.6.2</w:t>
      </w:r>
      <w:r w:rsidR="009E5502">
        <w:rPr>
          <w:iCs/>
        </w:rPr>
        <w:noBreakHyphen/>
      </w:r>
      <w:r w:rsidRPr="008B02E0">
        <w:rPr>
          <w:iCs/>
        </w:rPr>
        <w:t>2, pp90</w:t>
      </w:r>
      <w:r w:rsidR="009E5502">
        <w:rPr>
          <w:iCs/>
        </w:rPr>
        <w:noBreakHyphen/>
      </w:r>
      <w:r w:rsidRPr="008B02E0">
        <w:rPr>
          <w:iCs/>
        </w:rPr>
        <w:t>91 CM</w:t>
      </w:r>
      <w:r w:rsidR="009E5502">
        <w:rPr>
          <w:iCs/>
        </w:rPr>
        <w:noBreakHyphen/>
      </w:r>
      <w:r w:rsidRPr="008B02E0">
        <w:rPr>
          <w:iCs/>
        </w:rPr>
        <w:t>8HW Primary CSR</w:t>
      </w:r>
    </w:p>
    <w:p w14:paraId="3E366616" w14:textId="45A83B3A" w:rsidR="00EB6430" w:rsidRPr="008B02E0" w:rsidRDefault="00EB6430" w:rsidP="00AE5B32">
      <w:pPr>
        <w:pStyle w:val="TableFigureFooter"/>
      </w:pPr>
      <w:r w:rsidRPr="008B02E0">
        <w:rPr>
          <w:rFonts w:eastAsia="Calibri"/>
        </w:rPr>
        <w:t xml:space="preserve">chemo=chemotherapy, IPI=ipilimumab; n = number of participants reporting data; N = total participants in group; NIVO=nivolumab; </w:t>
      </w:r>
      <w:r w:rsidR="008F0D1B" w:rsidRPr="008B02E0">
        <w:rPr>
          <w:rFonts w:eastAsia="Calibri"/>
        </w:rPr>
        <w:t xml:space="preserve">NR=not reported; </w:t>
      </w:r>
      <w:r w:rsidRPr="008B02E0">
        <w:rPr>
          <w:rFonts w:eastAsia="Calibri"/>
        </w:rPr>
        <w:t>pembro=pembrolizumab;</w:t>
      </w:r>
    </w:p>
    <w:p w14:paraId="47F72392" w14:textId="5EFE0A05" w:rsidR="00EB6430" w:rsidRPr="008B02E0" w:rsidRDefault="00EB6430" w:rsidP="00AE5B32">
      <w:pPr>
        <w:pStyle w:val="TableFigureFooter"/>
      </w:pPr>
      <w:r w:rsidRPr="008B02E0">
        <w:rPr>
          <w:vertAlign w:val="superscript"/>
        </w:rPr>
        <w:t>a</w:t>
      </w:r>
      <w:r w:rsidRPr="008B02E0">
        <w:rPr>
          <w:vertAlign w:val="superscript"/>
        </w:rPr>
        <w:tab/>
      </w:r>
      <w:r w:rsidRPr="008B02E0">
        <w:t>reported only as combined outcome hypothyroidism/thyroiditis</w:t>
      </w:r>
    </w:p>
    <w:p w14:paraId="52D338CF" w14:textId="5484ACD6" w:rsidR="0076213C" w:rsidRPr="008B02E0" w:rsidRDefault="00BE6093" w:rsidP="00AE5B32">
      <w:pPr>
        <w:pStyle w:val="3-BodyText"/>
      </w:pPr>
      <w:r w:rsidRPr="008B02E0">
        <w:t>The incidence of a</w:t>
      </w:r>
      <w:r w:rsidR="0076213C" w:rsidRPr="008B02E0">
        <w:t>dverse event</w:t>
      </w:r>
      <w:r w:rsidRPr="008B02E0">
        <w:t>s</w:t>
      </w:r>
      <w:r w:rsidR="0076213C" w:rsidRPr="008B02E0">
        <w:t xml:space="preserve"> was high across all arms of all studies, with at least 90% of patients reporting any adverse event. For CM</w:t>
      </w:r>
      <w:r w:rsidR="009E5502">
        <w:noBreakHyphen/>
      </w:r>
      <w:r w:rsidR="0076213C" w:rsidRPr="008B02E0">
        <w:t>8HW</w:t>
      </w:r>
      <w:r w:rsidR="00A171F2" w:rsidRPr="008B02E0">
        <w:t xml:space="preserve"> 1L</w:t>
      </w:r>
      <w:r w:rsidR="0076213C" w:rsidRPr="008B02E0">
        <w:t xml:space="preserve"> two deaths occurred in </w:t>
      </w:r>
      <w:r w:rsidR="0076213C" w:rsidRPr="008B02E0">
        <w:lastRenderedPageBreak/>
        <w:t>the nivolumab plus ipilimumab arm, one in the chemotherapy arm and one in the nivolumab arm due to study drug toxicity.</w:t>
      </w:r>
      <w:r w:rsidR="00CD67B7" w:rsidRPr="008B02E0">
        <w:t xml:space="preserve"> There were no deaths due to study drug toxicity in KN</w:t>
      </w:r>
      <w:r w:rsidR="009E5502">
        <w:noBreakHyphen/>
      </w:r>
      <w:r w:rsidR="00CD67B7" w:rsidRPr="008B02E0">
        <w:t xml:space="preserve">177. </w:t>
      </w:r>
    </w:p>
    <w:p w14:paraId="79B6A036" w14:textId="15CAB1D9" w:rsidR="0076213C" w:rsidRPr="008B02E0" w:rsidRDefault="0076213C" w:rsidP="00AE5B32">
      <w:pPr>
        <w:pStyle w:val="3-BodyText"/>
      </w:pPr>
      <w:bookmarkStart w:id="64" w:name="_Ref201243183"/>
      <w:r w:rsidRPr="008B02E0">
        <w:t>Treatment discontinuation as a result of a study drug related adverse event was higher for nivolumab plus ipilimumab in CM</w:t>
      </w:r>
      <w:r w:rsidR="009E5502">
        <w:noBreakHyphen/>
      </w:r>
      <w:r w:rsidRPr="008B02E0">
        <w:t>8HW 1L, 17%, compared to 10% for pembrolizumab in KN</w:t>
      </w:r>
      <w:r w:rsidR="009E5502">
        <w:noBreakHyphen/>
      </w:r>
      <w:r w:rsidRPr="008B02E0">
        <w:t xml:space="preserve">177. </w:t>
      </w:r>
      <w:r w:rsidR="0010736A" w:rsidRPr="008B02E0">
        <w:rPr>
          <w:iCs/>
        </w:rPr>
        <w:t>The ESC noted that</w:t>
      </w:r>
      <w:r w:rsidRPr="008B02E0">
        <w:t xml:space="preserve"> the chemotherapy arms of CM</w:t>
      </w:r>
      <w:r w:rsidR="009E5502">
        <w:noBreakHyphen/>
      </w:r>
      <w:r w:rsidRPr="008B02E0">
        <w:t>8HW 1L and KN</w:t>
      </w:r>
      <w:r w:rsidR="009E5502">
        <w:noBreakHyphen/>
      </w:r>
      <w:r w:rsidRPr="008B02E0">
        <w:t>177 had very different discontinuations due to study drug related adverse events, 38% and 7% respectively</w:t>
      </w:r>
      <w:r w:rsidR="00B57651" w:rsidRPr="008B02E0">
        <w:t xml:space="preserve">. </w:t>
      </w:r>
      <w:r w:rsidR="00B57651" w:rsidRPr="008B02E0">
        <w:rPr>
          <w:iCs/>
        </w:rPr>
        <w:t xml:space="preserve">The ESC considered </w:t>
      </w:r>
      <w:r w:rsidR="0022173A" w:rsidRPr="008B02E0">
        <w:rPr>
          <w:iCs/>
        </w:rPr>
        <w:t xml:space="preserve">that it was possible </w:t>
      </w:r>
      <w:r w:rsidR="001E1AAB" w:rsidRPr="008B02E0">
        <w:t>that the open label study</w:t>
      </w:r>
      <w:r w:rsidR="005B7CEB" w:rsidRPr="008B02E0">
        <w:t xml:space="preserve"> </w:t>
      </w:r>
      <w:r w:rsidR="00BC32AC" w:rsidRPr="008B02E0">
        <w:t xml:space="preserve">design </w:t>
      </w:r>
      <w:r w:rsidR="00787BB8" w:rsidRPr="008B02E0">
        <w:t>may have led to an increased proportion of patients crossing over to the intervention arm</w:t>
      </w:r>
      <w:r w:rsidR="00BC32AC" w:rsidRPr="008B02E0">
        <w:t xml:space="preserve"> in CM</w:t>
      </w:r>
      <w:r w:rsidR="009E5502">
        <w:noBreakHyphen/>
      </w:r>
      <w:r w:rsidR="00BC32AC" w:rsidRPr="008B02E0">
        <w:t>8HW versus KN</w:t>
      </w:r>
      <w:r w:rsidR="009E5502">
        <w:noBreakHyphen/>
      </w:r>
      <w:r w:rsidR="00BC32AC" w:rsidRPr="008B02E0">
        <w:t>177,</w:t>
      </w:r>
      <w:r w:rsidR="0022173A" w:rsidRPr="008B02E0">
        <w:t xml:space="preserve"> given th</w:t>
      </w:r>
      <w:r w:rsidR="005D0267" w:rsidRPr="008B02E0">
        <w:t>at there was a better understanding of the clinical improvement associated with immunotherapy</w:t>
      </w:r>
      <w:r w:rsidR="007572B5" w:rsidRPr="008B02E0">
        <w:t xml:space="preserve"> at the time </w:t>
      </w:r>
      <w:r w:rsidR="005C4CE4" w:rsidRPr="008B02E0">
        <w:t xml:space="preserve">that </w:t>
      </w:r>
      <w:r w:rsidR="00BC32AC" w:rsidRPr="008B02E0">
        <w:t>CM</w:t>
      </w:r>
      <w:r w:rsidR="009E5502">
        <w:noBreakHyphen/>
      </w:r>
      <w:r w:rsidR="00BC32AC" w:rsidRPr="008B02E0">
        <w:t xml:space="preserve">8HW </w:t>
      </w:r>
      <w:r w:rsidR="007572B5" w:rsidRPr="008B02E0">
        <w:t>was conducted</w:t>
      </w:r>
      <w:r w:rsidR="00787BB8" w:rsidRPr="008B02E0">
        <w:t>.</w:t>
      </w:r>
      <w:bookmarkEnd w:id="64"/>
      <w:r w:rsidR="005D0267" w:rsidRPr="008B02E0">
        <w:t xml:space="preserve"> </w:t>
      </w:r>
    </w:p>
    <w:p w14:paraId="5827A44A" w14:textId="31BAF3E2" w:rsidR="0076213C" w:rsidRPr="008B02E0" w:rsidRDefault="00CD2916" w:rsidP="00AE5B32">
      <w:pPr>
        <w:pStyle w:val="3-BodyText"/>
      </w:pPr>
      <w:r w:rsidRPr="008B02E0">
        <w:t>The most common Grade 3</w:t>
      </w:r>
      <w:r w:rsidR="009E5502">
        <w:noBreakHyphen/>
      </w:r>
      <w:r w:rsidRPr="008B02E0">
        <w:t xml:space="preserve">4 </w:t>
      </w:r>
      <w:r w:rsidR="00587BC0" w:rsidRPr="008B02E0">
        <w:t>immune mediated adverse events (</w:t>
      </w:r>
      <w:r w:rsidRPr="008B02E0">
        <w:t>IMAEs</w:t>
      </w:r>
      <w:r w:rsidR="00587BC0" w:rsidRPr="008B02E0">
        <w:t>)</w:t>
      </w:r>
      <w:r w:rsidRPr="008B02E0">
        <w:t xml:space="preserve"> for nivolumab plus ipilimumab in CM</w:t>
      </w:r>
      <w:r w:rsidR="009E5502">
        <w:noBreakHyphen/>
      </w:r>
      <w:r w:rsidRPr="008B02E0">
        <w:t>8HW 1L were diarrhoea/colitis (5% of patients) and adrenal insufficiency (</w:t>
      </w:r>
      <w:r w:rsidR="0076213C" w:rsidRPr="008B02E0">
        <w:t>4%</w:t>
      </w:r>
      <w:r w:rsidRPr="008B02E0">
        <w:t xml:space="preserve"> of patients). The most common Grade 3</w:t>
      </w:r>
      <w:r w:rsidR="009E5502">
        <w:noBreakHyphen/>
      </w:r>
      <w:r w:rsidRPr="008B02E0">
        <w:t>4 IMAEs for pembrolizumab were diarrhoea/colitis and hepatitis (both occurring in 3% of patients).</w:t>
      </w:r>
    </w:p>
    <w:p w14:paraId="6F1C801D" w14:textId="77777777" w:rsidR="00EB6430" w:rsidRPr="008B02E0" w:rsidRDefault="00EB6430" w:rsidP="00AE5B32">
      <w:pPr>
        <w:pStyle w:val="4-SubsectionHeading"/>
      </w:pPr>
      <w:bookmarkStart w:id="65" w:name="_Toc22897643"/>
      <w:bookmarkStart w:id="66" w:name="_Toc197719842"/>
      <w:bookmarkStart w:id="67" w:name="_Toc198731746"/>
      <w:r w:rsidRPr="008B02E0">
        <w:t>Benefits/harms</w:t>
      </w:r>
      <w:bookmarkEnd w:id="65"/>
      <w:bookmarkEnd w:id="66"/>
      <w:bookmarkEnd w:id="67"/>
    </w:p>
    <w:p w14:paraId="336BBDD7" w14:textId="7143B34F" w:rsidR="00EB6430" w:rsidRPr="008B02E0" w:rsidRDefault="00EB6430" w:rsidP="00AE5B32">
      <w:pPr>
        <w:pStyle w:val="3-BodyText"/>
      </w:pPr>
      <w:r w:rsidRPr="008B02E0">
        <w:t xml:space="preserve">The indirect comparisons presented in the submission did not allow for a quantitative comparison of the benefits and harms of nivolumab plus ipilimumab that would not replicate </w:t>
      </w:r>
      <w:fldSimple w:instr=" REF _Ref197686414  \* MERGEFORMAT ">
        <w:r w:rsidR="00B542C9" w:rsidRPr="00B542C9">
          <w:rPr>
            <w:rFonts w:eastAsiaTheme="majorEastAsia"/>
          </w:rPr>
          <w:t xml:space="preserve">Table </w:t>
        </w:r>
        <w:r w:rsidR="00B542C9" w:rsidRPr="00B542C9">
          <w:t>4</w:t>
        </w:r>
      </w:fldSimple>
      <w:r w:rsidRPr="008B02E0">
        <w:t xml:space="preserve"> and </w:t>
      </w:r>
      <w:fldSimple w:instr=" REF _Ref197719518  \* MERGEFORMAT ">
        <w:r w:rsidR="00B542C9" w:rsidRPr="00B542C9">
          <w:rPr>
            <w:rFonts w:eastAsiaTheme="majorEastAsia"/>
          </w:rPr>
          <w:t xml:space="preserve">Table </w:t>
        </w:r>
        <w:r w:rsidR="00B542C9" w:rsidRPr="00B542C9">
          <w:t>6</w:t>
        </w:r>
      </w:fldSimple>
      <w:r w:rsidRPr="008B02E0">
        <w:rPr>
          <w:snapToGrid/>
        </w:rPr>
        <w:t>. Accordingly, a benefits/harms table has not been presented.</w:t>
      </w:r>
      <w:r w:rsidRPr="008B02E0">
        <w:rPr>
          <w:snapToGrid/>
          <w:color w:val="0066FF"/>
        </w:rPr>
        <w:t xml:space="preserve"> </w:t>
      </w:r>
    </w:p>
    <w:p w14:paraId="475EAAC3" w14:textId="77777777" w:rsidR="00EB6430" w:rsidRPr="008B02E0" w:rsidRDefault="00EB6430" w:rsidP="00AE5B32">
      <w:pPr>
        <w:pStyle w:val="4-SubsectionHeading"/>
      </w:pPr>
      <w:bookmarkStart w:id="68" w:name="_Toc22897644"/>
      <w:bookmarkStart w:id="69" w:name="_Toc197719843"/>
      <w:bookmarkStart w:id="70" w:name="_Toc198731747"/>
      <w:r w:rsidRPr="008B02E0">
        <w:t>Clinical claim</w:t>
      </w:r>
      <w:bookmarkEnd w:id="68"/>
      <w:bookmarkEnd w:id="69"/>
      <w:bookmarkEnd w:id="70"/>
    </w:p>
    <w:p w14:paraId="070DE5DF" w14:textId="7B3EDFCC" w:rsidR="00A62C5B" w:rsidRPr="008B02E0" w:rsidRDefault="00EB6430" w:rsidP="00AE5B32">
      <w:pPr>
        <w:pStyle w:val="3-BodyText"/>
        <w:rPr>
          <w:rFonts w:eastAsia="Calibri"/>
          <w:iCs/>
        </w:rPr>
      </w:pPr>
      <w:bookmarkStart w:id="71" w:name="_Ref205616419"/>
      <w:r w:rsidRPr="008B02E0">
        <w:t>The submission described nivolumab plus ipilimumab as superior in terms of effectiveness compared with pembrolizumab.</w:t>
      </w:r>
      <w:r w:rsidRPr="008B02E0">
        <w:rPr>
          <w:color w:val="0066FF"/>
        </w:rPr>
        <w:t xml:space="preserve"> </w:t>
      </w:r>
      <w:r w:rsidR="00013301" w:rsidRPr="008B02E0">
        <w:rPr>
          <w:rFonts w:eastAsia="Calibri"/>
          <w:iCs/>
        </w:rPr>
        <w:t xml:space="preserve">The ESC considered that this </w:t>
      </w:r>
      <w:r w:rsidRPr="008B02E0">
        <w:rPr>
          <w:rFonts w:eastAsia="Calibri"/>
          <w:iCs/>
        </w:rPr>
        <w:t>claim was adequately supported</w:t>
      </w:r>
      <w:r w:rsidR="00802AA4" w:rsidRPr="008B02E0">
        <w:rPr>
          <w:rFonts w:eastAsia="Calibri"/>
          <w:iCs/>
        </w:rPr>
        <w:t xml:space="preserve"> for PFS</w:t>
      </w:r>
      <w:r w:rsidRPr="008B02E0">
        <w:rPr>
          <w:rFonts w:eastAsia="Calibri"/>
          <w:iCs/>
        </w:rPr>
        <w:t>, however</w:t>
      </w:r>
      <w:r w:rsidR="00802AA4" w:rsidRPr="008B02E0">
        <w:rPr>
          <w:rFonts w:eastAsia="Calibri"/>
          <w:iCs/>
        </w:rPr>
        <w:t xml:space="preserve"> </w:t>
      </w:r>
      <w:r w:rsidR="00481545" w:rsidRPr="008B02E0">
        <w:rPr>
          <w:rFonts w:eastAsia="Calibri"/>
          <w:iCs/>
        </w:rPr>
        <w:t>agreed with the evaluation that the</w:t>
      </w:r>
      <w:r w:rsidR="00651F18" w:rsidRPr="008B02E0">
        <w:rPr>
          <w:rFonts w:eastAsia="Calibri"/>
          <w:iCs/>
        </w:rPr>
        <w:t xml:space="preserve"> magnitude of the benefit remained uncertai</w:t>
      </w:r>
      <w:r w:rsidR="00F27DD3" w:rsidRPr="008B02E0">
        <w:rPr>
          <w:rFonts w:eastAsia="Calibri"/>
          <w:iCs/>
        </w:rPr>
        <w:t>n due to</w:t>
      </w:r>
      <w:r w:rsidR="003A66E9" w:rsidRPr="008B02E0">
        <w:rPr>
          <w:rFonts w:eastAsia="Calibri"/>
          <w:iCs/>
        </w:rPr>
        <w:t xml:space="preserve"> </w:t>
      </w:r>
      <w:r w:rsidR="009B3207" w:rsidRPr="008B02E0">
        <w:rPr>
          <w:rFonts w:eastAsia="Calibri"/>
          <w:iCs/>
        </w:rPr>
        <w:t>limitations</w:t>
      </w:r>
      <w:r w:rsidR="00F27DD3" w:rsidRPr="008B02E0">
        <w:rPr>
          <w:rFonts w:eastAsia="Calibri"/>
          <w:iCs/>
        </w:rPr>
        <w:t xml:space="preserve"> associated with </w:t>
      </w:r>
      <w:r w:rsidR="003A66E9" w:rsidRPr="008B02E0">
        <w:rPr>
          <w:rFonts w:eastAsia="Calibri"/>
          <w:iCs/>
        </w:rPr>
        <w:t>the indirect comparisons presented in the submission</w:t>
      </w:r>
      <w:r w:rsidR="007E19E9" w:rsidRPr="008B02E0">
        <w:rPr>
          <w:rFonts w:eastAsia="Calibri"/>
          <w:iCs/>
        </w:rPr>
        <w:t>, including</w:t>
      </w:r>
      <w:r w:rsidR="00A62C5B" w:rsidRPr="008B02E0">
        <w:rPr>
          <w:rFonts w:eastAsia="Calibri"/>
          <w:iCs/>
        </w:rPr>
        <w:t>:</w:t>
      </w:r>
      <w:bookmarkEnd w:id="71"/>
    </w:p>
    <w:p w14:paraId="6E03D1E9" w14:textId="4A43BC5A" w:rsidR="00A62C5B" w:rsidRPr="008B02E0" w:rsidRDefault="00A62C5B" w:rsidP="00AE5B32">
      <w:pPr>
        <w:pStyle w:val="3-BodyText"/>
        <w:numPr>
          <w:ilvl w:val="1"/>
          <w:numId w:val="17"/>
        </w:numPr>
        <w:ind w:left="1134"/>
      </w:pPr>
      <w:r w:rsidRPr="008B02E0">
        <w:t>transitivity issues related to differences in baseline characteristics between CM</w:t>
      </w:r>
      <w:r w:rsidR="009E5502">
        <w:noBreakHyphen/>
      </w:r>
      <w:r w:rsidRPr="008B02E0">
        <w:t>8HW 1L and KN</w:t>
      </w:r>
      <w:r w:rsidR="009E5502">
        <w:noBreakHyphen/>
      </w:r>
      <w:r w:rsidRPr="008B02E0">
        <w:t xml:space="preserve">177. Furthermore, there were several potentially important prognostic factors that could not be compared between the trials; </w:t>
      </w:r>
    </w:p>
    <w:p w14:paraId="2398CBC9" w14:textId="725CE8D5" w:rsidR="00A62C5B" w:rsidRPr="008B02E0" w:rsidRDefault="00A62C5B" w:rsidP="00AE5B32">
      <w:pPr>
        <w:pStyle w:val="3-BodyText"/>
        <w:numPr>
          <w:ilvl w:val="1"/>
          <w:numId w:val="17"/>
        </w:numPr>
        <w:ind w:left="1134"/>
      </w:pPr>
      <w:r w:rsidRPr="008B02E0">
        <w:t>the PFS data from CM</w:t>
      </w:r>
      <w:r w:rsidR="009E5502">
        <w:noBreakHyphen/>
      </w:r>
      <w:r w:rsidRPr="008B02E0">
        <w:t xml:space="preserve">8HW 1L cohort were immature (36% of patients had experienced an event at the 12 October 2023 data cut); and </w:t>
      </w:r>
    </w:p>
    <w:p w14:paraId="5A1EA850" w14:textId="55441380" w:rsidR="000B2188" w:rsidRPr="008B02E0" w:rsidRDefault="00A62C5B" w:rsidP="00AE5B32">
      <w:pPr>
        <w:pStyle w:val="3-BodyText"/>
        <w:numPr>
          <w:ilvl w:val="1"/>
          <w:numId w:val="17"/>
        </w:numPr>
        <w:ind w:left="1134"/>
      </w:pPr>
      <w:r w:rsidRPr="008B02E0">
        <w:t xml:space="preserve">the PFS KM curves intersected in every comparison, indicating that the proportional hazards assumptions for each comparison were likely not met (and therefore the constant hazard ratios should also be interpreted with caution). </w:t>
      </w:r>
      <w:r w:rsidR="00651F18" w:rsidRPr="008B02E0">
        <w:rPr>
          <w:rFonts w:eastAsia="Calibri"/>
          <w:iCs/>
        </w:rPr>
        <w:t xml:space="preserve"> </w:t>
      </w:r>
    </w:p>
    <w:p w14:paraId="32473ED0" w14:textId="71A148AF" w:rsidR="000B2188" w:rsidRPr="006E4D13" w:rsidRDefault="00E41E22" w:rsidP="00AE5B32">
      <w:pPr>
        <w:pStyle w:val="3-BodyText"/>
        <w:rPr>
          <w:rFonts w:eastAsia="Calibri"/>
          <w:iCs/>
        </w:rPr>
      </w:pPr>
      <w:r w:rsidRPr="008B02E0">
        <w:rPr>
          <w:rFonts w:eastAsia="Calibri"/>
          <w:iCs/>
        </w:rPr>
        <w:t>The PSCR acknowledged that there was uncertainty related to the presented ITCs, however noted that the submission had sought to minimise uncertainty with an unanchored MAIC, which adjusted data to match baseline characteristics of the trials and was not impacted by the curves from CM</w:t>
      </w:r>
      <w:r w:rsidR="009E5502">
        <w:rPr>
          <w:rFonts w:eastAsia="Calibri"/>
          <w:iCs/>
        </w:rPr>
        <w:noBreakHyphen/>
      </w:r>
      <w:r w:rsidRPr="008B02E0">
        <w:rPr>
          <w:rFonts w:eastAsia="Calibri"/>
          <w:iCs/>
        </w:rPr>
        <w:t>8HW and KN</w:t>
      </w:r>
      <w:r w:rsidR="009E5502">
        <w:rPr>
          <w:rFonts w:eastAsia="Calibri"/>
          <w:iCs/>
        </w:rPr>
        <w:noBreakHyphen/>
      </w:r>
      <w:r w:rsidRPr="008B02E0">
        <w:rPr>
          <w:rFonts w:eastAsia="Calibri"/>
          <w:iCs/>
        </w:rPr>
        <w:t xml:space="preserve">177 intersecting, as the </w:t>
      </w:r>
      <w:r w:rsidRPr="008B02E0">
        <w:rPr>
          <w:rFonts w:eastAsia="Calibri"/>
          <w:iCs/>
        </w:rPr>
        <w:lastRenderedPageBreak/>
        <w:t xml:space="preserve">analysis does not include the chemotherapy arm from either trial. The PSCR also noted </w:t>
      </w:r>
      <w:r w:rsidRPr="006E4D13">
        <w:rPr>
          <w:rFonts w:eastAsia="Calibri"/>
          <w:iCs/>
        </w:rPr>
        <w:t>that the time</w:t>
      </w:r>
      <w:r w:rsidR="009E5502">
        <w:rPr>
          <w:rFonts w:eastAsia="Calibri"/>
          <w:iCs/>
        </w:rPr>
        <w:noBreakHyphen/>
      </w:r>
      <w:r w:rsidRPr="006E4D13">
        <w:rPr>
          <w:rFonts w:eastAsia="Calibri"/>
          <w:iCs/>
        </w:rPr>
        <w:t>varying hazard ratios presented also addressed the violation of the proportion hazards assumption.</w:t>
      </w:r>
    </w:p>
    <w:p w14:paraId="15C9C386" w14:textId="3C63F582" w:rsidR="00EB6430" w:rsidRPr="006E4D13" w:rsidRDefault="00651F18" w:rsidP="00AE5B32">
      <w:pPr>
        <w:pStyle w:val="3-BodyText"/>
        <w:rPr>
          <w:rFonts w:eastAsia="Calibri"/>
          <w:iCs/>
        </w:rPr>
      </w:pPr>
      <w:bookmarkStart w:id="72" w:name="_Ref205616454"/>
      <w:r w:rsidRPr="006E4D13">
        <w:rPr>
          <w:rFonts w:eastAsia="Calibri"/>
          <w:iCs/>
        </w:rPr>
        <w:t>The</w:t>
      </w:r>
      <w:r w:rsidR="00B73FFB" w:rsidRPr="006E4D13">
        <w:rPr>
          <w:rFonts w:eastAsia="Calibri"/>
          <w:iCs/>
        </w:rPr>
        <w:t xml:space="preserve"> ESC noted the</w:t>
      </w:r>
      <w:r w:rsidRPr="006E4D13">
        <w:rPr>
          <w:rFonts w:eastAsia="Calibri"/>
          <w:iCs/>
        </w:rPr>
        <w:t xml:space="preserve"> </w:t>
      </w:r>
      <w:r w:rsidR="00B73FFB" w:rsidRPr="006E4D13">
        <w:rPr>
          <w:rFonts w:eastAsia="Calibri"/>
          <w:iCs/>
        </w:rPr>
        <w:t>t</w:t>
      </w:r>
      <w:r w:rsidRPr="006E4D13">
        <w:rPr>
          <w:rFonts w:eastAsia="Calibri"/>
          <w:iCs/>
        </w:rPr>
        <w:t>ime</w:t>
      </w:r>
      <w:r w:rsidR="009E5502">
        <w:rPr>
          <w:rFonts w:eastAsia="Calibri"/>
          <w:iCs/>
        </w:rPr>
        <w:noBreakHyphen/>
      </w:r>
      <w:r w:rsidRPr="006E4D13">
        <w:rPr>
          <w:rFonts w:eastAsia="Calibri"/>
          <w:iCs/>
        </w:rPr>
        <w:t>varying hazard ratios from</w:t>
      </w:r>
      <w:r w:rsidR="002049A0" w:rsidRPr="006E4D13">
        <w:rPr>
          <w:rFonts w:eastAsia="Calibri"/>
          <w:iCs/>
        </w:rPr>
        <w:t xml:space="preserve"> the anchored MAIC </w:t>
      </w:r>
      <w:r w:rsidR="00713D2A" w:rsidRPr="006E4D13">
        <w:rPr>
          <w:rFonts w:eastAsia="Calibri"/>
          <w:iCs/>
        </w:rPr>
        <w:t>were associated with</w:t>
      </w:r>
      <w:r w:rsidR="007154C9" w:rsidRPr="006E4D13">
        <w:rPr>
          <w:rFonts w:eastAsia="Calibri"/>
          <w:iCs/>
        </w:rPr>
        <w:t xml:space="preserve"> wide confidence intervals and </w:t>
      </w:r>
      <w:r w:rsidR="002049A0" w:rsidRPr="006E4D13">
        <w:rPr>
          <w:rFonts w:eastAsia="Calibri"/>
          <w:iCs/>
        </w:rPr>
        <w:t xml:space="preserve">were not significant </w:t>
      </w:r>
      <w:r w:rsidR="003004C0" w:rsidRPr="006E4D13">
        <w:rPr>
          <w:rFonts w:eastAsia="Calibri"/>
          <w:iCs/>
        </w:rPr>
        <w:t>from Year 3</w:t>
      </w:r>
      <w:r w:rsidR="002049A0" w:rsidRPr="006E4D13">
        <w:rPr>
          <w:rFonts w:eastAsia="Calibri"/>
          <w:iCs/>
        </w:rPr>
        <w:t xml:space="preserve"> and</w:t>
      </w:r>
      <w:r w:rsidRPr="006E4D13">
        <w:rPr>
          <w:rFonts w:eastAsia="Calibri"/>
          <w:iCs/>
        </w:rPr>
        <w:t xml:space="preserve"> the unanchored MAIC appeared to not</w:t>
      </w:r>
      <w:r w:rsidR="00752F81" w:rsidRPr="006E4D13">
        <w:rPr>
          <w:rFonts w:eastAsia="Calibri"/>
          <w:iCs/>
        </w:rPr>
        <w:t xml:space="preserve"> be</w:t>
      </w:r>
      <w:r w:rsidRPr="006E4D13">
        <w:rPr>
          <w:rFonts w:eastAsia="Calibri"/>
          <w:iCs/>
        </w:rPr>
        <w:t xml:space="preserve"> statistically significant from Year 6.</w:t>
      </w:r>
      <w:r w:rsidR="00F00340" w:rsidRPr="006E4D13">
        <w:rPr>
          <w:rFonts w:eastAsia="Calibri"/>
          <w:iCs/>
        </w:rPr>
        <w:t xml:space="preserve"> </w:t>
      </w:r>
      <w:r w:rsidR="00E54247" w:rsidRPr="006E4D13">
        <w:rPr>
          <w:rFonts w:eastAsia="Calibri"/>
          <w:iCs/>
        </w:rPr>
        <w:t>T</w:t>
      </w:r>
      <w:r w:rsidR="00F00340" w:rsidRPr="006E4D13">
        <w:rPr>
          <w:rFonts w:eastAsia="Calibri"/>
          <w:iCs/>
        </w:rPr>
        <w:t>he point estimates of the unanchored MAIC</w:t>
      </w:r>
      <w:r w:rsidR="0071061E" w:rsidRPr="006E4D13">
        <w:rPr>
          <w:rFonts w:eastAsia="Calibri"/>
          <w:iCs/>
        </w:rPr>
        <w:t xml:space="preserve"> were</w:t>
      </w:r>
      <w:r w:rsidR="001F0901" w:rsidRPr="006E4D13">
        <w:rPr>
          <w:rFonts w:eastAsia="Calibri"/>
          <w:iCs/>
        </w:rPr>
        <w:t xml:space="preserve"> favoured by the submission</w:t>
      </w:r>
      <w:r w:rsidR="00C93F99" w:rsidRPr="006E4D13">
        <w:rPr>
          <w:rFonts w:eastAsia="Calibri"/>
          <w:iCs/>
        </w:rPr>
        <w:t xml:space="preserve"> and had </w:t>
      </w:r>
      <w:r w:rsidR="00C7587C" w:rsidRPr="006E4D13">
        <w:rPr>
          <w:rFonts w:eastAsia="Calibri"/>
          <w:iCs/>
        </w:rPr>
        <w:t>narrower</w:t>
      </w:r>
      <w:r w:rsidR="00C93F99" w:rsidRPr="006E4D13">
        <w:rPr>
          <w:rFonts w:eastAsia="Calibri"/>
          <w:iCs/>
        </w:rPr>
        <w:t xml:space="preserve"> confidence intervals</w:t>
      </w:r>
      <w:r w:rsidR="001F0901" w:rsidRPr="006E4D13">
        <w:rPr>
          <w:rFonts w:eastAsia="Calibri"/>
          <w:iCs/>
        </w:rPr>
        <w:t xml:space="preserve">, </w:t>
      </w:r>
      <w:r w:rsidR="0071061E" w:rsidRPr="006E4D13">
        <w:rPr>
          <w:rFonts w:eastAsia="Calibri"/>
          <w:iCs/>
        </w:rPr>
        <w:t xml:space="preserve">but </w:t>
      </w:r>
      <w:r w:rsidR="00F10A02" w:rsidRPr="006E4D13">
        <w:rPr>
          <w:rFonts w:eastAsia="Calibri"/>
          <w:iCs/>
        </w:rPr>
        <w:t xml:space="preserve">may </w:t>
      </w:r>
      <w:r w:rsidR="00615A86" w:rsidRPr="006E4D13">
        <w:rPr>
          <w:rFonts w:eastAsia="Calibri"/>
          <w:iCs/>
        </w:rPr>
        <w:t xml:space="preserve">also </w:t>
      </w:r>
      <w:r w:rsidR="00F10A02" w:rsidRPr="006E4D13">
        <w:rPr>
          <w:rFonts w:eastAsia="Calibri"/>
          <w:iCs/>
        </w:rPr>
        <w:t xml:space="preserve">lack robustness due to the loss of randomisation and the reduction in effective sample size (ESS), which </w:t>
      </w:r>
      <w:r w:rsidR="00737E8B" w:rsidRPr="006E4D13">
        <w:rPr>
          <w:rFonts w:eastAsia="Calibri"/>
          <w:iCs/>
        </w:rPr>
        <w:t>may have</w:t>
      </w:r>
      <w:r w:rsidR="00F10A02" w:rsidRPr="006E4D13">
        <w:rPr>
          <w:rFonts w:eastAsia="Calibri"/>
          <w:iCs/>
        </w:rPr>
        <w:t xml:space="preserve"> compromise</w:t>
      </w:r>
      <w:r w:rsidR="00737E8B" w:rsidRPr="006E4D13">
        <w:rPr>
          <w:rFonts w:eastAsia="Calibri"/>
          <w:iCs/>
        </w:rPr>
        <w:t>d</w:t>
      </w:r>
      <w:r w:rsidR="00F10A02" w:rsidRPr="006E4D13">
        <w:rPr>
          <w:rFonts w:eastAsia="Calibri"/>
          <w:iCs/>
        </w:rPr>
        <w:t xml:space="preserve"> the reliability of the results.</w:t>
      </w:r>
      <w:r w:rsidR="00E01BB9" w:rsidRPr="006E4D13">
        <w:rPr>
          <w:rFonts w:eastAsia="Calibri"/>
          <w:iCs/>
        </w:rPr>
        <w:t xml:space="preserve"> For these reasons, the ESC considered the magnitude of PFS benefit remained uncertain.</w:t>
      </w:r>
      <w:bookmarkEnd w:id="72"/>
      <w:r w:rsidR="00E01BB9" w:rsidRPr="006E4D13">
        <w:rPr>
          <w:rFonts w:eastAsia="Calibri"/>
          <w:iCs/>
        </w:rPr>
        <w:t xml:space="preserve"> </w:t>
      </w:r>
    </w:p>
    <w:p w14:paraId="4547892F" w14:textId="536E4F32" w:rsidR="006E4D13" w:rsidRDefault="000B2188" w:rsidP="00AE5B32">
      <w:pPr>
        <w:pStyle w:val="3-BodyText"/>
      </w:pPr>
      <w:r w:rsidRPr="006E4D13">
        <w:t>The Pre</w:t>
      </w:r>
      <w:r w:rsidR="009E5502">
        <w:noBreakHyphen/>
      </w:r>
      <w:r w:rsidRPr="006E4D13">
        <w:t xml:space="preserve">PBAC Response </w:t>
      </w:r>
      <w:r w:rsidR="00337B15" w:rsidRPr="006E4D13">
        <w:t>noted the</w:t>
      </w:r>
      <w:r w:rsidRPr="006E4D13">
        <w:t xml:space="preserve"> consistency in the results reported </w:t>
      </w:r>
      <w:r w:rsidR="004A1361" w:rsidRPr="006E4D13">
        <w:t>across</w:t>
      </w:r>
      <w:r w:rsidRPr="006E4D13">
        <w:t xml:space="preserve"> the Bucher and MAIC methods </w:t>
      </w:r>
      <w:r w:rsidR="00337B15" w:rsidRPr="006E4D13">
        <w:t>presented</w:t>
      </w:r>
      <w:r w:rsidRPr="006E4D13">
        <w:t xml:space="preserve"> in the submission</w:t>
      </w:r>
      <w:r w:rsidR="004A1361" w:rsidRPr="006E4D13">
        <w:t>,</w:t>
      </w:r>
      <w:r w:rsidR="00337B15" w:rsidRPr="006E4D13">
        <w:t xml:space="preserve"> and </w:t>
      </w:r>
      <w:r w:rsidR="004A1361" w:rsidRPr="006E4D13">
        <w:t xml:space="preserve">considered </w:t>
      </w:r>
      <w:r w:rsidRPr="006E4D13">
        <w:t>that</w:t>
      </w:r>
      <w:r w:rsidR="004A1361" w:rsidRPr="006E4D13">
        <w:t xml:space="preserve"> based on these results,</w:t>
      </w:r>
      <w:r w:rsidRPr="006E4D13">
        <w:t xml:space="preserve"> the clinical claim that </w:t>
      </w:r>
      <w:r w:rsidR="00337B15" w:rsidRPr="006E4D13">
        <w:t xml:space="preserve">nivolumab plus ipilimumab </w:t>
      </w:r>
      <w:r w:rsidRPr="006E4D13">
        <w:t xml:space="preserve">has superior efficacy compared with </w:t>
      </w:r>
      <w:r w:rsidR="004A1361" w:rsidRPr="006E4D13">
        <w:t>pembrolizumab</w:t>
      </w:r>
      <w:r w:rsidRPr="006E4D13">
        <w:t xml:space="preserve"> </w:t>
      </w:r>
      <w:r w:rsidR="00337B15" w:rsidRPr="006E4D13">
        <w:t>had been</w:t>
      </w:r>
      <w:r w:rsidRPr="006E4D13">
        <w:t xml:space="preserve"> adequately supported.</w:t>
      </w:r>
    </w:p>
    <w:p w14:paraId="62DD189C" w14:textId="42807F88" w:rsidR="00F8762E" w:rsidRPr="006E4D13" w:rsidRDefault="007F10AE" w:rsidP="00AE5B32">
      <w:pPr>
        <w:pStyle w:val="3-BodyText"/>
      </w:pPr>
      <w:r w:rsidRPr="006E4D13">
        <w:rPr>
          <w:iCs/>
        </w:rPr>
        <w:t>No</w:t>
      </w:r>
      <w:r w:rsidR="00BF45F4" w:rsidRPr="006E4D13">
        <w:rPr>
          <w:iCs/>
        </w:rPr>
        <w:t xml:space="preserve"> comparative OS data were presented in the submission. Moreover, OS data for nivolumab plus ipilimumab from the main trial population (CM</w:t>
      </w:r>
      <w:r w:rsidR="009E5502">
        <w:rPr>
          <w:iCs/>
        </w:rPr>
        <w:noBreakHyphen/>
      </w:r>
      <w:r w:rsidR="00BF45F4" w:rsidRPr="006E4D13">
        <w:rPr>
          <w:iCs/>
        </w:rPr>
        <w:t>8HW 1L) was not presented. The ESC noted that the PSCR</w:t>
      </w:r>
      <w:r w:rsidR="00C76CCC" w:rsidRPr="006E4D13">
        <w:rPr>
          <w:iCs/>
        </w:rPr>
        <w:t xml:space="preserve"> </w:t>
      </w:r>
      <w:r w:rsidR="00924F17" w:rsidRPr="006E4D13">
        <w:rPr>
          <w:iCs/>
        </w:rPr>
        <w:t xml:space="preserve">referenced </w:t>
      </w:r>
      <w:r w:rsidR="00BD78C6" w:rsidRPr="006E4D13">
        <w:rPr>
          <w:iCs/>
        </w:rPr>
        <w:t xml:space="preserve">a </w:t>
      </w:r>
      <w:r w:rsidR="00E65A19" w:rsidRPr="006E4D13">
        <w:rPr>
          <w:iCs/>
        </w:rPr>
        <w:t xml:space="preserve">study reporting on </w:t>
      </w:r>
      <w:r w:rsidR="00D73873" w:rsidRPr="006E4D13">
        <w:rPr>
          <w:iCs/>
        </w:rPr>
        <w:t>the association between PFS and OS in patients treated with nivolumab plus ipilimumab in CM</w:t>
      </w:r>
      <w:r w:rsidR="009E5502">
        <w:rPr>
          <w:iCs/>
        </w:rPr>
        <w:noBreakHyphen/>
      </w:r>
      <w:r w:rsidR="00D73873" w:rsidRPr="006E4D13">
        <w:rPr>
          <w:iCs/>
        </w:rPr>
        <w:t>142 (Roodhart et al., 2024</w:t>
      </w:r>
      <w:r w:rsidR="00877EAA" w:rsidRPr="006E4D13">
        <w:rPr>
          <w:rStyle w:val="FootnoteReference"/>
          <w:iCs/>
        </w:rPr>
        <w:footnoteReference w:id="26"/>
      </w:r>
      <w:r w:rsidR="00D73873" w:rsidRPr="006E4D13">
        <w:rPr>
          <w:iCs/>
        </w:rPr>
        <w:t>)</w:t>
      </w:r>
      <w:r w:rsidR="00E65A19" w:rsidRPr="006E4D13">
        <w:rPr>
          <w:iCs/>
        </w:rPr>
        <w:t>. The ESC noted that</w:t>
      </w:r>
      <w:r w:rsidR="00D73873" w:rsidRPr="006E4D13">
        <w:rPr>
          <w:iCs/>
        </w:rPr>
        <w:t xml:space="preserve"> the Spearman’s rank correlation coefficient between PFS and OS was 0.92 (95% CI: 0.78, 0.98)</w:t>
      </w:r>
      <w:r w:rsidR="006C5B66" w:rsidRPr="006E4D13">
        <w:rPr>
          <w:iCs/>
        </w:rPr>
        <w:t>,</w:t>
      </w:r>
      <w:r w:rsidR="005E2DBD" w:rsidRPr="006E4D13">
        <w:rPr>
          <w:iCs/>
        </w:rPr>
        <w:t xml:space="preserve"> </w:t>
      </w:r>
      <w:r w:rsidR="00D73873" w:rsidRPr="006E4D13">
        <w:rPr>
          <w:iCs/>
        </w:rPr>
        <w:t>indicat</w:t>
      </w:r>
      <w:r w:rsidR="005E2DBD" w:rsidRPr="006E4D13">
        <w:rPr>
          <w:iCs/>
        </w:rPr>
        <w:t>ing</w:t>
      </w:r>
      <w:r w:rsidR="00D73873" w:rsidRPr="006E4D13">
        <w:rPr>
          <w:iCs/>
        </w:rPr>
        <w:t xml:space="preserve"> a strong correlation between PFS and OS for patients treated with </w:t>
      </w:r>
      <w:r w:rsidR="005E2DBD" w:rsidRPr="006E4D13">
        <w:rPr>
          <w:iCs/>
        </w:rPr>
        <w:t xml:space="preserve">nivolumab plus ipilimumab. </w:t>
      </w:r>
      <w:r w:rsidR="000D7AAE" w:rsidRPr="008B02E0">
        <w:t xml:space="preserve">Overall, the ESC considered that the PFS benefit observed for nivolumab with ipilimumab </w:t>
      </w:r>
      <w:r w:rsidR="0001448C" w:rsidRPr="006E4D13">
        <w:rPr>
          <w:iCs/>
        </w:rPr>
        <w:t>patients</w:t>
      </w:r>
      <w:r w:rsidR="0069623C" w:rsidRPr="006E4D13">
        <w:rPr>
          <w:iCs/>
        </w:rPr>
        <w:t xml:space="preserve"> </w:t>
      </w:r>
      <w:r w:rsidR="000D7AAE" w:rsidRPr="008B02E0">
        <w:t>was likely to translate into a survival benefit.</w:t>
      </w:r>
    </w:p>
    <w:p w14:paraId="58AA55F0" w14:textId="3EECA6FD" w:rsidR="00EB6430" w:rsidRPr="008B02E0" w:rsidRDefault="005D070E" w:rsidP="00AE5B32">
      <w:pPr>
        <w:pStyle w:val="3-BodyText"/>
        <w:rPr>
          <w:rFonts w:eastAsia="Calibri"/>
        </w:rPr>
      </w:pPr>
      <w:r w:rsidRPr="008B02E0">
        <w:rPr>
          <w:rFonts w:eastAsia="Calibri"/>
          <w:iCs/>
        </w:rPr>
        <w:t>T</w:t>
      </w:r>
      <w:r w:rsidR="00ED71EA" w:rsidRPr="008B02E0">
        <w:rPr>
          <w:rFonts w:eastAsia="Calibri"/>
          <w:iCs/>
        </w:rPr>
        <w:t>he ESC considered that</w:t>
      </w:r>
      <w:r w:rsidR="00BF4E94" w:rsidRPr="008B02E0">
        <w:rPr>
          <w:rFonts w:eastAsia="Calibri"/>
          <w:iCs/>
        </w:rPr>
        <w:t xml:space="preserve"> based on the available evidence,</w:t>
      </w:r>
      <w:r w:rsidR="00ED71EA" w:rsidRPr="008B02E0">
        <w:rPr>
          <w:rFonts w:eastAsia="Calibri"/>
          <w:iCs/>
        </w:rPr>
        <w:t xml:space="preserve"> nivolumab plus </w:t>
      </w:r>
      <w:r w:rsidR="00BF4E94" w:rsidRPr="008B02E0">
        <w:rPr>
          <w:rFonts w:eastAsia="Calibri"/>
          <w:iCs/>
        </w:rPr>
        <w:t>ipilimumab</w:t>
      </w:r>
      <w:r w:rsidR="00ED71EA" w:rsidRPr="008B02E0">
        <w:rPr>
          <w:rFonts w:eastAsia="Calibri"/>
          <w:iCs/>
        </w:rPr>
        <w:t xml:space="preserve"> had inferior </w:t>
      </w:r>
      <w:r w:rsidR="00BF4E94" w:rsidRPr="008B02E0">
        <w:rPr>
          <w:rFonts w:eastAsia="Calibri"/>
          <w:iCs/>
        </w:rPr>
        <w:t>safety</w:t>
      </w:r>
      <w:r w:rsidR="00ED71EA" w:rsidRPr="008B02E0">
        <w:rPr>
          <w:rFonts w:eastAsia="Calibri"/>
          <w:iCs/>
        </w:rPr>
        <w:t xml:space="preserve"> </w:t>
      </w:r>
      <w:r w:rsidR="00BF4E94" w:rsidRPr="008B02E0">
        <w:rPr>
          <w:rFonts w:eastAsia="Calibri"/>
          <w:iCs/>
        </w:rPr>
        <w:t>compared</w:t>
      </w:r>
      <w:r w:rsidR="00ED71EA" w:rsidRPr="008B02E0">
        <w:rPr>
          <w:rFonts w:eastAsia="Calibri"/>
          <w:iCs/>
        </w:rPr>
        <w:t xml:space="preserve"> to </w:t>
      </w:r>
      <w:r w:rsidR="00BF4E94" w:rsidRPr="008B02E0">
        <w:rPr>
          <w:rFonts w:eastAsia="Calibri"/>
          <w:iCs/>
        </w:rPr>
        <w:t>pembrolizumab</w:t>
      </w:r>
      <w:r w:rsidR="003B2E90" w:rsidRPr="008B02E0">
        <w:rPr>
          <w:rFonts w:eastAsia="Calibri"/>
          <w:iCs/>
        </w:rPr>
        <w:t>.</w:t>
      </w:r>
    </w:p>
    <w:p w14:paraId="43E29E99" w14:textId="77777777" w:rsidR="007A414C" w:rsidRPr="008B02E0" w:rsidRDefault="007A414C" w:rsidP="00AE5B32">
      <w:pPr>
        <w:numPr>
          <w:ilvl w:val="1"/>
          <w:numId w:val="1"/>
        </w:numPr>
        <w:spacing w:after="120"/>
        <w:rPr>
          <w:rFonts w:asciiTheme="minorHAnsi" w:hAnsiTheme="minorHAnsi"/>
          <w:snapToGrid w:val="0"/>
          <w:szCs w:val="20"/>
        </w:rPr>
      </w:pPr>
      <w:bookmarkStart w:id="73" w:name="_Hlk76376200"/>
      <w:bookmarkStart w:id="74" w:name="_Toc22897645"/>
      <w:bookmarkStart w:id="75" w:name="_Toc197719844"/>
      <w:bookmarkStart w:id="76" w:name="_Toc198731748"/>
      <w:r w:rsidRPr="008B02E0">
        <w:rPr>
          <w:rFonts w:asciiTheme="minorHAnsi" w:hAnsiTheme="minorHAnsi"/>
          <w:iCs/>
          <w:snapToGrid w:val="0"/>
        </w:rPr>
        <w:t>The</w:t>
      </w:r>
      <w:r w:rsidRPr="008B02E0">
        <w:rPr>
          <w:rFonts w:asciiTheme="minorHAnsi" w:hAnsiTheme="minorHAnsi"/>
          <w:snapToGrid w:val="0"/>
          <w:szCs w:val="20"/>
        </w:rPr>
        <w:t xml:space="preserve"> PBAC considered that the claim of superior comparative effectiveness, on the basis of PFS, was reasonable. </w:t>
      </w:r>
    </w:p>
    <w:p w14:paraId="67EB2986" w14:textId="2DAA7E07" w:rsidR="007A414C" w:rsidRPr="008B02E0" w:rsidRDefault="007A414C" w:rsidP="00AE5B32">
      <w:pPr>
        <w:numPr>
          <w:ilvl w:val="1"/>
          <w:numId w:val="1"/>
        </w:numPr>
        <w:spacing w:after="120"/>
        <w:rPr>
          <w:rFonts w:asciiTheme="minorHAnsi" w:hAnsiTheme="minorHAnsi"/>
          <w:snapToGrid w:val="0"/>
          <w:szCs w:val="20"/>
        </w:rPr>
      </w:pPr>
      <w:r w:rsidRPr="008B02E0">
        <w:rPr>
          <w:rFonts w:asciiTheme="minorHAnsi" w:hAnsiTheme="minorHAnsi"/>
          <w:snapToGrid w:val="0"/>
          <w:szCs w:val="20"/>
        </w:rPr>
        <w:t xml:space="preserve">The PBAC considered that </w:t>
      </w:r>
      <w:r w:rsidR="00486DEB" w:rsidRPr="008B02E0">
        <w:rPr>
          <w:rFonts w:asciiTheme="minorHAnsi" w:hAnsiTheme="minorHAnsi"/>
          <w:snapToGrid w:val="0"/>
          <w:szCs w:val="20"/>
        </w:rPr>
        <w:t>a</w:t>
      </w:r>
      <w:r w:rsidRPr="008B02E0">
        <w:rPr>
          <w:rFonts w:asciiTheme="minorHAnsi" w:hAnsiTheme="minorHAnsi"/>
          <w:snapToGrid w:val="0"/>
          <w:szCs w:val="20"/>
        </w:rPr>
        <w:t xml:space="preserve"> claim of inferior </w:t>
      </w:r>
      <w:r w:rsidR="00117654" w:rsidRPr="008B02E0">
        <w:rPr>
          <w:rFonts w:asciiTheme="minorHAnsi" w:hAnsiTheme="minorHAnsi"/>
          <w:snapToGrid w:val="0"/>
          <w:szCs w:val="20"/>
        </w:rPr>
        <w:t xml:space="preserve">comparative </w:t>
      </w:r>
      <w:r w:rsidRPr="008B02E0">
        <w:rPr>
          <w:rFonts w:asciiTheme="minorHAnsi" w:hAnsiTheme="minorHAnsi"/>
          <w:snapToGrid w:val="0"/>
          <w:szCs w:val="20"/>
        </w:rPr>
        <w:t>safety was reasonable</w:t>
      </w:r>
      <w:bookmarkEnd w:id="73"/>
      <w:r w:rsidRPr="008B02E0">
        <w:rPr>
          <w:rFonts w:asciiTheme="minorHAnsi" w:hAnsiTheme="minorHAnsi"/>
          <w:snapToGrid w:val="0"/>
          <w:szCs w:val="20"/>
        </w:rPr>
        <w:t>.</w:t>
      </w:r>
    </w:p>
    <w:p w14:paraId="19AFD073" w14:textId="77777777" w:rsidR="00EB6430" w:rsidRPr="008B02E0" w:rsidRDefault="00EB6430" w:rsidP="00AE5B32">
      <w:pPr>
        <w:pStyle w:val="4-SubsectionHeading"/>
      </w:pPr>
      <w:r w:rsidRPr="008B02E0">
        <w:t>Economic analysis</w:t>
      </w:r>
      <w:bookmarkEnd w:id="74"/>
      <w:bookmarkEnd w:id="75"/>
      <w:bookmarkEnd w:id="76"/>
      <w:r w:rsidRPr="008B02E0">
        <w:t xml:space="preserve"> </w:t>
      </w:r>
    </w:p>
    <w:p w14:paraId="08DC93B6" w14:textId="4FC5B65A" w:rsidR="00EB6430" w:rsidRPr="008B02E0" w:rsidRDefault="00EB6430" w:rsidP="00AE5B32">
      <w:pPr>
        <w:pStyle w:val="3-BodyText"/>
      </w:pPr>
      <w:r w:rsidRPr="008B02E0">
        <w:t>The submission presented a modelled cost</w:t>
      </w:r>
      <w:r w:rsidR="009E5502">
        <w:noBreakHyphen/>
      </w:r>
      <w:r w:rsidRPr="008B02E0">
        <w:t>utility analysis of nivolumab plus ipilimumab versus pembrolizumab for first line treatment of MSI</w:t>
      </w:r>
      <w:r w:rsidR="009E5502">
        <w:noBreakHyphen/>
      </w:r>
      <w:r w:rsidRPr="008B02E0">
        <w:t>H/dMMR mCRC based on an indirect comparison of randomised trials CM</w:t>
      </w:r>
      <w:r w:rsidR="009E5502">
        <w:noBreakHyphen/>
      </w:r>
      <w:r w:rsidRPr="008B02E0">
        <w:t>8HW 1L and KN</w:t>
      </w:r>
      <w:r w:rsidR="009E5502">
        <w:noBreakHyphen/>
      </w:r>
      <w:r w:rsidRPr="008B02E0">
        <w:t>177 and further informed by CM</w:t>
      </w:r>
      <w:r w:rsidR="009E5502">
        <w:noBreakHyphen/>
      </w:r>
      <w:r w:rsidRPr="008B02E0">
        <w:t xml:space="preserve">142 patients who received nivolumab plus ipilimumab. </w:t>
      </w:r>
      <w:r w:rsidR="00EF0A22" w:rsidRPr="008B02E0">
        <w:t>All data from CM</w:t>
      </w:r>
      <w:r w:rsidR="009E5502">
        <w:noBreakHyphen/>
      </w:r>
      <w:r w:rsidR="00EF0A22" w:rsidRPr="008B02E0">
        <w:t>8HW 1L in the base case appeared to be from the locally</w:t>
      </w:r>
      <w:r w:rsidR="009E5502">
        <w:noBreakHyphen/>
      </w:r>
      <w:r w:rsidR="00EF0A22" w:rsidRPr="008B02E0">
        <w:t xml:space="preserve">confirmed </w:t>
      </w:r>
      <w:r w:rsidR="00EF0A22" w:rsidRPr="008B02E0">
        <w:lastRenderedPageBreak/>
        <w:t>MSI</w:t>
      </w:r>
      <w:r w:rsidR="009E5502">
        <w:noBreakHyphen/>
      </w:r>
      <w:r w:rsidR="00EF0A22" w:rsidRPr="008B02E0">
        <w:t xml:space="preserve">H/dMMR population. </w:t>
      </w:r>
      <w:r w:rsidRPr="008B02E0">
        <w:t xml:space="preserve">The key components of the economic evaluation are presented in </w:t>
      </w:r>
      <w:r w:rsidR="008258C7">
        <w:fldChar w:fldCharType="begin"/>
      </w:r>
      <w:r w:rsidR="008258C7">
        <w:instrText xml:space="preserve"> REF _Ref197701244 </w:instrText>
      </w:r>
      <w:r w:rsidR="008258C7">
        <w:fldChar w:fldCharType="separate"/>
      </w:r>
      <w:r w:rsidR="00B542C9" w:rsidRPr="008B02E0">
        <w:t xml:space="preserve">Table </w:t>
      </w:r>
      <w:r w:rsidR="00B542C9">
        <w:rPr>
          <w:noProof/>
        </w:rPr>
        <w:t>9</w:t>
      </w:r>
      <w:r w:rsidR="008258C7">
        <w:rPr>
          <w:noProof/>
        </w:rPr>
        <w:fldChar w:fldCharType="end"/>
      </w:r>
      <w:r w:rsidRPr="008B02E0">
        <w:t>.</w:t>
      </w:r>
      <w:r w:rsidR="000245F0" w:rsidRPr="008B02E0">
        <w:t xml:space="preserve"> </w:t>
      </w:r>
    </w:p>
    <w:p w14:paraId="111B6EFB" w14:textId="24910495" w:rsidR="00EB6430" w:rsidRPr="008B02E0" w:rsidRDefault="00EB6430" w:rsidP="00AE5B32">
      <w:pPr>
        <w:pStyle w:val="Caption"/>
        <w:jc w:val="left"/>
        <w:rPr>
          <w:rStyle w:val="CommentReference"/>
          <w:b/>
          <w:szCs w:val="24"/>
        </w:rPr>
      </w:pPr>
      <w:bookmarkStart w:id="77" w:name="_Ref197701244"/>
      <w:r w:rsidRPr="008B02E0">
        <w:t xml:space="preserve">Table </w:t>
      </w:r>
      <w:r w:rsidR="008258C7">
        <w:fldChar w:fldCharType="begin"/>
      </w:r>
      <w:r w:rsidR="008258C7">
        <w:instrText xml:space="preserve"> SEQ Table \* ARABIC </w:instrText>
      </w:r>
      <w:r w:rsidR="008258C7">
        <w:fldChar w:fldCharType="separate"/>
      </w:r>
      <w:r w:rsidR="00B542C9">
        <w:rPr>
          <w:noProof/>
        </w:rPr>
        <w:t>9</w:t>
      </w:r>
      <w:r w:rsidR="008258C7">
        <w:rPr>
          <w:noProof/>
        </w:rPr>
        <w:fldChar w:fldCharType="end"/>
      </w:r>
      <w:bookmarkEnd w:id="77"/>
      <w:r w:rsidRPr="008B02E0">
        <w:t>:</w:t>
      </w:r>
      <w:r w:rsidRPr="008B02E0">
        <w:rPr>
          <w:rStyle w:val="CommentReference"/>
          <w:b/>
          <w:szCs w:val="24"/>
        </w:rPr>
        <w:t xml:space="preserve"> Summary of model structure, key inputs and rationale</w:t>
      </w:r>
    </w:p>
    <w:tbl>
      <w:tblPr>
        <w:tblStyle w:val="PBAClayout"/>
        <w:tblW w:w="5000" w:type="pct"/>
        <w:tblLayout w:type="fixed"/>
        <w:tblLook w:val="01E0" w:firstRow="1" w:lastRow="1" w:firstColumn="1" w:lastColumn="1" w:noHBand="0" w:noVBand="0"/>
        <w:tblCaption w:val="Table 9: Summary of model structure, key inputs and rationale"/>
      </w:tblPr>
      <w:tblGrid>
        <w:gridCol w:w="2518"/>
        <w:gridCol w:w="6499"/>
      </w:tblGrid>
      <w:tr w:rsidR="00EB6430" w:rsidRPr="008B02E0" w14:paraId="45B10580" w14:textId="77777777" w:rsidTr="00D17F3A">
        <w:trPr>
          <w:tblHeader/>
        </w:trPr>
        <w:tc>
          <w:tcPr>
            <w:tcW w:w="1396" w:type="pct"/>
          </w:tcPr>
          <w:p w14:paraId="647D600F" w14:textId="77777777" w:rsidR="00EB6430" w:rsidRPr="008B02E0" w:rsidRDefault="00EB6430" w:rsidP="00AE5B32">
            <w:pPr>
              <w:pStyle w:val="In-tableHeading"/>
              <w:keepNext w:val="0"/>
              <w:rPr>
                <w:lang w:val="en-AU"/>
              </w:rPr>
            </w:pPr>
            <w:r w:rsidRPr="008B02E0">
              <w:rPr>
                <w:lang w:val="en-AU"/>
              </w:rPr>
              <w:t>Component</w:t>
            </w:r>
          </w:p>
        </w:tc>
        <w:tc>
          <w:tcPr>
            <w:tcW w:w="3604" w:type="pct"/>
          </w:tcPr>
          <w:p w14:paraId="38DB073A" w14:textId="77777777" w:rsidR="00EB6430" w:rsidRPr="008B02E0" w:rsidRDefault="00EB6430" w:rsidP="00AE5B32">
            <w:pPr>
              <w:pStyle w:val="In-tableHeading"/>
              <w:keepNext w:val="0"/>
              <w:rPr>
                <w:lang w:val="en-AU"/>
              </w:rPr>
            </w:pPr>
            <w:r w:rsidRPr="008B02E0">
              <w:rPr>
                <w:lang w:val="en-AU"/>
              </w:rPr>
              <w:t>Summary</w:t>
            </w:r>
          </w:p>
        </w:tc>
      </w:tr>
      <w:tr w:rsidR="00EB6430" w:rsidRPr="008B02E0" w14:paraId="348314BF" w14:textId="77777777" w:rsidTr="00D17F3A">
        <w:tc>
          <w:tcPr>
            <w:tcW w:w="1396" w:type="pct"/>
          </w:tcPr>
          <w:p w14:paraId="332CD9A4" w14:textId="77777777" w:rsidR="00EB6430" w:rsidRPr="008B02E0" w:rsidRDefault="00EB6430" w:rsidP="00AE5B32">
            <w:pPr>
              <w:pStyle w:val="TableText0"/>
              <w:keepNext w:val="0"/>
            </w:pPr>
            <w:r w:rsidRPr="008B02E0">
              <w:t>Treatments</w:t>
            </w:r>
          </w:p>
        </w:tc>
        <w:tc>
          <w:tcPr>
            <w:tcW w:w="3604" w:type="pct"/>
          </w:tcPr>
          <w:p w14:paraId="5AA62FC2" w14:textId="77777777" w:rsidR="00EB6430" w:rsidRPr="008B02E0" w:rsidRDefault="00EB6430" w:rsidP="00AE5B32">
            <w:pPr>
              <w:pStyle w:val="TableText0"/>
              <w:keepNext w:val="0"/>
            </w:pPr>
            <w:r w:rsidRPr="008B02E0">
              <w:t>Nivolumab plus ipilimumab versus pembrolizumab.</w:t>
            </w:r>
          </w:p>
        </w:tc>
      </w:tr>
      <w:tr w:rsidR="008918F4" w:rsidRPr="008B02E0" w14:paraId="12D6607E" w14:textId="77777777" w:rsidTr="00D17F3A">
        <w:tc>
          <w:tcPr>
            <w:tcW w:w="1396" w:type="pct"/>
          </w:tcPr>
          <w:p w14:paraId="5354A2B0" w14:textId="083A8A86" w:rsidR="008918F4" w:rsidRPr="008B02E0" w:rsidRDefault="008918F4" w:rsidP="00AE5B32">
            <w:pPr>
              <w:pStyle w:val="TableText0"/>
              <w:keepNext w:val="0"/>
            </w:pPr>
            <w:r w:rsidRPr="008B02E0">
              <w:t>Baseline characteristics</w:t>
            </w:r>
          </w:p>
        </w:tc>
        <w:tc>
          <w:tcPr>
            <w:tcW w:w="3604" w:type="pct"/>
          </w:tcPr>
          <w:p w14:paraId="70F219D8" w14:textId="2E3A2667" w:rsidR="008918F4" w:rsidRPr="008B02E0" w:rsidRDefault="008918F4" w:rsidP="00AE5B32">
            <w:pPr>
              <w:pStyle w:val="TableText0"/>
              <w:keepNext w:val="0"/>
              <w:rPr>
                <w:i/>
                <w:iCs/>
              </w:rPr>
            </w:pPr>
            <w:r w:rsidRPr="008B02E0">
              <w:t>CM</w:t>
            </w:r>
            <w:r w:rsidR="009E5502">
              <w:noBreakHyphen/>
            </w:r>
            <w:r w:rsidRPr="008B02E0">
              <w:t xml:space="preserve">8HW 1L NIVO+IPI and chemotherapy arms combined. </w:t>
            </w:r>
            <w:r w:rsidRPr="008B02E0">
              <w:rPr>
                <w:iCs/>
              </w:rPr>
              <w:t xml:space="preserve"> </w:t>
            </w:r>
          </w:p>
        </w:tc>
      </w:tr>
      <w:tr w:rsidR="00EB6430" w:rsidRPr="008B02E0" w14:paraId="2A6E8E3D" w14:textId="77777777" w:rsidTr="00D17F3A">
        <w:tc>
          <w:tcPr>
            <w:tcW w:w="1396" w:type="pct"/>
          </w:tcPr>
          <w:p w14:paraId="23BFB31D" w14:textId="77777777" w:rsidR="00EB6430" w:rsidRPr="008B02E0" w:rsidRDefault="00EB6430" w:rsidP="00AE5B32">
            <w:pPr>
              <w:pStyle w:val="TableText0"/>
              <w:keepNext w:val="0"/>
            </w:pPr>
            <w:r w:rsidRPr="008B02E0">
              <w:t>Time horizon</w:t>
            </w:r>
          </w:p>
        </w:tc>
        <w:tc>
          <w:tcPr>
            <w:tcW w:w="3604" w:type="pct"/>
          </w:tcPr>
          <w:p w14:paraId="0C471D34" w14:textId="7F7201DB" w:rsidR="00EB6430" w:rsidRPr="008B02E0" w:rsidRDefault="00EB6430" w:rsidP="00AE5B32">
            <w:pPr>
              <w:pStyle w:val="TableText0"/>
              <w:keepNext w:val="0"/>
              <w:rPr>
                <w:iCs/>
              </w:rPr>
            </w:pPr>
            <w:r w:rsidRPr="008B02E0">
              <w:t>20 years in the model base case vs.</w:t>
            </w:r>
            <w:r w:rsidR="00B109D6" w:rsidRPr="008B02E0">
              <w:t xml:space="preserve"> a median follow up of</w:t>
            </w:r>
            <w:r w:rsidRPr="008B02E0">
              <w:t xml:space="preserve"> 47.0 months in CM</w:t>
            </w:r>
            <w:r w:rsidR="009E5502">
              <w:noBreakHyphen/>
            </w:r>
            <w:r w:rsidRPr="008B02E0">
              <w:t>8HW</w:t>
            </w:r>
            <w:r w:rsidR="00E936B4" w:rsidRPr="008B02E0">
              <w:t xml:space="preserve"> and </w:t>
            </w:r>
            <w:r w:rsidRPr="008B02E0">
              <w:t>73.3 months in KN</w:t>
            </w:r>
            <w:r w:rsidR="009E5502">
              <w:noBreakHyphen/>
            </w:r>
            <w:r w:rsidRPr="008B02E0">
              <w:t xml:space="preserve">177. </w:t>
            </w:r>
            <w:bookmarkStart w:id="78" w:name="_Hlk197797964"/>
            <w:r w:rsidRPr="008B02E0">
              <w:rPr>
                <w:iCs/>
              </w:rPr>
              <w:t xml:space="preserve">The model appeared to use data from </w:t>
            </w:r>
            <w:r w:rsidR="000245F0" w:rsidRPr="008B02E0">
              <w:rPr>
                <w:iCs/>
              </w:rPr>
              <w:t>locally confirmed MSI</w:t>
            </w:r>
            <w:r w:rsidR="009E5502">
              <w:rPr>
                <w:iCs/>
              </w:rPr>
              <w:noBreakHyphen/>
            </w:r>
            <w:r w:rsidR="000245F0" w:rsidRPr="008B02E0">
              <w:rPr>
                <w:iCs/>
              </w:rPr>
              <w:t xml:space="preserve">H/dMMR patients of </w:t>
            </w:r>
            <w:r w:rsidRPr="008B02E0">
              <w:rPr>
                <w:iCs/>
              </w:rPr>
              <w:t>CM</w:t>
            </w:r>
            <w:r w:rsidR="009E5502">
              <w:rPr>
                <w:iCs/>
              </w:rPr>
              <w:noBreakHyphen/>
            </w:r>
            <w:r w:rsidRPr="008B02E0">
              <w:rPr>
                <w:iCs/>
              </w:rPr>
              <w:t>8HW 1L</w:t>
            </w:r>
            <w:r w:rsidR="005129CB" w:rsidRPr="008B02E0">
              <w:rPr>
                <w:iCs/>
              </w:rPr>
              <w:t xml:space="preserve"> </w:t>
            </w:r>
            <w:r w:rsidR="000245F0" w:rsidRPr="008B02E0">
              <w:rPr>
                <w:iCs/>
              </w:rPr>
              <w:t xml:space="preserve">at </w:t>
            </w:r>
            <w:r w:rsidRPr="008B02E0">
              <w:rPr>
                <w:iCs/>
              </w:rPr>
              <w:t>DCO 28 August 2024</w:t>
            </w:r>
            <w:r w:rsidR="001254CA" w:rsidRPr="008B02E0">
              <w:rPr>
                <w:iCs/>
              </w:rPr>
              <w:t>. These data</w:t>
            </w:r>
            <w:r w:rsidRPr="008B02E0">
              <w:rPr>
                <w:iCs/>
              </w:rPr>
              <w:t xml:space="preserve"> were not presented in the CM</w:t>
            </w:r>
            <w:r w:rsidR="009E5502">
              <w:rPr>
                <w:iCs/>
              </w:rPr>
              <w:noBreakHyphen/>
            </w:r>
            <w:r w:rsidRPr="008B02E0">
              <w:rPr>
                <w:iCs/>
              </w:rPr>
              <w:t>8HW primary CSR or any publications</w:t>
            </w:r>
            <w:r w:rsidR="001254CA" w:rsidRPr="008B02E0">
              <w:rPr>
                <w:iCs/>
              </w:rPr>
              <w:t xml:space="preserve"> but appeared to be the same population included in the MAIC</w:t>
            </w:r>
            <w:r w:rsidRPr="008B02E0">
              <w:rPr>
                <w:iCs/>
              </w:rPr>
              <w:t xml:space="preserve">. </w:t>
            </w:r>
          </w:p>
          <w:bookmarkEnd w:id="78"/>
          <w:p w14:paraId="4650F25C" w14:textId="26174C1E" w:rsidR="00EB6430" w:rsidRPr="008B02E0" w:rsidRDefault="00EB6430" w:rsidP="00AE5B32">
            <w:pPr>
              <w:pStyle w:val="TableText0"/>
              <w:keepNext w:val="0"/>
            </w:pPr>
          </w:p>
        </w:tc>
      </w:tr>
      <w:tr w:rsidR="00EB6430" w:rsidRPr="008B02E0" w14:paraId="45CB68B2" w14:textId="77777777" w:rsidTr="00D17F3A">
        <w:tc>
          <w:tcPr>
            <w:tcW w:w="1396" w:type="pct"/>
          </w:tcPr>
          <w:p w14:paraId="6E537354" w14:textId="77777777" w:rsidR="00EB6430" w:rsidRPr="008B02E0" w:rsidRDefault="00EB6430" w:rsidP="00AE5B32">
            <w:pPr>
              <w:pStyle w:val="TableText0"/>
              <w:keepNext w:val="0"/>
            </w:pPr>
            <w:r w:rsidRPr="008B02E0">
              <w:t>Outcomes</w:t>
            </w:r>
          </w:p>
        </w:tc>
        <w:tc>
          <w:tcPr>
            <w:tcW w:w="3604" w:type="pct"/>
            <w:vAlign w:val="top"/>
          </w:tcPr>
          <w:p w14:paraId="127C4E10" w14:textId="41B31086" w:rsidR="00EB6430" w:rsidRPr="008B02E0" w:rsidRDefault="00EB6430" w:rsidP="00AE5B32">
            <w:pPr>
              <w:pStyle w:val="TableText0"/>
              <w:keepNext w:val="0"/>
            </w:pPr>
            <w:r w:rsidRPr="008B02E0">
              <w:t>Life years gained, quality</w:t>
            </w:r>
            <w:r w:rsidR="009E5502">
              <w:noBreakHyphen/>
            </w:r>
            <w:r w:rsidRPr="008B02E0">
              <w:t>adjusted life years.</w:t>
            </w:r>
          </w:p>
        </w:tc>
      </w:tr>
      <w:tr w:rsidR="00EB6430" w:rsidRPr="008B02E0" w14:paraId="2C26E7A4" w14:textId="77777777" w:rsidTr="00D17F3A">
        <w:tc>
          <w:tcPr>
            <w:tcW w:w="1396" w:type="pct"/>
          </w:tcPr>
          <w:p w14:paraId="277C46F0" w14:textId="77777777" w:rsidR="00EB6430" w:rsidRPr="008B02E0" w:rsidRDefault="00EB6430" w:rsidP="00AE5B32">
            <w:pPr>
              <w:pStyle w:val="TableText0"/>
              <w:keepNext w:val="0"/>
            </w:pPr>
            <w:r w:rsidRPr="008B02E0">
              <w:t>Methods used to generate results</w:t>
            </w:r>
          </w:p>
        </w:tc>
        <w:tc>
          <w:tcPr>
            <w:tcW w:w="3604" w:type="pct"/>
          </w:tcPr>
          <w:p w14:paraId="65BA2998" w14:textId="10A4F392" w:rsidR="00EB6430" w:rsidRPr="008B02E0" w:rsidRDefault="00EB6430" w:rsidP="00AE5B32">
            <w:pPr>
              <w:pStyle w:val="TableText0"/>
              <w:keepNext w:val="0"/>
            </w:pPr>
            <w:r w:rsidRPr="008B02E0">
              <w:t>Semi</w:t>
            </w:r>
            <w:r w:rsidR="009E5502">
              <w:noBreakHyphen/>
            </w:r>
            <w:r w:rsidRPr="008B02E0">
              <w:t>Markov cohort model.</w:t>
            </w:r>
          </w:p>
          <w:p w14:paraId="31DAA634" w14:textId="0CC0F71C" w:rsidR="00EB6430" w:rsidRPr="008B02E0" w:rsidRDefault="00EB6430" w:rsidP="00AE5B32">
            <w:pPr>
              <w:pStyle w:val="TableText0"/>
              <w:keepNext w:val="0"/>
            </w:pPr>
          </w:p>
        </w:tc>
      </w:tr>
      <w:tr w:rsidR="00EB6430" w:rsidRPr="008B02E0" w14:paraId="3FB013A0" w14:textId="77777777" w:rsidTr="00D17F3A">
        <w:tc>
          <w:tcPr>
            <w:tcW w:w="1396" w:type="pct"/>
          </w:tcPr>
          <w:p w14:paraId="6B9154BE" w14:textId="77777777" w:rsidR="00EB6430" w:rsidRPr="008B02E0" w:rsidRDefault="00EB6430" w:rsidP="00AE5B32">
            <w:pPr>
              <w:pStyle w:val="TableText0"/>
              <w:keepNext w:val="0"/>
            </w:pPr>
            <w:r w:rsidRPr="008B02E0">
              <w:t>Health states</w:t>
            </w:r>
          </w:p>
        </w:tc>
        <w:tc>
          <w:tcPr>
            <w:tcW w:w="3604" w:type="pct"/>
          </w:tcPr>
          <w:p w14:paraId="0C94B352" w14:textId="753759CB" w:rsidR="00EB6430" w:rsidRPr="008B02E0" w:rsidRDefault="00EB6430" w:rsidP="00AE5B32">
            <w:pPr>
              <w:pStyle w:val="TableText0"/>
              <w:keepNext w:val="0"/>
            </w:pPr>
            <w:r w:rsidRPr="008B02E0">
              <w:t xml:space="preserve">Progression free, progressed disease, dead. Time on treatment </w:t>
            </w:r>
            <w:r w:rsidR="00A65AC1" w:rsidRPr="008B02E0">
              <w:t xml:space="preserve">was </w:t>
            </w:r>
            <w:r w:rsidRPr="008B02E0">
              <w:t>modelled separately.</w:t>
            </w:r>
          </w:p>
        </w:tc>
      </w:tr>
      <w:tr w:rsidR="00EB6430" w:rsidRPr="008B02E0" w14:paraId="4A0B9CDB" w14:textId="77777777" w:rsidTr="00D17F3A">
        <w:tc>
          <w:tcPr>
            <w:tcW w:w="1396" w:type="pct"/>
          </w:tcPr>
          <w:p w14:paraId="60EDBBDD" w14:textId="77777777" w:rsidR="00EB6430" w:rsidRPr="008B02E0" w:rsidRDefault="00EB6430" w:rsidP="00AE5B32">
            <w:pPr>
              <w:pStyle w:val="TableText0"/>
              <w:keepNext w:val="0"/>
            </w:pPr>
            <w:r w:rsidRPr="008B02E0">
              <w:t>Cycle length</w:t>
            </w:r>
          </w:p>
        </w:tc>
        <w:tc>
          <w:tcPr>
            <w:tcW w:w="3604" w:type="pct"/>
            <w:vAlign w:val="top"/>
          </w:tcPr>
          <w:p w14:paraId="1B4CE5DA" w14:textId="77777777" w:rsidR="00EB6430" w:rsidRPr="008B02E0" w:rsidRDefault="00EB6430" w:rsidP="00AE5B32">
            <w:pPr>
              <w:pStyle w:val="TableText0"/>
              <w:keepNext w:val="0"/>
            </w:pPr>
            <w:r w:rsidRPr="008B02E0">
              <w:t>28 days with half cycle correction.</w:t>
            </w:r>
          </w:p>
          <w:p w14:paraId="701AAA7E" w14:textId="77777777" w:rsidR="00EB6430" w:rsidRPr="008B02E0" w:rsidRDefault="00EB6430" w:rsidP="00AE5B32">
            <w:pPr>
              <w:pStyle w:val="TableText0"/>
              <w:keepNext w:val="0"/>
              <w:rPr>
                <w:i/>
              </w:rPr>
            </w:pPr>
            <w:r w:rsidRPr="008B02E0">
              <w:t xml:space="preserve">Half cycle correction was applied from Time 0, and therefore, 4.3% patients in the NIVO+IPI arm and 1.8% patients in the pembrolizumab arm received no treatment. </w:t>
            </w:r>
          </w:p>
        </w:tc>
      </w:tr>
      <w:tr w:rsidR="00EB6430" w:rsidRPr="008B02E0" w14:paraId="3AA4C33A" w14:textId="77777777" w:rsidTr="00D17F3A">
        <w:tc>
          <w:tcPr>
            <w:tcW w:w="1396" w:type="pct"/>
          </w:tcPr>
          <w:p w14:paraId="3A8D6BC7" w14:textId="77777777" w:rsidR="00EB6430" w:rsidRPr="008B02E0" w:rsidRDefault="00EB6430" w:rsidP="00AE5B32">
            <w:pPr>
              <w:pStyle w:val="TableText0"/>
              <w:keepNext w:val="0"/>
            </w:pPr>
            <w:r w:rsidRPr="008B02E0">
              <w:t>Transition probabilities</w:t>
            </w:r>
          </w:p>
        </w:tc>
        <w:tc>
          <w:tcPr>
            <w:tcW w:w="3604" w:type="pct"/>
          </w:tcPr>
          <w:p w14:paraId="5E6C928C" w14:textId="5A592531" w:rsidR="00EB6430" w:rsidRPr="008B02E0" w:rsidRDefault="00EB6430" w:rsidP="00AE5B32">
            <w:pPr>
              <w:pStyle w:val="TableText0"/>
              <w:keepNext w:val="0"/>
              <w:rPr>
                <w:iCs/>
              </w:rPr>
            </w:pPr>
            <w:r w:rsidRPr="008B02E0">
              <w:rPr>
                <w:b/>
                <w:bCs w:val="0"/>
              </w:rPr>
              <w:t xml:space="preserve">PF to PD </w:t>
            </w:r>
            <w:r w:rsidRPr="008B02E0">
              <w:rPr>
                <w:u w:val="single"/>
              </w:rPr>
              <w:t>NIVO+IPI</w:t>
            </w:r>
            <w:r w:rsidRPr="008B02E0">
              <w:t>: generalised gamma extrapolation of CM</w:t>
            </w:r>
            <w:r w:rsidR="009E5502">
              <w:noBreakHyphen/>
            </w:r>
            <w:r w:rsidRPr="008B02E0">
              <w:t xml:space="preserve">8HW 1L TTP KM data. </w:t>
            </w:r>
            <w:r w:rsidRPr="008B02E0">
              <w:rPr>
                <w:u w:val="single"/>
              </w:rPr>
              <w:t>Pembrolizumab</w:t>
            </w:r>
            <w:r w:rsidRPr="008B02E0">
              <w:t>: NIVO+IPI arm with time</w:t>
            </w:r>
            <w:r w:rsidR="009E5502">
              <w:noBreakHyphen/>
            </w:r>
            <w:r w:rsidRPr="008B02E0">
              <w:t>varying HR applied, estimated from generalised gamma extrapolations of pembrolizumab PFS KM data from KN</w:t>
            </w:r>
            <w:r w:rsidR="009E5502">
              <w:noBreakHyphen/>
            </w:r>
            <w:r w:rsidRPr="008B02E0">
              <w:t>177 and NIVO+IPI TTP KM data from the unanchored MAIC weighting of CM</w:t>
            </w:r>
            <w:r w:rsidR="009E5502">
              <w:noBreakHyphen/>
            </w:r>
            <w:r w:rsidRPr="008B02E0">
              <w:t>8HW 1L.</w:t>
            </w:r>
            <w:r w:rsidR="00286358" w:rsidRPr="008B02E0">
              <w:t xml:space="preserve"> </w:t>
            </w:r>
            <w:r w:rsidR="00286358" w:rsidRPr="008B02E0">
              <w:rPr>
                <w:iCs/>
              </w:rPr>
              <w:t>The TTP KM data from CM</w:t>
            </w:r>
            <w:r w:rsidR="009E5502">
              <w:rPr>
                <w:iCs/>
              </w:rPr>
              <w:noBreakHyphen/>
            </w:r>
            <w:r w:rsidR="00286358" w:rsidRPr="008B02E0">
              <w:rPr>
                <w:iCs/>
              </w:rPr>
              <w:t xml:space="preserve">8HW 1L and corresponding generalised gamma extrapolations had not previously been presented in the submission. </w:t>
            </w:r>
          </w:p>
          <w:p w14:paraId="063EFC39" w14:textId="4BF6606A" w:rsidR="00EB6430" w:rsidRPr="008B02E0" w:rsidRDefault="00EB6430" w:rsidP="00AE5B32">
            <w:pPr>
              <w:pStyle w:val="TableText0"/>
              <w:keepNext w:val="0"/>
            </w:pPr>
            <w:r w:rsidRPr="008B02E0">
              <w:rPr>
                <w:b/>
                <w:bCs w:val="0"/>
              </w:rPr>
              <w:t>PF to death</w:t>
            </w:r>
            <w:r w:rsidRPr="008B02E0">
              <w:t xml:space="preserve">, </w:t>
            </w:r>
            <w:r w:rsidRPr="008B02E0">
              <w:rPr>
                <w:u w:val="single"/>
              </w:rPr>
              <w:t>both arms</w:t>
            </w:r>
            <w:r w:rsidRPr="008B02E0">
              <w:t>: age</w:t>
            </w:r>
            <w:r w:rsidR="009E5502">
              <w:noBreakHyphen/>
            </w:r>
            <w:r w:rsidRPr="008B02E0">
              <w:t xml:space="preserve">based general population mortality. </w:t>
            </w:r>
          </w:p>
          <w:p w14:paraId="395ED7BF" w14:textId="6181B6FA" w:rsidR="00EB6430" w:rsidRPr="008B02E0" w:rsidRDefault="00EB6430" w:rsidP="00AE5B32">
            <w:pPr>
              <w:pStyle w:val="TableText0"/>
              <w:keepNext w:val="0"/>
            </w:pPr>
            <w:r w:rsidRPr="008B02E0">
              <w:rPr>
                <w:b/>
                <w:bCs w:val="0"/>
              </w:rPr>
              <w:t>PD to death</w:t>
            </w:r>
            <w:r w:rsidRPr="008B02E0">
              <w:t xml:space="preserve">, </w:t>
            </w:r>
            <w:r w:rsidRPr="008B02E0">
              <w:rPr>
                <w:u w:val="single"/>
              </w:rPr>
              <w:t>both arms</w:t>
            </w:r>
            <w:r w:rsidRPr="008B02E0">
              <w:t>: Loglogistic extrapolation of CM</w:t>
            </w:r>
            <w:r w:rsidR="009E5502">
              <w:noBreakHyphen/>
            </w:r>
            <w:r w:rsidRPr="008B02E0">
              <w:t>142 Cohort 2 and 3 progressed patients.</w:t>
            </w:r>
          </w:p>
          <w:p w14:paraId="06878758" w14:textId="13269CAE" w:rsidR="00EB6430" w:rsidRPr="008B02E0" w:rsidRDefault="00EB6430" w:rsidP="00AE5B32">
            <w:pPr>
              <w:pStyle w:val="TableText0"/>
              <w:keepNext w:val="0"/>
            </w:pPr>
            <w:r w:rsidRPr="008B02E0">
              <w:rPr>
                <w:b/>
                <w:bCs w:val="0"/>
              </w:rPr>
              <w:t>TTD</w:t>
            </w:r>
            <w:r w:rsidRPr="008B02E0">
              <w:rPr>
                <w:vertAlign w:val="superscript"/>
              </w:rPr>
              <w:t>a</w:t>
            </w:r>
            <w:r w:rsidRPr="008B02E0">
              <w:t xml:space="preserve">: </w:t>
            </w:r>
            <w:r w:rsidRPr="008B02E0">
              <w:rPr>
                <w:u w:val="single"/>
              </w:rPr>
              <w:t>NIVO+IPI</w:t>
            </w:r>
            <w:r w:rsidRPr="008B02E0">
              <w:t>: TTD KM data CM</w:t>
            </w:r>
            <w:r w:rsidR="009E5502">
              <w:noBreakHyphen/>
            </w:r>
            <w:r w:rsidRPr="008B02E0">
              <w:t xml:space="preserve">8HW (not stated in the submission but appeared to be the 1L+ cohort), capped at 2 years. </w:t>
            </w:r>
            <w:r w:rsidRPr="008B02E0">
              <w:rPr>
                <w:u w:val="single"/>
              </w:rPr>
              <w:t>Pembrolizumab</w:t>
            </w:r>
            <w:r w:rsidRPr="008B02E0">
              <w:t>: equal to PFS capped at 2 years.</w:t>
            </w:r>
          </w:p>
          <w:p w14:paraId="185FDCFD" w14:textId="77777777" w:rsidR="00EB6430" w:rsidRPr="008B02E0" w:rsidRDefault="00EB6430" w:rsidP="00AE5B32">
            <w:pPr>
              <w:pStyle w:val="TableText0"/>
              <w:keepNext w:val="0"/>
              <w:rPr>
                <w:iCs/>
              </w:rPr>
            </w:pPr>
          </w:p>
          <w:p w14:paraId="3CC4E4EA" w14:textId="77777777" w:rsidR="00617A6E" w:rsidRPr="008B02E0" w:rsidRDefault="00617A6E" w:rsidP="00AE5B32">
            <w:pPr>
              <w:pStyle w:val="TableText0"/>
              <w:keepNext w:val="0"/>
              <w:ind w:left="-9"/>
              <w:rPr>
                <w:iCs/>
              </w:rPr>
            </w:pPr>
          </w:p>
          <w:p w14:paraId="518E1D2B" w14:textId="65E37E9F" w:rsidR="00180E5C" w:rsidRPr="008B02E0" w:rsidRDefault="00180E5C" w:rsidP="00AE5B32">
            <w:pPr>
              <w:pStyle w:val="TableText0"/>
              <w:keepNext w:val="0"/>
            </w:pPr>
          </w:p>
          <w:p w14:paraId="1E1F87AD" w14:textId="594BF1F5" w:rsidR="00180E5C" w:rsidRPr="008B02E0" w:rsidRDefault="00180E5C" w:rsidP="00AE5B32">
            <w:pPr>
              <w:pStyle w:val="TableText0"/>
              <w:keepNext w:val="0"/>
              <w:rPr>
                <w:iCs/>
              </w:rPr>
            </w:pPr>
            <w:r w:rsidRPr="008B02E0">
              <w:rPr>
                <w:iCs/>
              </w:rPr>
              <w:t>84% of incremental QALYs (and 2% of incremental costs) occurred in the extrapolated period.</w:t>
            </w:r>
          </w:p>
        </w:tc>
      </w:tr>
      <w:tr w:rsidR="00EB6430" w:rsidRPr="008B02E0" w14:paraId="5276E400" w14:textId="77777777" w:rsidTr="00D17F3A">
        <w:tc>
          <w:tcPr>
            <w:tcW w:w="1396" w:type="pct"/>
          </w:tcPr>
          <w:p w14:paraId="5DE25791" w14:textId="77777777" w:rsidR="00EB6430" w:rsidRPr="008B02E0" w:rsidRDefault="00EB6430" w:rsidP="00AE5B32">
            <w:pPr>
              <w:pStyle w:val="TableText0"/>
              <w:keepNext w:val="0"/>
            </w:pPr>
            <w:r w:rsidRPr="008B02E0">
              <w:t>Health related quality of life</w:t>
            </w:r>
          </w:p>
        </w:tc>
        <w:tc>
          <w:tcPr>
            <w:tcW w:w="3604" w:type="pct"/>
          </w:tcPr>
          <w:p w14:paraId="4F464B2A" w14:textId="72FC2532" w:rsidR="00EB6430" w:rsidRPr="008B02E0" w:rsidRDefault="00EB6430" w:rsidP="00AE5B32">
            <w:pPr>
              <w:pStyle w:val="TableText0"/>
            </w:pPr>
            <w:r w:rsidRPr="008B02E0">
              <w:t>PF: 0.801 EQ</w:t>
            </w:r>
            <w:r w:rsidR="009E5502">
              <w:noBreakHyphen/>
            </w:r>
            <w:r w:rsidRPr="008B02E0">
              <w:t>5D</w:t>
            </w:r>
            <w:r w:rsidR="009E5502">
              <w:noBreakHyphen/>
            </w:r>
            <w:r w:rsidRPr="008B02E0">
              <w:t>3L with Australian preference weights CM</w:t>
            </w:r>
            <w:r w:rsidR="009E5502">
              <w:noBreakHyphen/>
            </w:r>
            <w:r w:rsidRPr="008B02E0">
              <w:t>8HW 1L NIVO+IPI arm</w:t>
            </w:r>
          </w:p>
          <w:p w14:paraId="56BE5CE7" w14:textId="496CC8F7" w:rsidR="00EB6430" w:rsidRPr="008B02E0" w:rsidRDefault="00EB6430" w:rsidP="00AE5B32">
            <w:pPr>
              <w:pStyle w:val="TableText0"/>
            </w:pPr>
            <w:r w:rsidRPr="008B02E0">
              <w:t>PD: 0.745 EQ</w:t>
            </w:r>
            <w:r w:rsidR="009E5502">
              <w:noBreakHyphen/>
            </w:r>
            <w:r w:rsidRPr="008B02E0">
              <w:t>5D</w:t>
            </w:r>
            <w:r w:rsidR="009E5502">
              <w:noBreakHyphen/>
            </w:r>
            <w:r w:rsidRPr="008B02E0">
              <w:t>3L with Australian preference weights CM</w:t>
            </w:r>
            <w:r w:rsidR="009E5502">
              <w:noBreakHyphen/>
            </w:r>
            <w:r w:rsidRPr="008B02E0">
              <w:t>8HW 1L NIVO+IPI and chemotherapy arms</w:t>
            </w:r>
          </w:p>
          <w:p w14:paraId="73AD3B7F" w14:textId="77777777" w:rsidR="00EB6430" w:rsidRPr="008B02E0" w:rsidRDefault="00EB6430" w:rsidP="00AE5B32">
            <w:pPr>
              <w:pStyle w:val="TableText0"/>
            </w:pPr>
            <w:r w:rsidRPr="008B02E0">
              <w:t xml:space="preserve">Age adjustment based on general population utility (Clemens 2014) at age in cycle divided by utility at age 55. </w:t>
            </w:r>
          </w:p>
          <w:p w14:paraId="74ACE8B2" w14:textId="77777777" w:rsidR="00EA437C" w:rsidRPr="008B02E0" w:rsidRDefault="00EA437C" w:rsidP="00AE5B32">
            <w:pPr>
              <w:pStyle w:val="TableText0"/>
            </w:pPr>
          </w:p>
          <w:p w14:paraId="63288341" w14:textId="0FE5B1D0" w:rsidR="00EA437C" w:rsidRPr="008B02E0" w:rsidRDefault="00F37578" w:rsidP="00AE5B32">
            <w:pPr>
              <w:pStyle w:val="TableText0"/>
            </w:pPr>
            <w:r w:rsidRPr="008B02E0">
              <w:t>One</w:t>
            </w:r>
            <w:r w:rsidR="009E5502">
              <w:noBreakHyphen/>
            </w:r>
            <w:r w:rsidRPr="008B02E0">
              <w:t>off QALY decrements due to AEs were estimated by multiplying the incidence of an AE for a specific treatment with the associated disutility. Total QALY decrements for each treatment were then applied in the first model cycle</w:t>
            </w:r>
            <w:r w:rsidR="00D2660D" w:rsidRPr="008B02E0">
              <w:t>:</w:t>
            </w:r>
          </w:p>
          <w:tbl>
            <w:tblPr>
              <w:tblStyle w:val="ListTable3"/>
              <w:tblW w:w="4402" w:type="pct"/>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986"/>
              <w:gridCol w:w="851"/>
              <w:gridCol w:w="2835"/>
            </w:tblGrid>
            <w:tr w:rsidR="00DB4F99" w:rsidRPr="00706B69" w14:paraId="4BF3CC33" w14:textId="77777777" w:rsidTr="00706B6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51" w:type="pct"/>
                  <w:noWrap/>
                  <w:hideMark/>
                </w:tcPr>
                <w:p w14:paraId="4F477E1D" w14:textId="77777777" w:rsidR="00D2660D" w:rsidRPr="00706B69" w:rsidRDefault="00D2660D" w:rsidP="00AE5B32">
                  <w:pPr>
                    <w:pStyle w:val="TableText0"/>
                    <w:contextualSpacing/>
                    <w:rPr>
                      <w:color w:val="auto"/>
                      <w:sz w:val="18"/>
                      <w:szCs w:val="22"/>
                      <w:lang w:val="en-AU" w:eastAsia="en-AU"/>
                    </w:rPr>
                  </w:pPr>
                  <w:r w:rsidRPr="00706B69">
                    <w:rPr>
                      <w:color w:val="auto"/>
                      <w:sz w:val="18"/>
                      <w:szCs w:val="22"/>
                      <w:lang w:val="en-AU" w:eastAsia="en-AU"/>
                    </w:rPr>
                    <w:t>Adverse event</w:t>
                  </w:r>
                </w:p>
              </w:tc>
              <w:tc>
                <w:tcPr>
                  <w:tcW w:w="750" w:type="pct"/>
                  <w:noWrap/>
                  <w:hideMark/>
                </w:tcPr>
                <w:p w14:paraId="04BDF18F" w14:textId="77777777" w:rsidR="00D2660D" w:rsidRPr="00706B69" w:rsidRDefault="00D2660D" w:rsidP="00AE5B32">
                  <w:pPr>
                    <w:pStyle w:val="TableText0"/>
                    <w:contextualSpacing/>
                    <w:cnfStyle w:val="100000000000" w:firstRow="1" w:lastRow="0" w:firstColumn="0" w:lastColumn="0" w:oddVBand="0" w:evenVBand="0" w:oddHBand="0"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Disutility</w:t>
                  </w:r>
                </w:p>
              </w:tc>
              <w:tc>
                <w:tcPr>
                  <w:tcW w:w="2499" w:type="pct"/>
                  <w:hideMark/>
                </w:tcPr>
                <w:p w14:paraId="05E8B852" w14:textId="7731E0DA" w:rsidR="00D2660D" w:rsidRPr="00706B69" w:rsidRDefault="00D2660D" w:rsidP="00AE5B32">
                  <w:pPr>
                    <w:pStyle w:val="TableText0"/>
                    <w:contextualSpacing/>
                    <w:cnfStyle w:val="100000000000" w:firstRow="1" w:lastRow="0" w:firstColumn="0" w:lastColumn="0" w:oddVBand="0" w:evenVBand="0" w:oddHBand="0"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 xml:space="preserve">Duration (in </w:t>
                  </w:r>
                  <w:r w:rsidR="00CB5638" w:rsidRPr="00706B69">
                    <w:rPr>
                      <w:color w:val="auto"/>
                      <w:sz w:val="18"/>
                      <w:szCs w:val="22"/>
                      <w:lang w:val="en-AU" w:eastAsia="en-AU"/>
                    </w:rPr>
                    <w:t>months [28 days]</w:t>
                  </w:r>
                  <w:r w:rsidRPr="00706B69">
                    <w:rPr>
                      <w:color w:val="auto"/>
                      <w:sz w:val="18"/>
                      <w:szCs w:val="22"/>
                      <w:lang w:val="en-AU" w:eastAsia="en-AU"/>
                    </w:rPr>
                    <w:t>)</w:t>
                  </w:r>
                </w:p>
              </w:tc>
            </w:tr>
            <w:tr w:rsidR="00D2660D" w:rsidRPr="00706B69" w14:paraId="45ADFB91" w14:textId="77777777" w:rsidTr="00706B6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1" w:type="pct"/>
                  <w:noWrap/>
                </w:tcPr>
                <w:p w14:paraId="62ED9306"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Hepatitis</w:t>
                  </w:r>
                </w:p>
              </w:tc>
              <w:tc>
                <w:tcPr>
                  <w:tcW w:w="749" w:type="pct"/>
                  <w:noWrap/>
                </w:tcPr>
                <w:p w14:paraId="4F2E267E" w14:textId="1962A139" w:rsidR="00D2660D" w:rsidRPr="00706B69" w:rsidRDefault="009E5502"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0.2</w:t>
                  </w:r>
                </w:p>
              </w:tc>
              <w:tc>
                <w:tcPr>
                  <w:tcW w:w="2500" w:type="pct"/>
                </w:tcPr>
                <w:p w14:paraId="38879D65" w14:textId="77777777" w:rsidR="00D2660D" w:rsidRPr="00706B69" w:rsidRDefault="00D2660D"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0.25</w:t>
                  </w:r>
                </w:p>
              </w:tc>
            </w:tr>
            <w:tr w:rsidR="00D2660D" w:rsidRPr="00706B69" w14:paraId="4B10A6A7" w14:textId="77777777" w:rsidTr="00706B69">
              <w:trPr>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3E98B547"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Diarrhoea/ colitis</w:t>
                  </w:r>
                </w:p>
              </w:tc>
              <w:tc>
                <w:tcPr>
                  <w:tcW w:w="749" w:type="pct"/>
                  <w:noWrap/>
                  <w:hideMark/>
                </w:tcPr>
                <w:p w14:paraId="036F4933" w14:textId="7A5AA891" w:rsidR="00D2660D" w:rsidRPr="00706B69" w:rsidRDefault="009E5502"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0.09</w:t>
                  </w:r>
                </w:p>
              </w:tc>
              <w:tc>
                <w:tcPr>
                  <w:tcW w:w="2500" w:type="pct"/>
                  <w:hideMark/>
                </w:tcPr>
                <w:p w14:paraId="5F57EC49" w14:textId="77777777" w:rsidR="00D2660D" w:rsidRPr="00706B69" w:rsidRDefault="00D2660D"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0.25</w:t>
                  </w:r>
                </w:p>
              </w:tc>
            </w:tr>
            <w:tr w:rsidR="00D2660D" w:rsidRPr="00706B69" w14:paraId="512B9BD8" w14:textId="77777777" w:rsidTr="00706B6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58D6315A"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Adrenal insufficiency</w:t>
                  </w:r>
                </w:p>
              </w:tc>
              <w:tc>
                <w:tcPr>
                  <w:tcW w:w="749" w:type="pct"/>
                  <w:noWrap/>
                  <w:hideMark/>
                </w:tcPr>
                <w:p w14:paraId="2C303DFC" w14:textId="7450927C" w:rsidR="00D2660D" w:rsidRPr="00706B69" w:rsidRDefault="009E5502"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0.2</w:t>
                  </w:r>
                </w:p>
              </w:tc>
              <w:tc>
                <w:tcPr>
                  <w:tcW w:w="2500" w:type="pct"/>
                  <w:hideMark/>
                </w:tcPr>
                <w:p w14:paraId="51C6C2CA" w14:textId="77777777" w:rsidR="00D2660D" w:rsidRPr="00706B69" w:rsidRDefault="00D2660D"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3.8575</w:t>
                  </w:r>
                </w:p>
              </w:tc>
            </w:tr>
            <w:tr w:rsidR="00D2660D" w:rsidRPr="00706B69" w14:paraId="732FC725" w14:textId="77777777" w:rsidTr="00706B69">
              <w:trPr>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11068CDB"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Hypophysitis</w:t>
                  </w:r>
                </w:p>
              </w:tc>
              <w:tc>
                <w:tcPr>
                  <w:tcW w:w="749" w:type="pct"/>
                  <w:noWrap/>
                  <w:hideMark/>
                </w:tcPr>
                <w:p w14:paraId="435669CD" w14:textId="609AFB71" w:rsidR="00D2660D" w:rsidRPr="00706B69" w:rsidRDefault="009E5502"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0.2</w:t>
                  </w:r>
                </w:p>
              </w:tc>
              <w:tc>
                <w:tcPr>
                  <w:tcW w:w="2500" w:type="pct"/>
                  <w:hideMark/>
                </w:tcPr>
                <w:p w14:paraId="6525B8CF" w14:textId="77777777" w:rsidR="00D2660D" w:rsidRPr="00706B69" w:rsidRDefault="00D2660D"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3.8575</w:t>
                  </w:r>
                </w:p>
              </w:tc>
            </w:tr>
            <w:tr w:rsidR="00D2660D" w:rsidRPr="00706B69" w14:paraId="32890E16" w14:textId="77777777" w:rsidTr="00706B6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0AF7D081"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Asthenia</w:t>
                  </w:r>
                </w:p>
              </w:tc>
              <w:tc>
                <w:tcPr>
                  <w:tcW w:w="749" w:type="pct"/>
                  <w:noWrap/>
                  <w:hideMark/>
                </w:tcPr>
                <w:p w14:paraId="6006944B" w14:textId="6C0A87D9" w:rsidR="00D2660D" w:rsidRPr="00706B69" w:rsidRDefault="009E5502"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0.08</w:t>
                  </w:r>
                </w:p>
              </w:tc>
              <w:tc>
                <w:tcPr>
                  <w:tcW w:w="2500" w:type="pct"/>
                  <w:hideMark/>
                </w:tcPr>
                <w:p w14:paraId="7773DA42" w14:textId="77777777" w:rsidR="00D2660D" w:rsidRPr="00706B69" w:rsidRDefault="00D2660D"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0.25</w:t>
                  </w:r>
                </w:p>
              </w:tc>
            </w:tr>
            <w:tr w:rsidR="00D2660D" w:rsidRPr="00706B69" w14:paraId="6E5D609A" w14:textId="77777777" w:rsidTr="00706B69">
              <w:trPr>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4EEE426D"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Hypertension</w:t>
                  </w:r>
                </w:p>
              </w:tc>
              <w:tc>
                <w:tcPr>
                  <w:tcW w:w="749" w:type="pct"/>
                  <w:noWrap/>
                  <w:hideMark/>
                </w:tcPr>
                <w:p w14:paraId="257720AC" w14:textId="0F361BBE" w:rsidR="00D2660D" w:rsidRPr="00706B69" w:rsidRDefault="009E5502"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0.069</w:t>
                  </w:r>
                </w:p>
              </w:tc>
              <w:tc>
                <w:tcPr>
                  <w:tcW w:w="2500" w:type="pct"/>
                  <w:hideMark/>
                </w:tcPr>
                <w:p w14:paraId="662D2E7D" w14:textId="77777777" w:rsidR="00D2660D" w:rsidRPr="00706B69" w:rsidRDefault="00D2660D" w:rsidP="00AE5B32">
                  <w:pPr>
                    <w:pStyle w:val="TableText0"/>
                    <w:contextualSpacing/>
                    <w:cnfStyle w:val="000000000000" w:firstRow="0" w:lastRow="0" w:firstColumn="0" w:lastColumn="0" w:oddVBand="0" w:evenVBand="0" w:oddHBand="0"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0.25</w:t>
                  </w:r>
                </w:p>
              </w:tc>
            </w:tr>
            <w:tr w:rsidR="00D2660D" w:rsidRPr="008B02E0" w14:paraId="1B1BAC01" w14:textId="77777777" w:rsidTr="00706B6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1" w:type="pct"/>
                  <w:noWrap/>
                  <w:hideMark/>
                </w:tcPr>
                <w:p w14:paraId="0F4FE311" w14:textId="77777777" w:rsidR="00D2660D" w:rsidRPr="00706B69" w:rsidRDefault="00D2660D" w:rsidP="00AE5B32">
                  <w:pPr>
                    <w:pStyle w:val="TableText0"/>
                    <w:contextualSpacing/>
                    <w:rPr>
                      <w:b w:val="0"/>
                      <w:bCs/>
                      <w:color w:val="auto"/>
                      <w:sz w:val="18"/>
                      <w:szCs w:val="22"/>
                      <w:lang w:val="en-AU" w:eastAsia="en-AU"/>
                    </w:rPr>
                  </w:pPr>
                  <w:r w:rsidRPr="00706B69">
                    <w:rPr>
                      <w:b w:val="0"/>
                      <w:bCs/>
                      <w:color w:val="auto"/>
                      <w:sz w:val="18"/>
                      <w:szCs w:val="22"/>
                      <w:lang w:val="en-AU" w:eastAsia="en-AU"/>
                    </w:rPr>
                    <w:t>Pneumonia</w:t>
                  </w:r>
                </w:p>
              </w:tc>
              <w:tc>
                <w:tcPr>
                  <w:tcW w:w="749" w:type="pct"/>
                  <w:noWrap/>
                  <w:hideMark/>
                </w:tcPr>
                <w:p w14:paraId="06C6C50B" w14:textId="1D66366B" w:rsidR="00D2660D" w:rsidRPr="00706B69" w:rsidRDefault="009E5502"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Pr>
                      <w:color w:val="auto"/>
                      <w:sz w:val="18"/>
                      <w:szCs w:val="22"/>
                      <w:lang w:val="en-AU" w:eastAsia="en-AU"/>
                    </w:rPr>
                    <w:noBreakHyphen/>
                  </w:r>
                  <w:r w:rsidR="00D2660D" w:rsidRPr="00706B69">
                    <w:rPr>
                      <w:color w:val="auto"/>
                      <w:sz w:val="18"/>
                      <w:szCs w:val="22"/>
                      <w:lang w:val="en-AU" w:eastAsia="en-AU"/>
                    </w:rPr>
                    <w:t>0.195</w:t>
                  </w:r>
                </w:p>
              </w:tc>
              <w:tc>
                <w:tcPr>
                  <w:tcW w:w="2500" w:type="pct"/>
                  <w:hideMark/>
                </w:tcPr>
                <w:p w14:paraId="1281DD83" w14:textId="77777777" w:rsidR="00D2660D" w:rsidRPr="008B02E0" w:rsidRDefault="00D2660D" w:rsidP="00AE5B32">
                  <w:pPr>
                    <w:pStyle w:val="TableText0"/>
                    <w:contextualSpacing/>
                    <w:cnfStyle w:val="000000100000" w:firstRow="0" w:lastRow="0" w:firstColumn="0" w:lastColumn="0" w:oddVBand="0" w:evenVBand="0" w:oddHBand="1" w:evenHBand="0" w:firstRowFirstColumn="0" w:firstRowLastColumn="0" w:lastRowFirstColumn="0" w:lastRowLastColumn="0"/>
                    <w:rPr>
                      <w:color w:val="auto"/>
                      <w:sz w:val="18"/>
                      <w:szCs w:val="22"/>
                      <w:lang w:val="en-AU" w:eastAsia="en-AU"/>
                    </w:rPr>
                  </w:pPr>
                  <w:r w:rsidRPr="00706B69">
                    <w:rPr>
                      <w:color w:val="auto"/>
                      <w:sz w:val="18"/>
                      <w:szCs w:val="22"/>
                      <w:lang w:val="en-AU" w:eastAsia="en-AU"/>
                    </w:rPr>
                    <w:t>0.25</w:t>
                  </w:r>
                </w:p>
              </w:tc>
            </w:tr>
          </w:tbl>
          <w:p w14:paraId="5FFEF12B" w14:textId="610036BD" w:rsidR="00D2660D" w:rsidRPr="008B02E0" w:rsidRDefault="00D2660D" w:rsidP="00AE5B32">
            <w:pPr>
              <w:pStyle w:val="TableText0"/>
            </w:pPr>
          </w:p>
        </w:tc>
      </w:tr>
      <w:tr w:rsidR="00286358" w:rsidRPr="008B02E0" w14:paraId="7880E084" w14:textId="77777777" w:rsidTr="00D17F3A">
        <w:tc>
          <w:tcPr>
            <w:tcW w:w="1396" w:type="pct"/>
          </w:tcPr>
          <w:p w14:paraId="47C28678" w14:textId="1BD5F34D" w:rsidR="00286358" w:rsidRPr="008B02E0" w:rsidRDefault="00286358" w:rsidP="00AE5B32">
            <w:pPr>
              <w:pStyle w:val="TableText0"/>
              <w:keepNext w:val="0"/>
            </w:pPr>
            <w:r w:rsidRPr="008B02E0">
              <w:lastRenderedPageBreak/>
              <w:t>Costs</w:t>
            </w:r>
          </w:p>
        </w:tc>
        <w:tc>
          <w:tcPr>
            <w:tcW w:w="3604" w:type="pct"/>
          </w:tcPr>
          <w:p w14:paraId="13475DFC" w14:textId="54F09D43" w:rsidR="00286358" w:rsidRPr="008B02E0" w:rsidRDefault="00286358" w:rsidP="00AE5B32">
            <w:pPr>
              <w:pStyle w:val="TableText0"/>
            </w:pPr>
            <w:r w:rsidRPr="008B02E0">
              <w:t>Costs were modelled in 2025 Australian dollars</w:t>
            </w:r>
            <w:r w:rsidR="00A65AC1" w:rsidRPr="008B02E0">
              <w:t xml:space="preserve">. Assuming a </w:t>
            </w:r>
            <w:r w:rsidR="00E11347" w:rsidRPr="00E11347">
              <w:rPr>
                <w:color w:val="000000"/>
                <w:spacing w:val="53"/>
                <w:shd w:val="solid" w:color="000000" w:fill="000000"/>
                <w:fitText w:val="330" w:id="-628963573"/>
                <w14:textFill>
                  <w14:solidFill>
                    <w14:srgbClr w14:val="000000">
                      <w14:alpha w14:val="100000"/>
                    </w14:srgbClr>
                  </w14:solidFill>
                </w14:textFill>
              </w:rPr>
              <w:t>|||</w:t>
            </w:r>
            <w:r w:rsidR="00E11347" w:rsidRPr="00E11347">
              <w:rPr>
                <w:color w:val="000000"/>
                <w:spacing w:val="1"/>
                <w:shd w:val="solid" w:color="000000" w:fill="000000"/>
                <w:fitText w:val="330" w:id="-628963573"/>
                <w14:textFill>
                  <w14:solidFill>
                    <w14:srgbClr w14:val="000000">
                      <w14:alpha w14:val="100000"/>
                    </w14:srgbClr>
                  </w14:solidFill>
                </w14:textFill>
              </w:rPr>
              <w:t>|</w:t>
            </w:r>
            <w:r w:rsidR="00A65AC1" w:rsidRPr="008B02E0">
              <w:t>/</w:t>
            </w:r>
            <w:r w:rsidR="00E11347" w:rsidRPr="00E11347">
              <w:rPr>
                <w:color w:val="000000"/>
                <w:spacing w:val="48"/>
                <w:shd w:val="solid" w:color="000000" w:fill="000000"/>
                <w:fitText w:val="315" w:id="-628963572"/>
                <w14:textFill>
                  <w14:solidFill>
                    <w14:srgbClr w14:val="000000">
                      <w14:alpha w14:val="100000"/>
                    </w14:srgbClr>
                  </w14:solidFill>
                </w14:textFill>
              </w:rPr>
              <w:t>|||</w:t>
            </w:r>
            <w:r w:rsidR="00E11347" w:rsidRPr="00E11347">
              <w:rPr>
                <w:color w:val="000000"/>
                <w:spacing w:val="1"/>
                <w:shd w:val="solid" w:color="000000" w:fill="000000"/>
                <w:fitText w:val="315" w:id="-628963572"/>
                <w14:textFill>
                  <w14:solidFill>
                    <w14:srgbClr w14:val="000000">
                      <w14:alpha w14:val="100000"/>
                    </w14:srgbClr>
                  </w14:solidFill>
                </w14:textFill>
              </w:rPr>
              <w:t>|</w:t>
            </w:r>
            <w:r w:rsidR="00A65AC1" w:rsidRPr="008B02E0">
              <w:t>% public/private split (</w:t>
            </w:r>
            <w:r w:rsidRPr="008B02E0">
              <w:t>for all medicine costs based on pembrolizumab utilisation in mCRC (PBS items 12615Y and 12605K).</w:t>
            </w:r>
          </w:p>
          <w:p w14:paraId="31C36093" w14:textId="77777777" w:rsidR="00286358" w:rsidRPr="008B02E0" w:rsidRDefault="00286358" w:rsidP="00AE5B32">
            <w:pPr>
              <w:pStyle w:val="TableText0"/>
            </w:pPr>
          </w:p>
          <w:p w14:paraId="697F8E2F" w14:textId="3BC57CD0" w:rsidR="00286358" w:rsidRPr="008B02E0" w:rsidRDefault="009175EF" w:rsidP="00AE5B32">
            <w:pPr>
              <w:pStyle w:val="TableText0"/>
            </w:pPr>
            <w:r w:rsidRPr="008B02E0">
              <w:t xml:space="preserve">Drug costs: </w:t>
            </w:r>
            <w:r w:rsidR="00286358" w:rsidRPr="008B02E0">
              <w:t>Nivolumab $</w:t>
            </w:r>
            <w:r w:rsidR="00E11347" w:rsidRPr="00E11347">
              <w:rPr>
                <w:color w:val="000000"/>
                <w:spacing w:val="53"/>
                <w:shd w:val="solid" w:color="000000" w:fill="000000"/>
                <w:fitText w:val="330" w:id="-628963571"/>
                <w14:textFill>
                  <w14:solidFill>
                    <w14:srgbClr w14:val="000000">
                      <w14:alpha w14:val="100000"/>
                    </w14:srgbClr>
                  </w14:solidFill>
                </w14:textFill>
              </w:rPr>
              <w:t>|||</w:t>
            </w:r>
            <w:r w:rsidR="00E11347" w:rsidRPr="00E11347">
              <w:rPr>
                <w:color w:val="000000"/>
                <w:spacing w:val="1"/>
                <w:shd w:val="solid" w:color="000000" w:fill="000000"/>
                <w:fitText w:val="330" w:id="-628963571"/>
                <w14:textFill>
                  <w14:solidFill>
                    <w14:srgbClr w14:val="000000">
                      <w14:alpha w14:val="100000"/>
                    </w14:srgbClr>
                  </w14:solidFill>
                </w14:textFill>
              </w:rPr>
              <w:t>|</w:t>
            </w:r>
            <w:r w:rsidR="00286358" w:rsidRPr="008B02E0">
              <w:t xml:space="preserve"> per </w:t>
            </w:r>
            <w:r w:rsidR="00DA5E97" w:rsidRPr="008B02E0">
              <w:t xml:space="preserve">initial </w:t>
            </w:r>
            <w:r w:rsidR="00286358" w:rsidRPr="008B02E0">
              <w:t>dose</w:t>
            </w:r>
            <w:r w:rsidR="00DA5E97" w:rsidRPr="008B02E0">
              <w:t xml:space="preserve"> (maximum 4 doses), </w:t>
            </w:r>
            <w:r w:rsidR="00286358" w:rsidRPr="008B02E0">
              <w:t>$</w:t>
            </w:r>
            <w:r w:rsidR="00E11347" w:rsidRPr="00E11347">
              <w:rPr>
                <w:color w:val="000000"/>
                <w:spacing w:val="53"/>
                <w:shd w:val="solid" w:color="000000" w:fill="000000"/>
                <w:fitText w:val="330" w:id="-628963570"/>
                <w14:textFill>
                  <w14:solidFill>
                    <w14:srgbClr w14:val="000000">
                      <w14:alpha w14:val="100000"/>
                    </w14:srgbClr>
                  </w14:solidFill>
                </w14:textFill>
              </w:rPr>
              <w:t>|||</w:t>
            </w:r>
            <w:r w:rsidR="00E11347" w:rsidRPr="00E11347">
              <w:rPr>
                <w:color w:val="000000"/>
                <w:spacing w:val="1"/>
                <w:shd w:val="solid" w:color="000000" w:fill="000000"/>
                <w:fitText w:val="330" w:id="-628963570"/>
                <w14:textFill>
                  <w14:solidFill>
                    <w14:srgbClr w14:val="000000">
                      <w14:alpha w14:val="100000"/>
                    </w14:srgbClr>
                  </w14:solidFill>
                </w14:textFill>
              </w:rPr>
              <w:t>|</w:t>
            </w:r>
            <w:r w:rsidR="00286358" w:rsidRPr="008B02E0">
              <w:t xml:space="preserve"> per dose</w:t>
            </w:r>
            <w:r w:rsidR="00DA5E97" w:rsidRPr="008B02E0">
              <w:t xml:space="preserve"> thereafter. </w:t>
            </w:r>
            <w:r w:rsidR="00286358" w:rsidRPr="008B02E0">
              <w:t>Ipilimumab $</w:t>
            </w:r>
            <w:r w:rsidR="00E11347" w:rsidRPr="00E11347">
              <w:rPr>
                <w:color w:val="000000"/>
                <w:spacing w:val="53"/>
                <w:shd w:val="solid" w:color="000000" w:fill="000000"/>
                <w:fitText w:val="330" w:id="-628963569"/>
                <w14:textFill>
                  <w14:solidFill>
                    <w14:srgbClr w14:val="000000">
                      <w14:alpha w14:val="100000"/>
                    </w14:srgbClr>
                  </w14:solidFill>
                </w14:textFill>
              </w:rPr>
              <w:t>|||</w:t>
            </w:r>
            <w:r w:rsidR="00E11347" w:rsidRPr="00E11347">
              <w:rPr>
                <w:color w:val="000000"/>
                <w:spacing w:val="1"/>
                <w:shd w:val="solid" w:color="000000" w:fill="000000"/>
                <w:fitText w:val="330" w:id="-628963569"/>
                <w14:textFill>
                  <w14:solidFill>
                    <w14:srgbClr w14:val="000000">
                      <w14:alpha w14:val="100000"/>
                    </w14:srgbClr>
                  </w14:solidFill>
                </w14:textFill>
              </w:rPr>
              <w:t>|</w:t>
            </w:r>
            <w:r w:rsidR="00286358" w:rsidRPr="008B02E0">
              <w:t xml:space="preserve"> per dose. </w:t>
            </w:r>
            <w:r w:rsidR="00286358" w:rsidRPr="008B02E0">
              <w:rPr>
                <w:iCs/>
              </w:rPr>
              <w:t>The cost of ipilimumab was not adjusted for the weight</w:t>
            </w:r>
            <w:r w:rsidR="009E5502">
              <w:rPr>
                <w:iCs/>
              </w:rPr>
              <w:noBreakHyphen/>
            </w:r>
            <w:r w:rsidR="00286358" w:rsidRPr="008B02E0">
              <w:rPr>
                <w:iCs/>
              </w:rPr>
              <w:t>based dosing (1mg/kg), so dose intensity and drug wastage were assumed to be 100%</w:t>
            </w:r>
            <w:r w:rsidR="00286358" w:rsidRPr="008B02E0">
              <w:t>.</w:t>
            </w:r>
          </w:p>
          <w:p w14:paraId="75429303" w14:textId="160EDB32" w:rsidR="00286358" w:rsidRPr="008B02E0" w:rsidRDefault="00286358" w:rsidP="00AE5B32">
            <w:pPr>
              <w:pStyle w:val="TableText0"/>
            </w:pPr>
          </w:p>
          <w:p w14:paraId="52FBBF71" w14:textId="6D5DAEE7" w:rsidR="00286358" w:rsidRPr="008B02E0" w:rsidRDefault="00286358" w:rsidP="00AE5B32">
            <w:pPr>
              <w:pStyle w:val="TableText0"/>
            </w:pPr>
            <w:r w:rsidRPr="00F13289">
              <w:t xml:space="preserve">Pembrolizumab was costed </w:t>
            </w:r>
            <w:r w:rsidR="009175EF" w:rsidRPr="00F13289">
              <w:t xml:space="preserve">at </w:t>
            </w:r>
            <w:r w:rsidRPr="00F13289">
              <w:t xml:space="preserve">50% of the published AEMP, i.e., the effective price of pembrolizumab </w:t>
            </w:r>
            <w:r w:rsidR="00CB243B" w:rsidRPr="00F13289">
              <w:t xml:space="preserve">was </w:t>
            </w:r>
            <w:r w:rsidRPr="00F13289">
              <w:t>assumed to be $1,911.88 per 100mg vial.</w:t>
            </w:r>
            <w:r w:rsidRPr="008B02E0">
              <w:t xml:space="preserve"> </w:t>
            </w:r>
          </w:p>
          <w:p w14:paraId="3AAA7715" w14:textId="38A73440" w:rsidR="00DA5E97" w:rsidRPr="008B02E0" w:rsidRDefault="00DA5E97" w:rsidP="00AE5B32">
            <w:pPr>
              <w:pStyle w:val="TableText0"/>
            </w:pPr>
          </w:p>
          <w:p w14:paraId="018C4A01" w14:textId="210227BF" w:rsidR="00DA5E97" w:rsidRPr="008B02E0" w:rsidRDefault="00DA5E97" w:rsidP="00AE5B32">
            <w:pPr>
              <w:pStyle w:val="TableText0"/>
              <w:rPr>
                <w:iCs/>
              </w:rPr>
            </w:pPr>
            <w:r w:rsidRPr="008B02E0">
              <w:t>The submission also included subsequent treatment, administration, health state resource use, adverse event</w:t>
            </w:r>
            <w:r w:rsidR="000C0D24" w:rsidRPr="008B02E0">
              <w:t xml:space="preserve"> (one</w:t>
            </w:r>
            <w:r w:rsidR="009E5502">
              <w:noBreakHyphen/>
            </w:r>
            <w:r w:rsidR="000C0D24" w:rsidRPr="008B02E0">
              <w:t>off)</w:t>
            </w:r>
            <w:r w:rsidRPr="008B02E0">
              <w:t xml:space="preserve"> and terminal care costs. </w:t>
            </w:r>
          </w:p>
          <w:p w14:paraId="2A72B65E" w14:textId="77777777" w:rsidR="00284322" w:rsidRPr="008B02E0" w:rsidRDefault="00284322" w:rsidP="00AE5B32">
            <w:pPr>
              <w:pStyle w:val="TableText0"/>
              <w:rPr>
                <w:iCs/>
              </w:rPr>
            </w:pPr>
          </w:p>
          <w:p w14:paraId="0CAD8981" w14:textId="7A262337" w:rsidR="001B2F64" w:rsidRPr="008B02E0" w:rsidRDefault="007230E5" w:rsidP="00AE5B32">
            <w:pPr>
              <w:pStyle w:val="TableText0"/>
            </w:pPr>
            <w:r w:rsidRPr="008B02E0">
              <w:t xml:space="preserve">Terminal care cost: $33,533.46 based on Langton et al., 2016 </w:t>
            </w:r>
            <w:r w:rsidR="00514811" w:rsidRPr="008B02E0">
              <w:t>(</w:t>
            </w:r>
            <w:r w:rsidRPr="008B02E0">
              <w:t>$23,215 in 2009 AUD inflated to 2023/24</w:t>
            </w:r>
            <w:r w:rsidR="00514811" w:rsidRPr="008B02E0">
              <w:t>).</w:t>
            </w:r>
          </w:p>
        </w:tc>
      </w:tr>
    </w:tbl>
    <w:p w14:paraId="3615A4A0" w14:textId="386D7B36" w:rsidR="00EB6430" w:rsidRPr="008B02E0" w:rsidRDefault="00EB6430" w:rsidP="00AE5B32">
      <w:pPr>
        <w:pStyle w:val="FooterTableFigure"/>
      </w:pPr>
      <w:r w:rsidRPr="008B02E0">
        <w:t>Source: Table 75, p110, Table 77 pp120</w:t>
      </w:r>
      <w:r w:rsidR="009E5502">
        <w:noBreakHyphen/>
      </w:r>
      <w:r w:rsidRPr="008B02E0">
        <w:t>121 of the submission and Excel workbook ‘Attachment 10 – Nivo+Ipi 1L Economic Evaluation.xlsm’</w:t>
      </w:r>
    </w:p>
    <w:p w14:paraId="775952AE" w14:textId="1273E329" w:rsidR="00EB6430" w:rsidRPr="008B02E0" w:rsidRDefault="00EB6430" w:rsidP="00AE5B32">
      <w:pPr>
        <w:pStyle w:val="FooterTableFigure"/>
      </w:pPr>
      <w:r w:rsidRPr="008B02E0">
        <w:t>NIVO=nivolumab, IPI=ipilimumab, PF=progression free, LY=life</w:t>
      </w:r>
      <w:r w:rsidR="009E5502">
        <w:noBreakHyphen/>
      </w:r>
      <w:r w:rsidRPr="008B02E0">
        <w:t>year, TTP=time to progression, PFS=progression free survival, HR=hazard ratio, OS=overall survival, KM=Kaplan</w:t>
      </w:r>
      <w:r w:rsidR="009E5502">
        <w:noBreakHyphen/>
      </w:r>
      <w:r w:rsidRPr="008B02E0">
        <w:t>Meier, 1L= first line, 1L+= any line, PFLY=progression free life year</w:t>
      </w:r>
    </w:p>
    <w:p w14:paraId="38C5E522" w14:textId="5FBFA54D" w:rsidR="00EB6430" w:rsidRPr="008B02E0" w:rsidRDefault="00EB6430" w:rsidP="00AE5B32">
      <w:pPr>
        <w:pStyle w:val="FooterTableFigure"/>
        <w:ind w:left="165" w:hanging="165"/>
        <w:rPr>
          <w:sz w:val="20"/>
        </w:rPr>
      </w:pPr>
      <w:r w:rsidRPr="008B02E0">
        <w:rPr>
          <w:vertAlign w:val="superscript"/>
        </w:rPr>
        <w:t>a</w:t>
      </w:r>
      <w:r w:rsidRPr="008B02E0">
        <w:rPr>
          <w:vertAlign w:val="superscript"/>
        </w:rPr>
        <w:tab/>
      </w:r>
      <w:r w:rsidRPr="008B02E0">
        <w:t>The submission stated that treatment duration was based on mean number of doses of NIVO+IPI in CM</w:t>
      </w:r>
      <w:r w:rsidR="009E5502">
        <w:noBreakHyphen/>
      </w:r>
      <w:r w:rsidRPr="008B02E0">
        <w:t>8HW (cohort unspecified) and median time on treatment for pembrolizumab from KN</w:t>
      </w:r>
      <w:r w:rsidR="009E5502">
        <w:noBreakHyphen/>
      </w:r>
      <w:r w:rsidRPr="008B02E0">
        <w:t xml:space="preserve">177 (Andre et al., 2020), but this was incorrect. This treatment duration is presented as a scenario analysis in the evaluation </w:t>
      </w:r>
    </w:p>
    <w:p w14:paraId="097B3306" w14:textId="54A85612" w:rsidR="002E5360" w:rsidRPr="008B02E0" w:rsidRDefault="002E5360" w:rsidP="00AE5B32">
      <w:pPr>
        <w:pStyle w:val="3-BodyText"/>
      </w:pPr>
      <w:r w:rsidRPr="008B02E0">
        <w:t xml:space="preserve">The </w:t>
      </w:r>
      <w:r w:rsidR="00191CE8" w:rsidRPr="008B02E0">
        <w:t>submission</w:t>
      </w:r>
      <w:r w:rsidRPr="008B02E0">
        <w:t xml:space="preserve"> </w:t>
      </w:r>
      <w:r w:rsidR="00191CE8" w:rsidRPr="008B02E0">
        <w:t>applied</w:t>
      </w:r>
      <w:r w:rsidRPr="008B02E0">
        <w:t xml:space="preserve"> a 20</w:t>
      </w:r>
      <w:r w:rsidR="009E5502">
        <w:noBreakHyphen/>
      </w:r>
      <w:r w:rsidRPr="008B02E0">
        <w:t>year</w:t>
      </w:r>
      <w:r w:rsidR="000A0010" w:rsidRPr="008B02E0">
        <w:t xml:space="preserve"> time horizon</w:t>
      </w:r>
      <w:r w:rsidRPr="008B02E0">
        <w:t xml:space="preserve"> in the </w:t>
      </w:r>
      <w:r w:rsidR="00191CE8" w:rsidRPr="008B02E0">
        <w:t xml:space="preserve">model </w:t>
      </w:r>
      <w:r w:rsidRPr="008B02E0">
        <w:t>base case.</w:t>
      </w:r>
      <w:r w:rsidR="00340A74" w:rsidRPr="008B02E0">
        <w:t xml:space="preserve"> The median follow</w:t>
      </w:r>
      <w:r w:rsidR="009E5502">
        <w:noBreakHyphen/>
      </w:r>
      <w:r w:rsidR="00FC78D6" w:rsidRPr="008B02E0">
        <w:t>up</w:t>
      </w:r>
      <w:r w:rsidR="00340A74" w:rsidRPr="008B02E0">
        <w:t xml:space="preserve"> </w:t>
      </w:r>
      <w:r w:rsidR="00C502EC" w:rsidRPr="008B02E0">
        <w:t xml:space="preserve">of </w:t>
      </w:r>
      <w:r w:rsidR="00340A74" w:rsidRPr="008B02E0">
        <w:t>CM</w:t>
      </w:r>
      <w:r w:rsidR="009E5502">
        <w:noBreakHyphen/>
      </w:r>
      <w:r w:rsidR="00340A74" w:rsidRPr="008B02E0">
        <w:t xml:space="preserve">8HW </w:t>
      </w:r>
      <w:r w:rsidR="009D728E" w:rsidRPr="008B02E0">
        <w:t xml:space="preserve">was 47.0 months </w:t>
      </w:r>
      <w:r w:rsidR="00C502EC" w:rsidRPr="008B02E0">
        <w:t xml:space="preserve">and </w:t>
      </w:r>
      <w:r w:rsidR="009D728E" w:rsidRPr="008B02E0">
        <w:t xml:space="preserve">73.3 months for </w:t>
      </w:r>
      <w:r w:rsidR="00C502EC" w:rsidRPr="008B02E0">
        <w:t>KN</w:t>
      </w:r>
      <w:r w:rsidR="009E5502">
        <w:noBreakHyphen/>
      </w:r>
      <w:r w:rsidR="00C502EC" w:rsidRPr="008B02E0">
        <w:t>177</w:t>
      </w:r>
      <w:r w:rsidR="00340A74" w:rsidRPr="008B02E0">
        <w:t>.</w:t>
      </w:r>
      <w:r w:rsidRPr="008B02E0">
        <w:t xml:space="preserve"> The evaluation considered that a 20</w:t>
      </w:r>
      <w:r w:rsidR="009E5502">
        <w:noBreakHyphen/>
      </w:r>
      <w:r w:rsidRPr="008B02E0">
        <w:t xml:space="preserve">year time horizon was likely not appropriate, </w:t>
      </w:r>
      <w:r w:rsidR="00DD5735" w:rsidRPr="008B02E0">
        <w:t>given</w:t>
      </w:r>
      <w:r w:rsidR="00BB4471" w:rsidRPr="008B02E0">
        <w:t xml:space="preserve"> that</w:t>
      </w:r>
      <w:r w:rsidR="00DD5735" w:rsidRPr="008B02E0">
        <w:t xml:space="preserve"> there was </w:t>
      </w:r>
      <w:r w:rsidRPr="008B02E0">
        <w:t xml:space="preserve">less than 4 years of follow up for </w:t>
      </w:r>
      <w:r w:rsidR="00DD5735" w:rsidRPr="008B02E0">
        <w:t>nivolumab plus ipilimumab</w:t>
      </w:r>
      <w:r w:rsidRPr="008B02E0">
        <w:t xml:space="preserve">, the uncertainty related to the indirect comparison to pembrolizumab, and no OS data </w:t>
      </w:r>
      <w:r w:rsidR="00BB4471" w:rsidRPr="008B02E0">
        <w:t xml:space="preserve">was available </w:t>
      </w:r>
      <w:r w:rsidRPr="008B02E0">
        <w:t xml:space="preserve">to inform the model. The PBAC previously considered a time horizon of 7.5 years to be more appropriate (para 6.45, pembrolizumab PSD, March 2021). </w:t>
      </w:r>
      <w:r w:rsidRPr="008B02E0">
        <w:rPr>
          <w:iCs/>
        </w:rPr>
        <w:t>When the time horizon was reduced</w:t>
      </w:r>
      <w:r w:rsidR="00233315" w:rsidRPr="008B02E0">
        <w:rPr>
          <w:iCs/>
        </w:rPr>
        <w:t xml:space="preserve"> from 20 years</w:t>
      </w:r>
      <w:r w:rsidRPr="008B02E0">
        <w:rPr>
          <w:iCs/>
        </w:rPr>
        <w:t xml:space="preserve"> to 7.5 years, the incremental cost</w:t>
      </w:r>
      <w:r w:rsidR="009E5502">
        <w:rPr>
          <w:iCs/>
        </w:rPr>
        <w:noBreakHyphen/>
      </w:r>
      <w:r w:rsidRPr="008B02E0">
        <w:rPr>
          <w:iCs/>
        </w:rPr>
        <w:t xml:space="preserve">effectiveness ratio (ICER) increased </w:t>
      </w:r>
      <w:r w:rsidR="00BB4471" w:rsidRPr="008B02E0">
        <w:rPr>
          <w:iCs/>
        </w:rPr>
        <w:t>from $</w:t>
      </w:r>
      <w:r w:rsidR="00BF3DA0">
        <w:rPr>
          <w:iCs/>
        </w:rPr>
        <w:t>75,000 to &lt; $95,000</w:t>
      </w:r>
      <w:r w:rsidR="00BB4471" w:rsidRPr="008B02E0">
        <w:rPr>
          <w:iCs/>
        </w:rPr>
        <w:t xml:space="preserve"> </w:t>
      </w:r>
      <w:r w:rsidRPr="008B02E0">
        <w:rPr>
          <w:iCs/>
        </w:rPr>
        <w:t xml:space="preserve">to </w:t>
      </w:r>
      <w:r w:rsidR="00BF3DA0">
        <w:rPr>
          <w:iCs/>
        </w:rPr>
        <w:t>$</w:t>
      </w:r>
      <w:r w:rsidR="00757A31">
        <w:rPr>
          <w:iCs/>
        </w:rPr>
        <w:t xml:space="preserve">155,000 to </w:t>
      </w:r>
      <w:r w:rsidR="00757A31">
        <w:rPr>
          <w:iCs/>
        </w:rPr>
        <w:br/>
        <w:t xml:space="preserve">&lt; $255,000 </w:t>
      </w:r>
      <w:r w:rsidRPr="008B02E0">
        <w:rPr>
          <w:iCs/>
        </w:rPr>
        <w:t>per quality adjusted life year (QALY) gained.</w:t>
      </w:r>
      <w:r w:rsidR="00E84D22" w:rsidRPr="008B02E0">
        <w:rPr>
          <w:iCs/>
        </w:rPr>
        <w:t xml:space="preserve"> The</w:t>
      </w:r>
      <w:r w:rsidR="00500F22" w:rsidRPr="008B02E0">
        <w:rPr>
          <w:iCs/>
        </w:rPr>
        <w:t xml:space="preserve"> ESC noted justifications made in the</w:t>
      </w:r>
      <w:r w:rsidR="00E84D22" w:rsidRPr="008B02E0">
        <w:rPr>
          <w:iCs/>
        </w:rPr>
        <w:t xml:space="preserve"> PSCR </w:t>
      </w:r>
      <w:r w:rsidR="00500F22" w:rsidRPr="008B02E0">
        <w:rPr>
          <w:iCs/>
        </w:rPr>
        <w:t xml:space="preserve">for a longer time horizon, including </w:t>
      </w:r>
      <w:r w:rsidR="00BF177D" w:rsidRPr="008B02E0">
        <w:rPr>
          <w:iCs/>
        </w:rPr>
        <w:t>that when</w:t>
      </w:r>
      <w:r w:rsidR="00D50F44" w:rsidRPr="008B02E0">
        <w:rPr>
          <w:iCs/>
        </w:rPr>
        <w:t xml:space="preserve"> </w:t>
      </w:r>
      <w:r w:rsidR="00242B4A" w:rsidRPr="008B02E0">
        <w:rPr>
          <w:iCs/>
        </w:rPr>
        <w:t xml:space="preserve">pembrolizumab </w:t>
      </w:r>
      <w:r w:rsidR="00D50F44" w:rsidRPr="008B02E0">
        <w:rPr>
          <w:iCs/>
        </w:rPr>
        <w:t>was considered</w:t>
      </w:r>
      <w:r w:rsidR="00190E2D" w:rsidRPr="008B02E0">
        <w:rPr>
          <w:iCs/>
        </w:rPr>
        <w:t xml:space="preserve"> by the PBAC in March 2021</w:t>
      </w:r>
      <w:r w:rsidR="00D50F44" w:rsidRPr="008B02E0">
        <w:rPr>
          <w:iCs/>
        </w:rPr>
        <w:t xml:space="preserve"> the </w:t>
      </w:r>
      <w:r w:rsidR="00242B4A" w:rsidRPr="008B02E0">
        <w:rPr>
          <w:iCs/>
        </w:rPr>
        <w:t>data</w:t>
      </w:r>
      <w:r w:rsidR="00B83CEE" w:rsidRPr="008B02E0">
        <w:rPr>
          <w:iCs/>
        </w:rPr>
        <w:t xml:space="preserve"> </w:t>
      </w:r>
      <w:r w:rsidR="005C4C65" w:rsidRPr="008B02E0">
        <w:rPr>
          <w:iCs/>
        </w:rPr>
        <w:t>was</w:t>
      </w:r>
      <w:r w:rsidR="00D50F44" w:rsidRPr="008B02E0">
        <w:rPr>
          <w:iCs/>
        </w:rPr>
        <w:t xml:space="preserve"> immature </w:t>
      </w:r>
      <w:r w:rsidR="001212AF" w:rsidRPr="008B02E0">
        <w:rPr>
          <w:iCs/>
        </w:rPr>
        <w:t>with</w:t>
      </w:r>
      <w:r w:rsidR="00D50F44" w:rsidRPr="008B02E0">
        <w:rPr>
          <w:iCs/>
        </w:rPr>
        <w:t xml:space="preserve"> </w:t>
      </w:r>
      <w:r w:rsidR="001212AF" w:rsidRPr="008B02E0">
        <w:rPr>
          <w:iCs/>
        </w:rPr>
        <w:t>a</w:t>
      </w:r>
      <w:r w:rsidR="00D50F44" w:rsidRPr="008B02E0">
        <w:rPr>
          <w:iCs/>
        </w:rPr>
        <w:t xml:space="preserve"> </w:t>
      </w:r>
      <w:r w:rsidR="00B83CEE" w:rsidRPr="008B02E0">
        <w:rPr>
          <w:iCs/>
        </w:rPr>
        <w:t>median</w:t>
      </w:r>
      <w:r w:rsidR="005B6744" w:rsidRPr="008B02E0">
        <w:rPr>
          <w:iCs/>
        </w:rPr>
        <w:t xml:space="preserve"> follow</w:t>
      </w:r>
      <w:r w:rsidR="009E5502">
        <w:rPr>
          <w:iCs/>
        </w:rPr>
        <w:noBreakHyphen/>
      </w:r>
      <w:r w:rsidR="005B6744" w:rsidRPr="008B02E0">
        <w:rPr>
          <w:iCs/>
        </w:rPr>
        <w:t>up</w:t>
      </w:r>
      <w:r w:rsidR="00B83CEE" w:rsidRPr="008B02E0">
        <w:rPr>
          <w:iCs/>
        </w:rPr>
        <w:t xml:space="preserve"> </w:t>
      </w:r>
      <w:r w:rsidR="001212AF" w:rsidRPr="008B02E0">
        <w:rPr>
          <w:iCs/>
        </w:rPr>
        <w:t xml:space="preserve">of </w:t>
      </w:r>
      <w:r w:rsidR="00966E78" w:rsidRPr="008B02E0">
        <w:rPr>
          <w:iCs/>
        </w:rPr>
        <w:t>32.4 months</w:t>
      </w:r>
      <w:r w:rsidR="005C4C65" w:rsidRPr="008B02E0">
        <w:rPr>
          <w:iCs/>
        </w:rPr>
        <w:t>. The PSCR noted that this</w:t>
      </w:r>
      <w:r w:rsidR="001212AF" w:rsidRPr="008B02E0">
        <w:rPr>
          <w:iCs/>
        </w:rPr>
        <w:t xml:space="preserve"> </w:t>
      </w:r>
      <w:r w:rsidR="005C4C65" w:rsidRPr="008B02E0">
        <w:rPr>
          <w:iCs/>
        </w:rPr>
        <w:t>was a</w:t>
      </w:r>
      <w:r w:rsidR="00966E78" w:rsidRPr="008B02E0">
        <w:rPr>
          <w:iCs/>
        </w:rPr>
        <w:t xml:space="preserve"> shorter</w:t>
      </w:r>
      <w:r w:rsidR="005C4C65" w:rsidRPr="008B02E0">
        <w:rPr>
          <w:iCs/>
        </w:rPr>
        <w:t xml:space="preserve"> </w:t>
      </w:r>
      <w:r w:rsidR="00DB1DEC" w:rsidRPr="008B02E0">
        <w:rPr>
          <w:iCs/>
        </w:rPr>
        <w:t xml:space="preserve">trial </w:t>
      </w:r>
      <w:r w:rsidR="005C4C65" w:rsidRPr="008B02E0">
        <w:rPr>
          <w:iCs/>
        </w:rPr>
        <w:t>follow</w:t>
      </w:r>
      <w:r w:rsidR="009E5502">
        <w:rPr>
          <w:iCs/>
        </w:rPr>
        <w:noBreakHyphen/>
      </w:r>
      <w:r w:rsidR="005C4C65" w:rsidRPr="008B02E0">
        <w:rPr>
          <w:iCs/>
        </w:rPr>
        <w:t>up</w:t>
      </w:r>
      <w:r w:rsidR="00966E78" w:rsidRPr="008B02E0">
        <w:rPr>
          <w:iCs/>
        </w:rPr>
        <w:t xml:space="preserve"> compared to </w:t>
      </w:r>
      <w:r w:rsidR="009858BE" w:rsidRPr="008B02E0">
        <w:rPr>
          <w:iCs/>
        </w:rPr>
        <w:t>CM</w:t>
      </w:r>
      <w:r w:rsidR="009E5502">
        <w:rPr>
          <w:iCs/>
        </w:rPr>
        <w:noBreakHyphen/>
      </w:r>
      <w:r w:rsidR="009858BE" w:rsidRPr="008B02E0">
        <w:rPr>
          <w:iCs/>
        </w:rPr>
        <w:t>8HW</w:t>
      </w:r>
      <w:r w:rsidR="00F93AE4" w:rsidRPr="008B02E0">
        <w:rPr>
          <w:iCs/>
        </w:rPr>
        <w:t xml:space="preserve"> (47 months)</w:t>
      </w:r>
      <w:r w:rsidR="00D50F44" w:rsidRPr="008B02E0">
        <w:rPr>
          <w:iCs/>
        </w:rPr>
        <w:t xml:space="preserve">. </w:t>
      </w:r>
      <w:r w:rsidR="00D54708" w:rsidRPr="008B02E0">
        <w:rPr>
          <w:iCs/>
        </w:rPr>
        <w:t>The PSCR also noted</w:t>
      </w:r>
      <w:r w:rsidR="00CE6418" w:rsidRPr="008B02E0">
        <w:rPr>
          <w:iCs/>
        </w:rPr>
        <w:t xml:space="preserve"> that</w:t>
      </w:r>
      <w:r w:rsidR="0057282C" w:rsidRPr="008B02E0">
        <w:rPr>
          <w:iCs/>
        </w:rPr>
        <w:t xml:space="preserve"> </w:t>
      </w:r>
      <w:r w:rsidR="00D14C61" w:rsidRPr="008B02E0">
        <w:rPr>
          <w:iCs/>
        </w:rPr>
        <w:t xml:space="preserve">pembrolizumab </w:t>
      </w:r>
      <w:r w:rsidR="0057282C" w:rsidRPr="008B02E0">
        <w:rPr>
          <w:iCs/>
        </w:rPr>
        <w:t>had demonstrated</w:t>
      </w:r>
      <w:r w:rsidR="00D14C61" w:rsidRPr="008B02E0">
        <w:rPr>
          <w:iCs/>
        </w:rPr>
        <w:t xml:space="preserve"> a median OS of 77.5 months and a 5</w:t>
      </w:r>
      <w:r w:rsidR="009E5502">
        <w:rPr>
          <w:iCs/>
        </w:rPr>
        <w:noBreakHyphen/>
      </w:r>
      <w:r w:rsidR="00D14C61" w:rsidRPr="008B02E0">
        <w:rPr>
          <w:iCs/>
        </w:rPr>
        <w:t>year OS rate of 54.8%</w:t>
      </w:r>
      <w:r w:rsidR="0055423D" w:rsidRPr="008B02E0">
        <w:rPr>
          <w:iCs/>
        </w:rPr>
        <w:t xml:space="preserve"> (Andre et al., 2024</w:t>
      </w:r>
      <w:r w:rsidR="00A40706" w:rsidRPr="008B02E0">
        <w:rPr>
          <w:rStyle w:val="FootnoteReference"/>
          <w:iCs/>
        </w:rPr>
        <w:footnoteReference w:id="27"/>
      </w:r>
      <w:r w:rsidR="0055423D" w:rsidRPr="008B02E0">
        <w:rPr>
          <w:iCs/>
        </w:rPr>
        <w:t>)</w:t>
      </w:r>
      <w:r w:rsidR="00D14C61" w:rsidRPr="008B02E0">
        <w:rPr>
          <w:iCs/>
        </w:rPr>
        <w:t xml:space="preserve">. </w:t>
      </w:r>
      <w:r w:rsidR="0057282C" w:rsidRPr="008B02E0">
        <w:rPr>
          <w:iCs/>
        </w:rPr>
        <w:t>Comparatively, nivolumab plus ipilimumab</w:t>
      </w:r>
      <w:r w:rsidR="00D14C61" w:rsidRPr="008B02E0">
        <w:rPr>
          <w:iCs/>
        </w:rPr>
        <w:t xml:space="preserve"> was associated with an OS rate of 71% at </w:t>
      </w:r>
      <w:r w:rsidR="000E7792" w:rsidRPr="008B02E0">
        <w:rPr>
          <w:iCs/>
        </w:rPr>
        <w:t>4 years</w:t>
      </w:r>
      <w:r w:rsidR="0055423D" w:rsidRPr="008B02E0">
        <w:rPr>
          <w:iCs/>
        </w:rPr>
        <w:t xml:space="preserve"> (CM</w:t>
      </w:r>
      <w:r w:rsidR="009E5502">
        <w:rPr>
          <w:iCs/>
        </w:rPr>
        <w:noBreakHyphen/>
      </w:r>
      <w:r w:rsidR="0055423D" w:rsidRPr="008B02E0">
        <w:rPr>
          <w:iCs/>
        </w:rPr>
        <w:t>182)</w:t>
      </w:r>
      <w:r w:rsidR="00D14C61" w:rsidRPr="008B02E0">
        <w:rPr>
          <w:iCs/>
        </w:rPr>
        <w:t>.</w:t>
      </w:r>
      <w:r w:rsidR="00C81A46" w:rsidRPr="008B02E0">
        <w:t xml:space="preserve"> </w:t>
      </w:r>
      <w:r w:rsidR="00D735D7" w:rsidRPr="008B02E0">
        <w:t xml:space="preserve">However, the ESC considered that due to the uncertainty related to the indirect comparisons, a shorter time horizon remained appropriate. </w:t>
      </w:r>
      <w:r w:rsidR="00D735D7" w:rsidRPr="008B02E0">
        <w:lastRenderedPageBreak/>
        <w:t xml:space="preserve">Based on the available evidence, the ESC considered a time horizon of 10−15 years would be appropriate. </w:t>
      </w:r>
      <w:r w:rsidR="00504606" w:rsidRPr="008B02E0">
        <w:t>The Pre</w:t>
      </w:r>
      <w:r w:rsidR="009E5502">
        <w:noBreakHyphen/>
      </w:r>
      <w:r w:rsidR="00504606" w:rsidRPr="008B02E0">
        <w:t>PBAC Response</w:t>
      </w:r>
      <w:r w:rsidR="00EE249B" w:rsidRPr="008B02E0">
        <w:t xml:space="preserve"> </w:t>
      </w:r>
      <w:r w:rsidR="00504606" w:rsidRPr="008B02E0">
        <w:t xml:space="preserve">maintained that </w:t>
      </w:r>
      <w:r w:rsidR="009B3F3E" w:rsidRPr="008B02E0">
        <w:t>a 20</w:t>
      </w:r>
      <w:r w:rsidR="009E5502">
        <w:noBreakHyphen/>
      </w:r>
      <w:r w:rsidR="009B3F3E" w:rsidRPr="008B02E0">
        <w:t xml:space="preserve">year time horizon was well supported by the available evidence. </w:t>
      </w:r>
    </w:p>
    <w:p w14:paraId="36AF0A58" w14:textId="58FAE5BA" w:rsidR="008162DC" w:rsidRPr="008B02E0" w:rsidRDefault="008162DC" w:rsidP="00AE5B32">
      <w:pPr>
        <w:pStyle w:val="3-BodyText"/>
      </w:pPr>
      <w:r w:rsidRPr="008B02E0">
        <w:t xml:space="preserve">The baseline characteristics of the </w:t>
      </w:r>
      <w:r w:rsidR="00173824" w:rsidRPr="008B02E0">
        <w:t xml:space="preserve">modelled population </w:t>
      </w:r>
      <w:r w:rsidR="00B5638E" w:rsidRPr="008B02E0">
        <w:t>were</w:t>
      </w:r>
      <w:r w:rsidR="00173824" w:rsidRPr="008B02E0">
        <w:t xml:space="preserve"> based on </w:t>
      </w:r>
      <w:r w:rsidR="00B5638E" w:rsidRPr="008B02E0">
        <w:t xml:space="preserve">the </w:t>
      </w:r>
      <w:r w:rsidR="00173824" w:rsidRPr="008B02E0">
        <w:t>CM</w:t>
      </w:r>
      <w:r w:rsidR="009E5502">
        <w:noBreakHyphen/>
      </w:r>
      <w:r w:rsidR="00173824" w:rsidRPr="008B02E0">
        <w:t xml:space="preserve">8HW 1L </w:t>
      </w:r>
      <w:r w:rsidR="00B5638E" w:rsidRPr="008B02E0">
        <w:t xml:space="preserve">nivolumab plus ipilimumab </w:t>
      </w:r>
      <w:r w:rsidR="00173824" w:rsidRPr="008B02E0">
        <w:t>and chemotherapy arms combined. This was inconsistent with the data informing the transition probabilities, which was based on the CM</w:t>
      </w:r>
      <w:r w:rsidR="009E5502">
        <w:noBreakHyphen/>
      </w:r>
      <w:r w:rsidR="00173824" w:rsidRPr="008B02E0">
        <w:t>8HW 1L nivolumab plus ipilimumab arm</w:t>
      </w:r>
      <w:r w:rsidR="00A245DF" w:rsidRPr="008B02E0">
        <w:t xml:space="preserve"> only</w:t>
      </w:r>
      <w:r w:rsidR="00173824" w:rsidRPr="008B02E0">
        <w:t>. Furthermore, there were some differences between this population and the Australian population, which tended to be older (median 69.1 years versus mean 60.9 years in CM</w:t>
      </w:r>
      <w:r w:rsidR="009E5502">
        <w:noBreakHyphen/>
      </w:r>
      <w:r w:rsidR="00173824" w:rsidRPr="008B02E0">
        <w:t>8HW 1L combined nivolumab plus ipilimumab and chemotherapy arms</w:t>
      </w:r>
      <w:r w:rsidR="00837AB2" w:rsidRPr="008B02E0">
        <w:t>)</w:t>
      </w:r>
      <w:r w:rsidR="00173824" w:rsidRPr="008B02E0">
        <w:t xml:space="preserve"> and more likely to be male (51.6% versus 46.2% in CM</w:t>
      </w:r>
      <w:r w:rsidR="009E5502">
        <w:noBreakHyphen/>
      </w:r>
      <w:r w:rsidR="00173824" w:rsidRPr="008B02E0">
        <w:t>8HW 1L combined nivolumab plus ipilimumab and chemotherapy arms)</w:t>
      </w:r>
      <w:r w:rsidR="00C41F25" w:rsidRPr="008B02E0">
        <w:rPr>
          <w:rStyle w:val="FootnoteReference"/>
        </w:rPr>
        <w:footnoteReference w:id="28"/>
      </w:r>
      <w:r w:rsidR="00173824" w:rsidRPr="008B02E0">
        <w:t>. Not all characteristics could be altered in the model.</w:t>
      </w:r>
      <w:r w:rsidR="00A245DF" w:rsidRPr="008B02E0">
        <w:t xml:space="preserve"> When age and the proportion that are men were based on South Australian data</w:t>
      </w:r>
      <w:r w:rsidR="00C41F25" w:rsidRPr="008B02E0">
        <w:t xml:space="preserve"> (Chong 2019)</w:t>
      </w:r>
      <w:r w:rsidR="00A245DF" w:rsidRPr="008B02E0">
        <w:t xml:space="preserve">, the ICER increased </w:t>
      </w:r>
      <w:r w:rsidR="00A245DF" w:rsidRPr="00DF762D">
        <w:t>to $</w:t>
      </w:r>
      <w:r w:rsidR="00B844B6">
        <w:t>75,000 to &lt; $95,000</w:t>
      </w:r>
      <w:r w:rsidR="00A245DF" w:rsidRPr="008B02E0">
        <w:t>/QALY gained.</w:t>
      </w:r>
    </w:p>
    <w:p w14:paraId="1AF41003" w14:textId="4B9B359D" w:rsidR="00EB6430" w:rsidRPr="008B02E0" w:rsidRDefault="00EB6430" w:rsidP="00AE5B32">
      <w:pPr>
        <w:pStyle w:val="3-BodyText"/>
        <w:rPr>
          <w:color w:val="0066FF"/>
        </w:rPr>
      </w:pPr>
      <w:r w:rsidRPr="008B02E0">
        <w:t>The economic model presented in the submission used a semi</w:t>
      </w:r>
      <w:r w:rsidR="009E5502">
        <w:noBreakHyphen/>
      </w:r>
      <w:r w:rsidRPr="008B02E0">
        <w:t xml:space="preserve">Markov cohort structure with three health states: alive without progression (progression free, PF), alive following progression (progressed disease, PD), and dead. Patients entered the model in the PF health state. The model diagram is presented </w:t>
      </w:r>
      <w:r w:rsidR="00B968F8" w:rsidRPr="008B02E0">
        <w:t xml:space="preserve">in </w:t>
      </w:r>
      <w:r w:rsidR="008258C7">
        <w:fldChar w:fldCharType="begin"/>
      </w:r>
      <w:r w:rsidR="008258C7">
        <w:instrText xml:space="preserve"> REF _Ref197973073 </w:instrText>
      </w:r>
      <w:r w:rsidR="008258C7">
        <w:fldChar w:fldCharType="separate"/>
      </w:r>
      <w:r w:rsidR="00B542C9" w:rsidRPr="008B02E0">
        <w:t xml:space="preserve">Figure </w:t>
      </w:r>
      <w:r w:rsidR="00B542C9">
        <w:rPr>
          <w:noProof/>
        </w:rPr>
        <w:t>6</w:t>
      </w:r>
      <w:r w:rsidR="008258C7">
        <w:rPr>
          <w:noProof/>
        </w:rPr>
        <w:fldChar w:fldCharType="end"/>
      </w:r>
      <w:r w:rsidRPr="008B02E0">
        <w:t xml:space="preserve">. </w:t>
      </w:r>
    </w:p>
    <w:p w14:paraId="20170195" w14:textId="17FA38CE" w:rsidR="00EB6430" w:rsidRPr="008B02E0" w:rsidRDefault="00EB6430" w:rsidP="00AE5B32">
      <w:pPr>
        <w:pStyle w:val="TableFigureHeading"/>
      </w:pPr>
      <w:bookmarkStart w:id="79" w:name="_Ref197973073"/>
      <w:r w:rsidRPr="008B02E0">
        <w:t xml:space="preserve">Figure </w:t>
      </w:r>
      <w:r w:rsidR="008258C7">
        <w:fldChar w:fldCharType="begin"/>
      </w:r>
      <w:r w:rsidR="008258C7">
        <w:instrText xml:space="preserve"> SEQ Figure \* ARABIC </w:instrText>
      </w:r>
      <w:r w:rsidR="008258C7">
        <w:fldChar w:fldCharType="separate"/>
      </w:r>
      <w:r w:rsidR="00B542C9">
        <w:rPr>
          <w:noProof/>
        </w:rPr>
        <w:t>6</w:t>
      </w:r>
      <w:r w:rsidR="008258C7">
        <w:rPr>
          <w:noProof/>
        </w:rPr>
        <w:fldChar w:fldCharType="end"/>
      </w:r>
      <w:bookmarkEnd w:id="79"/>
      <w:r w:rsidRPr="008B02E0">
        <w:t>: Model diagram in the submission</w:t>
      </w:r>
    </w:p>
    <w:p w14:paraId="2DA47757" w14:textId="77777777" w:rsidR="00EB6430" w:rsidRPr="008B02E0" w:rsidRDefault="00EB6430" w:rsidP="00AE5B32">
      <w:pPr>
        <w:rPr>
          <w:color w:val="3366FF"/>
        </w:rPr>
      </w:pPr>
      <w:r w:rsidRPr="008B02E0">
        <w:rPr>
          <w:noProof/>
          <w:color w:val="000000" w:themeColor="text1"/>
        </w:rPr>
        <w:drawing>
          <wp:inline distT="0" distB="0" distL="0" distR="0" wp14:anchorId="760E97FA" wp14:editId="018AEA51">
            <wp:extent cx="3240000" cy="2481606"/>
            <wp:effectExtent l="0" t="0" r="0" b="0"/>
            <wp:docPr id="54" name="Picture 1" descr="Figure 6: Model diagram in the submission">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Figure 6: Model diagram in the submission">
                      <a:extLst>
                        <a:ext uri="{FF2B5EF4-FFF2-40B4-BE49-F238E27FC236}">
                          <a16:creationId xmlns:a16="http://schemas.microsoft.com/office/drawing/2014/main" id="{00000000-0008-0000-0200-000005000000}"/>
                        </a:ext>
                      </a:extLst>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0000" cy="2481606"/>
                    </a:xfrm>
                    <a:prstGeom prst="rect">
                      <a:avLst/>
                    </a:prstGeom>
                    <a:noFill/>
                  </pic:spPr>
                </pic:pic>
              </a:graphicData>
            </a:graphic>
          </wp:inline>
        </w:drawing>
      </w:r>
    </w:p>
    <w:p w14:paraId="1982FFA7" w14:textId="77777777" w:rsidR="00EB6430" w:rsidRPr="008B02E0" w:rsidRDefault="00EB6430" w:rsidP="00AE5B32">
      <w:pPr>
        <w:pStyle w:val="TableFigureFooter"/>
      </w:pPr>
      <w:r w:rsidRPr="008B02E0">
        <w:t>Source: Figure 21, p118 of the submission</w:t>
      </w:r>
    </w:p>
    <w:p w14:paraId="5196623D" w14:textId="77777777" w:rsidR="00EB6430" w:rsidRPr="008B02E0" w:rsidRDefault="00EB6430" w:rsidP="00AE5B32">
      <w:pPr>
        <w:pStyle w:val="TableFigureFooter"/>
        <w:rPr>
          <w:iCs/>
        </w:rPr>
      </w:pPr>
      <w:r w:rsidRPr="008B02E0">
        <w:rPr>
          <w:iCs/>
        </w:rPr>
        <w:t>p</w:t>
      </w:r>
      <w:r w:rsidRPr="008B02E0">
        <w:rPr>
          <w:iCs/>
          <w:vertAlign w:val="subscript"/>
        </w:rPr>
        <w:t>x,y</w:t>
      </w:r>
      <w:r w:rsidRPr="008B02E0">
        <w:rPr>
          <w:iCs/>
        </w:rPr>
        <w:t>= transition probability</w:t>
      </w:r>
    </w:p>
    <w:p w14:paraId="0080F024" w14:textId="67BE53D0" w:rsidR="00F94F90" w:rsidRPr="008B02E0" w:rsidRDefault="00F94F90" w:rsidP="00AE5B32">
      <w:pPr>
        <w:pStyle w:val="3-BodyText"/>
        <w:rPr>
          <w:rFonts w:ascii="Calibri" w:hAnsi="Calibri"/>
          <w:iCs/>
        </w:rPr>
      </w:pPr>
      <w:r w:rsidRPr="008B02E0">
        <w:rPr>
          <w:iCs/>
        </w:rPr>
        <w:t>The ESC noted that the modelling approach was complex with multiple data sources, time</w:t>
      </w:r>
      <w:r w:rsidR="009E5502">
        <w:rPr>
          <w:iCs/>
        </w:rPr>
        <w:noBreakHyphen/>
      </w:r>
      <w:r w:rsidRPr="008B02E0">
        <w:rPr>
          <w:iCs/>
        </w:rPr>
        <w:t xml:space="preserve">varying PF hazard ratios, and the model followed time in progressed disease. Therefore, the transitions between states were calculated in the background of the model via </w:t>
      </w:r>
      <w:r w:rsidR="001C60F0" w:rsidRPr="008B02E0">
        <w:rPr>
          <w:iCs/>
        </w:rPr>
        <w:t>Visual Basic</w:t>
      </w:r>
      <w:r w:rsidR="003567B0" w:rsidRPr="008B02E0">
        <w:rPr>
          <w:iCs/>
        </w:rPr>
        <w:t xml:space="preserve"> for</w:t>
      </w:r>
      <w:r w:rsidR="001C60F0" w:rsidRPr="008B02E0">
        <w:rPr>
          <w:iCs/>
        </w:rPr>
        <w:t xml:space="preserve"> Application</w:t>
      </w:r>
      <w:r w:rsidR="003567B0" w:rsidRPr="008B02E0">
        <w:rPr>
          <w:iCs/>
        </w:rPr>
        <w:t>s</w:t>
      </w:r>
      <w:r w:rsidR="001C60F0" w:rsidRPr="008B02E0">
        <w:rPr>
          <w:iCs/>
        </w:rPr>
        <w:t xml:space="preserve"> (VBA)</w:t>
      </w:r>
      <w:r w:rsidRPr="008B02E0">
        <w:rPr>
          <w:iCs/>
        </w:rPr>
        <w:t xml:space="preserve">. </w:t>
      </w:r>
      <w:r w:rsidR="00AD635D" w:rsidRPr="008B02E0">
        <w:rPr>
          <w:iCs/>
        </w:rPr>
        <w:t>While the inclusion of sojo</w:t>
      </w:r>
      <w:r w:rsidR="00AF076E" w:rsidRPr="008B02E0">
        <w:rPr>
          <w:iCs/>
        </w:rPr>
        <w:t>u</w:t>
      </w:r>
      <w:r w:rsidR="00AD635D" w:rsidRPr="008B02E0">
        <w:rPr>
          <w:iCs/>
        </w:rPr>
        <w:t xml:space="preserve">rn time </w:t>
      </w:r>
      <w:r w:rsidR="00437F71" w:rsidRPr="008B02E0">
        <w:rPr>
          <w:iCs/>
        </w:rPr>
        <w:lastRenderedPageBreak/>
        <w:t xml:space="preserve">typically </w:t>
      </w:r>
      <w:r w:rsidR="00AD635D" w:rsidRPr="008B02E0">
        <w:rPr>
          <w:iCs/>
        </w:rPr>
        <w:t>allows for more accurate</w:t>
      </w:r>
      <w:r w:rsidR="00437F71" w:rsidRPr="008B02E0">
        <w:rPr>
          <w:iCs/>
        </w:rPr>
        <w:t xml:space="preserve"> model transitions</w:t>
      </w:r>
      <w:r w:rsidR="00E55D33" w:rsidRPr="008B02E0">
        <w:rPr>
          <w:iCs/>
        </w:rPr>
        <w:t>, t</w:t>
      </w:r>
      <w:r w:rsidRPr="008B02E0">
        <w:rPr>
          <w:iCs/>
        </w:rPr>
        <w:t>he ESC noted that it was not possible to comprehensively error check</w:t>
      </w:r>
      <w:r w:rsidR="001A1C73" w:rsidRPr="008B02E0">
        <w:rPr>
          <w:iCs/>
        </w:rPr>
        <w:t xml:space="preserve"> </w:t>
      </w:r>
      <w:r w:rsidR="00CF5E32" w:rsidRPr="008B02E0">
        <w:rPr>
          <w:iCs/>
        </w:rPr>
        <w:t>the transitions during the evaluation</w:t>
      </w:r>
      <w:r w:rsidRPr="008B02E0">
        <w:rPr>
          <w:iCs/>
        </w:rPr>
        <w:t>.</w:t>
      </w:r>
      <w:r w:rsidR="001D1396" w:rsidRPr="008B02E0">
        <w:t xml:space="preserve"> The ESC </w:t>
      </w:r>
      <w:r w:rsidR="00294F91" w:rsidRPr="008B02E0">
        <w:t>also noted that</w:t>
      </w:r>
      <w:r w:rsidR="001D1396" w:rsidRPr="008B02E0">
        <w:t xml:space="preserve"> apart from the pembrolizumab PFS KM data, no data that had been used to create the model base case could be verified. </w:t>
      </w:r>
    </w:p>
    <w:p w14:paraId="11439D52" w14:textId="50A3E7C5" w:rsidR="00EB6430" w:rsidRPr="008B02E0" w:rsidRDefault="00EB6430" w:rsidP="00AE5B32">
      <w:pPr>
        <w:pStyle w:val="3-BodyText"/>
        <w:rPr>
          <w:rFonts w:ascii="Calibri" w:hAnsi="Calibri"/>
        </w:rPr>
      </w:pPr>
      <w:r w:rsidRPr="008B02E0">
        <w:t xml:space="preserve">Transition probabilities in the model were informed by extrapolated </w:t>
      </w:r>
      <w:r w:rsidR="00352D42" w:rsidRPr="008B02E0">
        <w:t>time to progression (</w:t>
      </w:r>
      <w:r w:rsidRPr="008B02E0">
        <w:t>TTP</w:t>
      </w:r>
      <w:r w:rsidR="00352D42" w:rsidRPr="008B02E0">
        <w:t>)</w:t>
      </w:r>
      <w:r w:rsidR="00DC47F1" w:rsidRPr="008B02E0">
        <w:t xml:space="preserve"> data</w:t>
      </w:r>
      <w:r w:rsidRPr="008B02E0">
        <w:t xml:space="preserve"> and post progression mortality data for nivolumab plus ipilimumab and estimated for pembrolizumab using time varying HRs. PFS mortality was estimated using age</w:t>
      </w:r>
      <w:r w:rsidR="009E5502">
        <w:noBreakHyphen/>
      </w:r>
      <w:r w:rsidRPr="008B02E0">
        <w:t>based general population mortality (Australian Bureau of Statistics life table 2021</w:t>
      </w:r>
      <w:r w:rsidR="009E5502">
        <w:noBreakHyphen/>
      </w:r>
      <w:r w:rsidRPr="008B02E0">
        <w:t xml:space="preserve">2023). A summary of how transitions were modelled is presented in </w:t>
      </w:r>
      <w:r w:rsidR="008258C7">
        <w:fldChar w:fldCharType="begin"/>
      </w:r>
      <w:r w:rsidR="008258C7">
        <w:instrText xml:space="preserve"> REF _Ref197800528 </w:instrText>
      </w:r>
      <w:r w:rsidR="008258C7">
        <w:fldChar w:fldCharType="separate"/>
      </w:r>
      <w:r w:rsidR="00B542C9" w:rsidRPr="008B02E0">
        <w:t xml:space="preserve">Table </w:t>
      </w:r>
      <w:r w:rsidR="00B542C9">
        <w:rPr>
          <w:noProof/>
        </w:rPr>
        <w:t>10</w:t>
      </w:r>
      <w:r w:rsidR="008258C7">
        <w:rPr>
          <w:noProof/>
        </w:rPr>
        <w:fldChar w:fldCharType="end"/>
      </w:r>
      <w:r w:rsidRPr="008B02E0">
        <w:t>.</w:t>
      </w:r>
    </w:p>
    <w:p w14:paraId="69F7207D" w14:textId="19BBAF86" w:rsidR="00EB6430" w:rsidRPr="008B02E0" w:rsidRDefault="00EB6430" w:rsidP="00AE5B32">
      <w:pPr>
        <w:pStyle w:val="TableFigureHeading"/>
      </w:pPr>
      <w:bookmarkStart w:id="80" w:name="_Ref197800528"/>
      <w:r w:rsidRPr="008B02E0">
        <w:t xml:space="preserve">Table </w:t>
      </w:r>
      <w:r w:rsidR="008258C7">
        <w:fldChar w:fldCharType="begin"/>
      </w:r>
      <w:r w:rsidR="008258C7">
        <w:instrText xml:space="preserve"> SEQ Table \* ARABIC </w:instrText>
      </w:r>
      <w:r w:rsidR="008258C7">
        <w:fldChar w:fldCharType="separate"/>
      </w:r>
      <w:r w:rsidR="00B542C9">
        <w:rPr>
          <w:noProof/>
        </w:rPr>
        <w:t>10</w:t>
      </w:r>
      <w:r w:rsidR="008258C7">
        <w:rPr>
          <w:noProof/>
        </w:rPr>
        <w:fldChar w:fldCharType="end"/>
      </w:r>
      <w:bookmarkEnd w:id="80"/>
      <w:r w:rsidRPr="008B02E0">
        <w:t>:</w:t>
      </w:r>
      <w:r w:rsidRPr="008B02E0">
        <w:rPr>
          <w:rStyle w:val="CommentReference"/>
          <w:b/>
          <w:szCs w:val="24"/>
        </w:rPr>
        <w:t xml:space="preserve"> </w:t>
      </w:r>
      <w:r w:rsidRPr="008B02E0">
        <w:t>Summary of how data is extrapolated and applied in the model</w:t>
      </w:r>
      <w:r w:rsidR="006F5215" w:rsidRPr="008B02E0">
        <w:t xml:space="preserve"> base case</w:t>
      </w:r>
    </w:p>
    <w:tbl>
      <w:tblPr>
        <w:tblStyle w:val="PBAClayout"/>
        <w:tblW w:w="0" w:type="auto"/>
        <w:tblLook w:val="04A0" w:firstRow="1" w:lastRow="0" w:firstColumn="1" w:lastColumn="0" w:noHBand="0" w:noVBand="1"/>
        <w:tblCaption w:val="Table 10: Summary of how data is extrapolated and applied in the model base case"/>
      </w:tblPr>
      <w:tblGrid>
        <w:gridCol w:w="1803"/>
        <w:gridCol w:w="2728"/>
        <w:gridCol w:w="1134"/>
        <w:gridCol w:w="1985"/>
        <w:gridCol w:w="1367"/>
      </w:tblGrid>
      <w:tr w:rsidR="00EB6430" w:rsidRPr="008B02E0" w14:paraId="71BC9AF2" w14:textId="77777777" w:rsidTr="00D17F3A">
        <w:tc>
          <w:tcPr>
            <w:tcW w:w="1803" w:type="dxa"/>
            <w:tcBorders>
              <w:top w:val="single" w:sz="4" w:space="0" w:color="auto"/>
              <w:left w:val="single" w:sz="4" w:space="0" w:color="auto"/>
              <w:bottom w:val="single" w:sz="4" w:space="0" w:color="auto"/>
              <w:right w:val="single" w:sz="4" w:space="0" w:color="auto"/>
            </w:tcBorders>
            <w:vAlign w:val="top"/>
            <w:hideMark/>
          </w:tcPr>
          <w:p w14:paraId="48A6431C" w14:textId="77777777" w:rsidR="00EB6430" w:rsidRPr="008B02E0" w:rsidRDefault="00EB6430" w:rsidP="00AE5B32">
            <w:pPr>
              <w:pStyle w:val="In-tableHeading"/>
              <w:rPr>
                <w:lang w:val="en-AU"/>
              </w:rPr>
            </w:pPr>
            <w:r w:rsidRPr="008B02E0">
              <w:rPr>
                <w:lang w:val="en-AU"/>
              </w:rPr>
              <w:t>Arm</w:t>
            </w:r>
          </w:p>
        </w:tc>
        <w:tc>
          <w:tcPr>
            <w:tcW w:w="2728" w:type="dxa"/>
            <w:tcBorders>
              <w:top w:val="single" w:sz="4" w:space="0" w:color="auto"/>
              <w:left w:val="single" w:sz="4" w:space="0" w:color="auto"/>
              <w:bottom w:val="single" w:sz="4" w:space="0" w:color="auto"/>
              <w:right w:val="single" w:sz="4" w:space="0" w:color="auto"/>
            </w:tcBorders>
            <w:vAlign w:val="top"/>
            <w:hideMark/>
          </w:tcPr>
          <w:p w14:paraId="2D6971FF" w14:textId="77777777" w:rsidR="00EB6430" w:rsidRPr="008B02E0" w:rsidRDefault="00EB6430" w:rsidP="00AE5B32">
            <w:pPr>
              <w:pStyle w:val="In-tableHeading"/>
              <w:rPr>
                <w:lang w:val="en-AU"/>
              </w:rPr>
            </w:pPr>
            <w:r w:rsidRPr="008B02E0">
              <w:rPr>
                <w:lang w:val="en-AU"/>
              </w:rPr>
              <w:t>PF to PD</w:t>
            </w:r>
          </w:p>
        </w:tc>
        <w:tc>
          <w:tcPr>
            <w:tcW w:w="1134" w:type="dxa"/>
            <w:tcBorders>
              <w:top w:val="single" w:sz="4" w:space="0" w:color="auto"/>
              <w:left w:val="single" w:sz="4" w:space="0" w:color="auto"/>
              <w:bottom w:val="single" w:sz="4" w:space="0" w:color="auto"/>
              <w:right w:val="single" w:sz="4" w:space="0" w:color="auto"/>
            </w:tcBorders>
            <w:vAlign w:val="top"/>
            <w:hideMark/>
          </w:tcPr>
          <w:p w14:paraId="414721E6" w14:textId="77777777" w:rsidR="00EB6430" w:rsidRPr="008B02E0" w:rsidRDefault="00EB6430" w:rsidP="00AE5B32">
            <w:pPr>
              <w:pStyle w:val="In-tableHeading"/>
              <w:rPr>
                <w:lang w:val="en-AU"/>
              </w:rPr>
            </w:pPr>
            <w:r w:rsidRPr="008B02E0">
              <w:rPr>
                <w:lang w:val="en-AU"/>
              </w:rPr>
              <w:t>PF to death</w:t>
            </w:r>
          </w:p>
        </w:tc>
        <w:tc>
          <w:tcPr>
            <w:tcW w:w="1985" w:type="dxa"/>
            <w:tcBorders>
              <w:top w:val="single" w:sz="4" w:space="0" w:color="auto"/>
              <w:left w:val="single" w:sz="4" w:space="0" w:color="auto"/>
              <w:bottom w:val="single" w:sz="4" w:space="0" w:color="auto"/>
              <w:right w:val="single" w:sz="4" w:space="0" w:color="auto"/>
            </w:tcBorders>
            <w:vAlign w:val="top"/>
            <w:hideMark/>
          </w:tcPr>
          <w:p w14:paraId="60EC3B5C" w14:textId="77777777" w:rsidR="00EB6430" w:rsidRPr="008B02E0" w:rsidRDefault="00EB6430" w:rsidP="00AE5B32">
            <w:pPr>
              <w:pStyle w:val="In-tableHeading"/>
              <w:rPr>
                <w:lang w:val="en-AU"/>
              </w:rPr>
            </w:pPr>
            <w:r w:rsidRPr="008B02E0">
              <w:rPr>
                <w:lang w:val="en-AU"/>
              </w:rPr>
              <w:t>PD to death</w:t>
            </w:r>
          </w:p>
        </w:tc>
        <w:tc>
          <w:tcPr>
            <w:tcW w:w="1367" w:type="dxa"/>
            <w:tcBorders>
              <w:top w:val="single" w:sz="4" w:space="0" w:color="auto"/>
              <w:left w:val="single" w:sz="4" w:space="0" w:color="auto"/>
              <w:bottom w:val="single" w:sz="4" w:space="0" w:color="auto"/>
              <w:right w:val="single" w:sz="4" w:space="0" w:color="auto"/>
            </w:tcBorders>
            <w:vAlign w:val="top"/>
            <w:hideMark/>
          </w:tcPr>
          <w:p w14:paraId="61AE2B36" w14:textId="77777777" w:rsidR="00EB6430" w:rsidRPr="008B02E0" w:rsidRDefault="00EB6430" w:rsidP="00AE5B32">
            <w:pPr>
              <w:pStyle w:val="In-tableHeading"/>
              <w:rPr>
                <w:lang w:val="en-AU"/>
              </w:rPr>
            </w:pPr>
            <w:r w:rsidRPr="008B02E0">
              <w:rPr>
                <w:lang w:val="en-AU"/>
              </w:rPr>
              <w:t>TTD</w:t>
            </w:r>
          </w:p>
        </w:tc>
      </w:tr>
      <w:tr w:rsidR="00EB6430" w:rsidRPr="008B02E0" w14:paraId="254C483D" w14:textId="77777777" w:rsidTr="00D17F3A">
        <w:tc>
          <w:tcPr>
            <w:tcW w:w="1803" w:type="dxa"/>
            <w:tcBorders>
              <w:top w:val="single" w:sz="4" w:space="0" w:color="auto"/>
              <w:left w:val="single" w:sz="4" w:space="0" w:color="auto"/>
              <w:bottom w:val="single" w:sz="4" w:space="0" w:color="auto"/>
              <w:right w:val="single" w:sz="4" w:space="0" w:color="auto"/>
            </w:tcBorders>
            <w:vAlign w:val="top"/>
            <w:hideMark/>
          </w:tcPr>
          <w:p w14:paraId="6B911811" w14:textId="77777777" w:rsidR="00EB6430" w:rsidRPr="008B02E0" w:rsidRDefault="00EB6430" w:rsidP="00AE5B32">
            <w:pPr>
              <w:pStyle w:val="TableText0"/>
            </w:pPr>
            <w:r w:rsidRPr="008B02E0">
              <w:t>NIVO+IPI</w:t>
            </w:r>
          </w:p>
        </w:tc>
        <w:tc>
          <w:tcPr>
            <w:tcW w:w="2728" w:type="dxa"/>
            <w:tcBorders>
              <w:top w:val="single" w:sz="4" w:space="0" w:color="auto"/>
              <w:left w:val="single" w:sz="4" w:space="0" w:color="auto"/>
              <w:bottom w:val="single" w:sz="4" w:space="0" w:color="auto"/>
              <w:right w:val="single" w:sz="4" w:space="0" w:color="auto"/>
            </w:tcBorders>
            <w:vAlign w:val="top"/>
            <w:hideMark/>
          </w:tcPr>
          <w:p w14:paraId="38554295" w14:textId="17C77A54" w:rsidR="00EB6430" w:rsidRPr="008B02E0" w:rsidRDefault="00EB6430" w:rsidP="00AE5B32">
            <w:pPr>
              <w:pStyle w:val="TableText0"/>
            </w:pPr>
            <w:r w:rsidRPr="008B02E0">
              <w:t>Generalised gamma extrapolation of TTP from CM</w:t>
            </w:r>
            <w:r w:rsidR="009E5502">
              <w:noBreakHyphen/>
            </w:r>
            <w:r w:rsidRPr="008B02E0">
              <w:t>8HW 1L (unweighted) from Time 0.</w:t>
            </w:r>
          </w:p>
        </w:tc>
        <w:tc>
          <w:tcPr>
            <w:tcW w:w="1134" w:type="dxa"/>
            <w:tcBorders>
              <w:top w:val="single" w:sz="4" w:space="0" w:color="auto"/>
              <w:left w:val="single" w:sz="4" w:space="0" w:color="auto"/>
              <w:bottom w:val="single" w:sz="4" w:space="0" w:color="auto"/>
              <w:right w:val="single" w:sz="4" w:space="0" w:color="auto"/>
            </w:tcBorders>
            <w:vAlign w:val="top"/>
            <w:hideMark/>
          </w:tcPr>
          <w:p w14:paraId="39E81217" w14:textId="77777777" w:rsidR="00EB6430" w:rsidRPr="008B02E0" w:rsidRDefault="00EB6430" w:rsidP="00AE5B32">
            <w:pPr>
              <w:pStyle w:val="TableText0"/>
            </w:pPr>
            <w:r w:rsidRPr="008B02E0">
              <w:t>General population mortality.</w:t>
            </w:r>
          </w:p>
        </w:tc>
        <w:tc>
          <w:tcPr>
            <w:tcW w:w="1985" w:type="dxa"/>
            <w:tcBorders>
              <w:top w:val="single" w:sz="4" w:space="0" w:color="auto"/>
              <w:left w:val="single" w:sz="4" w:space="0" w:color="auto"/>
              <w:bottom w:val="single" w:sz="4" w:space="0" w:color="auto"/>
              <w:right w:val="single" w:sz="4" w:space="0" w:color="auto"/>
            </w:tcBorders>
            <w:vAlign w:val="top"/>
            <w:hideMark/>
          </w:tcPr>
          <w:p w14:paraId="170ACC88" w14:textId="2A95D4B3" w:rsidR="00EB6430" w:rsidRPr="008B02E0" w:rsidRDefault="00EB6430" w:rsidP="00AE5B32">
            <w:pPr>
              <w:pStyle w:val="TableText0"/>
            </w:pPr>
            <w:r w:rsidRPr="008B02E0">
              <w:t>Time from progression to death from CM</w:t>
            </w:r>
            <w:r w:rsidR="009E5502">
              <w:noBreakHyphen/>
            </w:r>
            <w:r w:rsidRPr="008B02E0">
              <w:t>142. Cohort 2 and 3 combined (NIVO+IPI any line).</w:t>
            </w:r>
          </w:p>
        </w:tc>
        <w:tc>
          <w:tcPr>
            <w:tcW w:w="1367" w:type="dxa"/>
            <w:tcBorders>
              <w:top w:val="single" w:sz="4" w:space="0" w:color="auto"/>
              <w:left w:val="single" w:sz="4" w:space="0" w:color="auto"/>
              <w:bottom w:val="single" w:sz="4" w:space="0" w:color="auto"/>
              <w:right w:val="single" w:sz="4" w:space="0" w:color="auto"/>
            </w:tcBorders>
            <w:vAlign w:val="top"/>
            <w:hideMark/>
          </w:tcPr>
          <w:p w14:paraId="14553E86" w14:textId="101FA1AF" w:rsidR="00EB6430" w:rsidRPr="008B02E0" w:rsidRDefault="00EB6430" w:rsidP="00AE5B32">
            <w:pPr>
              <w:pStyle w:val="TableText0"/>
            </w:pPr>
            <w:r w:rsidRPr="008B02E0">
              <w:t>KM data from CM</w:t>
            </w:r>
            <w:r w:rsidR="009E5502">
              <w:noBreakHyphen/>
            </w:r>
            <w:r w:rsidRPr="008B02E0">
              <w:t>8HW to maximum 2 years</w:t>
            </w:r>
          </w:p>
        </w:tc>
      </w:tr>
      <w:tr w:rsidR="00EB6430" w:rsidRPr="008B02E0" w14:paraId="31491448" w14:textId="77777777" w:rsidTr="00D17F3A">
        <w:tc>
          <w:tcPr>
            <w:tcW w:w="1803" w:type="dxa"/>
            <w:tcBorders>
              <w:top w:val="single" w:sz="4" w:space="0" w:color="auto"/>
              <w:left w:val="single" w:sz="4" w:space="0" w:color="auto"/>
              <w:bottom w:val="single" w:sz="4" w:space="0" w:color="auto"/>
              <w:right w:val="single" w:sz="4" w:space="0" w:color="auto"/>
            </w:tcBorders>
            <w:vAlign w:val="top"/>
            <w:hideMark/>
          </w:tcPr>
          <w:p w14:paraId="7A7C106B" w14:textId="77777777" w:rsidR="00EB6430" w:rsidRPr="008B02E0" w:rsidRDefault="00EB6430" w:rsidP="00AE5B32">
            <w:pPr>
              <w:pStyle w:val="TableText0"/>
            </w:pPr>
            <w:r w:rsidRPr="008B02E0">
              <w:t>Pembrolizumab</w:t>
            </w:r>
          </w:p>
        </w:tc>
        <w:tc>
          <w:tcPr>
            <w:tcW w:w="2728" w:type="dxa"/>
            <w:tcBorders>
              <w:top w:val="single" w:sz="4" w:space="0" w:color="auto"/>
              <w:left w:val="single" w:sz="4" w:space="0" w:color="auto"/>
              <w:bottom w:val="single" w:sz="4" w:space="0" w:color="auto"/>
              <w:right w:val="single" w:sz="4" w:space="0" w:color="auto"/>
            </w:tcBorders>
            <w:vAlign w:val="top"/>
            <w:hideMark/>
          </w:tcPr>
          <w:p w14:paraId="048EC4EC" w14:textId="77777777" w:rsidR="00EB6430" w:rsidRPr="008B02E0" w:rsidRDefault="00EB6430" w:rsidP="00AE5B32">
            <w:pPr>
              <w:pStyle w:val="TableText0"/>
            </w:pPr>
            <w:r w:rsidRPr="008B02E0">
              <w:t>Time varying HRs applied to NIVO+IPI arm.</w:t>
            </w:r>
          </w:p>
          <w:p w14:paraId="74254283" w14:textId="3A75C479" w:rsidR="00EB6430" w:rsidRPr="008B02E0" w:rsidRDefault="00EB6430" w:rsidP="00AE5B32">
            <w:pPr>
              <w:pStyle w:val="TableText0"/>
            </w:pPr>
            <w:r w:rsidRPr="008B02E0">
              <w:t>HRs based on comparison, i.e., generalised gamma extrapolations of TTP from CM</w:t>
            </w:r>
            <w:r w:rsidR="009E5502">
              <w:noBreakHyphen/>
            </w:r>
            <w:r w:rsidRPr="008B02E0">
              <w:t>8HW 1L weighted for unanchored MAIC, compared to PFS from KN</w:t>
            </w:r>
            <w:r w:rsidR="009E5502">
              <w:noBreakHyphen/>
            </w:r>
            <w:r w:rsidRPr="008B02E0">
              <w:t>177.</w:t>
            </w:r>
          </w:p>
        </w:tc>
        <w:tc>
          <w:tcPr>
            <w:tcW w:w="1134" w:type="dxa"/>
            <w:tcBorders>
              <w:top w:val="single" w:sz="4" w:space="0" w:color="auto"/>
              <w:left w:val="single" w:sz="4" w:space="0" w:color="auto"/>
              <w:bottom w:val="single" w:sz="4" w:space="0" w:color="auto"/>
              <w:right w:val="single" w:sz="4" w:space="0" w:color="auto"/>
            </w:tcBorders>
            <w:vAlign w:val="top"/>
            <w:hideMark/>
          </w:tcPr>
          <w:p w14:paraId="54757EF2" w14:textId="77777777" w:rsidR="00EB6430" w:rsidRPr="008B02E0" w:rsidRDefault="00EB6430" w:rsidP="00AE5B32">
            <w:pPr>
              <w:pStyle w:val="TableText0"/>
            </w:pPr>
            <w:r w:rsidRPr="008B02E0">
              <w:t>General population mortality.</w:t>
            </w:r>
          </w:p>
        </w:tc>
        <w:tc>
          <w:tcPr>
            <w:tcW w:w="1985" w:type="dxa"/>
            <w:tcBorders>
              <w:top w:val="single" w:sz="4" w:space="0" w:color="auto"/>
              <w:left w:val="single" w:sz="4" w:space="0" w:color="auto"/>
              <w:bottom w:val="single" w:sz="4" w:space="0" w:color="auto"/>
              <w:right w:val="single" w:sz="4" w:space="0" w:color="auto"/>
            </w:tcBorders>
            <w:vAlign w:val="top"/>
            <w:hideMark/>
          </w:tcPr>
          <w:p w14:paraId="3A93DE5C" w14:textId="218925EA" w:rsidR="00EB6430" w:rsidRPr="008B02E0" w:rsidRDefault="00EB6430" w:rsidP="00AE5B32">
            <w:pPr>
              <w:pStyle w:val="TableText0"/>
            </w:pPr>
            <w:r w:rsidRPr="008B02E0">
              <w:t>Time from progression to death from CM</w:t>
            </w:r>
            <w:r w:rsidR="009E5502">
              <w:noBreakHyphen/>
            </w:r>
            <w:r w:rsidRPr="008B02E0">
              <w:t>142. Cohort 2 and 3 combined (NIVO+IPI any line).</w:t>
            </w:r>
          </w:p>
        </w:tc>
        <w:tc>
          <w:tcPr>
            <w:tcW w:w="1367" w:type="dxa"/>
            <w:tcBorders>
              <w:top w:val="single" w:sz="4" w:space="0" w:color="auto"/>
              <w:left w:val="single" w:sz="4" w:space="0" w:color="auto"/>
              <w:bottom w:val="single" w:sz="4" w:space="0" w:color="auto"/>
              <w:right w:val="single" w:sz="4" w:space="0" w:color="auto"/>
            </w:tcBorders>
            <w:vAlign w:val="top"/>
            <w:hideMark/>
          </w:tcPr>
          <w:p w14:paraId="55C63E18" w14:textId="77777777" w:rsidR="00EB6430" w:rsidRPr="008B02E0" w:rsidRDefault="00EB6430" w:rsidP="00AE5B32">
            <w:pPr>
              <w:pStyle w:val="TableText0"/>
            </w:pPr>
            <w:r w:rsidRPr="008B02E0">
              <w:t>PFS to maximum 2 years</w:t>
            </w:r>
          </w:p>
        </w:tc>
      </w:tr>
    </w:tbl>
    <w:p w14:paraId="5B9BE7C5" w14:textId="45C3E2DC" w:rsidR="00EB6430" w:rsidRPr="008B02E0" w:rsidRDefault="00EB6430" w:rsidP="00AE5B32">
      <w:pPr>
        <w:pStyle w:val="TableFigureFooter"/>
      </w:pPr>
      <w:r w:rsidRPr="008B02E0">
        <w:t>Source: compiled during the evaluation from Section 3.4.1.3 to 3.4.1.5, pp126</w:t>
      </w:r>
      <w:r w:rsidR="009E5502">
        <w:noBreakHyphen/>
      </w:r>
      <w:r w:rsidRPr="008B02E0">
        <w:t>138 of the submission</w:t>
      </w:r>
    </w:p>
    <w:p w14:paraId="071753B3" w14:textId="4CA070CF" w:rsidR="00EB6430" w:rsidRPr="008B02E0" w:rsidRDefault="00EB6430" w:rsidP="00AE5B32">
      <w:pPr>
        <w:pStyle w:val="TableFigureFooter"/>
      </w:pPr>
      <w:r w:rsidRPr="008B02E0">
        <w:t>HR=hazard ratio, TTP=time to progression (PF to PD), PF=progression free, PD=progressed diseased, TTD=time to treatment discontinuation, NIVO=nivolumab, IPI=ipilimumab, PFS=progression free survival, KM=Kaplan</w:t>
      </w:r>
      <w:r w:rsidR="009E5502">
        <w:noBreakHyphen/>
      </w:r>
      <w:r w:rsidRPr="008B02E0">
        <w:t>Meier, MAIC=matching adjusted indirect comparison</w:t>
      </w:r>
    </w:p>
    <w:p w14:paraId="39C8999A" w14:textId="0E80B5B8" w:rsidR="004A1396" w:rsidRPr="008B02E0" w:rsidRDefault="00EB6430" w:rsidP="00AE5B32">
      <w:pPr>
        <w:pStyle w:val="3-BodyText"/>
        <w:rPr>
          <w:rFonts w:ascii="Calibri" w:hAnsi="Calibri" w:cs="Times New Roman"/>
          <w:lang w:eastAsia="en-GB"/>
        </w:rPr>
      </w:pPr>
      <w:r w:rsidRPr="008B02E0">
        <w:t>TTP and post</w:t>
      </w:r>
      <w:r w:rsidR="009E5502">
        <w:noBreakHyphen/>
      </w:r>
      <w:r w:rsidRPr="008B02E0">
        <w:t>progression mortality extrapolations were based on IPD from the nivolumab plus ipilimumab arms of CM</w:t>
      </w:r>
      <w:r w:rsidR="009E5502">
        <w:noBreakHyphen/>
      </w:r>
      <w:r w:rsidRPr="008B02E0">
        <w:t>8HW 1L and CM</w:t>
      </w:r>
      <w:r w:rsidR="009E5502">
        <w:noBreakHyphen/>
      </w:r>
      <w:r w:rsidRPr="008B02E0">
        <w:t>142</w:t>
      </w:r>
      <w:r w:rsidR="002E6A83" w:rsidRPr="008B02E0">
        <w:t>, respectively</w:t>
      </w:r>
      <w:r w:rsidRPr="008B02E0">
        <w:t xml:space="preserve">. </w:t>
      </w:r>
    </w:p>
    <w:p w14:paraId="24F2B96B" w14:textId="1341AB14" w:rsidR="00EB6430" w:rsidRPr="008B02E0" w:rsidRDefault="00EB6430" w:rsidP="00AE5B32">
      <w:pPr>
        <w:pStyle w:val="3-BodyText"/>
        <w:rPr>
          <w:rFonts w:ascii="Calibri" w:hAnsi="Calibri" w:cs="Times New Roman"/>
          <w:lang w:eastAsia="en-GB"/>
        </w:rPr>
      </w:pPr>
      <w:r w:rsidRPr="008B02E0">
        <w:t xml:space="preserve">Parametric survival curves (generalised gamma, </w:t>
      </w:r>
      <w:r w:rsidRPr="008B02E0">
        <w:rPr>
          <w:rFonts w:cs="Times New Roman"/>
          <w:lang w:eastAsia="en-GB"/>
        </w:rPr>
        <w:t>exponential, Weibull, log</w:t>
      </w:r>
      <w:r w:rsidR="009E5502">
        <w:rPr>
          <w:rFonts w:cs="Times New Roman"/>
          <w:lang w:eastAsia="en-GB"/>
        </w:rPr>
        <w:noBreakHyphen/>
      </w:r>
      <w:r w:rsidRPr="008B02E0">
        <w:rPr>
          <w:rFonts w:cs="Times New Roman"/>
          <w:lang w:eastAsia="en-GB"/>
        </w:rPr>
        <w:t>logistic, log</w:t>
      </w:r>
      <w:r w:rsidR="009E5502">
        <w:rPr>
          <w:rFonts w:cs="Times New Roman"/>
          <w:lang w:eastAsia="en-GB"/>
        </w:rPr>
        <w:noBreakHyphen/>
      </w:r>
      <w:r w:rsidRPr="008B02E0">
        <w:rPr>
          <w:rFonts w:cs="Times New Roman"/>
          <w:lang w:eastAsia="en-GB"/>
        </w:rPr>
        <w:t xml:space="preserve">normal, Gompertz and gamma) were fitted to: </w:t>
      </w:r>
    </w:p>
    <w:p w14:paraId="0EC00AFA" w14:textId="78EF64DD" w:rsidR="00EB6430" w:rsidRPr="008B02E0" w:rsidRDefault="00EB6430" w:rsidP="00AE5B32">
      <w:pPr>
        <w:pStyle w:val="ListParagraph"/>
        <w:numPr>
          <w:ilvl w:val="0"/>
          <w:numId w:val="11"/>
        </w:numPr>
        <w:snapToGrid w:val="0"/>
        <w:ind w:left="1134"/>
      </w:pPr>
      <w:r w:rsidRPr="008B02E0">
        <w:t>TTP data (from CM</w:t>
      </w:r>
      <w:r w:rsidR="009E5502">
        <w:noBreakHyphen/>
      </w:r>
      <w:r w:rsidRPr="008B02E0">
        <w:t>8HW 1L unweighted</w:t>
      </w:r>
      <w:r w:rsidR="0071061E" w:rsidRPr="008B02E0">
        <w:t>,</w:t>
      </w:r>
      <w:r w:rsidRPr="008B02E0">
        <w:t xml:space="preserve"> and weighted to KN</w:t>
      </w:r>
      <w:r w:rsidR="009E5502">
        <w:noBreakHyphen/>
      </w:r>
      <w:r w:rsidRPr="008B02E0">
        <w:t>177)</w:t>
      </w:r>
      <w:r w:rsidR="00B968F8" w:rsidRPr="008B02E0">
        <w:t>;</w:t>
      </w:r>
      <w:r w:rsidRPr="008B02E0">
        <w:t xml:space="preserve"> and </w:t>
      </w:r>
    </w:p>
    <w:p w14:paraId="7871C8C5" w14:textId="6AB9FA32" w:rsidR="00EB6430" w:rsidRPr="008B02E0" w:rsidRDefault="00EB6430" w:rsidP="00AE5B32">
      <w:pPr>
        <w:pStyle w:val="ListParagraph"/>
        <w:numPr>
          <w:ilvl w:val="0"/>
          <w:numId w:val="11"/>
        </w:numPr>
        <w:snapToGrid w:val="0"/>
        <w:ind w:left="1134"/>
      </w:pPr>
      <w:r w:rsidRPr="008B02E0">
        <w:t>Post</w:t>
      </w:r>
      <w:r w:rsidR="009E5502">
        <w:noBreakHyphen/>
      </w:r>
      <w:r w:rsidRPr="008B02E0">
        <w:t>progression survival (using data from CM</w:t>
      </w:r>
      <w:r w:rsidR="009E5502">
        <w:noBreakHyphen/>
      </w:r>
      <w:r w:rsidRPr="008B02E0">
        <w:t xml:space="preserve">142 Cohorts 2 and 3, i.e., 1L+ population). </w:t>
      </w:r>
      <w:r w:rsidRPr="008B02E0">
        <w:rPr>
          <w:iCs/>
        </w:rPr>
        <w:t>Only extrapolations for the unweighted CM</w:t>
      </w:r>
      <w:r w:rsidR="009E5502">
        <w:rPr>
          <w:iCs/>
        </w:rPr>
        <w:noBreakHyphen/>
      </w:r>
      <w:r w:rsidRPr="008B02E0">
        <w:rPr>
          <w:iCs/>
        </w:rPr>
        <w:t xml:space="preserve">8HW 1L TTP data were presented in the </w:t>
      </w:r>
      <w:r w:rsidR="006F79F5" w:rsidRPr="008B02E0">
        <w:rPr>
          <w:iCs/>
        </w:rPr>
        <w:t>submission</w:t>
      </w:r>
      <w:r w:rsidRPr="008B02E0">
        <w:rPr>
          <w:iCs/>
        </w:rPr>
        <w:t>. Editable versions of the alternative extrapolations for the weighted CM</w:t>
      </w:r>
      <w:r w:rsidR="009E5502">
        <w:rPr>
          <w:iCs/>
        </w:rPr>
        <w:noBreakHyphen/>
      </w:r>
      <w:r w:rsidRPr="008B02E0">
        <w:rPr>
          <w:iCs/>
        </w:rPr>
        <w:t>8HW 1L TTP data were not presented in the submission and therefore it was not possible to construct all possible extrapolations for CM</w:t>
      </w:r>
      <w:r w:rsidR="009E5502">
        <w:rPr>
          <w:iCs/>
        </w:rPr>
        <w:noBreakHyphen/>
      </w:r>
      <w:r w:rsidRPr="008B02E0">
        <w:rPr>
          <w:iCs/>
        </w:rPr>
        <w:t>8HW 1L TTP data weighted to KN</w:t>
      </w:r>
      <w:r w:rsidR="009E5502">
        <w:rPr>
          <w:iCs/>
        </w:rPr>
        <w:noBreakHyphen/>
      </w:r>
      <w:r w:rsidRPr="008B02E0">
        <w:rPr>
          <w:iCs/>
        </w:rPr>
        <w:t>177</w:t>
      </w:r>
      <w:r w:rsidR="00534554" w:rsidRPr="008B02E0">
        <w:rPr>
          <w:iCs/>
        </w:rPr>
        <w:t xml:space="preserve"> </w:t>
      </w:r>
      <w:r w:rsidR="00534554" w:rsidRPr="008B02E0">
        <w:t>during the evaluation</w:t>
      </w:r>
      <w:r w:rsidRPr="008B02E0">
        <w:t>.</w:t>
      </w:r>
    </w:p>
    <w:p w14:paraId="4030375C" w14:textId="6489971B" w:rsidR="00EB6430" w:rsidRPr="008B02E0" w:rsidRDefault="00EB6430" w:rsidP="00AE5B32">
      <w:pPr>
        <w:pStyle w:val="3-BodyText"/>
      </w:pPr>
      <w:r w:rsidRPr="008B02E0">
        <w:t xml:space="preserve">The extrapolations are presented in </w:t>
      </w:r>
      <w:r w:rsidR="008258C7">
        <w:fldChar w:fldCharType="begin"/>
      </w:r>
      <w:r w:rsidR="008258C7">
        <w:instrText xml:space="preserve"> REF _Ref197801208 </w:instrText>
      </w:r>
      <w:r w:rsidR="008258C7">
        <w:fldChar w:fldCharType="separate"/>
      </w:r>
      <w:r w:rsidR="00B542C9" w:rsidRPr="008B02E0">
        <w:t xml:space="preserve">Figure </w:t>
      </w:r>
      <w:r w:rsidR="00B542C9">
        <w:rPr>
          <w:noProof/>
        </w:rPr>
        <w:t>7</w:t>
      </w:r>
      <w:r w:rsidR="008258C7">
        <w:rPr>
          <w:noProof/>
        </w:rPr>
        <w:fldChar w:fldCharType="end"/>
      </w:r>
      <w:r w:rsidRPr="008B02E0">
        <w:t xml:space="preserve">.  </w:t>
      </w:r>
    </w:p>
    <w:p w14:paraId="14C89FC3" w14:textId="0AF6150E" w:rsidR="00EB6430" w:rsidRPr="008B02E0" w:rsidRDefault="00EB6430" w:rsidP="00AE5B32">
      <w:pPr>
        <w:pStyle w:val="TableFigureHeading"/>
      </w:pPr>
      <w:bookmarkStart w:id="81" w:name="_Ref197801208"/>
      <w:r w:rsidRPr="008B02E0">
        <w:lastRenderedPageBreak/>
        <w:t xml:space="preserve">Figure </w:t>
      </w:r>
      <w:r w:rsidR="008258C7">
        <w:fldChar w:fldCharType="begin"/>
      </w:r>
      <w:r w:rsidR="008258C7">
        <w:instrText xml:space="preserve"> SEQ Figure \* ARABIC </w:instrText>
      </w:r>
      <w:r w:rsidR="008258C7">
        <w:fldChar w:fldCharType="separate"/>
      </w:r>
      <w:r w:rsidR="00B542C9">
        <w:rPr>
          <w:noProof/>
        </w:rPr>
        <w:t>7</w:t>
      </w:r>
      <w:r w:rsidR="008258C7">
        <w:rPr>
          <w:noProof/>
        </w:rPr>
        <w:fldChar w:fldCharType="end"/>
      </w:r>
      <w:bookmarkEnd w:id="81"/>
      <w:r w:rsidRPr="008B02E0">
        <w:t>: KM data and extrapolations presented in the economic 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B6430" w:rsidRPr="008B02E0" w14:paraId="1A1D510E" w14:textId="77777777" w:rsidTr="00D17F3A">
        <w:tc>
          <w:tcPr>
            <w:tcW w:w="4513" w:type="dxa"/>
            <w:vAlign w:val="center"/>
          </w:tcPr>
          <w:p w14:paraId="6FA5BF6C" w14:textId="17F284B3" w:rsidR="00EB6430" w:rsidRPr="008B02E0" w:rsidRDefault="00EB6430" w:rsidP="00AE5B32">
            <w:pPr>
              <w:pStyle w:val="In-tableHeading"/>
              <w:jc w:val="center"/>
              <w:rPr>
                <w:vertAlign w:val="superscript"/>
                <w:lang w:val="en-AU"/>
              </w:rPr>
            </w:pPr>
            <w:r w:rsidRPr="008B02E0">
              <w:rPr>
                <w:lang w:val="en-AU"/>
              </w:rPr>
              <w:t>PF to PD, CM</w:t>
            </w:r>
            <w:r w:rsidR="009E5502">
              <w:rPr>
                <w:lang w:val="en-AU"/>
              </w:rPr>
              <w:noBreakHyphen/>
            </w:r>
            <w:r w:rsidRPr="008B02E0">
              <w:rPr>
                <w:lang w:val="en-AU"/>
              </w:rPr>
              <w:t>8HW 1L (unweighted)</w:t>
            </w:r>
            <w:r w:rsidRPr="008B02E0">
              <w:rPr>
                <w:vertAlign w:val="superscript"/>
                <w:lang w:val="en-AU"/>
              </w:rPr>
              <w:t>a</w:t>
            </w:r>
          </w:p>
          <w:p w14:paraId="44AD8C4B" w14:textId="77777777" w:rsidR="00EB6430" w:rsidRPr="008B02E0" w:rsidRDefault="00EB6430" w:rsidP="00AE5B32">
            <w:pPr>
              <w:pStyle w:val="In-tableHeading"/>
              <w:jc w:val="center"/>
              <w:rPr>
                <w:noProof/>
                <w:lang w:val="en-AU"/>
              </w:rPr>
            </w:pPr>
            <w:r w:rsidRPr="008B02E0">
              <w:rPr>
                <w:noProof/>
                <w:lang w:val="en-AU"/>
              </w:rPr>
              <w:t>NIVO+IPI</w:t>
            </w:r>
          </w:p>
        </w:tc>
        <w:tc>
          <w:tcPr>
            <w:tcW w:w="4514" w:type="dxa"/>
            <w:vAlign w:val="center"/>
          </w:tcPr>
          <w:p w14:paraId="50EBEF0A" w14:textId="2CC466F3" w:rsidR="00EB6430" w:rsidRPr="008B02E0" w:rsidRDefault="00EB6430" w:rsidP="00AE5B32">
            <w:pPr>
              <w:pStyle w:val="In-tableHeading"/>
              <w:jc w:val="center"/>
              <w:rPr>
                <w:vertAlign w:val="superscript"/>
                <w:lang w:val="en-AU"/>
              </w:rPr>
            </w:pPr>
            <w:r w:rsidRPr="008B02E0">
              <w:rPr>
                <w:lang w:val="en-AU"/>
              </w:rPr>
              <w:t>PD to death, CM</w:t>
            </w:r>
            <w:r w:rsidR="009E5502">
              <w:rPr>
                <w:lang w:val="en-AU"/>
              </w:rPr>
              <w:noBreakHyphen/>
            </w:r>
            <w:r w:rsidRPr="008B02E0">
              <w:rPr>
                <w:lang w:val="en-AU"/>
              </w:rPr>
              <w:t>142 Cohort 2 and 3</w:t>
            </w:r>
            <w:r w:rsidRPr="008B02E0">
              <w:rPr>
                <w:vertAlign w:val="superscript"/>
                <w:lang w:val="en-AU"/>
              </w:rPr>
              <w:t>b</w:t>
            </w:r>
          </w:p>
          <w:p w14:paraId="063E2BA7" w14:textId="77777777" w:rsidR="00EB6430" w:rsidRPr="008B02E0" w:rsidRDefault="00EB6430" w:rsidP="00AE5B32">
            <w:pPr>
              <w:pStyle w:val="In-tableHeading"/>
              <w:jc w:val="center"/>
              <w:rPr>
                <w:noProof/>
                <w:lang w:val="en-AU"/>
              </w:rPr>
            </w:pPr>
            <w:r w:rsidRPr="008B02E0">
              <w:rPr>
                <w:noProof/>
                <w:lang w:val="en-AU"/>
              </w:rPr>
              <w:t>NIVO+IPI</w:t>
            </w:r>
          </w:p>
        </w:tc>
      </w:tr>
      <w:tr w:rsidR="00EB6430" w:rsidRPr="008B02E0" w14:paraId="17B20B80" w14:textId="77777777" w:rsidTr="00D17F3A">
        <w:tc>
          <w:tcPr>
            <w:tcW w:w="4513" w:type="dxa"/>
            <w:vAlign w:val="center"/>
          </w:tcPr>
          <w:p w14:paraId="71BB4014" w14:textId="77777777" w:rsidR="00EB6430" w:rsidRPr="008B02E0" w:rsidRDefault="00EB6430" w:rsidP="00AE5B32">
            <w:pPr>
              <w:pStyle w:val="In-tableHeading"/>
              <w:jc w:val="center"/>
              <w:rPr>
                <w:noProof/>
                <w:lang w:val="en-AU"/>
              </w:rPr>
            </w:pPr>
            <w:r w:rsidRPr="008B02E0">
              <w:rPr>
                <w:noProof/>
                <w:lang w:val="en-AU"/>
              </w:rPr>
              <w:drawing>
                <wp:inline distT="0" distB="0" distL="0" distR="0" wp14:anchorId="19476A00" wp14:editId="6B6FCD58">
                  <wp:extent cx="2790000" cy="1819640"/>
                  <wp:effectExtent l="0" t="0" r="0" b="9525"/>
                  <wp:docPr id="55" name="Picture 55" descr="Figure 7: KM data and extrapolations presented in the economic evaluation - PF to 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7: KM data and extrapolations presented in the economic evaluation - PF to P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0000" cy="1819640"/>
                          </a:xfrm>
                          <a:prstGeom prst="rect">
                            <a:avLst/>
                          </a:prstGeom>
                          <a:noFill/>
                        </pic:spPr>
                      </pic:pic>
                    </a:graphicData>
                  </a:graphic>
                </wp:inline>
              </w:drawing>
            </w:r>
          </w:p>
        </w:tc>
        <w:tc>
          <w:tcPr>
            <w:tcW w:w="4514" w:type="dxa"/>
            <w:vAlign w:val="center"/>
          </w:tcPr>
          <w:p w14:paraId="37962FBC" w14:textId="77777777" w:rsidR="00EB6430" w:rsidRPr="008B02E0" w:rsidRDefault="00EB6430" w:rsidP="00AE5B32">
            <w:pPr>
              <w:pStyle w:val="In-tableHeading"/>
              <w:jc w:val="center"/>
              <w:rPr>
                <w:noProof/>
                <w:lang w:val="en-AU"/>
              </w:rPr>
            </w:pPr>
            <w:r w:rsidRPr="008B02E0">
              <w:rPr>
                <w:noProof/>
                <w:lang w:val="en-AU"/>
              </w:rPr>
              <w:drawing>
                <wp:inline distT="0" distB="0" distL="0" distR="0" wp14:anchorId="7DFAC8F1" wp14:editId="15CA377B">
                  <wp:extent cx="2790000" cy="1819640"/>
                  <wp:effectExtent l="0" t="0" r="0" b="9525"/>
                  <wp:docPr id="56" name="Picture 56" descr="Figure 7: KM data and extrapolations presented in the economic evaluation - PD to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7: KM data and extrapolations presented in the economic evaluation - PD to deat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000" cy="1819640"/>
                          </a:xfrm>
                          <a:prstGeom prst="rect">
                            <a:avLst/>
                          </a:prstGeom>
                          <a:noFill/>
                        </pic:spPr>
                      </pic:pic>
                    </a:graphicData>
                  </a:graphic>
                </wp:inline>
              </w:drawing>
            </w:r>
          </w:p>
        </w:tc>
      </w:tr>
    </w:tbl>
    <w:p w14:paraId="246FFCED" w14:textId="77777777" w:rsidR="00EB6430" w:rsidRPr="008B02E0" w:rsidRDefault="00EB6430" w:rsidP="00AE5B32">
      <w:pPr>
        <w:pStyle w:val="TableFigureFooter"/>
      </w:pPr>
      <w:r w:rsidRPr="008B02E0">
        <w:t>Source: compiled during the evaluation from Excel workbook ‘Attachment 10 – Nivo+Ipi 1L mCRC Economic Evaluation.xlsm’</w:t>
      </w:r>
    </w:p>
    <w:p w14:paraId="7746D840" w14:textId="77777777" w:rsidR="00EB6430" w:rsidRPr="008B02E0" w:rsidRDefault="00EB6430" w:rsidP="00AE5B32">
      <w:pPr>
        <w:pStyle w:val="TableFigureFooter"/>
      </w:pPr>
      <w:r w:rsidRPr="008B02E0">
        <w:t>NIVO+IPI=nivolumab plus ipilimumab, PF=progression free, PD=progressed disease</w:t>
      </w:r>
    </w:p>
    <w:p w14:paraId="73E30C61" w14:textId="07FF03B3" w:rsidR="00EB6430" w:rsidRPr="008B02E0" w:rsidRDefault="00EB6430" w:rsidP="00AE5B32">
      <w:pPr>
        <w:pStyle w:val="TableFigureFooter"/>
      </w:pPr>
      <w:r w:rsidRPr="008B02E0">
        <w:rPr>
          <w:vertAlign w:val="superscript"/>
        </w:rPr>
        <w:t>a</w:t>
      </w:r>
      <w:r w:rsidRPr="008B02E0">
        <w:tab/>
        <w:t>PF to PD based on CM</w:t>
      </w:r>
      <w:r w:rsidR="009E5502">
        <w:noBreakHyphen/>
      </w:r>
      <w:r w:rsidRPr="008B02E0">
        <w:t>8HW 1L NIVO+IPI population n=202 (</w:t>
      </w:r>
      <w:bookmarkStart w:id="82" w:name="_Hlk197800734"/>
      <w:r w:rsidRPr="008B02E0">
        <w:t xml:space="preserve">DCO: 28 August 2024). </w:t>
      </w:r>
      <w:bookmarkEnd w:id="82"/>
    </w:p>
    <w:p w14:paraId="685ECC43" w14:textId="77777777" w:rsidR="00EB6430" w:rsidRPr="008B02E0" w:rsidRDefault="00EB6430" w:rsidP="00AE5B32">
      <w:pPr>
        <w:pStyle w:val="TableFigureFooter"/>
      </w:pPr>
      <w:r w:rsidRPr="008B02E0">
        <w:rPr>
          <w:vertAlign w:val="superscript"/>
        </w:rPr>
        <w:t>b</w:t>
      </w:r>
      <w:r w:rsidRPr="008B02E0">
        <w:tab/>
        <w:t>Cohort 2 and 3 patients (NIVO+IPI 1L+) who experience progression were combined, n=57</w:t>
      </w:r>
    </w:p>
    <w:p w14:paraId="17CF1D41" w14:textId="65FFF5B1" w:rsidR="00EB6430" w:rsidRPr="008B02E0" w:rsidRDefault="00604A32" w:rsidP="00AE5B32">
      <w:pPr>
        <w:pStyle w:val="3-BodyText"/>
        <w:rPr>
          <w:iCs/>
        </w:rPr>
      </w:pPr>
      <w:bookmarkStart w:id="83" w:name="_Ref198660718"/>
      <w:bookmarkStart w:id="84" w:name="_Ref201293270"/>
      <w:r w:rsidRPr="008B02E0">
        <w:t>For the nivolumab plus ipilimumab arm, t</w:t>
      </w:r>
      <w:r w:rsidR="00EB6430" w:rsidRPr="008B02E0">
        <w:t>he submission selected generalised gamma for the transition of PF to PD and log</w:t>
      </w:r>
      <w:r w:rsidR="009E5502">
        <w:noBreakHyphen/>
      </w:r>
      <w:r w:rsidR="00EB6430" w:rsidRPr="008B02E0">
        <w:t>logistic for the transition of PD to death</w:t>
      </w:r>
      <w:r w:rsidR="004C713C" w:rsidRPr="008B02E0">
        <w:t xml:space="preserve">. The extrapolation of </w:t>
      </w:r>
      <w:r w:rsidR="00FA4FF6" w:rsidRPr="008B02E0">
        <w:t>PF to PD</w:t>
      </w:r>
      <w:r w:rsidR="00545EB6" w:rsidRPr="008B02E0">
        <w:t xml:space="preserve"> </w:t>
      </w:r>
      <w:r w:rsidR="004C713C" w:rsidRPr="008B02E0">
        <w:t xml:space="preserve">(weighted or unweighted) tended to overestimate the tail of the </w:t>
      </w:r>
      <w:r w:rsidR="00545EB6" w:rsidRPr="008B02E0">
        <w:t xml:space="preserve">KM </w:t>
      </w:r>
      <w:r w:rsidR="004C713C" w:rsidRPr="008B02E0">
        <w:t>data, favouring the nivolumab plus ipilimumab arm.</w:t>
      </w:r>
      <w:r w:rsidR="004C713C" w:rsidRPr="008B02E0">
        <w:rPr>
          <w:iCs/>
        </w:rPr>
        <w:t xml:space="preserve"> </w:t>
      </w:r>
      <w:r w:rsidR="008F30AC" w:rsidRPr="008B02E0">
        <w:rPr>
          <w:iCs/>
        </w:rPr>
        <w:t>B</w:t>
      </w:r>
      <w:r w:rsidR="00EB6430" w:rsidRPr="008B02E0">
        <w:rPr>
          <w:iCs/>
        </w:rPr>
        <w:t>oth</w:t>
      </w:r>
      <w:r w:rsidR="008F30AC" w:rsidRPr="008B02E0">
        <w:rPr>
          <w:iCs/>
        </w:rPr>
        <w:t xml:space="preserve"> extrapolations</w:t>
      </w:r>
      <w:r w:rsidR="00083A0C" w:rsidRPr="008B02E0">
        <w:rPr>
          <w:iCs/>
        </w:rPr>
        <w:t xml:space="preserve"> chosen for these transitions in the base case</w:t>
      </w:r>
      <w:r w:rsidR="008F30AC" w:rsidRPr="008B02E0">
        <w:rPr>
          <w:iCs/>
        </w:rPr>
        <w:t xml:space="preserve"> </w:t>
      </w:r>
      <w:r w:rsidR="00083A0C" w:rsidRPr="008B02E0">
        <w:rPr>
          <w:iCs/>
        </w:rPr>
        <w:t>(</w:t>
      </w:r>
      <w:r w:rsidR="008F30AC" w:rsidRPr="008B02E0">
        <w:rPr>
          <w:iCs/>
        </w:rPr>
        <w:t xml:space="preserve">shown in </w:t>
      </w:r>
      <w:r w:rsidR="008F30AC" w:rsidRPr="008B02E0">
        <w:rPr>
          <w:iCs/>
        </w:rPr>
        <w:fldChar w:fldCharType="begin"/>
      </w:r>
      <w:r w:rsidR="008F30AC" w:rsidRPr="008B02E0">
        <w:rPr>
          <w:iCs/>
        </w:rPr>
        <w:instrText xml:space="preserve"> REF _Ref197801208  \* MERGEFORMAT </w:instrText>
      </w:r>
      <w:r w:rsidR="008F30AC" w:rsidRPr="008B02E0">
        <w:rPr>
          <w:iCs/>
        </w:rPr>
        <w:fldChar w:fldCharType="separate"/>
      </w:r>
      <w:r w:rsidR="00B542C9" w:rsidRPr="00B542C9">
        <w:rPr>
          <w:iCs/>
        </w:rPr>
        <w:t xml:space="preserve">Figure </w:t>
      </w:r>
      <w:r w:rsidR="00B542C9" w:rsidRPr="00B542C9">
        <w:rPr>
          <w:iCs/>
          <w:noProof/>
        </w:rPr>
        <w:t>7</w:t>
      </w:r>
      <w:r w:rsidR="008F30AC" w:rsidRPr="008B02E0">
        <w:rPr>
          <w:iCs/>
          <w:noProof/>
        </w:rPr>
        <w:fldChar w:fldCharType="end"/>
      </w:r>
      <w:r w:rsidR="00083A0C" w:rsidRPr="008B02E0">
        <w:rPr>
          <w:iCs/>
          <w:noProof/>
        </w:rPr>
        <w:t>)</w:t>
      </w:r>
      <w:r w:rsidR="008F30AC" w:rsidRPr="008B02E0">
        <w:rPr>
          <w:iCs/>
          <w:noProof/>
        </w:rPr>
        <w:t xml:space="preserve"> appeared to</w:t>
      </w:r>
      <w:r w:rsidR="00EB6430" w:rsidRPr="008B02E0">
        <w:rPr>
          <w:iCs/>
        </w:rPr>
        <w:t xml:space="preserve"> g</w:t>
      </w:r>
      <w:r w:rsidR="008F30AC" w:rsidRPr="008B02E0">
        <w:rPr>
          <w:iCs/>
        </w:rPr>
        <w:t>iv</w:t>
      </w:r>
      <w:r w:rsidR="00EB6430" w:rsidRPr="008B02E0">
        <w:rPr>
          <w:iCs/>
        </w:rPr>
        <w:t>e</w:t>
      </w:r>
      <w:r w:rsidR="00C3179A" w:rsidRPr="008B02E0">
        <w:rPr>
          <w:iCs/>
        </w:rPr>
        <w:t xml:space="preserve"> </w:t>
      </w:r>
      <w:r w:rsidR="00EB6430" w:rsidRPr="008B02E0">
        <w:rPr>
          <w:iCs/>
        </w:rPr>
        <w:t>optimistic long</w:t>
      </w:r>
      <w:r w:rsidR="009E5502">
        <w:rPr>
          <w:iCs/>
        </w:rPr>
        <w:noBreakHyphen/>
      </w:r>
      <w:r w:rsidR="00EB6430" w:rsidRPr="008B02E0">
        <w:rPr>
          <w:iCs/>
        </w:rPr>
        <w:t>term extrapolation of the KM data</w:t>
      </w:r>
      <w:r w:rsidR="00494A4A" w:rsidRPr="008B02E0">
        <w:rPr>
          <w:iCs/>
        </w:rPr>
        <w:t>,</w:t>
      </w:r>
      <w:r w:rsidR="00EB6430" w:rsidRPr="008B02E0">
        <w:rPr>
          <w:iCs/>
        </w:rPr>
        <w:t xml:space="preserve"> based on visual inspection. The model predicted median PFS in the nivolumab plus ipilimumab arm to be over </w:t>
      </w:r>
      <w:r w:rsidR="00AE5B32">
        <w:rPr>
          <w:iCs/>
        </w:rPr>
        <w:br/>
      </w:r>
      <w:r w:rsidR="00EB6430" w:rsidRPr="008B02E0">
        <w:rPr>
          <w:iCs/>
        </w:rPr>
        <w:t>10 years. In contrast, median PFS for nivolumab plus ipilimumab was reached at Year 4.5 in CM</w:t>
      </w:r>
      <w:r w:rsidR="009E5502">
        <w:rPr>
          <w:iCs/>
        </w:rPr>
        <w:noBreakHyphen/>
      </w:r>
      <w:r w:rsidR="00EB6430" w:rsidRPr="008B02E0">
        <w:rPr>
          <w:iCs/>
        </w:rPr>
        <w:t>8HW 1L KM data (DCO: 28 August 2024).</w:t>
      </w:r>
      <w:bookmarkEnd w:id="83"/>
      <w:r w:rsidR="00D42A4F" w:rsidRPr="008B02E0">
        <w:rPr>
          <w:iCs/>
        </w:rPr>
        <w:t xml:space="preserve"> The ICER was not sensitive to the choice of extrapolation for PF to PD or PD to death</w:t>
      </w:r>
      <w:r w:rsidR="00BA3EAF" w:rsidRPr="008B02E0">
        <w:rPr>
          <w:iCs/>
        </w:rPr>
        <w:t xml:space="preserve"> </w:t>
      </w:r>
      <w:r w:rsidR="00326A25" w:rsidRPr="008B02E0">
        <w:rPr>
          <w:iCs/>
        </w:rPr>
        <w:t xml:space="preserve">in </w:t>
      </w:r>
      <w:r w:rsidR="00BA3EAF" w:rsidRPr="008B02E0">
        <w:rPr>
          <w:iCs/>
        </w:rPr>
        <w:t xml:space="preserve">the nivolumab plus ipilimumab </w:t>
      </w:r>
      <w:r w:rsidR="00326A25" w:rsidRPr="008B02E0">
        <w:rPr>
          <w:iCs/>
        </w:rPr>
        <w:t>arm</w:t>
      </w:r>
      <w:r w:rsidR="00D42A4F" w:rsidRPr="008B02E0">
        <w:rPr>
          <w:iCs/>
        </w:rPr>
        <w:t>, as neither were significant drivers of the clinical benefit. However, it was not possible to explore all the uncertainty of the underlying clinical data, which may have some effect on the ICER.</w:t>
      </w:r>
      <w:bookmarkEnd w:id="84"/>
      <w:r w:rsidR="00D42A4F" w:rsidRPr="008B02E0">
        <w:rPr>
          <w:iCs/>
        </w:rPr>
        <w:t xml:space="preserve"> </w:t>
      </w:r>
    </w:p>
    <w:p w14:paraId="7FA20433" w14:textId="6913DC1B" w:rsidR="00EB6430" w:rsidRPr="008B02E0" w:rsidRDefault="00EB6430" w:rsidP="00AE5B32">
      <w:pPr>
        <w:pStyle w:val="3-BodyText"/>
        <w:rPr>
          <w:color w:val="0066FF"/>
        </w:rPr>
      </w:pPr>
      <w:bookmarkStart w:id="85" w:name="_Ref201293309"/>
      <w:r w:rsidRPr="008B02E0">
        <w:t>Separately, the model presented generalised gamma extrapolations of nivolumab plus ipilimumab time to progression (i.e., PF to PD) from CM</w:t>
      </w:r>
      <w:r w:rsidR="009E5502">
        <w:noBreakHyphen/>
      </w:r>
      <w:r w:rsidRPr="008B02E0">
        <w:t>8HW 1L weighted to the PFS of the pembrolizumab arm of KN</w:t>
      </w:r>
      <w:r w:rsidR="009E5502">
        <w:noBreakHyphen/>
      </w:r>
      <w:r w:rsidRPr="008B02E0">
        <w:t xml:space="preserve">177 using the unanchored MAIC previously described (see </w:t>
      </w:r>
      <w:fldSimple w:instr=" REF _Ref197719179  \* MERGEFORMAT ">
        <w:r w:rsidR="00B542C9" w:rsidRPr="00B542C9">
          <w:rPr>
            <w:rFonts w:eastAsiaTheme="majorEastAsia"/>
          </w:rPr>
          <w:t xml:space="preserve">Table </w:t>
        </w:r>
        <w:r w:rsidR="00B542C9" w:rsidRPr="00B542C9">
          <w:t>5</w:t>
        </w:r>
      </w:fldSimple>
      <w:r w:rsidRPr="008B02E0">
        <w:t xml:space="preserve">). The extrapolations were used to estimate hazard ratios between the two model arms that varied per cycle from 0.59 in Cycle 2 to 0.45 at Year 5 and remained constant toward the end of the time horizon. These hazard ratios were applied to the nivolumab plus ipilimumab unweighted extrapolated TTP for nivolumab plus ipilimumab to estimate the PF to PD transitions in the pembrolizumab arm. </w:t>
      </w:r>
      <w:r w:rsidR="003C442B" w:rsidRPr="008B02E0">
        <w:rPr>
          <w:iCs/>
        </w:rPr>
        <w:t>None of the alternate extrapolations for estimating these time</w:t>
      </w:r>
      <w:r w:rsidR="009E5502">
        <w:rPr>
          <w:iCs/>
        </w:rPr>
        <w:noBreakHyphen/>
      </w:r>
      <w:r w:rsidR="003C442B" w:rsidRPr="008B02E0">
        <w:rPr>
          <w:iCs/>
        </w:rPr>
        <w:t>varying HRs were presented in the submission</w:t>
      </w:r>
      <w:r w:rsidR="00D42A4F" w:rsidRPr="008B02E0">
        <w:rPr>
          <w:iCs/>
        </w:rPr>
        <w:t xml:space="preserve"> and therefore could not be explored during the evaluation. </w:t>
      </w:r>
      <w:r w:rsidR="00241601" w:rsidRPr="008B02E0">
        <w:rPr>
          <w:iCs/>
        </w:rPr>
        <w:t>The time</w:t>
      </w:r>
      <w:r w:rsidR="009E5502">
        <w:rPr>
          <w:iCs/>
        </w:rPr>
        <w:noBreakHyphen/>
      </w:r>
      <w:r w:rsidR="00241601" w:rsidRPr="008B02E0">
        <w:rPr>
          <w:iCs/>
        </w:rPr>
        <w:t>varying HRs appeared to</w:t>
      </w:r>
      <w:r w:rsidR="005106FC" w:rsidRPr="008B02E0">
        <w:rPr>
          <w:iCs/>
        </w:rPr>
        <w:t xml:space="preserve"> be overestimated as they </w:t>
      </w:r>
      <w:r w:rsidR="00241601" w:rsidRPr="008B02E0">
        <w:rPr>
          <w:iCs/>
        </w:rPr>
        <w:t xml:space="preserve">favour nivolumab plus ipilimumab more than the HRs reported in </w:t>
      </w:r>
      <w:r w:rsidR="005106FC" w:rsidRPr="008B02E0">
        <w:rPr>
          <w:iCs/>
        </w:rPr>
        <w:t xml:space="preserve">the comparative </w:t>
      </w:r>
      <w:r w:rsidR="001F1DEF" w:rsidRPr="008B02E0">
        <w:rPr>
          <w:iCs/>
        </w:rPr>
        <w:t>effectiveness indirection comparison (</w:t>
      </w:r>
      <w:r w:rsidR="00241601" w:rsidRPr="008B02E0">
        <w:rPr>
          <w:iCs/>
        </w:rPr>
        <w:fldChar w:fldCharType="begin"/>
      </w:r>
      <w:r w:rsidR="00241601" w:rsidRPr="008B02E0">
        <w:rPr>
          <w:iCs/>
        </w:rPr>
        <w:instrText xml:space="preserve"> REF _Ref197719518  \* MERGEFORMAT </w:instrText>
      </w:r>
      <w:r w:rsidR="00241601" w:rsidRPr="008B02E0">
        <w:rPr>
          <w:iCs/>
        </w:rPr>
        <w:fldChar w:fldCharType="separate"/>
      </w:r>
      <w:r w:rsidR="00B542C9" w:rsidRPr="00B542C9">
        <w:rPr>
          <w:iCs/>
        </w:rPr>
        <w:t>Table 6</w:t>
      </w:r>
      <w:r w:rsidR="00241601" w:rsidRPr="008B02E0">
        <w:rPr>
          <w:iCs/>
        </w:rPr>
        <w:fldChar w:fldCharType="end"/>
      </w:r>
      <w:r w:rsidR="001F1DEF" w:rsidRPr="008B02E0">
        <w:rPr>
          <w:iCs/>
        </w:rPr>
        <w:t>)</w:t>
      </w:r>
      <w:r w:rsidR="00241601" w:rsidRPr="008B02E0">
        <w:rPr>
          <w:iCs/>
        </w:rPr>
        <w:t xml:space="preserve">, which </w:t>
      </w:r>
      <w:r w:rsidR="009A7857" w:rsidRPr="008B02E0">
        <w:t>the evaluation considered</w:t>
      </w:r>
      <w:r w:rsidR="009A7857" w:rsidRPr="008B02E0">
        <w:rPr>
          <w:iCs/>
        </w:rPr>
        <w:t xml:space="preserve"> </w:t>
      </w:r>
      <w:r w:rsidR="00241601" w:rsidRPr="008B02E0">
        <w:rPr>
          <w:iCs/>
        </w:rPr>
        <w:t xml:space="preserve">could not be entirely </w:t>
      </w:r>
      <w:r w:rsidR="00290B65" w:rsidRPr="008B02E0">
        <w:rPr>
          <w:iCs/>
        </w:rPr>
        <w:t>attributed to</w:t>
      </w:r>
      <w:r w:rsidR="00241601" w:rsidRPr="008B02E0">
        <w:rPr>
          <w:iCs/>
        </w:rPr>
        <w:t xml:space="preserve"> the removal of mortality from the CM</w:t>
      </w:r>
      <w:r w:rsidR="009E5502">
        <w:rPr>
          <w:iCs/>
        </w:rPr>
        <w:noBreakHyphen/>
      </w:r>
      <w:r w:rsidR="00241601" w:rsidRPr="008B02E0">
        <w:rPr>
          <w:iCs/>
        </w:rPr>
        <w:t>8HW 1L TTP data.</w:t>
      </w:r>
      <w:r w:rsidR="00342159" w:rsidRPr="008B02E0">
        <w:rPr>
          <w:iCs/>
        </w:rPr>
        <w:t xml:space="preserve"> </w:t>
      </w:r>
      <w:r w:rsidR="00071EB3" w:rsidRPr="008B02E0">
        <w:t xml:space="preserve">When using the constant </w:t>
      </w:r>
      <w:r w:rsidR="00413C25" w:rsidRPr="008B02E0">
        <w:t xml:space="preserve">mean </w:t>
      </w:r>
      <w:r w:rsidR="00CE1D07" w:rsidRPr="008B02E0">
        <w:t>HR (</w:t>
      </w:r>
      <w:r w:rsidR="0062121E" w:rsidRPr="008B02E0">
        <w:t>0.63</w:t>
      </w:r>
      <w:r w:rsidR="00035676" w:rsidRPr="008B02E0">
        <w:t xml:space="preserve"> [95</w:t>
      </w:r>
      <w:r w:rsidR="002C5CBC" w:rsidRPr="008B02E0">
        <w:t>% CI= 0.44, 0.90]</w:t>
      </w:r>
      <w:r w:rsidR="00CE1D07" w:rsidRPr="008B02E0">
        <w:t xml:space="preserve">) the ICER increased from </w:t>
      </w:r>
      <w:r w:rsidR="00936BCF" w:rsidRPr="00936BCF">
        <w:lastRenderedPageBreak/>
        <w:t>$75,000 to &lt; $95,000</w:t>
      </w:r>
      <w:r w:rsidR="00CE1D07" w:rsidRPr="008B02E0">
        <w:t xml:space="preserve"> to </w:t>
      </w:r>
      <w:r w:rsidR="00456BB2" w:rsidRPr="00456BB2">
        <w:t>$95,000 to &lt; $115,000</w:t>
      </w:r>
      <w:r w:rsidR="002C5CBC" w:rsidRPr="008B02E0">
        <w:t xml:space="preserve"> </w:t>
      </w:r>
      <w:r w:rsidR="00CE1D07" w:rsidRPr="008B02E0">
        <w:t>per QALY gained.</w:t>
      </w:r>
      <w:r w:rsidR="00D62507" w:rsidRPr="008B02E0">
        <w:t xml:space="preserve"> </w:t>
      </w:r>
      <w:r w:rsidR="00DD3A23" w:rsidRPr="008B02E0">
        <w:t xml:space="preserve">The ICER </w:t>
      </w:r>
      <w:r w:rsidR="002E5360" w:rsidRPr="008B02E0">
        <w:t xml:space="preserve">varied substantially </w:t>
      </w:r>
      <w:r w:rsidR="00DD3A23" w:rsidRPr="008B02E0">
        <w:t xml:space="preserve">based on </w:t>
      </w:r>
      <w:r w:rsidR="00954FD4" w:rsidRPr="008B02E0">
        <w:t>the 95%</w:t>
      </w:r>
      <w:r w:rsidR="00BD3C97" w:rsidRPr="008B02E0">
        <w:t xml:space="preserve"> </w:t>
      </w:r>
      <w:r w:rsidR="00954FD4" w:rsidRPr="008B02E0">
        <w:t>CI</w:t>
      </w:r>
      <w:r w:rsidR="00B31B45" w:rsidRPr="008B02E0">
        <w:t xml:space="preserve"> of the HR</w:t>
      </w:r>
      <w:r w:rsidR="004D5F67" w:rsidRPr="008B02E0">
        <w:t xml:space="preserve"> </w:t>
      </w:r>
      <w:r w:rsidR="00A50450" w:rsidRPr="008B02E0">
        <w:t>(</w:t>
      </w:r>
      <w:r w:rsidR="00BB3DD7" w:rsidRPr="00BB3DD7">
        <w:t>$55,000 to &lt; $75,000</w:t>
      </w:r>
      <w:r w:rsidR="002E5360" w:rsidRPr="008B02E0">
        <w:rPr>
          <w:rFonts w:cstheme="minorHAnsi"/>
        </w:rPr>
        <w:t>−</w:t>
      </w:r>
      <w:r w:rsidR="0028216C" w:rsidRPr="0028216C">
        <w:t>$355,000 to &lt; $455,000</w:t>
      </w:r>
      <w:r w:rsidR="00A50450" w:rsidRPr="008B02E0">
        <w:t>)</w:t>
      </w:r>
      <w:r w:rsidR="002E35F5" w:rsidRPr="008B02E0">
        <w:t>.</w:t>
      </w:r>
      <w:bookmarkEnd w:id="85"/>
    </w:p>
    <w:p w14:paraId="2615C29D" w14:textId="29DE86E7" w:rsidR="002A541C" w:rsidRPr="008B02E0" w:rsidRDefault="006075BC" w:rsidP="00AE5B32">
      <w:pPr>
        <w:pStyle w:val="3-BodyText"/>
        <w:rPr>
          <w:iCs/>
          <w:color w:val="0066FF"/>
        </w:rPr>
      </w:pPr>
      <w:r w:rsidRPr="008B02E0">
        <w:rPr>
          <w:iCs/>
        </w:rPr>
        <w:t>The PSCR provided an updated</w:t>
      </w:r>
      <w:r w:rsidR="004B7C47" w:rsidRPr="008B02E0">
        <w:rPr>
          <w:iCs/>
        </w:rPr>
        <w:t xml:space="preserve"> economic model</w:t>
      </w:r>
      <w:r w:rsidR="009839C6" w:rsidRPr="008B02E0">
        <w:rPr>
          <w:iCs/>
        </w:rPr>
        <w:t xml:space="preserve"> </w:t>
      </w:r>
      <w:r w:rsidR="00A6607C" w:rsidRPr="008B02E0">
        <w:rPr>
          <w:iCs/>
        </w:rPr>
        <w:t>which include</w:t>
      </w:r>
      <w:r w:rsidR="002648B8" w:rsidRPr="008B02E0">
        <w:rPr>
          <w:iCs/>
        </w:rPr>
        <w:t>d</w:t>
      </w:r>
      <w:r w:rsidR="00A6607C" w:rsidRPr="008B02E0">
        <w:rPr>
          <w:iCs/>
        </w:rPr>
        <w:t xml:space="preserve"> alternative extrapolations to be selected to estimate the time varying HRs</w:t>
      </w:r>
      <w:r w:rsidR="009839C6" w:rsidRPr="008B02E0">
        <w:rPr>
          <w:iCs/>
        </w:rPr>
        <w:t xml:space="preserve">. </w:t>
      </w:r>
      <w:r w:rsidR="007D6669" w:rsidRPr="008B02E0">
        <w:rPr>
          <w:iCs/>
        </w:rPr>
        <w:t>In the new model changing the distribution choice for the time</w:t>
      </w:r>
      <w:r w:rsidR="009E5502">
        <w:rPr>
          <w:iCs/>
        </w:rPr>
        <w:noBreakHyphen/>
      </w:r>
      <w:r w:rsidR="007D6669" w:rsidRPr="008B02E0">
        <w:rPr>
          <w:iCs/>
        </w:rPr>
        <w:t xml:space="preserve">varying HR necessitated changing the distribution choice for the PF to PD as well. </w:t>
      </w:r>
      <w:r w:rsidR="00DE69B9" w:rsidRPr="008B02E0">
        <w:rPr>
          <w:iCs/>
        </w:rPr>
        <w:t>T</w:t>
      </w:r>
      <w:r w:rsidR="00F121E4" w:rsidRPr="008B02E0">
        <w:rPr>
          <w:iCs/>
        </w:rPr>
        <w:t>he</w:t>
      </w:r>
      <w:r w:rsidR="009839C6" w:rsidRPr="008B02E0">
        <w:rPr>
          <w:iCs/>
        </w:rPr>
        <w:t xml:space="preserve"> KM data which informed the extrapolations (KN</w:t>
      </w:r>
      <w:r w:rsidR="009E5502">
        <w:rPr>
          <w:iCs/>
        </w:rPr>
        <w:noBreakHyphen/>
      </w:r>
      <w:r w:rsidR="009839C6" w:rsidRPr="008B02E0">
        <w:rPr>
          <w:iCs/>
        </w:rPr>
        <w:t>177 PFS KM data and CM</w:t>
      </w:r>
      <w:r w:rsidR="009E5502">
        <w:rPr>
          <w:iCs/>
        </w:rPr>
        <w:noBreakHyphen/>
      </w:r>
      <w:r w:rsidR="009839C6" w:rsidRPr="008B02E0">
        <w:rPr>
          <w:iCs/>
        </w:rPr>
        <w:t>8HW 1L</w:t>
      </w:r>
      <w:r w:rsidR="00F121E4" w:rsidRPr="008B02E0">
        <w:rPr>
          <w:iCs/>
        </w:rPr>
        <w:t xml:space="preserve"> TTP </w:t>
      </w:r>
      <w:r w:rsidR="009839C6" w:rsidRPr="008B02E0">
        <w:rPr>
          <w:iCs/>
        </w:rPr>
        <w:t>KM data adjusted for unanchored MAIC in the base case), were not presented in the PSCR.</w:t>
      </w:r>
      <w:r w:rsidR="00943C4B" w:rsidRPr="008B02E0">
        <w:rPr>
          <w:iCs/>
        </w:rPr>
        <w:t xml:space="preserve"> </w:t>
      </w:r>
      <w:r w:rsidR="00310E57" w:rsidRPr="008B02E0">
        <w:rPr>
          <w:iCs/>
        </w:rPr>
        <w:t>The</w:t>
      </w:r>
      <w:r w:rsidR="00943C4B" w:rsidRPr="008B02E0">
        <w:rPr>
          <w:iCs/>
        </w:rPr>
        <w:t xml:space="preserve"> AIC/BIC statistics for the nivolumab plus ipilimumab TTP KM data were</w:t>
      </w:r>
      <w:r w:rsidR="00310E57" w:rsidRPr="008B02E0">
        <w:rPr>
          <w:iCs/>
        </w:rPr>
        <w:t xml:space="preserve"> also not</w:t>
      </w:r>
      <w:r w:rsidR="00943C4B" w:rsidRPr="008B02E0">
        <w:rPr>
          <w:iCs/>
        </w:rPr>
        <w:t xml:space="preserve"> reported in the PSCR.</w:t>
      </w:r>
      <w:r w:rsidR="001C5577" w:rsidRPr="008B02E0">
        <w:rPr>
          <w:iCs/>
        </w:rPr>
        <w:t xml:space="preserve"> </w:t>
      </w:r>
    </w:p>
    <w:p w14:paraId="75ADF19B" w14:textId="1E249562" w:rsidR="00CE110B" w:rsidRPr="008B02E0" w:rsidRDefault="001C5577" w:rsidP="00AE5B32">
      <w:pPr>
        <w:pStyle w:val="3-BodyText"/>
        <w:rPr>
          <w:iCs/>
          <w:color w:val="0066FF"/>
        </w:rPr>
      </w:pPr>
      <w:r w:rsidRPr="008B02E0">
        <w:rPr>
          <w:iCs/>
        </w:rPr>
        <w:t>A visual comparison of the extrapolations used to inform the PF to PD time</w:t>
      </w:r>
      <w:r w:rsidR="009E5502">
        <w:rPr>
          <w:iCs/>
        </w:rPr>
        <w:noBreakHyphen/>
      </w:r>
      <w:r w:rsidRPr="008B02E0">
        <w:rPr>
          <w:iCs/>
        </w:rPr>
        <w:t>varying hazard ratios against KN</w:t>
      </w:r>
      <w:r w:rsidR="009E5502">
        <w:rPr>
          <w:iCs/>
        </w:rPr>
        <w:noBreakHyphen/>
      </w:r>
      <w:r w:rsidRPr="008B02E0">
        <w:rPr>
          <w:iCs/>
        </w:rPr>
        <w:t>177 PFS KM data (extracted during the evaluation) and CM</w:t>
      </w:r>
      <w:r w:rsidR="009E5502">
        <w:rPr>
          <w:iCs/>
        </w:rPr>
        <w:noBreakHyphen/>
      </w:r>
      <w:r w:rsidRPr="008B02E0">
        <w:rPr>
          <w:iCs/>
        </w:rPr>
        <w:t xml:space="preserve">8HW 1L TTP KM data (unadjusted) is provided </w:t>
      </w:r>
      <w:r w:rsidR="007A4942" w:rsidRPr="008B02E0">
        <w:rPr>
          <w:iCs/>
        </w:rPr>
        <w:t xml:space="preserve">in </w:t>
      </w:r>
      <w:r w:rsidR="007A4942" w:rsidRPr="008B02E0">
        <w:rPr>
          <w:iCs/>
        </w:rPr>
        <w:fldChar w:fldCharType="begin"/>
      </w:r>
      <w:r w:rsidR="007A4942" w:rsidRPr="008B02E0">
        <w:rPr>
          <w:iCs/>
        </w:rPr>
        <w:instrText xml:space="preserve"> REF _Ref201141838 \h  \* MERGEFORMAT </w:instrText>
      </w:r>
      <w:r w:rsidR="007A4942" w:rsidRPr="008B02E0">
        <w:rPr>
          <w:iCs/>
        </w:rPr>
      </w:r>
      <w:r w:rsidR="007A4942" w:rsidRPr="008B02E0">
        <w:rPr>
          <w:iCs/>
        </w:rPr>
        <w:fldChar w:fldCharType="separate"/>
      </w:r>
      <w:r w:rsidR="00B542C9" w:rsidRPr="008B02E0">
        <w:rPr>
          <w:iCs/>
        </w:rPr>
        <w:t xml:space="preserve">Figure </w:t>
      </w:r>
      <w:r w:rsidR="00B542C9">
        <w:rPr>
          <w:iCs/>
          <w:noProof/>
        </w:rPr>
        <w:t>8</w:t>
      </w:r>
      <w:r w:rsidR="007A4942" w:rsidRPr="008B02E0">
        <w:rPr>
          <w:iCs/>
        </w:rPr>
        <w:fldChar w:fldCharType="end"/>
      </w:r>
      <w:r w:rsidR="007A4942" w:rsidRPr="008B02E0">
        <w:rPr>
          <w:iCs/>
        </w:rPr>
        <w:t>.</w:t>
      </w:r>
      <w:r w:rsidR="0093089F" w:rsidRPr="008B02E0">
        <w:rPr>
          <w:iCs/>
        </w:rPr>
        <w:t xml:space="preserve"> </w:t>
      </w:r>
      <w:r w:rsidR="00084F06" w:rsidRPr="008B02E0">
        <w:rPr>
          <w:iCs/>
        </w:rPr>
        <w:t>S</w:t>
      </w:r>
      <w:r w:rsidR="00FC35E8" w:rsidRPr="008B02E0">
        <w:rPr>
          <w:iCs/>
        </w:rPr>
        <w:t xml:space="preserve">ensitivity analyses for </w:t>
      </w:r>
      <w:r w:rsidR="0091432D" w:rsidRPr="008B02E0">
        <w:rPr>
          <w:iCs/>
        </w:rPr>
        <w:t xml:space="preserve">select </w:t>
      </w:r>
      <w:r w:rsidR="00BF237A" w:rsidRPr="008B02E0">
        <w:rPr>
          <w:iCs/>
        </w:rPr>
        <w:t xml:space="preserve">extrapolations </w:t>
      </w:r>
      <w:r w:rsidR="00084F06" w:rsidRPr="008B02E0">
        <w:rPr>
          <w:iCs/>
        </w:rPr>
        <w:t xml:space="preserve">are provided in </w:t>
      </w:r>
      <w:r w:rsidR="000D07FC" w:rsidRPr="008B02E0">
        <w:rPr>
          <w:iCs/>
        </w:rPr>
        <w:fldChar w:fldCharType="begin"/>
      </w:r>
      <w:r w:rsidR="000D07FC" w:rsidRPr="008B02E0">
        <w:rPr>
          <w:iCs/>
        </w:rPr>
        <w:instrText xml:space="preserve"> REF _Ref104804865 \h  \* MERGEFORMAT </w:instrText>
      </w:r>
      <w:r w:rsidR="000D07FC" w:rsidRPr="008B02E0">
        <w:rPr>
          <w:iCs/>
        </w:rPr>
      </w:r>
      <w:r w:rsidR="000D07FC" w:rsidRPr="008B02E0">
        <w:rPr>
          <w:iCs/>
        </w:rPr>
        <w:fldChar w:fldCharType="separate"/>
      </w:r>
      <w:r w:rsidR="00B542C9" w:rsidRPr="00B542C9">
        <w:rPr>
          <w:iCs/>
        </w:rPr>
        <w:t xml:space="preserve">Table </w:t>
      </w:r>
      <w:r w:rsidR="00B542C9" w:rsidRPr="00B542C9">
        <w:rPr>
          <w:iCs/>
          <w:noProof/>
        </w:rPr>
        <w:t>15</w:t>
      </w:r>
      <w:r w:rsidR="000D07FC" w:rsidRPr="008B02E0">
        <w:rPr>
          <w:iCs/>
        </w:rPr>
        <w:fldChar w:fldCharType="end"/>
      </w:r>
      <w:r w:rsidR="000D07FC" w:rsidRPr="008B02E0">
        <w:rPr>
          <w:iCs/>
        </w:rPr>
        <w:t>.</w:t>
      </w:r>
    </w:p>
    <w:p w14:paraId="59C47E3E" w14:textId="0D49AC79" w:rsidR="00130D9F" w:rsidRPr="008B02E0" w:rsidRDefault="00130D9F" w:rsidP="00AE5B32">
      <w:pPr>
        <w:pStyle w:val="TableFigureHeading"/>
        <w:rPr>
          <w:iCs/>
        </w:rPr>
      </w:pPr>
      <w:bookmarkStart w:id="86" w:name="_Ref201141838"/>
      <w:r w:rsidRPr="008B02E0">
        <w:rPr>
          <w:iCs/>
        </w:rPr>
        <w:t xml:space="preserve">Figure </w:t>
      </w:r>
      <w:r w:rsidRPr="008B02E0">
        <w:rPr>
          <w:iCs/>
        </w:rPr>
        <w:fldChar w:fldCharType="begin"/>
      </w:r>
      <w:r w:rsidRPr="008B02E0">
        <w:rPr>
          <w:iCs/>
        </w:rPr>
        <w:instrText xml:space="preserve"> SEQ Figure \* ARABIC </w:instrText>
      </w:r>
      <w:r w:rsidRPr="008B02E0">
        <w:rPr>
          <w:iCs/>
        </w:rPr>
        <w:fldChar w:fldCharType="separate"/>
      </w:r>
      <w:r w:rsidR="00B542C9">
        <w:rPr>
          <w:iCs/>
          <w:noProof/>
        </w:rPr>
        <w:t>8</w:t>
      </w:r>
      <w:r w:rsidRPr="008B02E0">
        <w:rPr>
          <w:iCs/>
        </w:rPr>
        <w:fldChar w:fldCharType="end"/>
      </w:r>
      <w:bookmarkEnd w:id="86"/>
      <w:r w:rsidRPr="008B02E0">
        <w:rPr>
          <w:iCs/>
        </w:rPr>
        <w:t>: Extrapolations of CM</w:t>
      </w:r>
      <w:r w:rsidR="009E5502">
        <w:rPr>
          <w:iCs/>
        </w:rPr>
        <w:noBreakHyphen/>
      </w:r>
      <w:r w:rsidRPr="008B02E0">
        <w:rPr>
          <w:iCs/>
        </w:rPr>
        <w:t>8HW 1L and KN</w:t>
      </w:r>
      <w:r w:rsidR="009E5502">
        <w:rPr>
          <w:iCs/>
        </w:rPr>
        <w:noBreakHyphen/>
      </w:r>
      <w:r w:rsidRPr="008B02E0">
        <w:rPr>
          <w:iCs/>
        </w:rPr>
        <w:t>177 to estimate PF to PD time varying HRs</w:t>
      </w:r>
    </w:p>
    <w:p w14:paraId="622BEA10" w14:textId="77777777" w:rsidR="00130D9F" w:rsidRPr="008B02E0" w:rsidRDefault="00130D9F" w:rsidP="00AE5B32">
      <w:pPr>
        <w:pStyle w:val="TableFigureFooter"/>
      </w:pPr>
      <w:r w:rsidRPr="008B02E0">
        <w:rPr>
          <w:noProof/>
        </w:rPr>
        <w:drawing>
          <wp:inline distT="0" distB="0" distL="0" distR="0" wp14:anchorId="0916B227" wp14:editId="5575FD29">
            <wp:extent cx="4413885" cy="2877820"/>
            <wp:effectExtent l="0" t="0" r="5715" b="0"/>
            <wp:docPr id="5" name="Picture 5" descr="Figure 8: Extrapolations of CM 8HW 1L and KN 177 to estimate PF to PD time varying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8: Extrapolations of CM 8HW 1L and KN 177 to estimate PF to PD time varying HR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3885" cy="2877820"/>
                    </a:xfrm>
                    <a:prstGeom prst="rect">
                      <a:avLst/>
                    </a:prstGeom>
                    <a:noFill/>
                  </pic:spPr>
                </pic:pic>
              </a:graphicData>
            </a:graphic>
          </wp:inline>
        </w:drawing>
      </w:r>
    </w:p>
    <w:p w14:paraId="49BF43F9" w14:textId="2E088773" w:rsidR="00130D9F" w:rsidRPr="008B02E0" w:rsidRDefault="00130D9F" w:rsidP="00AE5B32">
      <w:pPr>
        <w:pStyle w:val="TableFigureFooter"/>
        <w:rPr>
          <w:b/>
          <w:iCs/>
        </w:rPr>
      </w:pPr>
      <w:r w:rsidRPr="008B02E0">
        <w:rPr>
          <w:iCs/>
        </w:rPr>
        <w:t>Source: compiled from Excel workbook ‘Pre</w:t>
      </w:r>
      <w:r w:rsidR="009E5502">
        <w:rPr>
          <w:iCs/>
        </w:rPr>
        <w:noBreakHyphen/>
      </w:r>
      <w:r w:rsidRPr="008B02E0">
        <w:rPr>
          <w:iCs/>
        </w:rPr>
        <w:t>ESC – Nivo plus Ipi 1L mCRC Economic Evaluation.xlsm’</w:t>
      </w:r>
    </w:p>
    <w:p w14:paraId="499F9155" w14:textId="77777777" w:rsidR="00130D9F" w:rsidRPr="008B02E0" w:rsidRDefault="00130D9F" w:rsidP="00AE5B32">
      <w:pPr>
        <w:pStyle w:val="TableFigureFooter"/>
        <w:rPr>
          <w:b/>
          <w:iCs/>
        </w:rPr>
      </w:pPr>
      <w:r w:rsidRPr="008B02E0">
        <w:rPr>
          <w:iCs/>
        </w:rPr>
        <w:t>NIVO=nivolumab, IPI=ipilimumab, PD=progressed disease, PF=progression free, PFS=progression free survival, TTP=time to progression (no mortality), HR=hazard ratio</w:t>
      </w:r>
    </w:p>
    <w:p w14:paraId="36458E13" w14:textId="52541C70" w:rsidR="001C5577" w:rsidRPr="008B02E0" w:rsidRDefault="00130D9F" w:rsidP="00AE5B32">
      <w:pPr>
        <w:pStyle w:val="TableFigureFooter"/>
        <w:rPr>
          <w:b/>
          <w:iCs/>
        </w:rPr>
      </w:pPr>
      <w:r w:rsidRPr="008B02E0">
        <w:rPr>
          <w:iCs/>
        </w:rPr>
        <w:t>*</w:t>
      </w:r>
      <w:r w:rsidRPr="008B02E0">
        <w:rPr>
          <w:iCs/>
        </w:rPr>
        <w:tab/>
        <w:t>NIVO+IPI extrapolations were based on CM</w:t>
      </w:r>
      <w:r w:rsidR="009E5502">
        <w:rPr>
          <w:iCs/>
        </w:rPr>
        <w:noBreakHyphen/>
      </w:r>
      <w:r w:rsidRPr="008B02E0">
        <w:rPr>
          <w:iCs/>
        </w:rPr>
        <w:t>8HW 1L TTP KM data weighted for the unanchored MAIC, but this data was not provided in the model. However, unadjusted CM</w:t>
      </w:r>
      <w:r w:rsidR="009E5502">
        <w:rPr>
          <w:iCs/>
        </w:rPr>
        <w:noBreakHyphen/>
      </w:r>
      <w:r w:rsidRPr="008B02E0">
        <w:rPr>
          <w:iCs/>
        </w:rPr>
        <w:t>8HW 1L TTP KM data is likely similar and is presented for reference.</w:t>
      </w:r>
    </w:p>
    <w:p w14:paraId="09741D60" w14:textId="29D5D15D" w:rsidR="009A1816" w:rsidRPr="008B02E0" w:rsidRDefault="002B593F" w:rsidP="00AE5B32">
      <w:pPr>
        <w:pStyle w:val="3-BodyText"/>
        <w:rPr>
          <w:iCs/>
        </w:rPr>
      </w:pPr>
      <w:r w:rsidRPr="008B02E0">
        <w:rPr>
          <w:iCs/>
        </w:rPr>
        <w:t xml:space="preserve">Due to a lack of OS data, mortality in the PFS state was modelled using </w:t>
      </w:r>
      <w:r w:rsidR="00B16CB6" w:rsidRPr="008B02E0">
        <w:rPr>
          <w:iCs/>
        </w:rPr>
        <w:t>age</w:t>
      </w:r>
      <w:r w:rsidR="009E5502">
        <w:rPr>
          <w:iCs/>
        </w:rPr>
        <w:noBreakHyphen/>
      </w:r>
      <w:r w:rsidR="00B16CB6" w:rsidRPr="008B02E0">
        <w:rPr>
          <w:iCs/>
        </w:rPr>
        <w:t xml:space="preserve">based general population mortality. </w:t>
      </w:r>
      <w:r w:rsidR="00093FAB" w:rsidRPr="008B02E0">
        <w:rPr>
          <w:iCs/>
        </w:rPr>
        <w:t>The evaluation considered that a</w:t>
      </w:r>
      <w:r w:rsidR="004076BF" w:rsidRPr="008B02E0">
        <w:rPr>
          <w:iCs/>
        </w:rPr>
        <w:t xml:space="preserve">pplying general population mortality to </w:t>
      </w:r>
      <w:r w:rsidR="001919FE" w:rsidRPr="008B02E0">
        <w:rPr>
          <w:iCs/>
        </w:rPr>
        <w:t xml:space="preserve">the </w:t>
      </w:r>
      <w:r w:rsidR="004076BF" w:rsidRPr="008B02E0">
        <w:rPr>
          <w:iCs/>
        </w:rPr>
        <w:t>PF</w:t>
      </w:r>
      <w:r w:rsidR="001919FE" w:rsidRPr="008B02E0">
        <w:rPr>
          <w:iCs/>
        </w:rPr>
        <w:t xml:space="preserve"> health state</w:t>
      </w:r>
      <w:r w:rsidR="004076BF" w:rsidRPr="008B02E0">
        <w:rPr>
          <w:iCs/>
        </w:rPr>
        <w:t xml:space="preserve"> may</w:t>
      </w:r>
      <w:r w:rsidR="0018454B" w:rsidRPr="008B02E0">
        <w:rPr>
          <w:iCs/>
        </w:rPr>
        <w:t xml:space="preserve"> have</w:t>
      </w:r>
      <w:r w:rsidR="004076BF" w:rsidRPr="008B02E0">
        <w:rPr>
          <w:iCs/>
        </w:rPr>
        <w:t xml:space="preserve"> overestimate</w:t>
      </w:r>
      <w:r w:rsidR="0018454B" w:rsidRPr="008B02E0">
        <w:rPr>
          <w:iCs/>
        </w:rPr>
        <w:t>d</w:t>
      </w:r>
      <w:r w:rsidR="004076BF" w:rsidRPr="008B02E0">
        <w:rPr>
          <w:iCs/>
        </w:rPr>
        <w:t xml:space="preserve"> survival for mCRC patients, </w:t>
      </w:r>
      <w:r w:rsidR="00E31355" w:rsidRPr="008B02E0">
        <w:rPr>
          <w:iCs/>
        </w:rPr>
        <w:t xml:space="preserve">as </w:t>
      </w:r>
      <w:r w:rsidR="00C718AE" w:rsidRPr="008B02E0">
        <w:rPr>
          <w:iCs/>
        </w:rPr>
        <w:t>it would be expect</w:t>
      </w:r>
      <w:r w:rsidR="00E70D96" w:rsidRPr="008B02E0">
        <w:rPr>
          <w:iCs/>
        </w:rPr>
        <w:t>ed</w:t>
      </w:r>
      <w:r w:rsidR="00C718AE" w:rsidRPr="008B02E0">
        <w:rPr>
          <w:iCs/>
        </w:rPr>
        <w:t xml:space="preserve"> that a patient with mCRC would have a higher mortality rate compared to the general population, even in the PF state.</w:t>
      </w:r>
      <w:r w:rsidR="001D661C" w:rsidRPr="008B02E0">
        <w:rPr>
          <w:iCs/>
        </w:rPr>
        <w:t xml:space="preserve"> PD mortality was based on the duration in PD and extrapolated from data on 57 patients treated with nivolumab plus ipilimumab at any line from CM</w:t>
      </w:r>
      <w:r w:rsidR="009E5502">
        <w:rPr>
          <w:iCs/>
        </w:rPr>
        <w:noBreakHyphen/>
      </w:r>
      <w:r w:rsidR="001D661C" w:rsidRPr="008B02E0">
        <w:rPr>
          <w:iCs/>
        </w:rPr>
        <w:t>142.</w:t>
      </w:r>
    </w:p>
    <w:p w14:paraId="481300F5" w14:textId="05764A37" w:rsidR="00393598" w:rsidRPr="008B02E0" w:rsidRDefault="0042447A" w:rsidP="00AE5B32">
      <w:pPr>
        <w:pStyle w:val="3-BodyText"/>
        <w:rPr>
          <w:iCs/>
        </w:rPr>
      </w:pPr>
      <w:r w:rsidRPr="008B02E0">
        <w:rPr>
          <w:iCs/>
        </w:rPr>
        <w:lastRenderedPageBreak/>
        <w:t>The evaluation considered that t</w:t>
      </w:r>
      <w:r w:rsidR="008B3A8B" w:rsidRPr="008B02E0">
        <w:rPr>
          <w:iCs/>
        </w:rPr>
        <w:t xml:space="preserve">ime on treatment was modelled inconsistently. </w:t>
      </w:r>
      <w:r w:rsidR="00AC2580" w:rsidRPr="008B02E0">
        <w:rPr>
          <w:iCs/>
        </w:rPr>
        <w:t>Time to treatment discontinuation</w:t>
      </w:r>
      <w:r w:rsidRPr="008B02E0">
        <w:rPr>
          <w:iCs/>
        </w:rPr>
        <w:t xml:space="preserve"> (TTD)</w:t>
      </w:r>
      <w:r w:rsidR="00AC2580" w:rsidRPr="008B02E0">
        <w:rPr>
          <w:iCs/>
        </w:rPr>
        <w:t xml:space="preserve"> was used for the nivolumab plus ipilimumab arm </w:t>
      </w:r>
      <w:r w:rsidR="00500153" w:rsidRPr="008B02E0">
        <w:rPr>
          <w:iCs/>
        </w:rPr>
        <w:t xml:space="preserve">(not stated in the submission but appeared to be the 1L+ cohort), capped at 2 years. </w:t>
      </w:r>
      <w:r w:rsidR="00E8409F" w:rsidRPr="008B02E0">
        <w:rPr>
          <w:iCs/>
        </w:rPr>
        <w:t>For p</w:t>
      </w:r>
      <w:r w:rsidR="00500153" w:rsidRPr="008B02E0">
        <w:rPr>
          <w:iCs/>
        </w:rPr>
        <w:t>embrolizumab</w:t>
      </w:r>
      <w:r w:rsidR="00E8409F" w:rsidRPr="008B02E0">
        <w:rPr>
          <w:iCs/>
        </w:rPr>
        <w:t xml:space="preserve">, </w:t>
      </w:r>
      <w:r w:rsidRPr="008B02E0">
        <w:rPr>
          <w:iCs/>
        </w:rPr>
        <w:t xml:space="preserve">PFS was used (also </w:t>
      </w:r>
      <w:r w:rsidR="00500153" w:rsidRPr="008B02E0">
        <w:rPr>
          <w:iCs/>
        </w:rPr>
        <w:t>capped at 2 years</w:t>
      </w:r>
      <w:r w:rsidRPr="008B02E0">
        <w:rPr>
          <w:iCs/>
        </w:rPr>
        <w:t>)</w:t>
      </w:r>
      <w:r w:rsidR="00E8409F" w:rsidRPr="008B02E0">
        <w:rPr>
          <w:iCs/>
        </w:rPr>
        <w:t>.</w:t>
      </w:r>
      <w:r w:rsidR="00E8409F" w:rsidRPr="008B02E0">
        <w:t xml:space="preserve"> </w:t>
      </w:r>
      <w:r w:rsidR="001F3923" w:rsidRPr="008B02E0">
        <w:rPr>
          <w:iCs/>
        </w:rPr>
        <w:t>This led to similar treatment durations despite significant PFS differences, favouring nivolumab plus ipilimumab.</w:t>
      </w:r>
      <w:r w:rsidR="00803594" w:rsidRPr="008B02E0">
        <w:rPr>
          <w:iCs/>
        </w:rPr>
        <w:t xml:space="preserve"> </w:t>
      </w:r>
      <w:r w:rsidR="00500153" w:rsidRPr="008B02E0">
        <w:rPr>
          <w:iCs/>
        </w:rPr>
        <w:t>T</w:t>
      </w:r>
      <w:r w:rsidR="00685F52" w:rsidRPr="008B02E0">
        <w:rPr>
          <w:iCs/>
        </w:rPr>
        <w:t>he evaluation</w:t>
      </w:r>
      <w:r w:rsidR="00EE029B" w:rsidRPr="008B02E0">
        <w:rPr>
          <w:iCs/>
        </w:rPr>
        <w:t xml:space="preserve"> also</w:t>
      </w:r>
      <w:r w:rsidR="00685F52" w:rsidRPr="008B02E0">
        <w:rPr>
          <w:iCs/>
        </w:rPr>
        <w:t xml:space="preserve"> considered that t</w:t>
      </w:r>
      <w:r w:rsidR="00500153" w:rsidRPr="008B02E0">
        <w:rPr>
          <w:iCs/>
        </w:rPr>
        <w:t>ime on treatment was likely overestimated for the pembrolizumab arm</w:t>
      </w:r>
      <w:r w:rsidR="004C75FD" w:rsidRPr="008B02E0">
        <w:rPr>
          <w:iCs/>
        </w:rPr>
        <w:t xml:space="preserve">, </w:t>
      </w:r>
      <w:r w:rsidR="00B7416F" w:rsidRPr="008B02E0">
        <w:rPr>
          <w:iCs/>
        </w:rPr>
        <w:t>as patients often discontinue therapy for reasons unrelated to disease progression, such as adverse events.</w:t>
      </w:r>
      <w:r w:rsidR="00414811" w:rsidRPr="008B02E0">
        <w:rPr>
          <w:iCs/>
        </w:rPr>
        <w:t xml:space="preserve"> </w:t>
      </w:r>
      <w:r w:rsidR="0086737C" w:rsidRPr="008B02E0">
        <w:rPr>
          <w:iCs/>
        </w:rPr>
        <w:t xml:space="preserve">If the mean doses from the trials are applied to the model (nivolumab: 3.7 doses of </w:t>
      </w:r>
      <w:r w:rsidR="00F261D6">
        <w:rPr>
          <w:iCs/>
        </w:rPr>
        <w:t>240 mg</w:t>
      </w:r>
      <w:r w:rsidR="0086737C" w:rsidRPr="008B02E0">
        <w:rPr>
          <w:iCs/>
        </w:rPr>
        <w:t xml:space="preserve"> in initiation and 13.6 doses of </w:t>
      </w:r>
      <w:r w:rsidR="00F261D6">
        <w:rPr>
          <w:iCs/>
        </w:rPr>
        <w:t>480 mg</w:t>
      </w:r>
      <w:r w:rsidR="0086737C" w:rsidRPr="008B02E0">
        <w:rPr>
          <w:iCs/>
        </w:rPr>
        <w:t xml:space="preserve"> in maintenance, ipilimumab: 3.7 doses and pembrolizumab 19.2 doses of pembrolizumab), the ICER increase</w:t>
      </w:r>
      <w:r w:rsidR="005818B6" w:rsidRPr="008B02E0">
        <w:rPr>
          <w:iCs/>
        </w:rPr>
        <w:t>s</w:t>
      </w:r>
      <w:r w:rsidR="0086737C" w:rsidRPr="008B02E0">
        <w:rPr>
          <w:iCs/>
        </w:rPr>
        <w:t xml:space="preserve"> from </w:t>
      </w:r>
      <w:r w:rsidR="000731E7" w:rsidRPr="000731E7">
        <w:rPr>
          <w:iCs/>
        </w:rPr>
        <w:t>$75,000 to &lt; $95,000</w:t>
      </w:r>
      <w:r w:rsidR="0086737C" w:rsidRPr="008B02E0">
        <w:rPr>
          <w:iCs/>
        </w:rPr>
        <w:t xml:space="preserve"> to </w:t>
      </w:r>
      <w:r w:rsidR="000731E7" w:rsidRPr="000731E7">
        <w:rPr>
          <w:iCs/>
        </w:rPr>
        <w:t>$75,000 to &lt; $95,000</w:t>
      </w:r>
      <w:r w:rsidR="0086737C" w:rsidRPr="008B02E0">
        <w:rPr>
          <w:iCs/>
        </w:rPr>
        <w:t xml:space="preserve"> per QALY gained. </w:t>
      </w:r>
      <w:r w:rsidR="00414811" w:rsidRPr="008B02E0">
        <w:rPr>
          <w:iCs/>
        </w:rPr>
        <w:t>The PSCR noted that TTD data was not available for pembrolizumab from KN</w:t>
      </w:r>
      <w:r w:rsidR="009E5502">
        <w:rPr>
          <w:iCs/>
        </w:rPr>
        <w:noBreakHyphen/>
      </w:r>
      <w:r w:rsidR="00414811" w:rsidRPr="008B02E0">
        <w:rPr>
          <w:iCs/>
        </w:rPr>
        <w:t>177</w:t>
      </w:r>
      <w:r w:rsidR="005818B6" w:rsidRPr="008B02E0">
        <w:rPr>
          <w:iCs/>
        </w:rPr>
        <w:t xml:space="preserve"> and therefore could not be applied to the model</w:t>
      </w:r>
      <w:r w:rsidR="00414811" w:rsidRPr="008B02E0">
        <w:rPr>
          <w:iCs/>
        </w:rPr>
        <w:t xml:space="preserve">. </w:t>
      </w:r>
      <w:r w:rsidR="00C327CA" w:rsidRPr="008B02E0">
        <w:rPr>
          <w:iCs/>
        </w:rPr>
        <w:t>T</w:t>
      </w:r>
      <w:r w:rsidR="00414811" w:rsidRPr="008B02E0">
        <w:rPr>
          <w:iCs/>
        </w:rPr>
        <w:t>he PSCR provided an updated economic model with two additional scenarios to estimate time on treatment for the pembrolizumab arm based on: 1) nivolumab plus ipilimumab TTD and 2) nivolumab monotherapy</w:t>
      </w:r>
      <w:r w:rsidR="00296A46" w:rsidRPr="008B02E0">
        <w:rPr>
          <w:iCs/>
        </w:rPr>
        <w:t xml:space="preserve"> (</w:t>
      </w:r>
      <w:r w:rsidR="00537E8A" w:rsidRPr="008B02E0">
        <w:rPr>
          <w:iCs/>
        </w:rPr>
        <w:t>CM</w:t>
      </w:r>
      <w:r w:rsidR="009E5502">
        <w:rPr>
          <w:iCs/>
        </w:rPr>
        <w:noBreakHyphen/>
      </w:r>
      <w:r w:rsidR="00537E8A" w:rsidRPr="008B02E0">
        <w:rPr>
          <w:iCs/>
        </w:rPr>
        <w:t>8H</w:t>
      </w:r>
      <w:r w:rsidR="00764F4C" w:rsidRPr="008B02E0">
        <w:rPr>
          <w:iCs/>
        </w:rPr>
        <w:t xml:space="preserve">W </w:t>
      </w:r>
      <w:r w:rsidR="00296A46" w:rsidRPr="008B02E0">
        <w:rPr>
          <w:iCs/>
        </w:rPr>
        <w:t>all lines of therapy)</w:t>
      </w:r>
      <w:r w:rsidR="00414811" w:rsidRPr="008B02E0">
        <w:rPr>
          <w:iCs/>
        </w:rPr>
        <w:t xml:space="preserve"> </w:t>
      </w:r>
      <w:r w:rsidR="00C327CA" w:rsidRPr="008B02E0">
        <w:rPr>
          <w:iCs/>
        </w:rPr>
        <w:t>TTD</w:t>
      </w:r>
      <w:r w:rsidR="00414811" w:rsidRPr="008B02E0">
        <w:rPr>
          <w:iCs/>
        </w:rPr>
        <w:t>.</w:t>
      </w:r>
      <w:r w:rsidR="004454DD" w:rsidRPr="008B02E0">
        <w:rPr>
          <w:iCs/>
        </w:rPr>
        <w:t xml:space="preserve"> </w:t>
      </w:r>
      <w:r w:rsidR="00B41690" w:rsidRPr="008B02E0">
        <w:rPr>
          <w:iCs/>
        </w:rPr>
        <w:t>However, these</w:t>
      </w:r>
      <w:r w:rsidR="002D5F3A" w:rsidRPr="008B02E0">
        <w:rPr>
          <w:iCs/>
        </w:rPr>
        <w:t xml:space="preserve"> examples did not </w:t>
      </w:r>
      <w:r w:rsidR="000A2C9A" w:rsidRPr="008B02E0">
        <w:rPr>
          <w:iCs/>
        </w:rPr>
        <w:t xml:space="preserve">address the issue </w:t>
      </w:r>
      <w:r w:rsidR="00B41690" w:rsidRPr="008B02E0">
        <w:rPr>
          <w:iCs/>
        </w:rPr>
        <w:t xml:space="preserve">that time on treatment was likely overestimated in the pembrolizumab arm. </w:t>
      </w:r>
      <w:r w:rsidR="00AE5268" w:rsidRPr="008B02E0">
        <w:rPr>
          <w:iCs/>
        </w:rPr>
        <w:t>W</w:t>
      </w:r>
      <w:r w:rsidR="002D348F" w:rsidRPr="008B02E0">
        <w:rPr>
          <w:iCs/>
        </w:rPr>
        <w:t>hen time on pembrolizumab was set equal to time on nivolumab plus ipilimumab, it increased time on pembrolizumab compared to</w:t>
      </w:r>
      <w:r w:rsidR="00AE5268" w:rsidRPr="008B02E0">
        <w:rPr>
          <w:iCs/>
        </w:rPr>
        <w:t xml:space="preserve"> the</w:t>
      </w:r>
      <w:r w:rsidR="002D348F" w:rsidRPr="008B02E0">
        <w:rPr>
          <w:iCs/>
        </w:rPr>
        <w:t xml:space="preserve"> base case and resulted in patients receiving pembrolizumab in progressed disease</w:t>
      </w:r>
      <w:r w:rsidR="00AE5268" w:rsidRPr="008B02E0">
        <w:rPr>
          <w:iCs/>
        </w:rPr>
        <w:t>.</w:t>
      </w:r>
      <w:r w:rsidR="00A91BA3" w:rsidRPr="008B02E0">
        <w:rPr>
          <w:iCs/>
        </w:rPr>
        <w:t xml:space="preserve"> Setting time on pembrolizumab to nivolumab monotherapy did not substantially change the time spent on treatment.</w:t>
      </w:r>
    </w:p>
    <w:p w14:paraId="10E54D78" w14:textId="5A018087" w:rsidR="00192E01" w:rsidRPr="00192E01" w:rsidRDefault="00EB6430" w:rsidP="00AE5B32">
      <w:pPr>
        <w:pStyle w:val="3-BodyText"/>
        <w:rPr>
          <w:color w:val="0066FF"/>
        </w:rPr>
      </w:pPr>
      <w:r w:rsidRPr="008B02E0">
        <w:rPr>
          <w:iCs/>
        </w:rPr>
        <w:t>PFS benefit was the key driver of the ICER and served as a surrogate for OS. The model predicted that for every progression free life</w:t>
      </w:r>
      <w:r w:rsidR="009E5502">
        <w:rPr>
          <w:iCs/>
        </w:rPr>
        <w:noBreakHyphen/>
      </w:r>
      <w:r w:rsidRPr="008B02E0">
        <w:rPr>
          <w:iCs/>
        </w:rPr>
        <w:t>year gained in the nivolumab plus ipilimumab versus pembrolizumab, patients gained 0.77 life</w:t>
      </w:r>
      <w:r w:rsidR="009E5502">
        <w:rPr>
          <w:iCs/>
        </w:rPr>
        <w:noBreakHyphen/>
      </w:r>
      <w:r w:rsidRPr="008B02E0">
        <w:rPr>
          <w:iCs/>
        </w:rPr>
        <w:t>years (LYs). While PFS improvements may translate to OS benefit, the size of this benefit remains unproven, particularly in combination immune checkpoint inhibitors compared to monotherapy.</w:t>
      </w:r>
    </w:p>
    <w:p w14:paraId="51EF414B" w14:textId="12A4BFC0" w:rsidR="00EB6430" w:rsidRPr="008B02E0" w:rsidRDefault="00EB6430" w:rsidP="00AE5B32">
      <w:pPr>
        <w:pStyle w:val="3-BodyText"/>
        <w:rPr>
          <w:color w:val="0066FF"/>
        </w:rPr>
      </w:pPr>
      <w:r w:rsidRPr="008B02E0">
        <w:rPr>
          <w:rFonts w:eastAsiaTheme="minorHAnsi"/>
        </w:rPr>
        <w:t xml:space="preserve">The submission applied health state utilities to PF (0.801) and PD (0.745), which did not differ by treatment received. These were sourced from </w:t>
      </w:r>
      <w:r w:rsidRPr="008B02E0">
        <w:t>linear mixed models for repeated measures</w:t>
      </w:r>
      <w:r w:rsidRPr="008B02E0">
        <w:rPr>
          <w:rFonts w:eastAsiaTheme="minorHAnsi"/>
        </w:rPr>
        <w:t xml:space="preserve"> of CM</w:t>
      </w:r>
      <w:r w:rsidR="009E5502">
        <w:rPr>
          <w:rFonts w:eastAsiaTheme="minorHAnsi"/>
        </w:rPr>
        <w:noBreakHyphen/>
      </w:r>
      <w:r w:rsidRPr="008B02E0">
        <w:rPr>
          <w:rFonts w:eastAsiaTheme="minorHAnsi"/>
        </w:rPr>
        <w:t>8HW 1L EQ</w:t>
      </w:r>
      <w:r w:rsidR="009E5502">
        <w:rPr>
          <w:rFonts w:eastAsiaTheme="minorHAnsi"/>
        </w:rPr>
        <w:noBreakHyphen/>
      </w:r>
      <w:r w:rsidRPr="008B02E0">
        <w:rPr>
          <w:rFonts w:eastAsiaTheme="minorHAnsi"/>
        </w:rPr>
        <w:t>5D</w:t>
      </w:r>
      <w:r w:rsidR="009E5502">
        <w:rPr>
          <w:rFonts w:eastAsiaTheme="minorHAnsi"/>
        </w:rPr>
        <w:noBreakHyphen/>
      </w:r>
      <w:r w:rsidRPr="008B02E0">
        <w:rPr>
          <w:rFonts w:eastAsiaTheme="minorHAnsi"/>
        </w:rPr>
        <w:t>3L data (DCO: 12 October 2023) pre</w:t>
      </w:r>
      <w:r w:rsidR="009E5502">
        <w:rPr>
          <w:rFonts w:eastAsiaTheme="minorHAnsi"/>
        </w:rPr>
        <w:noBreakHyphen/>
      </w:r>
      <w:r w:rsidRPr="008B02E0">
        <w:rPr>
          <w:rFonts w:eastAsiaTheme="minorHAnsi"/>
        </w:rPr>
        <w:t xml:space="preserve"> and post</w:t>
      </w:r>
      <w:r w:rsidR="009E5502">
        <w:rPr>
          <w:rFonts w:eastAsiaTheme="minorHAnsi"/>
        </w:rPr>
        <w:noBreakHyphen/>
      </w:r>
      <w:r w:rsidRPr="008B02E0">
        <w:rPr>
          <w:rFonts w:eastAsiaTheme="minorHAnsi"/>
        </w:rPr>
        <w:t>progression, mapped to Australian preference weights using Viney et al., 2011</w:t>
      </w:r>
      <w:r w:rsidRPr="008B02E0">
        <w:rPr>
          <w:rStyle w:val="FootnoteReference"/>
          <w:rFonts w:eastAsiaTheme="minorHAnsi"/>
        </w:rPr>
        <w:footnoteReference w:id="29"/>
      </w:r>
      <w:r w:rsidRPr="008B02E0">
        <w:rPr>
          <w:rFonts w:eastAsiaTheme="minorHAnsi"/>
        </w:rPr>
        <w:t xml:space="preserve">. The PF utility estimate was based on a </w:t>
      </w:r>
      <w:r w:rsidRPr="008B02E0">
        <w:t>linear mixed</w:t>
      </w:r>
      <w:r w:rsidRPr="008B02E0">
        <w:rPr>
          <w:rFonts w:eastAsiaTheme="minorHAnsi"/>
        </w:rPr>
        <w:t xml:space="preserve"> model that compared the nivolumab plus ipilimumab and chemotherapy arms, and the PD utility estimate was based on a </w:t>
      </w:r>
      <w:r w:rsidRPr="008B02E0">
        <w:t>linear mixed</w:t>
      </w:r>
      <w:r w:rsidRPr="008B02E0">
        <w:rPr>
          <w:rFonts w:eastAsiaTheme="minorHAnsi"/>
        </w:rPr>
        <w:t xml:space="preserve"> model that combined the nivolumab plus ipilimumab and chemotherapy arms. </w:t>
      </w:r>
    </w:p>
    <w:p w14:paraId="62A8B92E" w14:textId="30CBFE15" w:rsidR="00EB6430" w:rsidRPr="008B02E0" w:rsidRDefault="00EB6430" w:rsidP="00AE5B32">
      <w:pPr>
        <w:pStyle w:val="3-BodyText"/>
        <w:rPr>
          <w:color w:val="0066FF"/>
        </w:rPr>
      </w:pPr>
      <w:r w:rsidRPr="008B02E0">
        <w:rPr>
          <w:iCs/>
        </w:rPr>
        <w:t xml:space="preserve">Given the additional toxicity of ipilimumab in combination with nivolumab there may be an additional utility decrement compared to pembrolizumab. </w:t>
      </w:r>
      <w:r w:rsidR="00DA5E97" w:rsidRPr="008B02E0">
        <w:rPr>
          <w:iCs/>
        </w:rPr>
        <w:t>While one</w:t>
      </w:r>
      <w:r w:rsidR="009E5502">
        <w:rPr>
          <w:iCs/>
        </w:rPr>
        <w:noBreakHyphen/>
      </w:r>
      <w:r w:rsidR="00DA5E97" w:rsidRPr="008B02E0">
        <w:rPr>
          <w:iCs/>
        </w:rPr>
        <w:t>off AE disutilities were included in the model, it was unclear whether these adequately capture</w:t>
      </w:r>
      <w:r w:rsidR="0034003D" w:rsidRPr="008B02E0">
        <w:rPr>
          <w:iCs/>
        </w:rPr>
        <w:t>d</w:t>
      </w:r>
      <w:r w:rsidR="00DA5E97" w:rsidRPr="008B02E0">
        <w:rPr>
          <w:iCs/>
        </w:rPr>
        <w:t xml:space="preserve"> the additional toxicity of ipilimumab. </w:t>
      </w:r>
      <w:r w:rsidRPr="008B02E0">
        <w:rPr>
          <w:iCs/>
        </w:rPr>
        <w:t xml:space="preserve">Utility data from the nivolumab </w:t>
      </w:r>
      <w:r w:rsidRPr="008B02E0">
        <w:rPr>
          <w:iCs/>
        </w:rPr>
        <w:lastRenderedPageBreak/>
        <w:t>monotherapy arm of CM</w:t>
      </w:r>
      <w:r w:rsidR="009E5502">
        <w:rPr>
          <w:iCs/>
        </w:rPr>
        <w:noBreakHyphen/>
      </w:r>
      <w:r w:rsidRPr="008B02E0">
        <w:rPr>
          <w:iCs/>
        </w:rPr>
        <w:t>8HW 1L may be informative to quantify the additional toxicity of ipilimumab when added to immune checkpoint inhibitor monotherapy.</w:t>
      </w:r>
    </w:p>
    <w:p w14:paraId="7DD4F8DE" w14:textId="77777777" w:rsidR="00EB6430" w:rsidRPr="008B02E0" w:rsidRDefault="00EB6430" w:rsidP="00AE5B32">
      <w:pPr>
        <w:pStyle w:val="3-BodyText"/>
        <w:rPr>
          <w:color w:val="0066FF"/>
        </w:rPr>
      </w:pPr>
      <w:r w:rsidRPr="008B02E0">
        <w:rPr>
          <w:rFonts w:eastAsiaTheme="minorHAnsi"/>
        </w:rPr>
        <w:t>Utility values were also adjusted for age, using general population utilities reported in Clemens et al., 2014</w:t>
      </w:r>
      <w:r w:rsidRPr="008B02E0">
        <w:rPr>
          <w:rStyle w:val="FootnoteReference"/>
          <w:rFonts w:eastAsiaTheme="minorHAnsi"/>
        </w:rPr>
        <w:footnoteReference w:id="30"/>
      </w:r>
      <w:r w:rsidRPr="008B02E0">
        <w:rPr>
          <w:rFonts w:eastAsiaTheme="minorHAnsi"/>
        </w:rPr>
        <w:t xml:space="preserve"> (5,555 Queensland participants surveyed in 2011) to estimate a multiplying factor according to patient age, centred on age 55 years. </w:t>
      </w:r>
      <w:r w:rsidRPr="008B02E0">
        <w:rPr>
          <w:iCs/>
        </w:rPr>
        <w:t>The age adjustment had little impact on the ICER.</w:t>
      </w:r>
    </w:p>
    <w:p w14:paraId="02BAA6D0" w14:textId="770CBAB1" w:rsidR="00EB6430" w:rsidRPr="008B02E0" w:rsidRDefault="00EB6430" w:rsidP="00AE5B32">
      <w:pPr>
        <w:pStyle w:val="3-BodyText"/>
        <w:rPr>
          <w:color w:val="0066FF"/>
        </w:rPr>
      </w:pPr>
      <w:r w:rsidRPr="008B02E0">
        <w:t>The submission included a terminal care cost of $33,533</w:t>
      </w:r>
      <w:r w:rsidR="00F76990" w:rsidRPr="008B02E0">
        <w:t xml:space="preserve"> </w:t>
      </w:r>
      <w:r w:rsidRPr="008B02E0">
        <w:t xml:space="preserve">based on Langton et al., 2016 </w:t>
      </w:r>
      <w:r w:rsidR="004453CA" w:rsidRPr="008B02E0">
        <w:t>(</w:t>
      </w:r>
      <w:r w:rsidRPr="008B02E0">
        <w:t>$23,215</w:t>
      </w:r>
      <w:r w:rsidR="00D24987" w:rsidRPr="008B02E0">
        <w:t xml:space="preserve"> </w:t>
      </w:r>
      <w:r w:rsidRPr="008B02E0">
        <w:t>2009 AUD inflated to 2023/24</w:t>
      </w:r>
      <w:r w:rsidR="00CC6128" w:rsidRPr="008B02E0">
        <w:t>)</w:t>
      </w:r>
      <w:r w:rsidRPr="008B02E0">
        <w:t xml:space="preserve">. </w:t>
      </w:r>
      <w:r w:rsidRPr="008B02E0">
        <w:rPr>
          <w:iCs/>
        </w:rPr>
        <w:t>The terminal care cost included diagnostic procedures, specialist visits, and pathology costs accrued in the last 6 months of life, some of which were likely already captured in the health state costs. The ICER was moderately sensitive to the terminal care cost.</w:t>
      </w:r>
      <w:r w:rsidR="007230E5" w:rsidRPr="008B02E0">
        <w:rPr>
          <w:iCs/>
        </w:rPr>
        <w:t xml:space="preserve"> </w:t>
      </w:r>
      <w:r w:rsidR="000240B5" w:rsidRPr="008B02E0">
        <w:t xml:space="preserve">The ESC agreed with the evaluation that this </w:t>
      </w:r>
      <w:r w:rsidR="007230E5" w:rsidRPr="008B02E0">
        <w:t xml:space="preserve">may </w:t>
      </w:r>
      <w:r w:rsidR="007230E5" w:rsidRPr="008B02E0">
        <w:rPr>
          <w:iCs/>
        </w:rPr>
        <w:t xml:space="preserve">not be appropriate given the submission did not present </w:t>
      </w:r>
      <w:r w:rsidR="00E053F9" w:rsidRPr="008B02E0">
        <w:t>comparative</w:t>
      </w:r>
      <w:r w:rsidR="00E053F9" w:rsidRPr="008B02E0">
        <w:rPr>
          <w:iCs/>
        </w:rPr>
        <w:t xml:space="preserve"> </w:t>
      </w:r>
      <w:r w:rsidR="007230E5" w:rsidRPr="008B02E0">
        <w:rPr>
          <w:iCs/>
        </w:rPr>
        <w:t>OS data for nivolumab plus ipilimumab.</w:t>
      </w:r>
    </w:p>
    <w:p w14:paraId="4D9E1B5B" w14:textId="73F768BF" w:rsidR="00EB6430" w:rsidRPr="008B02E0" w:rsidRDefault="00EB6430" w:rsidP="00AE5B32">
      <w:pPr>
        <w:pStyle w:val="3-BodyText"/>
        <w:rPr>
          <w:color w:val="0066FF"/>
        </w:rPr>
      </w:pPr>
      <w:r w:rsidRPr="008B02E0">
        <w:t>One</w:t>
      </w:r>
      <w:r w:rsidR="009E5502">
        <w:noBreakHyphen/>
      </w:r>
      <w:r w:rsidRPr="008B02E0">
        <w:t>off costs and disutilities for adverse events were included in the</w:t>
      </w:r>
      <w:r w:rsidR="00EA437C" w:rsidRPr="008B02E0">
        <w:t xml:space="preserve"> first model cycle </w:t>
      </w:r>
      <w:r w:rsidRPr="008B02E0">
        <w:t>based on the relevant incidence of Grade 3</w:t>
      </w:r>
      <w:r w:rsidR="009E5502">
        <w:noBreakHyphen/>
      </w:r>
      <w:r w:rsidRPr="008B02E0">
        <w:t xml:space="preserve">4 adverse events occurring in </w:t>
      </w:r>
      <w:r w:rsidRPr="008B02E0">
        <w:rPr>
          <w:rFonts w:cs="Calibri"/>
        </w:rPr>
        <w:t>≥</w:t>
      </w:r>
      <w:r w:rsidRPr="008B02E0">
        <w:t>2% of patients from CM</w:t>
      </w:r>
      <w:r w:rsidR="009E5502">
        <w:noBreakHyphen/>
      </w:r>
      <w:r w:rsidRPr="008B02E0">
        <w:t>8HW 1L+ and KN</w:t>
      </w:r>
      <w:r w:rsidR="009E5502">
        <w:noBreakHyphen/>
      </w:r>
      <w:r w:rsidRPr="008B02E0">
        <w:t>177, disutilities from previous NICE technology assessments (mCRC and other disease areas), and event costs were based on AR</w:t>
      </w:r>
      <w:r w:rsidR="009E5502">
        <w:noBreakHyphen/>
      </w:r>
      <w:r w:rsidRPr="008B02E0">
        <w:t xml:space="preserve">DRG codes, weighted for public and private use. </w:t>
      </w:r>
      <w:r w:rsidRPr="008B02E0">
        <w:rPr>
          <w:iCs/>
        </w:rPr>
        <w:t>Adverse events were not a key driver of the ICER.</w:t>
      </w:r>
    </w:p>
    <w:p w14:paraId="1ACCA55F" w14:textId="15C588ED" w:rsidR="00F418FD" w:rsidRPr="008B02E0" w:rsidRDefault="00B44985" w:rsidP="00AE5B32">
      <w:pPr>
        <w:pStyle w:val="3-BodyText"/>
        <w:rPr>
          <w:color w:val="0066FF"/>
        </w:rPr>
      </w:pPr>
      <w:r w:rsidRPr="008B02E0">
        <w:rPr>
          <w:iCs/>
        </w:rPr>
        <w:t>Modelled PFS and OS was compared to the PFS and OS KM data from multiple sources for validation</w:t>
      </w:r>
      <w:r w:rsidR="00D53219" w:rsidRPr="008B02E0">
        <w:rPr>
          <w:iCs/>
        </w:rPr>
        <w:t xml:space="preserve"> during the evaluation</w:t>
      </w:r>
      <w:r w:rsidRPr="008B02E0">
        <w:rPr>
          <w:iCs/>
        </w:rPr>
        <w:t xml:space="preserve"> </w:t>
      </w:r>
      <w:r w:rsidR="00D53219" w:rsidRPr="008B02E0">
        <w:rPr>
          <w:iCs/>
        </w:rPr>
        <w:t>(</w:t>
      </w:r>
      <w:r w:rsidR="00D53219" w:rsidRPr="008B02E0">
        <w:rPr>
          <w:iCs/>
        </w:rPr>
        <w:fldChar w:fldCharType="begin"/>
      </w:r>
      <w:r w:rsidR="00D53219" w:rsidRPr="008B02E0">
        <w:rPr>
          <w:iCs/>
        </w:rPr>
        <w:instrText xml:space="preserve"> REF _Ref201137171 \h  \* MERGEFORMAT </w:instrText>
      </w:r>
      <w:r w:rsidR="00D53219" w:rsidRPr="008B02E0">
        <w:rPr>
          <w:iCs/>
        </w:rPr>
      </w:r>
      <w:r w:rsidR="00D53219" w:rsidRPr="008B02E0">
        <w:rPr>
          <w:iCs/>
        </w:rPr>
        <w:fldChar w:fldCharType="separate"/>
      </w:r>
      <w:r w:rsidR="00B542C9" w:rsidRPr="008B02E0">
        <w:rPr>
          <w:iCs/>
        </w:rPr>
        <w:t xml:space="preserve">Figure </w:t>
      </w:r>
      <w:r w:rsidR="00B542C9">
        <w:rPr>
          <w:iCs/>
          <w:noProof/>
        </w:rPr>
        <w:t>9</w:t>
      </w:r>
      <w:r w:rsidR="00D53219" w:rsidRPr="008B02E0">
        <w:rPr>
          <w:iCs/>
        </w:rPr>
        <w:fldChar w:fldCharType="end"/>
      </w:r>
      <w:r w:rsidR="00D53219" w:rsidRPr="008B02E0">
        <w:rPr>
          <w:iCs/>
        </w:rPr>
        <w:t>).</w:t>
      </w:r>
      <w:r w:rsidRPr="008B02E0">
        <w:rPr>
          <w:iCs/>
        </w:rPr>
        <w:t xml:space="preserve"> </w:t>
      </w:r>
      <w:r w:rsidR="0003142F" w:rsidRPr="008B02E0">
        <w:rPr>
          <w:iCs/>
        </w:rPr>
        <w:t>These data were extracted using Liu et al. 2020</w:t>
      </w:r>
      <w:r w:rsidR="00AC3F92" w:rsidRPr="008B02E0">
        <w:rPr>
          <w:rStyle w:val="FootnoteReference"/>
          <w:iCs/>
        </w:rPr>
        <w:footnoteReference w:id="31"/>
      </w:r>
      <w:r w:rsidR="00AC3F92" w:rsidRPr="008B02E0">
        <w:rPr>
          <w:iCs/>
        </w:rPr>
        <w:t>.</w:t>
      </w:r>
    </w:p>
    <w:p w14:paraId="629EFFF3" w14:textId="6BE7E881" w:rsidR="00B804C4" w:rsidRPr="008B02E0" w:rsidRDefault="00F418FD" w:rsidP="00AE5B32">
      <w:pPr>
        <w:pStyle w:val="TableFigureHeading"/>
        <w:rPr>
          <w:iCs/>
        </w:rPr>
      </w:pPr>
      <w:bookmarkStart w:id="87" w:name="_Ref201137171"/>
      <w:r w:rsidRPr="008B02E0">
        <w:rPr>
          <w:iCs/>
        </w:rPr>
        <w:lastRenderedPageBreak/>
        <w:t xml:space="preserve">Figure </w:t>
      </w:r>
      <w:r w:rsidRPr="008B02E0">
        <w:rPr>
          <w:iCs/>
        </w:rPr>
        <w:fldChar w:fldCharType="begin"/>
      </w:r>
      <w:r w:rsidRPr="008B02E0">
        <w:rPr>
          <w:iCs/>
        </w:rPr>
        <w:instrText xml:space="preserve"> SEQ Figure \* ARABIC </w:instrText>
      </w:r>
      <w:r w:rsidRPr="008B02E0">
        <w:rPr>
          <w:iCs/>
        </w:rPr>
        <w:fldChar w:fldCharType="separate"/>
      </w:r>
      <w:r w:rsidR="00B542C9">
        <w:rPr>
          <w:iCs/>
          <w:noProof/>
        </w:rPr>
        <w:t>9</w:t>
      </w:r>
      <w:r w:rsidRPr="008B02E0">
        <w:rPr>
          <w:iCs/>
        </w:rPr>
        <w:fldChar w:fldCharType="end"/>
      </w:r>
      <w:bookmarkEnd w:id="87"/>
      <w:r w:rsidRPr="008B02E0">
        <w:rPr>
          <w:iCs/>
        </w:rPr>
        <w:t>:</w:t>
      </w:r>
      <w:r w:rsidR="00B804C4" w:rsidRPr="008B02E0">
        <w:rPr>
          <w:iCs/>
        </w:rPr>
        <w:t xml:space="preserve"> Submission base case compared to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804C4" w:rsidRPr="008B02E0" w14:paraId="597C8317" w14:textId="77777777" w:rsidTr="001C3577">
        <w:tc>
          <w:tcPr>
            <w:tcW w:w="4418" w:type="dxa"/>
            <w:vAlign w:val="center"/>
          </w:tcPr>
          <w:p w14:paraId="08CDFCA0" w14:textId="77777777" w:rsidR="00B804C4" w:rsidRPr="008B02E0" w:rsidRDefault="00B804C4" w:rsidP="00AE5B32">
            <w:pPr>
              <w:pStyle w:val="In-tableHeading"/>
              <w:jc w:val="center"/>
              <w:rPr>
                <w:iCs/>
                <w:lang w:val="en-AU"/>
              </w:rPr>
            </w:pPr>
            <w:r w:rsidRPr="008B02E0">
              <w:rPr>
                <w:iCs/>
                <w:lang w:val="en-AU"/>
              </w:rPr>
              <w:t xml:space="preserve">PFS </w:t>
            </w:r>
          </w:p>
          <w:p w14:paraId="61613674" w14:textId="77777777" w:rsidR="00B804C4" w:rsidRPr="008B02E0" w:rsidRDefault="00B804C4" w:rsidP="00AE5B32">
            <w:pPr>
              <w:pStyle w:val="In-tableHeading"/>
              <w:jc w:val="center"/>
              <w:rPr>
                <w:i/>
                <w:iCs/>
                <w:lang w:val="en-AU"/>
              </w:rPr>
            </w:pPr>
            <w:r w:rsidRPr="008B02E0">
              <w:rPr>
                <w:iCs/>
                <w:lang w:val="en-AU"/>
              </w:rPr>
              <w:t>NIVO+IPI arm</w:t>
            </w:r>
          </w:p>
        </w:tc>
        <w:tc>
          <w:tcPr>
            <w:tcW w:w="4609" w:type="dxa"/>
            <w:vAlign w:val="center"/>
          </w:tcPr>
          <w:p w14:paraId="6972E00C" w14:textId="77777777" w:rsidR="00B804C4" w:rsidRPr="008B02E0" w:rsidRDefault="00B804C4" w:rsidP="00AE5B32">
            <w:pPr>
              <w:pStyle w:val="In-tableHeading"/>
              <w:jc w:val="center"/>
              <w:rPr>
                <w:iCs/>
                <w:lang w:val="en-AU"/>
              </w:rPr>
            </w:pPr>
            <w:r w:rsidRPr="008B02E0">
              <w:rPr>
                <w:iCs/>
                <w:lang w:val="en-AU"/>
              </w:rPr>
              <w:t xml:space="preserve">PFS </w:t>
            </w:r>
          </w:p>
          <w:p w14:paraId="770A1961" w14:textId="77777777" w:rsidR="00B804C4" w:rsidRPr="008B02E0" w:rsidRDefault="00B804C4" w:rsidP="00AE5B32">
            <w:pPr>
              <w:pStyle w:val="In-tableHeading"/>
              <w:jc w:val="center"/>
              <w:rPr>
                <w:i/>
                <w:iCs/>
                <w:lang w:val="en-AU"/>
              </w:rPr>
            </w:pPr>
            <w:r w:rsidRPr="008B02E0">
              <w:rPr>
                <w:iCs/>
                <w:lang w:val="en-AU"/>
              </w:rPr>
              <w:t>Pembrolizumab arm</w:t>
            </w:r>
          </w:p>
        </w:tc>
      </w:tr>
      <w:tr w:rsidR="00B804C4" w:rsidRPr="008B02E0" w14:paraId="7D461593" w14:textId="77777777" w:rsidTr="001C3577">
        <w:tc>
          <w:tcPr>
            <w:tcW w:w="4418" w:type="dxa"/>
            <w:vAlign w:val="center"/>
          </w:tcPr>
          <w:p w14:paraId="18BDF614" w14:textId="3F980E3D" w:rsidR="00B804C4" w:rsidRPr="008B02E0" w:rsidRDefault="00B804C4" w:rsidP="00AE5B32">
            <w:pPr>
              <w:pStyle w:val="In-tableHeading"/>
              <w:jc w:val="center"/>
              <w:rPr>
                <w:iCs/>
                <w:lang w:val="en-AU"/>
              </w:rPr>
            </w:pPr>
            <w:r w:rsidRPr="008B02E0">
              <w:rPr>
                <w:iCs/>
                <w:noProof/>
                <w:lang w:val="en-AU"/>
              </w:rPr>
              <w:drawing>
                <wp:inline distT="0" distB="0" distL="0" distR="0" wp14:anchorId="319B3328" wp14:editId="67DA3679">
                  <wp:extent cx="2790000" cy="1813454"/>
                  <wp:effectExtent l="0" t="0" r="0" b="0"/>
                  <wp:docPr id="14" name="Picture 14" descr="Figure 9: Submission base case compared to studies - PFS NIVO+IPI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9: Submission base case compared to studies - PFS NIVO+IPI ar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000" cy="1813454"/>
                          </a:xfrm>
                          <a:prstGeom prst="rect">
                            <a:avLst/>
                          </a:prstGeom>
                          <a:noFill/>
                        </pic:spPr>
                      </pic:pic>
                    </a:graphicData>
                  </a:graphic>
                </wp:inline>
              </w:drawing>
            </w:r>
          </w:p>
        </w:tc>
        <w:tc>
          <w:tcPr>
            <w:tcW w:w="4609" w:type="dxa"/>
            <w:vAlign w:val="center"/>
          </w:tcPr>
          <w:p w14:paraId="4A96263F" w14:textId="77777777" w:rsidR="00B804C4" w:rsidRPr="008B02E0" w:rsidRDefault="00B804C4" w:rsidP="00AE5B32">
            <w:pPr>
              <w:pStyle w:val="In-tableHeading"/>
              <w:jc w:val="center"/>
              <w:rPr>
                <w:iCs/>
                <w:lang w:val="en-AU"/>
              </w:rPr>
            </w:pPr>
            <w:r w:rsidRPr="008B02E0">
              <w:rPr>
                <w:iCs/>
                <w:noProof/>
                <w:lang w:val="en-AU"/>
              </w:rPr>
              <w:drawing>
                <wp:inline distT="0" distB="0" distL="0" distR="0" wp14:anchorId="4EE4EF72" wp14:editId="68120320">
                  <wp:extent cx="2790000" cy="1813454"/>
                  <wp:effectExtent l="0" t="0" r="0" b="0"/>
                  <wp:docPr id="16" name="Picture 16" descr="Figure 9: Submission base case compared to studies - PFS Pembrolizuma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9: Submission base case compared to studies - PFS Pembrolizumab ar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0000" cy="1813454"/>
                          </a:xfrm>
                          <a:prstGeom prst="rect">
                            <a:avLst/>
                          </a:prstGeom>
                          <a:noFill/>
                        </pic:spPr>
                      </pic:pic>
                    </a:graphicData>
                  </a:graphic>
                </wp:inline>
              </w:drawing>
            </w:r>
          </w:p>
        </w:tc>
      </w:tr>
      <w:tr w:rsidR="00B804C4" w:rsidRPr="008B02E0" w14:paraId="1AA5DEB8" w14:textId="77777777" w:rsidTr="001C3577">
        <w:tc>
          <w:tcPr>
            <w:tcW w:w="9027" w:type="dxa"/>
            <w:gridSpan w:val="2"/>
            <w:vAlign w:val="center"/>
          </w:tcPr>
          <w:p w14:paraId="04B6AEAE" w14:textId="77777777" w:rsidR="00B804C4" w:rsidRPr="008B02E0" w:rsidRDefault="00B804C4" w:rsidP="00AE5B32">
            <w:pPr>
              <w:pStyle w:val="In-tableHeading"/>
              <w:jc w:val="center"/>
              <w:rPr>
                <w:iCs/>
                <w:noProof/>
                <w:lang w:val="en-AU"/>
              </w:rPr>
            </w:pPr>
            <w:r w:rsidRPr="008B02E0">
              <w:rPr>
                <w:iCs/>
                <w:noProof/>
                <w:lang w:val="en-AU"/>
              </w:rPr>
              <w:t>OS</w:t>
            </w:r>
          </w:p>
          <w:p w14:paraId="6F57E981" w14:textId="77777777" w:rsidR="00B804C4" w:rsidRPr="008B02E0" w:rsidRDefault="00B804C4" w:rsidP="00AE5B32">
            <w:pPr>
              <w:pStyle w:val="In-tableHeading"/>
              <w:jc w:val="center"/>
              <w:rPr>
                <w:i/>
                <w:iCs/>
                <w:noProof/>
                <w:lang w:val="en-AU"/>
              </w:rPr>
            </w:pPr>
            <w:r w:rsidRPr="008B02E0">
              <w:rPr>
                <w:iCs/>
                <w:noProof/>
                <w:lang w:val="en-AU"/>
              </w:rPr>
              <w:t>Both arms</w:t>
            </w:r>
          </w:p>
        </w:tc>
      </w:tr>
      <w:tr w:rsidR="00B804C4" w:rsidRPr="008B02E0" w14:paraId="791436DE" w14:textId="77777777" w:rsidTr="001C3577">
        <w:tc>
          <w:tcPr>
            <w:tcW w:w="9027" w:type="dxa"/>
            <w:gridSpan w:val="2"/>
            <w:vAlign w:val="center"/>
          </w:tcPr>
          <w:p w14:paraId="685DFF33" w14:textId="13FDEBA8" w:rsidR="00B804C4" w:rsidRPr="008B02E0" w:rsidRDefault="00B804C4" w:rsidP="00AE5B32">
            <w:pPr>
              <w:pStyle w:val="In-tableHeading"/>
              <w:jc w:val="center"/>
              <w:rPr>
                <w:iCs/>
                <w:noProof/>
                <w:lang w:val="en-AU"/>
              </w:rPr>
            </w:pPr>
            <w:r w:rsidRPr="008B02E0">
              <w:rPr>
                <w:iCs/>
                <w:noProof/>
                <w:lang w:val="en-AU"/>
              </w:rPr>
              <w:drawing>
                <wp:inline distT="0" distB="0" distL="0" distR="0" wp14:anchorId="2E5B0102" wp14:editId="66F745F1">
                  <wp:extent cx="2790000" cy="1817924"/>
                  <wp:effectExtent l="0" t="0" r="0" b="0"/>
                  <wp:docPr id="19" name="Picture 19" descr="Figure 9: Submission base case compared to studies - OS both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9: Submission base case compared to studies - OS both arm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r>
    </w:tbl>
    <w:p w14:paraId="56C6508B" w14:textId="10E9378C" w:rsidR="00B804C4" w:rsidRPr="008B02E0" w:rsidRDefault="00B804C4" w:rsidP="00AE5B32">
      <w:pPr>
        <w:pStyle w:val="TableFigureFooter"/>
        <w:rPr>
          <w:iCs/>
        </w:rPr>
      </w:pPr>
      <w:r w:rsidRPr="008B02E0">
        <w:rPr>
          <w:iCs/>
        </w:rPr>
        <w:t xml:space="preserve">Source: </w:t>
      </w:r>
      <w:r w:rsidR="00D24987" w:rsidRPr="008B02E0">
        <w:rPr>
          <w:iCs/>
        </w:rPr>
        <w:t>C</w:t>
      </w:r>
      <w:r w:rsidRPr="008B02E0">
        <w:rPr>
          <w:iCs/>
        </w:rPr>
        <w:t>ompiled during the evaluation Excel workbook ‘Attachment 10 – Nivo+Ipi 1L mCRC Economic Evaluation.xlsm’ and KM data extracted from:</w:t>
      </w:r>
      <w:r w:rsidR="00CD0F11" w:rsidRPr="008B02E0">
        <w:rPr>
          <w:iCs/>
        </w:rPr>
        <w:t xml:space="preserve"> </w:t>
      </w:r>
      <w:r w:rsidRPr="008B02E0">
        <w:rPr>
          <w:iCs/>
        </w:rPr>
        <w:t>CM</w:t>
      </w:r>
      <w:r w:rsidR="009E5502">
        <w:rPr>
          <w:iCs/>
        </w:rPr>
        <w:noBreakHyphen/>
      </w:r>
      <w:r w:rsidRPr="008B02E0">
        <w:rPr>
          <w:iCs/>
        </w:rPr>
        <w:t>8HW 1L from Attachment 9 of the submission (i.e. data cut</w:t>
      </w:r>
      <w:r w:rsidR="009E5502">
        <w:rPr>
          <w:iCs/>
        </w:rPr>
        <w:noBreakHyphen/>
      </w:r>
      <w:r w:rsidRPr="008B02E0">
        <w:rPr>
          <w:iCs/>
        </w:rPr>
        <w:t>off August 2024)</w:t>
      </w:r>
      <w:r w:rsidR="00CD0F11" w:rsidRPr="008B02E0">
        <w:rPr>
          <w:iCs/>
        </w:rPr>
        <w:t xml:space="preserve">; </w:t>
      </w:r>
      <w:r w:rsidRPr="008B02E0">
        <w:rPr>
          <w:iCs/>
        </w:rPr>
        <w:t>CM</w:t>
      </w:r>
      <w:r w:rsidR="009E5502">
        <w:rPr>
          <w:iCs/>
        </w:rPr>
        <w:noBreakHyphen/>
      </w:r>
      <w:r w:rsidRPr="008B02E0">
        <w:rPr>
          <w:iCs/>
        </w:rPr>
        <w:t>8HW 1L+ from the CM</w:t>
      </w:r>
      <w:r w:rsidR="009E5502">
        <w:rPr>
          <w:iCs/>
        </w:rPr>
        <w:noBreakHyphen/>
      </w:r>
      <w:r w:rsidRPr="008B02E0">
        <w:rPr>
          <w:iCs/>
        </w:rPr>
        <w:t>8HW Primary CSR</w:t>
      </w:r>
      <w:r w:rsidR="00CD0F11" w:rsidRPr="008B02E0">
        <w:rPr>
          <w:iCs/>
        </w:rPr>
        <w:t xml:space="preserve">; </w:t>
      </w:r>
      <w:r w:rsidRPr="008B02E0">
        <w:rPr>
          <w:iCs/>
        </w:rPr>
        <w:t>CM</w:t>
      </w:r>
      <w:r w:rsidR="009E5502">
        <w:rPr>
          <w:iCs/>
        </w:rPr>
        <w:noBreakHyphen/>
      </w:r>
      <w:r w:rsidRPr="008B02E0">
        <w:rPr>
          <w:iCs/>
        </w:rPr>
        <w:t>142 1L from Figure 14 and Figure, p82 of the submission</w:t>
      </w:r>
      <w:r w:rsidR="00CD0F11" w:rsidRPr="008B02E0">
        <w:rPr>
          <w:iCs/>
        </w:rPr>
        <w:t xml:space="preserve">; </w:t>
      </w:r>
      <w:r w:rsidRPr="008B02E0">
        <w:rPr>
          <w:iCs/>
        </w:rPr>
        <w:t>CM</w:t>
      </w:r>
      <w:r w:rsidR="009E5502">
        <w:rPr>
          <w:iCs/>
        </w:rPr>
        <w:noBreakHyphen/>
      </w:r>
      <w:r w:rsidRPr="008B02E0">
        <w:rPr>
          <w:iCs/>
        </w:rPr>
        <w:t xml:space="preserve">142 2L+ from André </w:t>
      </w:r>
      <w:r w:rsidR="0094185C" w:rsidRPr="008B02E0">
        <w:rPr>
          <w:iCs/>
        </w:rPr>
        <w:t>et al 2022</w:t>
      </w:r>
      <w:r w:rsidR="00CD0F11" w:rsidRPr="008B02E0">
        <w:rPr>
          <w:iCs/>
        </w:rPr>
        <w:t xml:space="preserve">; </w:t>
      </w:r>
      <w:r w:rsidRPr="008B02E0">
        <w:rPr>
          <w:iCs/>
        </w:rPr>
        <w:t>CM</w:t>
      </w:r>
      <w:r w:rsidR="009E5502">
        <w:rPr>
          <w:iCs/>
        </w:rPr>
        <w:noBreakHyphen/>
      </w:r>
      <w:r w:rsidRPr="008B02E0">
        <w:rPr>
          <w:iCs/>
        </w:rPr>
        <w:t xml:space="preserve">142 nivolumab monotherapy 1L+ from Overman </w:t>
      </w:r>
      <w:r w:rsidR="0094185C" w:rsidRPr="008B02E0">
        <w:rPr>
          <w:iCs/>
        </w:rPr>
        <w:t>et al 2017</w:t>
      </w:r>
      <w:r w:rsidR="00CD0F11" w:rsidRPr="008B02E0">
        <w:rPr>
          <w:iCs/>
        </w:rPr>
        <w:t xml:space="preserve">; </w:t>
      </w:r>
      <w:r w:rsidRPr="008B02E0">
        <w:rPr>
          <w:iCs/>
        </w:rPr>
        <w:t>KN</w:t>
      </w:r>
      <w:r w:rsidR="009E5502">
        <w:rPr>
          <w:iCs/>
        </w:rPr>
        <w:noBreakHyphen/>
      </w:r>
      <w:r w:rsidRPr="008B02E0">
        <w:rPr>
          <w:iCs/>
        </w:rPr>
        <w:t>177 from Figure 17 and 18 (p84 and 86) of the submission</w:t>
      </w:r>
      <w:r w:rsidR="00CD0F11" w:rsidRPr="008B02E0">
        <w:rPr>
          <w:iCs/>
        </w:rPr>
        <w:t xml:space="preserve">; </w:t>
      </w:r>
      <w:r w:rsidRPr="008B02E0">
        <w:rPr>
          <w:iCs/>
        </w:rPr>
        <w:t xml:space="preserve">Chemotherapy without immune checkpoint inhibitors from: Amonkar </w:t>
      </w:r>
      <w:r w:rsidR="00CD0F11" w:rsidRPr="008B02E0">
        <w:rPr>
          <w:iCs/>
        </w:rPr>
        <w:t>et al 2023</w:t>
      </w:r>
      <w:r w:rsidRPr="008B02E0">
        <w:rPr>
          <w:iCs/>
        </w:rPr>
        <w:t xml:space="preserve"> and Chong </w:t>
      </w:r>
      <w:r w:rsidR="00D53219" w:rsidRPr="008B02E0">
        <w:rPr>
          <w:iCs/>
        </w:rPr>
        <w:t>et al 2019</w:t>
      </w:r>
    </w:p>
    <w:p w14:paraId="3B3107D7" w14:textId="1D0BCF63" w:rsidR="00D53219" w:rsidRPr="008B02E0" w:rsidRDefault="00994F84" w:rsidP="00AE5B32">
      <w:pPr>
        <w:pStyle w:val="3-BodyText"/>
      </w:pPr>
      <w:r w:rsidRPr="008B02E0">
        <w:t>The ESC noted that the</w:t>
      </w:r>
      <w:r w:rsidRPr="008B02E0">
        <w:rPr>
          <w:iCs/>
        </w:rPr>
        <w:t xml:space="preserve"> m</w:t>
      </w:r>
      <w:r w:rsidR="00D53219" w:rsidRPr="008B02E0">
        <w:rPr>
          <w:iCs/>
        </w:rPr>
        <w:t>odelled PFS generally fitted the pembrolizumab PFS KM data from KN</w:t>
      </w:r>
      <w:r w:rsidR="009E5502">
        <w:rPr>
          <w:iCs/>
        </w:rPr>
        <w:noBreakHyphen/>
      </w:r>
      <w:r w:rsidR="00D53219" w:rsidRPr="008B02E0">
        <w:rPr>
          <w:iCs/>
        </w:rPr>
        <w:t>177 well and fitted the weighted and unweighted nivolumab plus ipilimumab 1L PFS KM data from CM</w:t>
      </w:r>
      <w:r w:rsidR="009E5502">
        <w:rPr>
          <w:iCs/>
        </w:rPr>
        <w:noBreakHyphen/>
      </w:r>
      <w:r w:rsidR="00D53219" w:rsidRPr="008B02E0">
        <w:rPr>
          <w:iCs/>
        </w:rPr>
        <w:t>8HW 1L well until around Year 3.</w:t>
      </w:r>
      <w:r w:rsidRPr="008B02E0">
        <w:rPr>
          <w:iCs/>
        </w:rPr>
        <w:t xml:space="preserve"> </w:t>
      </w:r>
      <w:r w:rsidRPr="008B02E0">
        <w:t>The ESC noted that the</w:t>
      </w:r>
      <w:r w:rsidR="00D53219" w:rsidRPr="008B02E0">
        <w:rPr>
          <w:color w:val="0066FF"/>
        </w:rPr>
        <w:t xml:space="preserve"> </w:t>
      </w:r>
      <w:r w:rsidRPr="008B02E0">
        <w:rPr>
          <w:iCs/>
        </w:rPr>
        <w:t>m</w:t>
      </w:r>
      <w:r w:rsidR="00D53219" w:rsidRPr="008B02E0">
        <w:rPr>
          <w:iCs/>
        </w:rPr>
        <w:t>odelled OS did not fit the pembrolizumab KM data from KN</w:t>
      </w:r>
      <w:r w:rsidR="009E5502">
        <w:rPr>
          <w:iCs/>
        </w:rPr>
        <w:noBreakHyphen/>
      </w:r>
      <w:r w:rsidR="00D53219" w:rsidRPr="008B02E0">
        <w:rPr>
          <w:iCs/>
        </w:rPr>
        <w:t>177 nor the nivolumab plus ipilimumab KM data from CM</w:t>
      </w:r>
      <w:r w:rsidR="009E5502">
        <w:rPr>
          <w:iCs/>
        </w:rPr>
        <w:noBreakHyphen/>
      </w:r>
      <w:r w:rsidR="00D53219" w:rsidRPr="008B02E0">
        <w:rPr>
          <w:iCs/>
        </w:rPr>
        <w:t xml:space="preserve">142 (1L or 2L+), tending to overestimate both until about Year 5. </w:t>
      </w:r>
      <w:r w:rsidRPr="008B02E0">
        <w:t xml:space="preserve">The ESC agreed with the evaluation that the extrapolation </w:t>
      </w:r>
      <w:r w:rsidR="00D53219" w:rsidRPr="008B02E0">
        <w:rPr>
          <w:iCs/>
        </w:rPr>
        <w:t>beyond this was uncertain.</w:t>
      </w:r>
    </w:p>
    <w:p w14:paraId="25F52854" w14:textId="04F9AE54" w:rsidR="00AF5ABA" w:rsidRPr="008B02E0" w:rsidRDefault="00EB6430" w:rsidP="00AE5B32">
      <w:pPr>
        <w:pStyle w:val="3-BodyText"/>
      </w:pPr>
      <w:r w:rsidRPr="008B02E0">
        <w:t xml:space="preserve">Modelled health state allocation is presented in </w:t>
      </w:r>
      <w:fldSimple w:instr=" REF _Ref197802955  \* MERGEFORMAT ">
        <w:r w:rsidR="00B542C9" w:rsidRPr="008B02E0">
          <w:t xml:space="preserve">Figure </w:t>
        </w:r>
        <w:r w:rsidR="00B542C9" w:rsidRPr="00B542C9">
          <w:rPr>
            <w:iCs/>
            <w:noProof/>
          </w:rPr>
          <w:t>10</w:t>
        </w:r>
      </w:fldSimple>
      <w:r w:rsidRPr="008B02E0">
        <w:t>.</w:t>
      </w:r>
    </w:p>
    <w:p w14:paraId="31D2C488" w14:textId="327F151B" w:rsidR="00EB6430" w:rsidRPr="008B02E0" w:rsidRDefault="00EB6430" w:rsidP="00AE5B32">
      <w:pPr>
        <w:pStyle w:val="TableFigureHeading"/>
      </w:pPr>
      <w:bookmarkStart w:id="88" w:name="_Ref197802955"/>
      <w:r w:rsidRPr="008B02E0">
        <w:lastRenderedPageBreak/>
        <w:t xml:space="preserve">Figure </w:t>
      </w:r>
      <w:r w:rsidR="008258C7">
        <w:fldChar w:fldCharType="begin"/>
      </w:r>
      <w:r w:rsidR="008258C7">
        <w:instrText xml:space="preserve"> SEQ Figure \* ARABIC </w:instrText>
      </w:r>
      <w:r w:rsidR="008258C7">
        <w:fldChar w:fldCharType="separate"/>
      </w:r>
      <w:r w:rsidR="00B542C9">
        <w:rPr>
          <w:noProof/>
        </w:rPr>
        <w:t>10</w:t>
      </w:r>
      <w:r w:rsidR="008258C7">
        <w:rPr>
          <w:noProof/>
        </w:rPr>
        <w:fldChar w:fldCharType="end"/>
      </w:r>
      <w:bookmarkEnd w:id="88"/>
      <w:r w:rsidRPr="008B02E0">
        <w:t>: Health state allocation in the base case</w:t>
      </w:r>
    </w:p>
    <w:p w14:paraId="7DCA753C" w14:textId="77777777" w:rsidR="00EB6430" w:rsidRPr="008B02E0" w:rsidRDefault="00EB6430" w:rsidP="00AE5B32">
      <w:r w:rsidRPr="008B02E0">
        <w:rPr>
          <w:noProof/>
        </w:rPr>
        <w:drawing>
          <wp:inline distT="0" distB="0" distL="0" distR="0" wp14:anchorId="0A82D575" wp14:editId="7E4E066B">
            <wp:extent cx="5725236" cy="2344420"/>
            <wp:effectExtent l="0" t="0" r="8890" b="0"/>
            <wp:docPr id="57" name="Picture 57" descr="Figure 10: Health state allocation in th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igure 10: Health state allocation in the base ca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3517" cy="2347811"/>
                    </a:xfrm>
                    <a:prstGeom prst="rect">
                      <a:avLst/>
                    </a:prstGeom>
                    <a:noFill/>
                  </pic:spPr>
                </pic:pic>
              </a:graphicData>
            </a:graphic>
          </wp:inline>
        </w:drawing>
      </w:r>
    </w:p>
    <w:p w14:paraId="5B008B36" w14:textId="77777777" w:rsidR="00EB6430" w:rsidRPr="008B02E0" w:rsidRDefault="00EB6430" w:rsidP="00AE5B32">
      <w:pPr>
        <w:pStyle w:val="TableFigureFooter"/>
      </w:pPr>
      <w:r w:rsidRPr="008B02E0">
        <w:t>Source: compiled during the evaluation using Sheet ‘Patient distribution’ of Excel workbook ‘Attachment 10 – Nivo+Ipi 1L mCRC Economic Evaluation.xlsm’</w:t>
      </w:r>
    </w:p>
    <w:p w14:paraId="3EE97FBE" w14:textId="77777777" w:rsidR="00EB6430" w:rsidRPr="008B02E0" w:rsidRDefault="00EB6430" w:rsidP="00AE5B32">
      <w:pPr>
        <w:pStyle w:val="TableFigureFooter"/>
      </w:pPr>
      <w:r w:rsidRPr="008B02E0">
        <w:t>NIVO+IPI=nivolumab plus ipilimumab</w:t>
      </w:r>
    </w:p>
    <w:p w14:paraId="1ED66FCC" w14:textId="0ED3C79B" w:rsidR="00EB6430" w:rsidRPr="008B02E0" w:rsidRDefault="002928EE" w:rsidP="00AE5B32">
      <w:pPr>
        <w:pStyle w:val="3-BodyText"/>
        <w:rPr>
          <w:color w:val="0066FF"/>
        </w:rPr>
      </w:pPr>
      <w:r w:rsidRPr="008B02E0">
        <w:t>The evaluation considered that a</w:t>
      </w:r>
      <w:r w:rsidR="00EB6430" w:rsidRPr="008B02E0">
        <w:t xml:space="preserve">t 20 years, </w:t>
      </w:r>
      <w:r w:rsidR="00775B29" w:rsidRPr="008B02E0">
        <w:t>the modelled results appeared optimistic, with</w:t>
      </w:r>
      <w:r w:rsidR="00775B29" w:rsidRPr="008B02E0">
        <w:rPr>
          <w:iCs/>
        </w:rPr>
        <w:t xml:space="preserve"> </w:t>
      </w:r>
      <w:r w:rsidR="00EB6430" w:rsidRPr="008B02E0">
        <w:rPr>
          <w:iCs/>
        </w:rPr>
        <w:t xml:space="preserve">41% of patients alive (37% progression free) in the nivolumab plus ipilimumab arm and 24% of patients alive (18% progression free) in the pembrolizumab arm. The PFS and OS benefit for nivolumab plus ipilimumab over pembrolizumab continued across the time horizon, with slight convergence occurring from Year 15 onwards. </w:t>
      </w:r>
    </w:p>
    <w:p w14:paraId="60124E3C" w14:textId="62965020" w:rsidR="00EB6430" w:rsidRPr="008B02E0" w:rsidRDefault="00EB6430" w:rsidP="00AE5B32">
      <w:pPr>
        <w:pStyle w:val="3-BodyText"/>
      </w:pPr>
      <w:r w:rsidRPr="008B02E0">
        <w:t xml:space="preserve">A summary of the key drivers of the model is presented in </w:t>
      </w:r>
      <w:r w:rsidRPr="008B02E0">
        <w:fldChar w:fldCharType="begin"/>
      </w:r>
      <w:r w:rsidRPr="008B02E0">
        <w:instrText xml:space="preserve"> REF _Ref104805122 \h  \* MERGEFORMAT </w:instrText>
      </w:r>
      <w:r w:rsidRPr="008B02E0">
        <w:fldChar w:fldCharType="separate"/>
      </w:r>
      <w:r w:rsidR="00B542C9" w:rsidRPr="008B02E0">
        <w:t xml:space="preserve">Table </w:t>
      </w:r>
      <w:r w:rsidR="00B542C9">
        <w:t>11</w:t>
      </w:r>
      <w:r w:rsidRPr="008B02E0">
        <w:fldChar w:fldCharType="end"/>
      </w:r>
      <w:r w:rsidRPr="008B02E0">
        <w:t xml:space="preserve">. </w:t>
      </w:r>
    </w:p>
    <w:p w14:paraId="39503355" w14:textId="0962FFCE" w:rsidR="00EB6430" w:rsidRPr="008B02E0" w:rsidRDefault="00EB6430" w:rsidP="00AE5B32">
      <w:pPr>
        <w:pStyle w:val="Caption"/>
        <w:jc w:val="left"/>
        <w:rPr>
          <w:rStyle w:val="CommentReference"/>
          <w:b/>
          <w:szCs w:val="24"/>
        </w:rPr>
      </w:pPr>
      <w:bookmarkStart w:id="89" w:name="_Ref104805122"/>
      <w:r w:rsidRPr="008B02E0">
        <w:lastRenderedPageBreak/>
        <w:t xml:space="preserve">Table </w:t>
      </w:r>
      <w:r w:rsidR="008258C7">
        <w:fldChar w:fldCharType="begin"/>
      </w:r>
      <w:r w:rsidR="008258C7">
        <w:instrText xml:space="preserve"> SEQ Table \* ARABIC </w:instrText>
      </w:r>
      <w:r w:rsidR="008258C7">
        <w:fldChar w:fldCharType="separate"/>
      </w:r>
      <w:r w:rsidR="00B542C9">
        <w:rPr>
          <w:noProof/>
        </w:rPr>
        <w:t>11</w:t>
      </w:r>
      <w:r w:rsidR="008258C7">
        <w:rPr>
          <w:noProof/>
        </w:rPr>
        <w:fldChar w:fldCharType="end"/>
      </w:r>
      <w:bookmarkEnd w:id="89"/>
      <w:r w:rsidRPr="008B02E0">
        <w:t>:</w:t>
      </w:r>
      <w:r w:rsidRPr="008B02E0">
        <w:rPr>
          <w:rStyle w:val="CommentReference"/>
          <w:b/>
          <w:szCs w:val="24"/>
        </w:rPr>
        <w:t xml:space="preserve"> Key drivers of the model</w:t>
      </w:r>
    </w:p>
    <w:tbl>
      <w:tblPr>
        <w:tblStyle w:val="PBAClayout"/>
        <w:tblW w:w="5000" w:type="pct"/>
        <w:tblLayout w:type="fixed"/>
        <w:tblLook w:val="04A0" w:firstRow="1" w:lastRow="0" w:firstColumn="1" w:lastColumn="0" w:noHBand="0" w:noVBand="1"/>
        <w:tblCaption w:val="Table 11: Key drivers of the model"/>
      </w:tblPr>
      <w:tblGrid>
        <w:gridCol w:w="1129"/>
        <w:gridCol w:w="5104"/>
        <w:gridCol w:w="2784"/>
      </w:tblGrid>
      <w:tr w:rsidR="00EB6430" w:rsidRPr="008B02E0" w14:paraId="343FC5CC" w14:textId="77777777" w:rsidTr="00D17F3A">
        <w:tc>
          <w:tcPr>
            <w:tcW w:w="626" w:type="pct"/>
          </w:tcPr>
          <w:p w14:paraId="54CE0E0F" w14:textId="77777777" w:rsidR="00EB6430" w:rsidRPr="008B02E0" w:rsidRDefault="00EB6430" w:rsidP="00AE5B32">
            <w:pPr>
              <w:pStyle w:val="In-tableHeading"/>
              <w:rPr>
                <w:lang w:val="en-AU"/>
              </w:rPr>
            </w:pPr>
            <w:r w:rsidRPr="008B02E0">
              <w:rPr>
                <w:lang w:val="en-AU"/>
              </w:rPr>
              <w:t>Description</w:t>
            </w:r>
          </w:p>
        </w:tc>
        <w:tc>
          <w:tcPr>
            <w:tcW w:w="2830" w:type="pct"/>
          </w:tcPr>
          <w:p w14:paraId="7FFE288B" w14:textId="77777777" w:rsidR="00EB6430" w:rsidRPr="008B02E0" w:rsidRDefault="00EB6430" w:rsidP="00AE5B32">
            <w:pPr>
              <w:pStyle w:val="In-tableHeading"/>
              <w:jc w:val="center"/>
              <w:rPr>
                <w:lang w:val="en-AU"/>
              </w:rPr>
            </w:pPr>
            <w:r w:rsidRPr="008B02E0">
              <w:rPr>
                <w:lang w:val="en-AU"/>
              </w:rPr>
              <w:t>Method/Value</w:t>
            </w:r>
          </w:p>
        </w:tc>
        <w:tc>
          <w:tcPr>
            <w:tcW w:w="1544" w:type="pct"/>
          </w:tcPr>
          <w:p w14:paraId="54664731" w14:textId="77777777" w:rsidR="00EB6430" w:rsidRPr="008B02E0" w:rsidRDefault="00EB6430" w:rsidP="00AE5B32">
            <w:pPr>
              <w:pStyle w:val="In-tableHeading"/>
              <w:jc w:val="center"/>
              <w:rPr>
                <w:rFonts w:cs="Arial"/>
                <w:szCs w:val="20"/>
                <w:lang w:val="en-AU"/>
              </w:rPr>
            </w:pPr>
            <w:r w:rsidRPr="008B02E0">
              <w:rPr>
                <w:lang w:val="en-AU"/>
              </w:rPr>
              <w:t>Impact</w:t>
            </w:r>
            <w:r w:rsidRPr="008B02E0">
              <w:rPr>
                <w:rFonts w:cs="Arial"/>
                <w:szCs w:val="20"/>
                <w:lang w:val="en-AU"/>
              </w:rPr>
              <w:t xml:space="preserve">: </w:t>
            </w:r>
          </w:p>
          <w:p w14:paraId="72C615D0" w14:textId="5141F040" w:rsidR="00EB6430" w:rsidRPr="008B02E0" w:rsidRDefault="00EB6430" w:rsidP="00AE5B32">
            <w:pPr>
              <w:pStyle w:val="In-tableHeading"/>
              <w:jc w:val="center"/>
              <w:rPr>
                <w:lang w:val="en-AU"/>
              </w:rPr>
            </w:pPr>
            <w:r w:rsidRPr="008B02E0">
              <w:rPr>
                <w:rFonts w:cs="Arial"/>
                <w:szCs w:val="20"/>
                <w:lang w:val="en-AU"/>
              </w:rPr>
              <w:t>Base case: $</w:t>
            </w:r>
            <w:r w:rsidR="00E11347" w:rsidRPr="00E11347">
              <w:rPr>
                <w:rFonts w:cs="Arial"/>
                <w:color w:val="000000"/>
                <w:spacing w:val="58"/>
                <w:szCs w:val="20"/>
                <w:shd w:val="solid" w:color="000000" w:fill="000000"/>
                <w:fitText w:val="360" w:id="-628963568"/>
                <w:lang w:val="en-AU"/>
                <w14:textFill>
                  <w14:solidFill>
                    <w14:srgbClr w14:val="000000">
                      <w14:alpha w14:val="100000"/>
                    </w14:srgbClr>
                  </w14:solidFill>
                </w14:textFill>
              </w:rPr>
              <w:t>|||</w:t>
            </w:r>
            <w:r w:rsidR="00E11347" w:rsidRPr="00E11347">
              <w:rPr>
                <w:rFonts w:cs="Arial"/>
                <w:color w:val="000000"/>
                <w:spacing w:val="3"/>
                <w:szCs w:val="20"/>
                <w:shd w:val="solid" w:color="000000" w:fill="000000"/>
                <w:fitText w:val="360" w:id="-628963568"/>
                <w:lang w:val="en-AU"/>
                <w14:textFill>
                  <w14:solidFill>
                    <w14:srgbClr w14:val="000000">
                      <w14:alpha w14:val="100000"/>
                    </w14:srgbClr>
                  </w14:solidFill>
                </w14:textFill>
              </w:rPr>
              <w:t>|</w:t>
            </w:r>
            <w:r w:rsidR="00D33C08" w:rsidRPr="00D33C08">
              <w:rPr>
                <w:rFonts w:cs="Arial"/>
                <w:szCs w:val="20"/>
                <w:vertAlign w:val="superscript"/>
                <w:lang w:val="en-AU"/>
              </w:rPr>
              <w:t>1</w:t>
            </w:r>
            <w:r w:rsidRPr="008B02E0">
              <w:rPr>
                <w:rFonts w:cs="Arial"/>
                <w:szCs w:val="20"/>
                <w:lang w:val="en-AU"/>
              </w:rPr>
              <w:t>/QALY gained</w:t>
            </w:r>
          </w:p>
        </w:tc>
      </w:tr>
      <w:tr w:rsidR="00EB6430" w:rsidRPr="008B02E0" w14:paraId="0A3BCB0D" w14:textId="77777777" w:rsidTr="00D17F3A">
        <w:tc>
          <w:tcPr>
            <w:tcW w:w="626" w:type="pct"/>
          </w:tcPr>
          <w:p w14:paraId="0D93F90E" w14:textId="77777777" w:rsidR="00EB6430" w:rsidRPr="008B02E0" w:rsidRDefault="00EB6430" w:rsidP="00AE5B32">
            <w:pPr>
              <w:pStyle w:val="TableText0"/>
            </w:pPr>
            <w:r w:rsidRPr="008B02E0">
              <w:t>Time horizon</w:t>
            </w:r>
          </w:p>
        </w:tc>
        <w:tc>
          <w:tcPr>
            <w:tcW w:w="2830" w:type="pct"/>
          </w:tcPr>
          <w:p w14:paraId="00C64EAE" w14:textId="072E6422" w:rsidR="00EB6430" w:rsidRPr="008B02E0" w:rsidRDefault="00EB6430" w:rsidP="00AE5B32">
            <w:pPr>
              <w:pStyle w:val="TableText0"/>
            </w:pPr>
            <w:r w:rsidRPr="008B02E0">
              <w:t>20 years in the model base case vs.</w:t>
            </w:r>
            <w:r w:rsidR="007A3F2E" w:rsidRPr="008B02E0">
              <w:t xml:space="preserve"> a median </w:t>
            </w:r>
            <w:r w:rsidR="00EC43DA" w:rsidRPr="008B02E0">
              <w:t xml:space="preserve">follow up </w:t>
            </w:r>
            <w:r w:rsidR="007A3F2E" w:rsidRPr="008B02E0">
              <w:t>of</w:t>
            </w:r>
            <w:r w:rsidRPr="008B02E0">
              <w:t xml:space="preserve"> 47.0 months in CM</w:t>
            </w:r>
            <w:r w:rsidR="009E5502">
              <w:noBreakHyphen/>
            </w:r>
            <w:r w:rsidRPr="008B02E0">
              <w:t>8HW</w:t>
            </w:r>
            <w:r w:rsidR="00EC43DA" w:rsidRPr="008B02E0">
              <w:t xml:space="preserve"> and</w:t>
            </w:r>
            <w:r w:rsidRPr="008B02E0">
              <w:t xml:space="preserve"> 73.3 months in KN</w:t>
            </w:r>
            <w:r w:rsidR="009E5502">
              <w:noBreakHyphen/>
            </w:r>
            <w:r w:rsidRPr="008B02E0">
              <w:t>177.</w:t>
            </w:r>
          </w:p>
          <w:p w14:paraId="52C50C5A" w14:textId="77777777" w:rsidR="00EB6430" w:rsidRPr="008B02E0" w:rsidRDefault="00EB6430" w:rsidP="00AE5B32">
            <w:pPr>
              <w:pStyle w:val="TableText0"/>
            </w:pPr>
            <w:r w:rsidRPr="008B02E0">
              <w:rPr>
                <w:iCs/>
              </w:rPr>
              <w:t>The PBAC has previously considered a time horizon of 7.5 years to be more appropriate (para 6.45, pembrolizumab PSD, March 2021).</w:t>
            </w:r>
          </w:p>
        </w:tc>
        <w:tc>
          <w:tcPr>
            <w:tcW w:w="1544" w:type="pct"/>
          </w:tcPr>
          <w:p w14:paraId="6C77B9CD" w14:textId="77777777" w:rsidR="00EB6430" w:rsidRPr="008B02E0" w:rsidRDefault="00EB6430" w:rsidP="00AE5B32">
            <w:pPr>
              <w:pStyle w:val="TableText0"/>
            </w:pPr>
            <w:r w:rsidRPr="008B02E0">
              <w:t xml:space="preserve">High, favoured NIVO+IPI. </w:t>
            </w:r>
          </w:p>
          <w:p w14:paraId="481FE25C" w14:textId="321D0FEF" w:rsidR="00EB6430" w:rsidRPr="008B02E0" w:rsidRDefault="00444324" w:rsidP="00AE5B32">
            <w:pPr>
              <w:pStyle w:val="TableText0"/>
              <w:rPr>
                <w:i/>
                <w:iCs/>
              </w:rPr>
            </w:pPr>
            <w:r w:rsidRPr="008B02E0">
              <w:rPr>
                <w:iCs/>
              </w:rPr>
              <w:t>When</w:t>
            </w:r>
            <w:r w:rsidR="00EB6430" w:rsidRPr="008B02E0">
              <w:rPr>
                <w:iCs/>
              </w:rPr>
              <w:t xml:space="preserve"> the time horizon was reduced to 7.5 years, the ICER increased to $</w:t>
            </w:r>
            <w:r w:rsidR="00E11347" w:rsidRPr="00E11347">
              <w:rPr>
                <w:iCs/>
                <w:color w:val="000000"/>
                <w:spacing w:val="53"/>
                <w:shd w:val="solid" w:color="000000" w:fill="000000"/>
                <w:fitText w:val="330" w:id="-628963584"/>
                <w14:textFill>
                  <w14:solidFill>
                    <w14:srgbClr w14:val="000000">
                      <w14:alpha w14:val="100000"/>
                    </w14:srgbClr>
                  </w14:solidFill>
                </w14:textFill>
              </w:rPr>
              <w:t>|||</w:t>
            </w:r>
            <w:r w:rsidR="00E11347" w:rsidRPr="00E11347">
              <w:rPr>
                <w:iCs/>
                <w:color w:val="000000"/>
                <w:spacing w:val="1"/>
                <w:shd w:val="solid" w:color="000000" w:fill="000000"/>
                <w:fitText w:val="330" w:id="-628963584"/>
                <w14:textFill>
                  <w14:solidFill>
                    <w14:srgbClr w14:val="000000">
                      <w14:alpha w14:val="100000"/>
                    </w14:srgbClr>
                  </w14:solidFill>
                </w14:textFill>
              </w:rPr>
              <w:t>|</w:t>
            </w:r>
            <w:r w:rsidR="00D33C08">
              <w:rPr>
                <w:iCs/>
                <w:vertAlign w:val="superscript"/>
              </w:rPr>
              <w:t>2</w:t>
            </w:r>
            <w:r w:rsidR="00EB6430" w:rsidRPr="008B02E0">
              <w:rPr>
                <w:iCs/>
              </w:rPr>
              <w:t>/QALY gained.</w:t>
            </w:r>
          </w:p>
        </w:tc>
      </w:tr>
      <w:tr w:rsidR="00EB6430" w:rsidRPr="008B02E0" w14:paraId="59BA934A" w14:textId="77777777" w:rsidTr="00D17F3A">
        <w:tc>
          <w:tcPr>
            <w:tcW w:w="626" w:type="pct"/>
          </w:tcPr>
          <w:p w14:paraId="32E96D38" w14:textId="77777777" w:rsidR="00EB6430" w:rsidRPr="008B02E0" w:rsidRDefault="00EB6430" w:rsidP="00AE5B32">
            <w:pPr>
              <w:pStyle w:val="TableText0"/>
            </w:pPr>
            <w:r w:rsidRPr="008B02E0">
              <w:t>PF to PD HR</w:t>
            </w:r>
          </w:p>
        </w:tc>
        <w:tc>
          <w:tcPr>
            <w:tcW w:w="2830" w:type="pct"/>
          </w:tcPr>
          <w:p w14:paraId="400FB95D" w14:textId="77777777" w:rsidR="00EB6430" w:rsidRPr="008B02E0" w:rsidRDefault="00EB6430" w:rsidP="00AE5B32">
            <w:pPr>
              <w:pStyle w:val="TableText0"/>
            </w:pPr>
            <w:r w:rsidRPr="008B02E0">
              <w:t>The pembrolizumab transitions from PF to PD were modelled by applying time varying HRs to the NIVO+IPI arm that varied per cycle from 0.59 in Cycle 2 to 0.45 at Year 5 and remained constant toward the end of the time horizon. HRs were based on the unanchored MAIC from the indirect comparison.</w:t>
            </w:r>
          </w:p>
        </w:tc>
        <w:tc>
          <w:tcPr>
            <w:tcW w:w="1544" w:type="pct"/>
          </w:tcPr>
          <w:p w14:paraId="3646EB38" w14:textId="13DFE900" w:rsidR="00EB6430" w:rsidRPr="008B02E0" w:rsidRDefault="00EB6430" w:rsidP="00AE5B32">
            <w:pPr>
              <w:pStyle w:val="TableText0"/>
            </w:pPr>
            <w:r w:rsidRPr="008B02E0">
              <w:t>High, favoured NIVO+IPI. If HR=1 from the end of the trial</w:t>
            </w:r>
            <w:r w:rsidR="00DB30BF" w:rsidRPr="008B02E0">
              <w:t xml:space="preserve"> period</w:t>
            </w:r>
            <w:r w:rsidRPr="008B02E0">
              <w:t xml:space="preserve"> (Month 47), the ICER increased to $</w:t>
            </w:r>
            <w:r w:rsidR="00E11347" w:rsidRPr="00E11347">
              <w:rPr>
                <w:color w:val="000000"/>
                <w:spacing w:val="53"/>
                <w:shd w:val="solid" w:color="000000" w:fill="000000"/>
                <w:fitText w:val="330" w:id="-628963583"/>
                <w14:textFill>
                  <w14:solidFill>
                    <w14:srgbClr w14:val="000000">
                      <w14:alpha w14:val="100000"/>
                    </w14:srgbClr>
                  </w14:solidFill>
                </w14:textFill>
              </w:rPr>
              <w:t>|||</w:t>
            </w:r>
            <w:r w:rsidR="00E11347" w:rsidRPr="00E11347">
              <w:rPr>
                <w:color w:val="000000"/>
                <w:spacing w:val="1"/>
                <w:shd w:val="solid" w:color="000000" w:fill="000000"/>
                <w:fitText w:val="330" w:id="-628963583"/>
                <w14:textFill>
                  <w14:solidFill>
                    <w14:srgbClr w14:val="000000">
                      <w14:alpha w14:val="100000"/>
                    </w14:srgbClr>
                  </w14:solidFill>
                </w14:textFill>
              </w:rPr>
              <w:t>|</w:t>
            </w:r>
            <w:r w:rsidR="00D33C08">
              <w:rPr>
                <w:vertAlign w:val="superscript"/>
              </w:rPr>
              <w:t>3</w:t>
            </w:r>
            <w:r w:rsidRPr="008B02E0">
              <w:t>/QALY gained.</w:t>
            </w:r>
          </w:p>
        </w:tc>
      </w:tr>
      <w:tr w:rsidR="00EB6430" w:rsidRPr="008B02E0" w14:paraId="2571D374" w14:textId="77777777" w:rsidTr="00D17F3A">
        <w:tc>
          <w:tcPr>
            <w:tcW w:w="626" w:type="pct"/>
          </w:tcPr>
          <w:p w14:paraId="65B176D1" w14:textId="77777777" w:rsidR="00EB6430" w:rsidRPr="008B02E0" w:rsidRDefault="00EB6430" w:rsidP="00AE5B32">
            <w:pPr>
              <w:pStyle w:val="TableText0"/>
            </w:pPr>
            <w:r w:rsidRPr="008B02E0">
              <w:t>PF mortality</w:t>
            </w:r>
          </w:p>
        </w:tc>
        <w:tc>
          <w:tcPr>
            <w:tcW w:w="2830" w:type="pct"/>
          </w:tcPr>
          <w:p w14:paraId="315D7E5D" w14:textId="27676107" w:rsidR="00EB6430" w:rsidRPr="008B02E0" w:rsidRDefault="00EB6430" w:rsidP="00AE5B32">
            <w:pPr>
              <w:pStyle w:val="TableText0"/>
              <w:rPr>
                <w:iCs/>
              </w:rPr>
            </w:pPr>
            <w:r w:rsidRPr="008B02E0">
              <w:t xml:space="preserve">General population mortality in both arms. </w:t>
            </w:r>
            <w:r w:rsidR="0037097B" w:rsidRPr="008B02E0">
              <w:rPr>
                <w:iCs/>
              </w:rPr>
              <w:t>This may overestimate survival for mCRC patients, even if they are progression free.</w:t>
            </w:r>
          </w:p>
        </w:tc>
        <w:tc>
          <w:tcPr>
            <w:tcW w:w="1544" w:type="pct"/>
          </w:tcPr>
          <w:p w14:paraId="6AC57DF0" w14:textId="77777777" w:rsidR="00EB6430" w:rsidRPr="008B02E0" w:rsidRDefault="00EB6430" w:rsidP="00AE5B32">
            <w:pPr>
              <w:pStyle w:val="TableText0"/>
            </w:pPr>
            <w:r w:rsidRPr="008B02E0">
              <w:t xml:space="preserve">High, favoured NIVO+IPI. </w:t>
            </w:r>
          </w:p>
          <w:p w14:paraId="357D5D52" w14:textId="56CF35E4" w:rsidR="00EB6430" w:rsidRPr="008B02E0" w:rsidRDefault="00EB6430" w:rsidP="00AE5B32">
            <w:pPr>
              <w:pStyle w:val="TableText0"/>
              <w:rPr>
                <w:i/>
              </w:rPr>
            </w:pPr>
            <w:r w:rsidRPr="008B02E0">
              <w:rPr>
                <w:iCs/>
              </w:rPr>
              <w:t>If PF mortality was instead modelled using the CM</w:t>
            </w:r>
            <w:r w:rsidR="009E5502">
              <w:rPr>
                <w:iCs/>
              </w:rPr>
              <w:noBreakHyphen/>
            </w:r>
            <w:r w:rsidRPr="008B02E0">
              <w:rPr>
                <w:iCs/>
              </w:rPr>
              <w:t>142 Cohort 2 and 3 data, the mortality increased in both arms and the ICER increased to $</w:t>
            </w:r>
            <w:r w:rsidR="00E11347" w:rsidRPr="00E11347">
              <w:rPr>
                <w:iCs/>
                <w:color w:val="000000"/>
                <w:spacing w:val="53"/>
                <w:shd w:val="solid" w:color="000000" w:fill="000000"/>
                <w:fitText w:val="330" w:id="-628963582"/>
                <w14:textFill>
                  <w14:solidFill>
                    <w14:srgbClr w14:val="000000">
                      <w14:alpha w14:val="100000"/>
                    </w14:srgbClr>
                  </w14:solidFill>
                </w14:textFill>
              </w:rPr>
              <w:t>|||</w:t>
            </w:r>
            <w:r w:rsidR="00E11347" w:rsidRPr="00E11347">
              <w:rPr>
                <w:iCs/>
                <w:color w:val="000000"/>
                <w:spacing w:val="1"/>
                <w:shd w:val="solid" w:color="000000" w:fill="000000"/>
                <w:fitText w:val="330" w:id="-628963582"/>
                <w14:textFill>
                  <w14:solidFill>
                    <w14:srgbClr w14:val="000000">
                      <w14:alpha w14:val="100000"/>
                    </w14:srgbClr>
                  </w14:solidFill>
                </w14:textFill>
              </w:rPr>
              <w:t>|</w:t>
            </w:r>
            <w:r w:rsidR="00D33C08">
              <w:rPr>
                <w:iCs/>
                <w:vertAlign w:val="superscript"/>
              </w:rPr>
              <w:t>3</w:t>
            </w:r>
            <w:r w:rsidRPr="008B02E0">
              <w:rPr>
                <w:iCs/>
              </w:rPr>
              <w:t>/QALY gained.</w:t>
            </w:r>
          </w:p>
        </w:tc>
      </w:tr>
      <w:tr w:rsidR="00EB6430" w:rsidRPr="008B02E0" w14:paraId="293B4F74" w14:textId="77777777" w:rsidTr="00D17F3A">
        <w:tc>
          <w:tcPr>
            <w:tcW w:w="626" w:type="pct"/>
          </w:tcPr>
          <w:p w14:paraId="1AC9D99E" w14:textId="77777777" w:rsidR="00EB6430" w:rsidRPr="008B02E0" w:rsidRDefault="00EB6430" w:rsidP="00AE5B32">
            <w:pPr>
              <w:pStyle w:val="TableText0"/>
            </w:pPr>
            <w:r w:rsidRPr="008B02E0">
              <w:t>Time on treatment</w:t>
            </w:r>
          </w:p>
        </w:tc>
        <w:tc>
          <w:tcPr>
            <w:tcW w:w="2830" w:type="pct"/>
          </w:tcPr>
          <w:p w14:paraId="4CAE3905" w14:textId="27A660DD" w:rsidR="00EB6430" w:rsidRPr="008B02E0" w:rsidRDefault="00EB6430" w:rsidP="00AE5B32">
            <w:pPr>
              <w:pStyle w:val="TableText0"/>
            </w:pPr>
            <w:r w:rsidRPr="008B02E0">
              <w:t>NIVO+IPI: TTD KM data CM</w:t>
            </w:r>
            <w:r w:rsidR="009E5502">
              <w:noBreakHyphen/>
            </w:r>
            <w:r w:rsidRPr="008B02E0">
              <w:t xml:space="preserve">8HW (not stated in the submission but appeared to be the 1L+ cohort), capped at 2 years. </w:t>
            </w:r>
          </w:p>
          <w:p w14:paraId="52CE5E9D" w14:textId="02BFFFC8" w:rsidR="00EB6430" w:rsidRPr="008B02E0" w:rsidRDefault="00EB6430" w:rsidP="00AE5B32">
            <w:pPr>
              <w:pStyle w:val="TableText0"/>
            </w:pPr>
            <w:r w:rsidRPr="008B02E0">
              <w:t>Pembrolizumab: equal to PFS capped at 2 years</w:t>
            </w:r>
            <w:r w:rsidR="001C7789" w:rsidRPr="008B02E0">
              <w:t>.</w:t>
            </w:r>
          </w:p>
          <w:p w14:paraId="52109928" w14:textId="77777777" w:rsidR="00EB6430" w:rsidRPr="008B02E0" w:rsidRDefault="00EB6430" w:rsidP="00AE5B32">
            <w:pPr>
              <w:pStyle w:val="TableText0"/>
            </w:pPr>
            <w:r w:rsidRPr="008B02E0">
              <w:rPr>
                <w:iCs/>
              </w:rPr>
              <w:t>Time on treatment was likely overestimated for the pembrolizumab arm.</w:t>
            </w:r>
          </w:p>
        </w:tc>
        <w:tc>
          <w:tcPr>
            <w:tcW w:w="1544" w:type="pct"/>
          </w:tcPr>
          <w:p w14:paraId="61D0717D" w14:textId="77777777" w:rsidR="00EB6430" w:rsidRPr="008B02E0" w:rsidRDefault="00EB6430" w:rsidP="00AE5B32">
            <w:pPr>
              <w:pStyle w:val="TableText0"/>
            </w:pPr>
            <w:r w:rsidRPr="008B02E0">
              <w:t xml:space="preserve">High, favoured NIVO+IPI. </w:t>
            </w:r>
          </w:p>
          <w:p w14:paraId="149EC013" w14:textId="599187F6" w:rsidR="00EB6430" w:rsidRPr="008B02E0" w:rsidRDefault="00EB6430" w:rsidP="00AE5B32">
            <w:pPr>
              <w:pStyle w:val="TableText0"/>
              <w:rPr>
                <w:i/>
              </w:rPr>
            </w:pPr>
            <w:r w:rsidRPr="008B02E0">
              <w:t>If both arms assumed the maximum number of doses over 2 years</w:t>
            </w:r>
            <w:r w:rsidRPr="008B02E0">
              <w:rPr>
                <w:vertAlign w:val="superscript"/>
              </w:rPr>
              <w:t>a</w:t>
            </w:r>
            <w:r w:rsidRPr="008B02E0">
              <w:t>,</w:t>
            </w:r>
            <w:r w:rsidRPr="008B02E0">
              <w:rPr>
                <w:iCs/>
              </w:rPr>
              <w:t xml:space="preserve"> the ICER increased to $</w:t>
            </w:r>
            <w:r w:rsidR="00E11347" w:rsidRPr="00E11347">
              <w:rPr>
                <w:iCs/>
                <w:color w:val="000000"/>
                <w:spacing w:val="53"/>
                <w:shd w:val="solid" w:color="000000" w:fill="000000"/>
                <w:fitText w:val="330" w:id="-628963581"/>
                <w14:textFill>
                  <w14:solidFill>
                    <w14:srgbClr w14:val="000000">
                      <w14:alpha w14:val="100000"/>
                    </w14:srgbClr>
                  </w14:solidFill>
                </w14:textFill>
              </w:rPr>
              <w:t>|||</w:t>
            </w:r>
            <w:r w:rsidR="00E11347" w:rsidRPr="00E11347">
              <w:rPr>
                <w:iCs/>
                <w:color w:val="000000"/>
                <w:spacing w:val="1"/>
                <w:shd w:val="solid" w:color="000000" w:fill="000000"/>
                <w:fitText w:val="330" w:id="-628963581"/>
                <w14:textFill>
                  <w14:solidFill>
                    <w14:srgbClr w14:val="000000">
                      <w14:alpha w14:val="100000"/>
                    </w14:srgbClr>
                  </w14:solidFill>
                </w14:textFill>
              </w:rPr>
              <w:t>|</w:t>
            </w:r>
            <w:r w:rsidR="00916DB1" w:rsidRPr="00916DB1">
              <w:rPr>
                <w:iCs/>
                <w:vertAlign w:val="superscript"/>
              </w:rPr>
              <w:t>4</w:t>
            </w:r>
            <w:r w:rsidRPr="008B02E0">
              <w:rPr>
                <w:iCs/>
              </w:rPr>
              <w:t xml:space="preserve"> per QALY gained.</w:t>
            </w:r>
          </w:p>
        </w:tc>
      </w:tr>
      <w:tr w:rsidR="00EB6430" w:rsidRPr="008B02E0" w14:paraId="38A79DF8" w14:textId="77777777" w:rsidTr="00D17F3A">
        <w:tc>
          <w:tcPr>
            <w:tcW w:w="626" w:type="pct"/>
          </w:tcPr>
          <w:p w14:paraId="6363D19B" w14:textId="77777777" w:rsidR="00EB6430" w:rsidRPr="008B02E0" w:rsidRDefault="00EB6430" w:rsidP="00AE5B32">
            <w:pPr>
              <w:pStyle w:val="TableText0"/>
            </w:pPr>
            <w:r w:rsidRPr="008B02E0">
              <w:t>Baseline characteristics</w:t>
            </w:r>
          </w:p>
        </w:tc>
        <w:tc>
          <w:tcPr>
            <w:tcW w:w="2830" w:type="pct"/>
          </w:tcPr>
          <w:p w14:paraId="076D178E" w14:textId="607E3EAE" w:rsidR="00EB6430" w:rsidRPr="008B02E0" w:rsidRDefault="00EB6430" w:rsidP="00AE5B32">
            <w:pPr>
              <w:pStyle w:val="TableText0"/>
              <w:rPr>
                <w:i/>
                <w:iCs/>
              </w:rPr>
            </w:pPr>
            <w:r w:rsidRPr="008B02E0">
              <w:t>The population in the model was based on the CM</w:t>
            </w:r>
            <w:r w:rsidR="009E5502">
              <w:noBreakHyphen/>
            </w:r>
            <w:r w:rsidRPr="008B02E0">
              <w:t>8HWL 1L trial population.</w:t>
            </w:r>
            <w:r w:rsidRPr="008B02E0">
              <w:rPr>
                <w:iCs/>
              </w:rPr>
              <w:t xml:space="preserve"> There were some differences between this population and the Australian population</w:t>
            </w:r>
            <w:r w:rsidR="008918F4" w:rsidRPr="008B02E0">
              <w:rPr>
                <w:iCs/>
              </w:rPr>
              <w:t xml:space="preserve"> and in particular, age affected background mortality each cycle. </w:t>
            </w:r>
            <w:r w:rsidRPr="008B02E0">
              <w:rPr>
                <w:iCs/>
              </w:rPr>
              <w:t>Not all characteristics could be altered in the model.</w:t>
            </w:r>
          </w:p>
        </w:tc>
        <w:tc>
          <w:tcPr>
            <w:tcW w:w="1544" w:type="pct"/>
          </w:tcPr>
          <w:p w14:paraId="7F2D59CE" w14:textId="77777777" w:rsidR="00EB6430" w:rsidRPr="008B02E0" w:rsidRDefault="00EB6430" w:rsidP="00AE5B32">
            <w:pPr>
              <w:pStyle w:val="TableText0"/>
            </w:pPr>
            <w:r w:rsidRPr="008B02E0">
              <w:t xml:space="preserve">High, favoured NIVO+IPI. </w:t>
            </w:r>
          </w:p>
          <w:p w14:paraId="09DB2F06" w14:textId="3879D3F2" w:rsidR="00EB6430" w:rsidRPr="008B02E0" w:rsidRDefault="00EB6430" w:rsidP="00AE5B32">
            <w:pPr>
              <w:pStyle w:val="TableText0"/>
              <w:rPr>
                <w:i/>
              </w:rPr>
            </w:pPr>
            <w:r w:rsidRPr="008B02E0">
              <w:t xml:space="preserve">When age and proportion male were based on </w:t>
            </w:r>
            <w:r w:rsidR="0037097B" w:rsidRPr="008B02E0">
              <w:t>South Australian data</w:t>
            </w:r>
            <w:r w:rsidRPr="008B02E0">
              <w:t xml:space="preserve">, the ICER increased to </w:t>
            </w:r>
            <w:r w:rsidRPr="008B02E0">
              <w:rPr>
                <w:iCs/>
              </w:rPr>
              <w:t>$</w:t>
            </w:r>
            <w:r w:rsidR="00E11347" w:rsidRPr="00E11347">
              <w:rPr>
                <w:iCs/>
                <w:color w:val="000000"/>
                <w:spacing w:val="53"/>
                <w:shd w:val="solid" w:color="000000" w:fill="000000"/>
                <w:fitText w:val="330" w:id="-628963580"/>
                <w14:textFill>
                  <w14:solidFill>
                    <w14:srgbClr w14:val="000000">
                      <w14:alpha w14:val="100000"/>
                    </w14:srgbClr>
                  </w14:solidFill>
                </w14:textFill>
              </w:rPr>
              <w:t>|||</w:t>
            </w:r>
            <w:r w:rsidR="00E11347" w:rsidRPr="00E11347">
              <w:rPr>
                <w:iCs/>
                <w:color w:val="000000"/>
                <w:spacing w:val="1"/>
                <w:shd w:val="solid" w:color="000000" w:fill="000000"/>
                <w:fitText w:val="330" w:id="-628963580"/>
                <w14:textFill>
                  <w14:solidFill>
                    <w14:srgbClr w14:val="000000">
                      <w14:alpha w14:val="100000"/>
                    </w14:srgbClr>
                  </w14:solidFill>
                </w14:textFill>
              </w:rPr>
              <w:t>|</w:t>
            </w:r>
            <w:r w:rsidR="00D33C08">
              <w:rPr>
                <w:iCs/>
                <w:vertAlign w:val="superscript"/>
              </w:rPr>
              <w:t>3</w:t>
            </w:r>
            <w:r w:rsidRPr="008B02E0">
              <w:rPr>
                <w:iCs/>
              </w:rPr>
              <w:t>/QALY gained.</w:t>
            </w:r>
          </w:p>
        </w:tc>
      </w:tr>
      <w:tr w:rsidR="00EB6430" w:rsidRPr="008B02E0" w14:paraId="47E04687" w14:textId="77777777" w:rsidTr="00D17F3A">
        <w:tc>
          <w:tcPr>
            <w:tcW w:w="626" w:type="pct"/>
          </w:tcPr>
          <w:p w14:paraId="1164140E" w14:textId="77777777" w:rsidR="00EB6430" w:rsidRPr="008B02E0" w:rsidRDefault="00EB6430" w:rsidP="00AE5B32">
            <w:pPr>
              <w:pStyle w:val="TableText0"/>
            </w:pPr>
            <w:r w:rsidRPr="008B02E0">
              <w:t>Utility source</w:t>
            </w:r>
          </w:p>
        </w:tc>
        <w:tc>
          <w:tcPr>
            <w:tcW w:w="2830" w:type="pct"/>
          </w:tcPr>
          <w:p w14:paraId="47621236" w14:textId="7A5C3356" w:rsidR="00EB6430" w:rsidRPr="008B02E0" w:rsidRDefault="00EB6430" w:rsidP="00AE5B32">
            <w:pPr>
              <w:pStyle w:val="TableText0"/>
            </w:pPr>
            <w:r w:rsidRPr="008B02E0">
              <w:t>PF: 0.801</w:t>
            </w:r>
            <w:r w:rsidR="00E72937" w:rsidRPr="008B02E0">
              <w:t>, based on</w:t>
            </w:r>
            <w:r w:rsidRPr="008B02E0">
              <w:t xml:space="preserve"> CM</w:t>
            </w:r>
            <w:r w:rsidR="009E5502">
              <w:noBreakHyphen/>
            </w:r>
            <w:r w:rsidRPr="008B02E0">
              <w:t>8HW 1L NIVO+IPI arm</w:t>
            </w:r>
          </w:p>
          <w:p w14:paraId="18617324" w14:textId="7C4DE8A4" w:rsidR="00EB6430" w:rsidRPr="008B02E0" w:rsidRDefault="00EB6430" w:rsidP="00AE5B32">
            <w:pPr>
              <w:pStyle w:val="TableText0"/>
            </w:pPr>
            <w:r w:rsidRPr="008B02E0">
              <w:t>PD: 0.745</w:t>
            </w:r>
            <w:r w:rsidR="00E72937" w:rsidRPr="008B02E0">
              <w:t>, based on</w:t>
            </w:r>
            <w:r w:rsidRPr="008B02E0">
              <w:t xml:space="preserve"> CM</w:t>
            </w:r>
            <w:r w:rsidR="009E5502">
              <w:noBreakHyphen/>
            </w:r>
            <w:r w:rsidRPr="008B02E0">
              <w:t>8HW 1L NIVO+IPI and chemotherapy arms</w:t>
            </w:r>
          </w:p>
        </w:tc>
        <w:tc>
          <w:tcPr>
            <w:tcW w:w="1544" w:type="pct"/>
          </w:tcPr>
          <w:p w14:paraId="6D8AF787" w14:textId="77777777" w:rsidR="00EB6430" w:rsidRPr="008B02E0" w:rsidRDefault="00EB6430" w:rsidP="00AE5B32">
            <w:pPr>
              <w:pStyle w:val="TableText0"/>
            </w:pPr>
            <w:r w:rsidRPr="008B02E0">
              <w:t>Moderate, favoured pembrolizumab.</w:t>
            </w:r>
          </w:p>
          <w:p w14:paraId="0746F2E1" w14:textId="4F4E95EF" w:rsidR="00EB6430" w:rsidRPr="008B02E0" w:rsidRDefault="00EB6430" w:rsidP="00AE5B32">
            <w:pPr>
              <w:pStyle w:val="TableText0"/>
              <w:rPr>
                <w:i/>
              </w:rPr>
            </w:pPr>
            <w:r w:rsidRPr="008B02E0">
              <w:t>If utilities were sourced from KN</w:t>
            </w:r>
            <w:r w:rsidR="009E5502">
              <w:noBreakHyphen/>
            </w:r>
            <w:r w:rsidRPr="008B02E0">
              <w:t>177 (</w:t>
            </w:r>
            <w:r w:rsidRPr="008B02E0">
              <w:rPr>
                <w:iCs/>
              </w:rPr>
              <w:t>PF 0.852, PD 0.730), the ICER decreased to $</w:t>
            </w:r>
            <w:r w:rsidR="00E11347" w:rsidRPr="00E11347">
              <w:rPr>
                <w:iCs/>
                <w:color w:val="000000"/>
                <w:spacing w:val="53"/>
                <w:shd w:val="solid" w:color="000000" w:fill="000000"/>
                <w:fitText w:val="330" w:id="-628963579"/>
                <w14:textFill>
                  <w14:solidFill>
                    <w14:srgbClr w14:val="000000">
                      <w14:alpha w14:val="100000"/>
                    </w14:srgbClr>
                  </w14:solidFill>
                </w14:textFill>
              </w:rPr>
              <w:t>|||</w:t>
            </w:r>
            <w:r w:rsidR="00E11347" w:rsidRPr="00E11347">
              <w:rPr>
                <w:iCs/>
                <w:color w:val="000000"/>
                <w:spacing w:val="1"/>
                <w:shd w:val="solid" w:color="000000" w:fill="000000"/>
                <w:fitText w:val="330" w:id="-628963579"/>
                <w14:textFill>
                  <w14:solidFill>
                    <w14:srgbClr w14:val="000000">
                      <w14:alpha w14:val="100000"/>
                    </w14:srgbClr>
                  </w14:solidFill>
                </w14:textFill>
              </w:rPr>
              <w:t>|</w:t>
            </w:r>
            <w:r w:rsidR="00C437DD">
              <w:rPr>
                <w:iCs/>
                <w:vertAlign w:val="superscript"/>
              </w:rPr>
              <w:t>1</w:t>
            </w:r>
            <w:r w:rsidRPr="008B02E0">
              <w:rPr>
                <w:iCs/>
              </w:rPr>
              <w:t>/QALY gained.</w:t>
            </w:r>
          </w:p>
        </w:tc>
      </w:tr>
      <w:tr w:rsidR="00EB6430" w:rsidRPr="008B02E0" w14:paraId="1E287B8F" w14:textId="77777777" w:rsidTr="00D17F3A">
        <w:tc>
          <w:tcPr>
            <w:tcW w:w="626" w:type="pct"/>
          </w:tcPr>
          <w:p w14:paraId="01FE8A01" w14:textId="77777777" w:rsidR="00EB6430" w:rsidRPr="008B02E0" w:rsidRDefault="00EB6430" w:rsidP="00AE5B32">
            <w:pPr>
              <w:pStyle w:val="TableText0"/>
            </w:pPr>
            <w:r w:rsidRPr="008B02E0">
              <w:t>Terminal care cost</w:t>
            </w:r>
          </w:p>
        </w:tc>
        <w:tc>
          <w:tcPr>
            <w:tcW w:w="2830" w:type="pct"/>
          </w:tcPr>
          <w:p w14:paraId="1D00FD7D" w14:textId="610EEF51" w:rsidR="00EB6430" w:rsidRPr="008B02E0" w:rsidRDefault="00EB6430" w:rsidP="00AE5B32">
            <w:pPr>
              <w:pStyle w:val="TableText0"/>
            </w:pPr>
            <w:r w:rsidRPr="008B02E0">
              <w:t>One</w:t>
            </w:r>
            <w:r w:rsidR="009E5502">
              <w:noBreakHyphen/>
            </w:r>
            <w:r w:rsidRPr="008B02E0">
              <w:t xml:space="preserve">off terminal care costs $33,533.46 applied for the proportion of patients who died every cycle. </w:t>
            </w:r>
            <w:r w:rsidRPr="008B02E0">
              <w:rPr>
                <w:iCs/>
              </w:rPr>
              <w:t>This may double count some of the resource use cost.</w:t>
            </w:r>
          </w:p>
        </w:tc>
        <w:tc>
          <w:tcPr>
            <w:tcW w:w="1544" w:type="pct"/>
          </w:tcPr>
          <w:p w14:paraId="4A0975EF" w14:textId="77777777" w:rsidR="00EB6430" w:rsidRPr="008B02E0" w:rsidRDefault="00EB6430" w:rsidP="00AE5B32">
            <w:pPr>
              <w:pStyle w:val="TableText0"/>
            </w:pPr>
            <w:r w:rsidRPr="008B02E0">
              <w:t>Moderate, favoured NIVO+IPI.</w:t>
            </w:r>
          </w:p>
          <w:p w14:paraId="67FE3447" w14:textId="1C4CD9BD" w:rsidR="00EB6430" w:rsidRPr="008B02E0" w:rsidRDefault="00EB6430" w:rsidP="00AE5B32">
            <w:pPr>
              <w:pStyle w:val="TableText0"/>
            </w:pPr>
            <w:r w:rsidRPr="008B02E0">
              <w:rPr>
                <w:iCs/>
              </w:rPr>
              <w:t>If terminal care costs were removed from the model, the</w:t>
            </w:r>
            <w:r w:rsidRPr="008B02E0">
              <w:t xml:space="preserve"> </w:t>
            </w:r>
            <w:r w:rsidRPr="008B02E0">
              <w:rPr>
                <w:iCs/>
              </w:rPr>
              <w:t>ICER increased to $</w:t>
            </w:r>
            <w:r w:rsidR="00E11347" w:rsidRPr="00E11347">
              <w:rPr>
                <w:iCs/>
                <w:color w:val="000000"/>
                <w:spacing w:val="48"/>
                <w:shd w:val="solid" w:color="000000" w:fill="000000"/>
                <w:fitText w:val="315" w:id="-628963578"/>
                <w14:textFill>
                  <w14:solidFill>
                    <w14:srgbClr w14:val="000000">
                      <w14:alpha w14:val="100000"/>
                    </w14:srgbClr>
                  </w14:solidFill>
                </w14:textFill>
              </w:rPr>
              <w:t>|||</w:t>
            </w:r>
            <w:r w:rsidR="00E11347" w:rsidRPr="00E11347">
              <w:rPr>
                <w:iCs/>
                <w:color w:val="000000"/>
                <w:spacing w:val="1"/>
                <w:shd w:val="solid" w:color="000000" w:fill="000000"/>
                <w:fitText w:val="315" w:id="-628963578"/>
                <w14:textFill>
                  <w14:solidFill>
                    <w14:srgbClr w14:val="000000">
                      <w14:alpha w14:val="100000"/>
                    </w14:srgbClr>
                  </w14:solidFill>
                </w14:textFill>
              </w:rPr>
              <w:t>|</w:t>
            </w:r>
            <w:r w:rsidR="00C437DD">
              <w:rPr>
                <w:iCs/>
                <w:vertAlign w:val="superscript"/>
              </w:rPr>
              <w:t>1</w:t>
            </w:r>
            <w:r w:rsidRPr="008B02E0">
              <w:rPr>
                <w:iCs/>
              </w:rPr>
              <w:t xml:space="preserve"> per QALY gained.</w:t>
            </w:r>
          </w:p>
        </w:tc>
      </w:tr>
    </w:tbl>
    <w:p w14:paraId="1218E8C8" w14:textId="77777777" w:rsidR="00EB6430" w:rsidRPr="008B02E0" w:rsidRDefault="00EB6430" w:rsidP="00AE5B32">
      <w:pPr>
        <w:pStyle w:val="FooterTableFigure"/>
        <w:rPr>
          <w:iCs/>
        </w:rPr>
      </w:pPr>
      <w:r w:rsidRPr="008B02E0">
        <w:t xml:space="preserve">Source: </w:t>
      </w:r>
      <w:r w:rsidRPr="008B02E0">
        <w:rPr>
          <w:iCs/>
        </w:rPr>
        <w:t>compiled during the evaluation</w:t>
      </w:r>
    </w:p>
    <w:p w14:paraId="60A6ED3D" w14:textId="2063965A" w:rsidR="00EB6430" w:rsidRPr="008B02E0" w:rsidRDefault="00C26139" w:rsidP="00AE5B32">
      <w:pPr>
        <w:pStyle w:val="FooterTableFigure"/>
      </w:pPr>
      <w:r w:rsidRPr="008B02E0">
        <w:t>HR=hazard ratio, ICER=incremental cost</w:t>
      </w:r>
      <w:r w:rsidR="009E5502">
        <w:noBreakHyphen/>
      </w:r>
      <w:r w:rsidRPr="008B02E0">
        <w:t>effectiveness ratio; IPI=ipilimumab, KM=Kaplan</w:t>
      </w:r>
      <w:r w:rsidR="009E5502">
        <w:noBreakHyphen/>
      </w:r>
      <w:r w:rsidRPr="008B02E0">
        <w:t xml:space="preserve">Meier, mCRC=metastatic colorectal cancer; NIVO=nivolumab, </w:t>
      </w:r>
      <w:r w:rsidR="00EB6430" w:rsidRPr="008B02E0">
        <w:t>PD=progressed di</w:t>
      </w:r>
      <w:r w:rsidR="00B5127B" w:rsidRPr="008B02E0">
        <w:t>s</w:t>
      </w:r>
      <w:r w:rsidR="00EB6430" w:rsidRPr="008B02E0">
        <w:t>ease,</w:t>
      </w:r>
      <w:r w:rsidR="009A70F3" w:rsidRPr="008B02E0">
        <w:t xml:space="preserve"> PF=progression free, </w:t>
      </w:r>
      <w:r w:rsidR="008166EC" w:rsidRPr="008B02E0">
        <w:t xml:space="preserve">QALY=quality adjusted life year; </w:t>
      </w:r>
      <w:r w:rsidR="00EB6430" w:rsidRPr="008B02E0">
        <w:t xml:space="preserve">TTD=time to treatment discontinuation, </w:t>
      </w:r>
    </w:p>
    <w:p w14:paraId="7EE819EB" w14:textId="347FD38B" w:rsidR="00EB6430" w:rsidRDefault="00EB6430" w:rsidP="00AE5B32">
      <w:pPr>
        <w:pStyle w:val="FooterTableFigure"/>
        <w:ind w:left="165" w:hanging="165"/>
        <w:rPr>
          <w:iCs/>
        </w:rPr>
      </w:pPr>
      <w:r w:rsidRPr="008B02E0">
        <w:t>a</w:t>
      </w:r>
      <w:r w:rsidRPr="008B02E0">
        <w:tab/>
        <w:t xml:space="preserve">The model rounded down to nearest model cycle resulting in maximum doses: </w:t>
      </w:r>
      <w:r w:rsidRPr="008B02E0">
        <w:rPr>
          <w:iCs/>
        </w:rPr>
        <w:t xml:space="preserve">NIVO 26.4 doses, IPI 4 doses, pembrolizumab 34.8 doses. Maximum dosing based on treatment schedules would be: NIVO 27 doses (4x </w:t>
      </w:r>
      <w:r w:rsidR="00F261D6">
        <w:rPr>
          <w:iCs/>
        </w:rPr>
        <w:t>240 mg</w:t>
      </w:r>
      <w:r w:rsidRPr="008B02E0">
        <w:rPr>
          <w:iCs/>
        </w:rPr>
        <w:t xml:space="preserve"> initial, 23x</w:t>
      </w:r>
      <w:r w:rsidR="00F261D6">
        <w:rPr>
          <w:iCs/>
        </w:rPr>
        <w:t>480 mg</w:t>
      </w:r>
      <w:r w:rsidRPr="008B02E0">
        <w:rPr>
          <w:iCs/>
        </w:rPr>
        <w:t xml:space="preserve"> maintenance), IPI 4 doses, pembrolizumab 35 doses</w:t>
      </w:r>
    </w:p>
    <w:p w14:paraId="7189FCAF" w14:textId="77777777" w:rsidR="00C437DD" w:rsidRDefault="000B053C" w:rsidP="000B053C">
      <w:pPr>
        <w:pStyle w:val="FooterTableFigure"/>
        <w:ind w:left="165" w:hanging="165"/>
        <w:rPr>
          <w:i/>
        </w:rPr>
      </w:pPr>
      <w:r w:rsidRPr="000B053C">
        <w:rPr>
          <w:i/>
        </w:rPr>
        <w:t>The redacted values correspond to the following ranges:</w:t>
      </w:r>
    </w:p>
    <w:p w14:paraId="2AE20025" w14:textId="26E35111" w:rsidR="00C437DD" w:rsidRPr="00C437DD" w:rsidRDefault="00C437DD" w:rsidP="00C437DD">
      <w:pPr>
        <w:pStyle w:val="FooterTableFigure"/>
        <w:ind w:left="165" w:hanging="165"/>
        <w:rPr>
          <w:i/>
        </w:rPr>
      </w:pPr>
      <w:r w:rsidRPr="00C437DD">
        <w:rPr>
          <w:i/>
          <w:vertAlign w:val="superscript"/>
        </w:rPr>
        <w:t>1</w:t>
      </w:r>
      <w:r w:rsidRPr="00C437DD">
        <w:rPr>
          <w:i/>
        </w:rPr>
        <w:t xml:space="preserve"> $55,000 to &lt; $75,000</w:t>
      </w:r>
    </w:p>
    <w:p w14:paraId="28663EAE" w14:textId="79A9BD48" w:rsidR="000B053C" w:rsidRPr="000B053C" w:rsidRDefault="00CE7692" w:rsidP="00AF0D1D">
      <w:pPr>
        <w:pStyle w:val="FooterTableFigure"/>
        <w:ind w:left="165" w:hanging="165"/>
        <w:rPr>
          <w:i/>
        </w:rPr>
      </w:pPr>
      <w:r>
        <w:rPr>
          <w:i/>
          <w:vertAlign w:val="superscript"/>
        </w:rPr>
        <w:t>2</w:t>
      </w:r>
      <w:r w:rsidR="000B053C" w:rsidRPr="000B053C">
        <w:rPr>
          <w:i/>
        </w:rPr>
        <w:t xml:space="preserve"> </w:t>
      </w:r>
      <w:r w:rsidR="00AF0D1D" w:rsidRPr="00AF0D1D">
        <w:rPr>
          <w:i/>
        </w:rPr>
        <w:t>$155,000 to &lt; $255,000</w:t>
      </w:r>
    </w:p>
    <w:p w14:paraId="0429824E" w14:textId="7FCF77A0" w:rsidR="0072689A" w:rsidRDefault="00CE7692" w:rsidP="0072689A">
      <w:pPr>
        <w:pStyle w:val="FooterTableFigure"/>
        <w:ind w:left="165" w:hanging="165"/>
        <w:rPr>
          <w:i/>
        </w:rPr>
      </w:pPr>
      <w:r>
        <w:rPr>
          <w:i/>
          <w:vertAlign w:val="superscript"/>
        </w:rPr>
        <w:t>3</w:t>
      </w:r>
      <w:r w:rsidR="000B053C" w:rsidRPr="000B053C">
        <w:rPr>
          <w:i/>
        </w:rPr>
        <w:t xml:space="preserve"> </w:t>
      </w:r>
      <w:r w:rsidR="002E013A" w:rsidRPr="002E013A">
        <w:rPr>
          <w:i/>
        </w:rPr>
        <w:t>$75,000 to &lt; $95,000</w:t>
      </w:r>
      <w:r w:rsidR="0072689A">
        <w:rPr>
          <w:i/>
        </w:rPr>
        <w:t xml:space="preserve"> </w:t>
      </w:r>
    </w:p>
    <w:p w14:paraId="760A165F" w14:textId="640A8F54" w:rsidR="0072689A" w:rsidRPr="0072689A" w:rsidRDefault="0072689A" w:rsidP="0072689A">
      <w:pPr>
        <w:pStyle w:val="FooterTableFigure"/>
        <w:ind w:left="165" w:hanging="165"/>
        <w:rPr>
          <w:i/>
        </w:rPr>
      </w:pPr>
      <w:r w:rsidRPr="0072689A">
        <w:rPr>
          <w:i/>
          <w:vertAlign w:val="superscript"/>
        </w:rPr>
        <w:t>4</w:t>
      </w:r>
      <w:r>
        <w:rPr>
          <w:i/>
        </w:rPr>
        <w:t xml:space="preserve"> </w:t>
      </w:r>
      <w:r w:rsidRPr="0072689A">
        <w:rPr>
          <w:i/>
        </w:rPr>
        <w:t xml:space="preserve">$95,000 to &lt; $115,000 </w:t>
      </w:r>
    </w:p>
    <w:p w14:paraId="757F4F3B" w14:textId="7C093E9B" w:rsidR="000B053C" w:rsidRPr="000B053C" w:rsidRDefault="000B053C" w:rsidP="000B053C">
      <w:pPr>
        <w:pStyle w:val="FooterTableFigure"/>
        <w:ind w:left="165" w:hanging="165"/>
        <w:rPr>
          <w:i/>
        </w:rPr>
      </w:pPr>
    </w:p>
    <w:p w14:paraId="293747A1" w14:textId="0A035268" w:rsidR="00EB6430" w:rsidRPr="008B02E0" w:rsidRDefault="00EB6430" w:rsidP="00AE5B32">
      <w:pPr>
        <w:pStyle w:val="3-BodyText"/>
      </w:pPr>
      <w:r w:rsidRPr="008B02E0">
        <w:t xml:space="preserve">A summary of the economic evaluation is presented in </w:t>
      </w:r>
      <w:r w:rsidRPr="008B02E0">
        <w:fldChar w:fldCharType="begin"/>
      </w:r>
      <w:r w:rsidRPr="008B02E0">
        <w:instrText xml:space="preserve"> REF _Ref104805160 \h  \* MERGEFORMAT </w:instrText>
      </w:r>
      <w:r w:rsidRPr="008B02E0">
        <w:fldChar w:fldCharType="separate"/>
      </w:r>
      <w:r w:rsidR="00B542C9" w:rsidRPr="008B02E0">
        <w:t xml:space="preserve">Table </w:t>
      </w:r>
      <w:r w:rsidR="00B542C9">
        <w:t>12</w:t>
      </w:r>
      <w:r w:rsidRPr="008B02E0">
        <w:fldChar w:fldCharType="end"/>
      </w:r>
      <w:r w:rsidRPr="008B02E0">
        <w:t xml:space="preserve">. No formal stepped evaluation was </w:t>
      </w:r>
      <w:r w:rsidR="004A546F" w:rsidRPr="008B02E0">
        <w:t>provided in the submission</w:t>
      </w:r>
      <w:r w:rsidRPr="008B02E0">
        <w:t>, but in Step 1 the time horizon was set to 47.01 months to match median follow up from CM</w:t>
      </w:r>
      <w:r w:rsidR="009E5502">
        <w:noBreakHyphen/>
      </w:r>
      <w:r w:rsidRPr="008B02E0">
        <w:t xml:space="preserve">8HW 1L. The base case ICER for nivolumab plus ipilimumab versus pembrolizumab was </w:t>
      </w:r>
      <w:r w:rsidRPr="00FF0D33">
        <w:t>$</w:t>
      </w:r>
      <w:r w:rsidR="006D3EA2">
        <w:t>75,000 to &lt; $95,000</w:t>
      </w:r>
      <w:r w:rsidRPr="008B02E0">
        <w:t xml:space="preserve"> per QALY gained.</w:t>
      </w:r>
    </w:p>
    <w:p w14:paraId="48C3BDAF" w14:textId="4B784A47" w:rsidR="00EB6430" w:rsidRPr="008B02E0" w:rsidRDefault="00EB6430" w:rsidP="00AE5B32">
      <w:pPr>
        <w:pStyle w:val="Caption"/>
        <w:rPr>
          <w:rStyle w:val="CommentReference"/>
          <w:b/>
          <w:szCs w:val="24"/>
        </w:rPr>
      </w:pPr>
      <w:bookmarkStart w:id="90" w:name="_Ref104805160"/>
      <w:r w:rsidRPr="008B02E0">
        <w:lastRenderedPageBreak/>
        <w:t xml:space="preserve">Table </w:t>
      </w:r>
      <w:r w:rsidR="008258C7">
        <w:fldChar w:fldCharType="begin"/>
      </w:r>
      <w:r w:rsidR="008258C7">
        <w:instrText xml:space="preserve"> SEQ Table \* ARABIC </w:instrText>
      </w:r>
      <w:r w:rsidR="008258C7">
        <w:fldChar w:fldCharType="separate"/>
      </w:r>
      <w:r w:rsidR="00B542C9">
        <w:rPr>
          <w:noProof/>
        </w:rPr>
        <w:t>12</w:t>
      </w:r>
      <w:r w:rsidR="008258C7">
        <w:rPr>
          <w:noProof/>
        </w:rPr>
        <w:fldChar w:fldCharType="end"/>
      </w:r>
      <w:bookmarkEnd w:id="90"/>
      <w:r w:rsidRPr="008B02E0">
        <w:t>:</w:t>
      </w:r>
      <w:r w:rsidRPr="008B02E0">
        <w:rPr>
          <w:rStyle w:val="CommentReference"/>
          <w:b/>
          <w:szCs w:val="24"/>
        </w:rPr>
        <w:t xml:space="preserve">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757"/>
        <w:gridCol w:w="2451"/>
        <w:gridCol w:w="2298"/>
        <w:gridCol w:w="1511"/>
      </w:tblGrid>
      <w:tr w:rsidR="00EB6430" w:rsidRPr="008B02E0" w14:paraId="19E26B22" w14:textId="77777777" w:rsidTr="00D17F3A">
        <w:trPr>
          <w:tblHeader/>
        </w:trPr>
        <w:tc>
          <w:tcPr>
            <w:tcW w:w="1529" w:type="pct"/>
            <w:vAlign w:val="center"/>
          </w:tcPr>
          <w:p w14:paraId="1850C662" w14:textId="77777777" w:rsidR="00EB6430" w:rsidRPr="008B02E0" w:rsidRDefault="00EB6430" w:rsidP="00AE5B32">
            <w:pPr>
              <w:pStyle w:val="In-tableHeading"/>
              <w:rPr>
                <w:lang w:val="en-AU"/>
              </w:rPr>
            </w:pPr>
            <w:r w:rsidRPr="008B02E0">
              <w:rPr>
                <w:lang w:val="en-AU"/>
              </w:rPr>
              <w:t>Step and component</w:t>
            </w:r>
          </w:p>
        </w:tc>
        <w:tc>
          <w:tcPr>
            <w:tcW w:w="1359" w:type="pct"/>
            <w:vAlign w:val="center"/>
          </w:tcPr>
          <w:p w14:paraId="6DD74EFA" w14:textId="77777777" w:rsidR="00EB6430" w:rsidRPr="008B02E0" w:rsidRDefault="00EB6430" w:rsidP="00AE5B32">
            <w:pPr>
              <w:pStyle w:val="In-tableHeading"/>
              <w:jc w:val="center"/>
              <w:rPr>
                <w:lang w:val="en-AU"/>
              </w:rPr>
            </w:pPr>
            <w:r w:rsidRPr="008B02E0">
              <w:rPr>
                <w:lang w:val="en-AU"/>
              </w:rPr>
              <w:t>NIVO+IPI</w:t>
            </w:r>
          </w:p>
        </w:tc>
        <w:tc>
          <w:tcPr>
            <w:tcW w:w="1274" w:type="pct"/>
            <w:vAlign w:val="center"/>
          </w:tcPr>
          <w:p w14:paraId="77FDC18E" w14:textId="77777777" w:rsidR="00EB6430" w:rsidRPr="008B02E0" w:rsidRDefault="00EB6430" w:rsidP="00AE5B32">
            <w:pPr>
              <w:pStyle w:val="In-tableHeading"/>
              <w:jc w:val="center"/>
              <w:rPr>
                <w:lang w:val="en-AU"/>
              </w:rPr>
            </w:pPr>
            <w:r w:rsidRPr="008B02E0">
              <w:rPr>
                <w:lang w:val="en-AU"/>
              </w:rPr>
              <w:t>Pembrolizumab</w:t>
            </w:r>
          </w:p>
        </w:tc>
        <w:tc>
          <w:tcPr>
            <w:tcW w:w="838" w:type="pct"/>
            <w:vAlign w:val="center"/>
          </w:tcPr>
          <w:p w14:paraId="5CF764C9" w14:textId="77777777" w:rsidR="00EB6430" w:rsidRPr="008B02E0" w:rsidRDefault="00EB6430" w:rsidP="00AE5B32">
            <w:pPr>
              <w:pStyle w:val="In-tableHeading"/>
              <w:jc w:val="center"/>
              <w:rPr>
                <w:lang w:val="en-AU"/>
              </w:rPr>
            </w:pPr>
            <w:r w:rsidRPr="008B02E0">
              <w:rPr>
                <w:lang w:val="en-AU"/>
              </w:rPr>
              <w:t>Increment</w:t>
            </w:r>
          </w:p>
        </w:tc>
      </w:tr>
      <w:tr w:rsidR="00EB6430" w:rsidRPr="008B02E0" w14:paraId="66846D6F" w14:textId="77777777" w:rsidTr="00D17F3A">
        <w:tc>
          <w:tcPr>
            <w:tcW w:w="5000" w:type="pct"/>
            <w:gridSpan w:val="4"/>
            <w:vAlign w:val="center"/>
          </w:tcPr>
          <w:p w14:paraId="1E34B159" w14:textId="77777777" w:rsidR="00EB6430" w:rsidRPr="008B02E0" w:rsidRDefault="00EB6430" w:rsidP="00AE5B32">
            <w:pPr>
              <w:pStyle w:val="TableText0"/>
              <w:rPr>
                <w:b/>
                <w:bCs w:val="0"/>
              </w:rPr>
            </w:pPr>
            <w:r w:rsidRPr="008B02E0">
              <w:rPr>
                <w:b/>
                <w:bCs w:val="0"/>
              </w:rPr>
              <w:t>Step 1: time horizon 47.01 months (all costs, utilities and 5% discounting costs and benefits)</w:t>
            </w:r>
          </w:p>
        </w:tc>
      </w:tr>
      <w:tr w:rsidR="00EB6430" w:rsidRPr="008B02E0" w14:paraId="6FAFF078" w14:textId="77777777" w:rsidTr="00D17F3A">
        <w:tc>
          <w:tcPr>
            <w:tcW w:w="1529" w:type="pct"/>
            <w:vAlign w:val="center"/>
          </w:tcPr>
          <w:p w14:paraId="01672DD2" w14:textId="77777777" w:rsidR="00EB6430" w:rsidRPr="008B02E0" w:rsidRDefault="00EB6430" w:rsidP="00AE5B32">
            <w:pPr>
              <w:pStyle w:val="TableText0"/>
              <w:rPr>
                <w:rFonts w:ascii="Times" w:hAnsi="Times"/>
              </w:rPr>
            </w:pPr>
            <w:r w:rsidRPr="008B02E0">
              <w:t>Costs</w:t>
            </w:r>
          </w:p>
        </w:tc>
        <w:tc>
          <w:tcPr>
            <w:tcW w:w="1359" w:type="pct"/>
            <w:vAlign w:val="center"/>
          </w:tcPr>
          <w:p w14:paraId="6E557361" w14:textId="088542C0" w:rsidR="00EB6430" w:rsidRPr="008B02E0" w:rsidRDefault="00EB6430" w:rsidP="00AE5B32">
            <w:pPr>
              <w:pStyle w:val="TableText0"/>
              <w:jc w:val="center"/>
              <w:rPr>
                <w:rFonts w:ascii="Times" w:hAnsi="Times"/>
                <w:iCs/>
              </w:rPr>
            </w:pPr>
            <w:r w:rsidRPr="008B02E0">
              <w:rPr>
                <w:iCs/>
              </w:rPr>
              <w:t>$</w:t>
            </w:r>
            <w:r w:rsidR="00E11347" w:rsidRPr="00E11347">
              <w:rPr>
                <w:iCs/>
                <w:color w:val="000000"/>
                <w:spacing w:val="48"/>
                <w:shd w:val="solid" w:color="000000" w:fill="000000"/>
                <w:fitText w:val="315" w:id="-628963577"/>
                <w14:textFill>
                  <w14:solidFill>
                    <w14:srgbClr w14:val="000000">
                      <w14:alpha w14:val="100000"/>
                    </w14:srgbClr>
                  </w14:solidFill>
                </w14:textFill>
              </w:rPr>
              <w:t>|||</w:t>
            </w:r>
            <w:r w:rsidR="00E11347" w:rsidRPr="00E11347">
              <w:rPr>
                <w:iCs/>
                <w:color w:val="000000"/>
                <w:spacing w:val="1"/>
                <w:shd w:val="solid" w:color="000000" w:fill="000000"/>
                <w:fitText w:val="315" w:id="-628963577"/>
                <w14:textFill>
                  <w14:solidFill>
                    <w14:srgbClr w14:val="000000">
                      <w14:alpha w14:val="100000"/>
                    </w14:srgbClr>
                  </w14:solidFill>
                </w14:textFill>
              </w:rPr>
              <w:t>|</w:t>
            </w:r>
          </w:p>
        </w:tc>
        <w:tc>
          <w:tcPr>
            <w:tcW w:w="1274" w:type="pct"/>
            <w:vAlign w:val="center"/>
          </w:tcPr>
          <w:p w14:paraId="5F3842E1" w14:textId="71E51CBB" w:rsidR="00EB6430" w:rsidRPr="008B02E0" w:rsidRDefault="00EB6430" w:rsidP="00AE5B32">
            <w:pPr>
              <w:pStyle w:val="TableText0"/>
              <w:jc w:val="center"/>
              <w:rPr>
                <w:rFonts w:ascii="Times" w:hAnsi="Times"/>
                <w:iCs/>
              </w:rPr>
            </w:pPr>
            <w:r w:rsidRPr="008B02E0">
              <w:rPr>
                <w:iCs/>
              </w:rPr>
              <w:t>$</w:t>
            </w:r>
            <w:r w:rsidR="00E11347" w:rsidRPr="00E11347">
              <w:rPr>
                <w:iCs/>
                <w:color w:val="000000"/>
                <w:spacing w:val="53"/>
                <w:shd w:val="solid" w:color="000000" w:fill="000000"/>
                <w:fitText w:val="330" w:id="-628963576"/>
                <w14:textFill>
                  <w14:solidFill>
                    <w14:srgbClr w14:val="000000">
                      <w14:alpha w14:val="100000"/>
                    </w14:srgbClr>
                  </w14:solidFill>
                </w14:textFill>
              </w:rPr>
              <w:t>|||</w:t>
            </w:r>
            <w:r w:rsidR="00E11347" w:rsidRPr="00E11347">
              <w:rPr>
                <w:iCs/>
                <w:color w:val="000000"/>
                <w:spacing w:val="1"/>
                <w:shd w:val="solid" w:color="000000" w:fill="000000"/>
                <w:fitText w:val="330" w:id="-628963576"/>
                <w14:textFill>
                  <w14:solidFill>
                    <w14:srgbClr w14:val="000000">
                      <w14:alpha w14:val="100000"/>
                    </w14:srgbClr>
                  </w14:solidFill>
                </w14:textFill>
              </w:rPr>
              <w:t>|</w:t>
            </w:r>
          </w:p>
        </w:tc>
        <w:tc>
          <w:tcPr>
            <w:tcW w:w="838" w:type="pct"/>
            <w:vAlign w:val="center"/>
          </w:tcPr>
          <w:p w14:paraId="0C6A93AC" w14:textId="6F5E7592" w:rsidR="00EB6430" w:rsidRPr="008B02E0" w:rsidRDefault="00EB6430" w:rsidP="00AE5B32">
            <w:pPr>
              <w:pStyle w:val="TableText0"/>
              <w:jc w:val="center"/>
              <w:rPr>
                <w:rFonts w:ascii="Times" w:hAnsi="Times"/>
              </w:rPr>
            </w:pPr>
            <w:r w:rsidRPr="008B02E0">
              <w:t>$</w:t>
            </w:r>
            <w:r w:rsidR="00E11347" w:rsidRPr="00E11347">
              <w:rPr>
                <w:color w:val="000000"/>
                <w:spacing w:val="53"/>
                <w:shd w:val="solid" w:color="000000" w:fill="000000"/>
                <w:fitText w:val="330" w:id="-628963575"/>
                <w14:textFill>
                  <w14:solidFill>
                    <w14:srgbClr w14:val="000000">
                      <w14:alpha w14:val="100000"/>
                    </w14:srgbClr>
                  </w14:solidFill>
                </w14:textFill>
              </w:rPr>
              <w:t>|||</w:t>
            </w:r>
            <w:r w:rsidR="00E11347" w:rsidRPr="00E11347">
              <w:rPr>
                <w:color w:val="000000"/>
                <w:spacing w:val="1"/>
                <w:shd w:val="solid" w:color="000000" w:fill="000000"/>
                <w:fitText w:val="330" w:id="-628963575"/>
                <w14:textFill>
                  <w14:solidFill>
                    <w14:srgbClr w14:val="000000">
                      <w14:alpha w14:val="100000"/>
                    </w14:srgbClr>
                  </w14:solidFill>
                </w14:textFill>
              </w:rPr>
              <w:t>|</w:t>
            </w:r>
          </w:p>
        </w:tc>
      </w:tr>
      <w:tr w:rsidR="00EB6430" w:rsidRPr="008B02E0" w14:paraId="57944A95" w14:textId="77777777" w:rsidTr="00D17F3A">
        <w:tc>
          <w:tcPr>
            <w:tcW w:w="1529" w:type="pct"/>
            <w:vAlign w:val="center"/>
          </w:tcPr>
          <w:p w14:paraId="4BA91445" w14:textId="77777777" w:rsidR="00EB6430" w:rsidRPr="008B02E0" w:rsidRDefault="00EB6430" w:rsidP="00AE5B32">
            <w:pPr>
              <w:pStyle w:val="TableText0"/>
              <w:rPr>
                <w:iCs/>
              </w:rPr>
            </w:pPr>
            <w:r w:rsidRPr="008B02E0">
              <w:rPr>
                <w:iCs/>
              </w:rPr>
              <w:t>PFLY</w:t>
            </w:r>
          </w:p>
        </w:tc>
        <w:tc>
          <w:tcPr>
            <w:tcW w:w="1359" w:type="pct"/>
            <w:vAlign w:val="center"/>
          </w:tcPr>
          <w:p w14:paraId="307B6B77" w14:textId="77777777" w:rsidR="00EB6430" w:rsidRPr="008B02E0" w:rsidRDefault="00EB6430" w:rsidP="00AE5B32">
            <w:pPr>
              <w:pStyle w:val="TableText0"/>
              <w:jc w:val="center"/>
              <w:rPr>
                <w:iCs/>
              </w:rPr>
            </w:pPr>
            <w:r w:rsidRPr="008B02E0">
              <w:rPr>
                <w:iCs/>
              </w:rPr>
              <w:t>2.50</w:t>
            </w:r>
          </w:p>
        </w:tc>
        <w:tc>
          <w:tcPr>
            <w:tcW w:w="1274" w:type="pct"/>
            <w:vAlign w:val="center"/>
          </w:tcPr>
          <w:p w14:paraId="09D68A40" w14:textId="77777777" w:rsidR="00EB6430" w:rsidRPr="008B02E0" w:rsidRDefault="00EB6430" w:rsidP="00AE5B32">
            <w:pPr>
              <w:pStyle w:val="TableText0"/>
              <w:jc w:val="center"/>
              <w:rPr>
                <w:iCs/>
              </w:rPr>
            </w:pPr>
            <w:r w:rsidRPr="008B02E0">
              <w:rPr>
                <w:iCs/>
              </w:rPr>
              <w:t>1.83</w:t>
            </w:r>
          </w:p>
        </w:tc>
        <w:tc>
          <w:tcPr>
            <w:tcW w:w="838" w:type="pct"/>
            <w:vAlign w:val="center"/>
          </w:tcPr>
          <w:p w14:paraId="068280CF" w14:textId="77777777" w:rsidR="00EB6430" w:rsidRPr="008B02E0" w:rsidRDefault="00EB6430" w:rsidP="00AE5B32">
            <w:pPr>
              <w:pStyle w:val="TableText0"/>
              <w:jc w:val="center"/>
              <w:rPr>
                <w:iCs/>
              </w:rPr>
            </w:pPr>
            <w:r w:rsidRPr="008B02E0">
              <w:rPr>
                <w:iCs/>
              </w:rPr>
              <w:t>0.67</w:t>
            </w:r>
          </w:p>
        </w:tc>
      </w:tr>
      <w:tr w:rsidR="00EB6430" w:rsidRPr="008B02E0" w14:paraId="5541EFCE" w14:textId="77777777" w:rsidTr="00D17F3A">
        <w:tc>
          <w:tcPr>
            <w:tcW w:w="1529" w:type="pct"/>
            <w:vAlign w:val="center"/>
          </w:tcPr>
          <w:p w14:paraId="6EFE179C" w14:textId="77777777" w:rsidR="00EB6430" w:rsidRPr="008B02E0" w:rsidRDefault="00EB6430" w:rsidP="00AE5B32">
            <w:pPr>
              <w:pStyle w:val="TableText0"/>
              <w:rPr>
                <w:rFonts w:ascii="Times" w:hAnsi="Times"/>
                <w:iCs/>
              </w:rPr>
            </w:pPr>
            <w:r w:rsidRPr="008B02E0">
              <w:rPr>
                <w:iCs/>
              </w:rPr>
              <w:t>LY</w:t>
            </w:r>
          </w:p>
        </w:tc>
        <w:tc>
          <w:tcPr>
            <w:tcW w:w="1359" w:type="pct"/>
            <w:vAlign w:val="center"/>
          </w:tcPr>
          <w:p w14:paraId="24DCA194" w14:textId="77777777" w:rsidR="00EB6430" w:rsidRPr="008B02E0" w:rsidRDefault="00EB6430" w:rsidP="00AE5B32">
            <w:pPr>
              <w:pStyle w:val="TableText0"/>
              <w:jc w:val="center"/>
              <w:rPr>
                <w:rFonts w:ascii="Times" w:hAnsi="Times"/>
                <w:iCs/>
              </w:rPr>
            </w:pPr>
            <w:r w:rsidRPr="008B02E0">
              <w:rPr>
                <w:iCs/>
              </w:rPr>
              <w:t>3.10</w:t>
            </w:r>
          </w:p>
        </w:tc>
        <w:tc>
          <w:tcPr>
            <w:tcW w:w="1274" w:type="pct"/>
            <w:vAlign w:val="center"/>
          </w:tcPr>
          <w:p w14:paraId="3F2F5F71" w14:textId="77777777" w:rsidR="00EB6430" w:rsidRPr="008B02E0" w:rsidRDefault="00EB6430" w:rsidP="00AE5B32">
            <w:pPr>
              <w:pStyle w:val="TableText0"/>
              <w:jc w:val="center"/>
              <w:rPr>
                <w:rFonts w:ascii="Times" w:hAnsi="Times"/>
                <w:iCs/>
              </w:rPr>
            </w:pPr>
            <w:r w:rsidRPr="008B02E0">
              <w:rPr>
                <w:iCs/>
              </w:rPr>
              <w:t>2.79</w:t>
            </w:r>
          </w:p>
        </w:tc>
        <w:tc>
          <w:tcPr>
            <w:tcW w:w="838" w:type="pct"/>
            <w:vAlign w:val="center"/>
          </w:tcPr>
          <w:p w14:paraId="176D4021" w14:textId="77777777" w:rsidR="00EB6430" w:rsidRPr="008B02E0" w:rsidRDefault="00EB6430" w:rsidP="00AE5B32">
            <w:pPr>
              <w:pStyle w:val="TableText0"/>
              <w:jc w:val="center"/>
              <w:rPr>
                <w:iCs/>
              </w:rPr>
            </w:pPr>
            <w:r w:rsidRPr="008B02E0">
              <w:rPr>
                <w:iCs/>
              </w:rPr>
              <w:t>0.30</w:t>
            </w:r>
          </w:p>
        </w:tc>
      </w:tr>
      <w:tr w:rsidR="00EB6430" w:rsidRPr="008B02E0" w14:paraId="64E2D956" w14:textId="77777777" w:rsidTr="00D17F3A">
        <w:tc>
          <w:tcPr>
            <w:tcW w:w="1529" w:type="pct"/>
            <w:vAlign w:val="center"/>
          </w:tcPr>
          <w:p w14:paraId="5D99860E" w14:textId="77777777" w:rsidR="00EB6430" w:rsidRPr="008B02E0" w:rsidRDefault="00EB6430" w:rsidP="00AE5B32">
            <w:pPr>
              <w:pStyle w:val="TableText0"/>
            </w:pPr>
            <w:r w:rsidRPr="008B02E0">
              <w:t>QALY</w:t>
            </w:r>
          </w:p>
        </w:tc>
        <w:tc>
          <w:tcPr>
            <w:tcW w:w="1359" w:type="pct"/>
            <w:vAlign w:val="center"/>
          </w:tcPr>
          <w:p w14:paraId="65B8A738" w14:textId="77777777" w:rsidR="00EB6430" w:rsidRPr="008B02E0" w:rsidRDefault="00EB6430" w:rsidP="00AE5B32">
            <w:pPr>
              <w:pStyle w:val="TableText0"/>
              <w:jc w:val="center"/>
              <w:rPr>
                <w:iCs/>
              </w:rPr>
            </w:pPr>
            <w:r w:rsidRPr="008B02E0">
              <w:rPr>
                <w:iCs/>
              </w:rPr>
              <w:t>2.44</w:t>
            </w:r>
          </w:p>
        </w:tc>
        <w:tc>
          <w:tcPr>
            <w:tcW w:w="1274" w:type="pct"/>
            <w:vAlign w:val="center"/>
          </w:tcPr>
          <w:p w14:paraId="77F3EAE7" w14:textId="77777777" w:rsidR="00EB6430" w:rsidRPr="008B02E0" w:rsidRDefault="00EB6430" w:rsidP="00AE5B32">
            <w:pPr>
              <w:pStyle w:val="TableText0"/>
              <w:jc w:val="center"/>
              <w:rPr>
                <w:iCs/>
              </w:rPr>
            </w:pPr>
            <w:r w:rsidRPr="008B02E0">
              <w:rPr>
                <w:iCs/>
              </w:rPr>
              <w:t>2.18</w:t>
            </w:r>
          </w:p>
        </w:tc>
        <w:tc>
          <w:tcPr>
            <w:tcW w:w="838" w:type="pct"/>
            <w:vAlign w:val="center"/>
          </w:tcPr>
          <w:p w14:paraId="63879EC5" w14:textId="77777777" w:rsidR="00EB6430" w:rsidRPr="008B02E0" w:rsidRDefault="00EB6430" w:rsidP="00AE5B32">
            <w:pPr>
              <w:pStyle w:val="TableText0"/>
              <w:jc w:val="center"/>
            </w:pPr>
            <w:r w:rsidRPr="008B02E0">
              <w:t>0.26</w:t>
            </w:r>
          </w:p>
        </w:tc>
      </w:tr>
      <w:tr w:rsidR="00EB6430" w:rsidRPr="008B02E0" w14:paraId="7AD7ACA4" w14:textId="77777777" w:rsidTr="00D17F3A">
        <w:tc>
          <w:tcPr>
            <w:tcW w:w="4162" w:type="pct"/>
            <w:gridSpan w:val="3"/>
            <w:vAlign w:val="center"/>
          </w:tcPr>
          <w:p w14:paraId="6DB8960D" w14:textId="77777777" w:rsidR="00EB6430" w:rsidRPr="008B02E0" w:rsidRDefault="00EB6430" w:rsidP="00AE5B32">
            <w:pPr>
              <w:pStyle w:val="TableText0"/>
              <w:rPr>
                <w:rFonts w:ascii="Times" w:hAnsi="Times"/>
                <w:iCs/>
              </w:rPr>
            </w:pPr>
            <w:r w:rsidRPr="008B02E0">
              <w:rPr>
                <w:iCs/>
              </w:rPr>
              <w:t>Incremental cost/extra LY gained</w:t>
            </w:r>
          </w:p>
        </w:tc>
        <w:tc>
          <w:tcPr>
            <w:tcW w:w="838" w:type="pct"/>
            <w:vAlign w:val="center"/>
          </w:tcPr>
          <w:p w14:paraId="5D615A72" w14:textId="5255EAC4" w:rsidR="00EB6430" w:rsidRPr="00CB1882" w:rsidRDefault="00EB6430" w:rsidP="00AE5B32">
            <w:pPr>
              <w:pStyle w:val="TableText0"/>
              <w:jc w:val="center"/>
              <w:rPr>
                <w:rFonts w:ascii="Times" w:hAnsi="Times"/>
                <w:i/>
                <w:vertAlign w:val="superscript"/>
              </w:rPr>
            </w:pPr>
            <w:r w:rsidRPr="008B02E0">
              <w:rPr>
                <w:iCs/>
              </w:rPr>
              <w:t>$</w:t>
            </w:r>
            <w:r w:rsidR="00E11347" w:rsidRPr="00E11347">
              <w:rPr>
                <w:iCs/>
                <w:color w:val="000000"/>
                <w:spacing w:val="53"/>
                <w:shd w:val="solid" w:color="000000" w:fill="000000"/>
                <w:fitText w:val="330" w:id="-628963574"/>
                <w14:textFill>
                  <w14:solidFill>
                    <w14:srgbClr w14:val="000000">
                      <w14:alpha w14:val="100000"/>
                    </w14:srgbClr>
                  </w14:solidFill>
                </w14:textFill>
              </w:rPr>
              <w:t>|||</w:t>
            </w:r>
            <w:r w:rsidR="00E11347" w:rsidRPr="00E11347">
              <w:rPr>
                <w:iCs/>
                <w:color w:val="000000"/>
                <w:spacing w:val="1"/>
                <w:shd w:val="solid" w:color="000000" w:fill="000000"/>
                <w:fitText w:val="330" w:id="-628963574"/>
                <w14:textFill>
                  <w14:solidFill>
                    <w14:srgbClr w14:val="000000">
                      <w14:alpha w14:val="100000"/>
                    </w14:srgbClr>
                  </w14:solidFill>
                </w14:textFill>
              </w:rPr>
              <w:t>|</w:t>
            </w:r>
            <w:r w:rsidR="00CB1882">
              <w:rPr>
                <w:i/>
                <w:vertAlign w:val="superscript"/>
              </w:rPr>
              <w:t>1</w:t>
            </w:r>
          </w:p>
        </w:tc>
      </w:tr>
      <w:tr w:rsidR="00EB6430" w:rsidRPr="008B02E0" w14:paraId="1C46886F" w14:textId="77777777" w:rsidTr="00D17F3A">
        <w:tc>
          <w:tcPr>
            <w:tcW w:w="4162" w:type="pct"/>
            <w:gridSpan w:val="3"/>
            <w:vAlign w:val="center"/>
          </w:tcPr>
          <w:p w14:paraId="3F06F8A1" w14:textId="77777777" w:rsidR="00EB6430" w:rsidRPr="008B02E0" w:rsidRDefault="00EB6430" w:rsidP="00AE5B32">
            <w:pPr>
              <w:pStyle w:val="TableText0"/>
            </w:pPr>
            <w:r w:rsidRPr="008B02E0">
              <w:t>Incremental cost/extra QALY gained</w:t>
            </w:r>
          </w:p>
        </w:tc>
        <w:tc>
          <w:tcPr>
            <w:tcW w:w="838" w:type="pct"/>
            <w:vAlign w:val="center"/>
          </w:tcPr>
          <w:p w14:paraId="097D0571" w14:textId="2981EF51" w:rsidR="00EB6430" w:rsidRPr="008B02E0" w:rsidRDefault="00EB6430" w:rsidP="00AE5B32">
            <w:pPr>
              <w:pStyle w:val="TableText0"/>
              <w:jc w:val="center"/>
            </w:pPr>
            <w:r w:rsidRPr="008B02E0">
              <w:t>$</w:t>
            </w:r>
            <w:r w:rsidR="00E11347" w:rsidRPr="00E11347">
              <w:rPr>
                <w:color w:val="000000"/>
                <w:spacing w:val="53"/>
                <w:shd w:val="solid" w:color="000000" w:fill="000000"/>
                <w:fitText w:val="330" w:id="-628963573"/>
                <w14:textFill>
                  <w14:solidFill>
                    <w14:srgbClr w14:val="000000">
                      <w14:alpha w14:val="100000"/>
                    </w14:srgbClr>
                  </w14:solidFill>
                </w14:textFill>
              </w:rPr>
              <w:t>|||</w:t>
            </w:r>
            <w:r w:rsidR="00E11347" w:rsidRPr="00E11347">
              <w:rPr>
                <w:color w:val="000000"/>
                <w:spacing w:val="1"/>
                <w:shd w:val="solid" w:color="000000" w:fill="000000"/>
                <w:fitText w:val="330" w:id="-628963573"/>
                <w14:textFill>
                  <w14:solidFill>
                    <w14:srgbClr w14:val="000000">
                      <w14:alpha w14:val="100000"/>
                    </w14:srgbClr>
                  </w14:solidFill>
                </w14:textFill>
              </w:rPr>
              <w:t>|</w:t>
            </w:r>
            <w:r w:rsidR="00313613" w:rsidRPr="00313613">
              <w:rPr>
                <w:i/>
                <w:iCs/>
                <w:vertAlign w:val="superscript"/>
              </w:rPr>
              <w:t>1</w:t>
            </w:r>
          </w:p>
        </w:tc>
      </w:tr>
      <w:tr w:rsidR="00EB6430" w:rsidRPr="008B02E0" w14:paraId="0FE6545E" w14:textId="77777777" w:rsidTr="00D17F3A">
        <w:tc>
          <w:tcPr>
            <w:tcW w:w="5000" w:type="pct"/>
            <w:gridSpan w:val="4"/>
            <w:vAlign w:val="center"/>
          </w:tcPr>
          <w:p w14:paraId="58ECCFA2" w14:textId="77777777" w:rsidR="00EB6430" w:rsidRPr="008B02E0" w:rsidRDefault="00EB6430" w:rsidP="00AE5B32">
            <w:pPr>
              <w:pStyle w:val="In-tableHeading"/>
              <w:rPr>
                <w:lang w:val="en-AU"/>
              </w:rPr>
            </w:pPr>
            <w:r w:rsidRPr="008B02E0">
              <w:rPr>
                <w:lang w:val="en-AU"/>
              </w:rPr>
              <w:t>Step 2: time horizon extended to 20 years</w:t>
            </w:r>
          </w:p>
        </w:tc>
      </w:tr>
      <w:tr w:rsidR="00EB6430" w:rsidRPr="008B02E0" w14:paraId="19F3C607" w14:textId="77777777" w:rsidTr="00D17F3A">
        <w:tc>
          <w:tcPr>
            <w:tcW w:w="1529" w:type="pct"/>
            <w:vAlign w:val="center"/>
          </w:tcPr>
          <w:p w14:paraId="123F5DD0" w14:textId="77777777" w:rsidR="00EB6430" w:rsidRPr="008B02E0" w:rsidRDefault="00EB6430" w:rsidP="00AE5B32">
            <w:pPr>
              <w:pStyle w:val="TableText0"/>
              <w:rPr>
                <w:rFonts w:ascii="Times" w:hAnsi="Times"/>
              </w:rPr>
            </w:pPr>
            <w:r w:rsidRPr="008B02E0">
              <w:t>Costs</w:t>
            </w:r>
          </w:p>
        </w:tc>
        <w:tc>
          <w:tcPr>
            <w:tcW w:w="1359" w:type="pct"/>
            <w:vAlign w:val="center"/>
          </w:tcPr>
          <w:p w14:paraId="23FEA8DD" w14:textId="0D8CB319" w:rsidR="00EB6430" w:rsidRPr="008B02E0" w:rsidRDefault="00EB6430" w:rsidP="00AE5B32">
            <w:pPr>
              <w:pStyle w:val="TableText0"/>
              <w:jc w:val="center"/>
              <w:rPr>
                <w:rFonts w:ascii="Times" w:hAnsi="Times"/>
              </w:rPr>
            </w:pPr>
            <w:r w:rsidRPr="008B02E0">
              <w:t>$</w:t>
            </w:r>
            <w:r w:rsidR="00E11347" w:rsidRPr="00E11347">
              <w:rPr>
                <w:color w:val="000000"/>
                <w:spacing w:val="48"/>
                <w:shd w:val="solid" w:color="000000" w:fill="000000"/>
                <w:fitText w:val="315" w:id="-628963572"/>
                <w14:textFill>
                  <w14:solidFill>
                    <w14:srgbClr w14:val="000000">
                      <w14:alpha w14:val="100000"/>
                    </w14:srgbClr>
                  </w14:solidFill>
                </w14:textFill>
              </w:rPr>
              <w:t>|||</w:t>
            </w:r>
            <w:r w:rsidR="00E11347" w:rsidRPr="00E11347">
              <w:rPr>
                <w:color w:val="000000"/>
                <w:spacing w:val="1"/>
                <w:shd w:val="solid" w:color="000000" w:fill="000000"/>
                <w:fitText w:val="315" w:id="-628963572"/>
                <w14:textFill>
                  <w14:solidFill>
                    <w14:srgbClr w14:val="000000">
                      <w14:alpha w14:val="100000"/>
                    </w14:srgbClr>
                  </w14:solidFill>
                </w14:textFill>
              </w:rPr>
              <w:t>|</w:t>
            </w:r>
          </w:p>
        </w:tc>
        <w:tc>
          <w:tcPr>
            <w:tcW w:w="1274" w:type="pct"/>
            <w:vAlign w:val="center"/>
          </w:tcPr>
          <w:p w14:paraId="7BA0F7E1" w14:textId="7AE6B79D" w:rsidR="00EB6430" w:rsidRPr="008B02E0" w:rsidRDefault="00EB6430" w:rsidP="00AE5B32">
            <w:pPr>
              <w:pStyle w:val="TableText0"/>
              <w:jc w:val="center"/>
              <w:rPr>
                <w:rFonts w:ascii="Times" w:hAnsi="Times"/>
              </w:rPr>
            </w:pPr>
            <w:r w:rsidRPr="008B02E0">
              <w:t>$</w:t>
            </w:r>
            <w:r w:rsidR="00E11347" w:rsidRPr="00E11347">
              <w:rPr>
                <w:color w:val="000000"/>
                <w:spacing w:val="53"/>
                <w:shd w:val="solid" w:color="000000" w:fill="000000"/>
                <w:fitText w:val="330" w:id="-628963571"/>
                <w14:textFill>
                  <w14:solidFill>
                    <w14:srgbClr w14:val="000000">
                      <w14:alpha w14:val="100000"/>
                    </w14:srgbClr>
                  </w14:solidFill>
                </w14:textFill>
              </w:rPr>
              <w:t>|||</w:t>
            </w:r>
            <w:r w:rsidR="00E11347" w:rsidRPr="00E11347">
              <w:rPr>
                <w:color w:val="000000"/>
                <w:spacing w:val="1"/>
                <w:shd w:val="solid" w:color="000000" w:fill="000000"/>
                <w:fitText w:val="330" w:id="-628963571"/>
                <w14:textFill>
                  <w14:solidFill>
                    <w14:srgbClr w14:val="000000">
                      <w14:alpha w14:val="100000"/>
                    </w14:srgbClr>
                  </w14:solidFill>
                </w14:textFill>
              </w:rPr>
              <w:t>|</w:t>
            </w:r>
          </w:p>
        </w:tc>
        <w:tc>
          <w:tcPr>
            <w:tcW w:w="838" w:type="pct"/>
            <w:vAlign w:val="center"/>
          </w:tcPr>
          <w:p w14:paraId="69526B85" w14:textId="2DD918FE" w:rsidR="00EB6430" w:rsidRPr="008B02E0" w:rsidRDefault="00EB6430" w:rsidP="00AE5B32">
            <w:pPr>
              <w:pStyle w:val="TableText0"/>
              <w:jc w:val="center"/>
              <w:rPr>
                <w:rFonts w:ascii="Times" w:hAnsi="Times"/>
              </w:rPr>
            </w:pPr>
            <w:r w:rsidRPr="008B02E0">
              <w:t>$</w:t>
            </w:r>
            <w:r w:rsidR="00E11347" w:rsidRPr="00E11347">
              <w:rPr>
                <w:color w:val="000000"/>
                <w:spacing w:val="53"/>
                <w:shd w:val="solid" w:color="000000" w:fill="000000"/>
                <w:fitText w:val="330" w:id="-628963570"/>
                <w14:textFill>
                  <w14:solidFill>
                    <w14:srgbClr w14:val="000000">
                      <w14:alpha w14:val="100000"/>
                    </w14:srgbClr>
                  </w14:solidFill>
                </w14:textFill>
              </w:rPr>
              <w:t>|||</w:t>
            </w:r>
            <w:r w:rsidR="00E11347" w:rsidRPr="00E11347">
              <w:rPr>
                <w:color w:val="000000"/>
                <w:spacing w:val="1"/>
                <w:shd w:val="solid" w:color="000000" w:fill="000000"/>
                <w:fitText w:val="330" w:id="-628963570"/>
                <w14:textFill>
                  <w14:solidFill>
                    <w14:srgbClr w14:val="000000">
                      <w14:alpha w14:val="100000"/>
                    </w14:srgbClr>
                  </w14:solidFill>
                </w14:textFill>
              </w:rPr>
              <w:t>|</w:t>
            </w:r>
          </w:p>
        </w:tc>
      </w:tr>
      <w:tr w:rsidR="00EB6430" w:rsidRPr="008B02E0" w14:paraId="1C72C27E" w14:textId="77777777" w:rsidTr="00D17F3A">
        <w:tc>
          <w:tcPr>
            <w:tcW w:w="1529" w:type="pct"/>
            <w:vAlign w:val="center"/>
          </w:tcPr>
          <w:p w14:paraId="3800C5EC" w14:textId="77777777" w:rsidR="00EB6430" w:rsidRPr="008B02E0" w:rsidRDefault="00EB6430" w:rsidP="00AE5B32">
            <w:pPr>
              <w:pStyle w:val="TableText0"/>
              <w:rPr>
                <w:rFonts w:ascii="Times" w:hAnsi="Times"/>
              </w:rPr>
            </w:pPr>
            <w:r w:rsidRPr="008B02E0">
              <w:t>LY</w:t>
            </w:r>
          </w:p>
        </w:tc>
        <w:tc>
          <w:tcPr>
            <w:tcW w:w="1359" w:type="pct"/>
            <w:vAlign w:val="center"/>
          </w:tcPr>
          <w:p w14:paraId="10B5BE3D" w14:textId="77777777" w:rsidR="00EB6430" w:rsidRPr="008B02E0" w:rsidRDefault="00EB6430" w:rsidP="00AE5B32">
            <w:pPr>
              <w:pStyle w:val="TableText0"/>
              <w:jc w:val="center"/>
              <w:rPr>
                <w:rFonts w:ascii="Times" w:hAnsi="Times"/>
              </w:rPr>
            </w:pPr>
            <w:r w:rsidRPr="008B02E0">
              <w:t>8.33</w:t>
            </w:r>
          </w:p>
        </w:tc>
        <w:tc>
          <w:tcPr>
            <w:tcW w:w="1274" w:type="pct"/>
            <w:vAlign w:val="center"/>
          </w:tcPr>
          <w:p w14:paraId="274FD2EC" w14:textId="77777777" w:rsidR="00EB6430" w:rsidRPr="008B02E0" w:rsidRDefault="00EB6430" w:rsidP="00AE5B32">
            <w:pPr>
              <w:pStyle w:val="TableText0"/>
              <w:jc w:val="center"/>
              <w:rPr>
                <w:rFonts w:ascii="Times" w:hAnsi="Times"/>
              </w:rPr>
            </w:pPr>
            <w:r w:rsidRPr="008B02E0">
              <w:t>6.34</w:t>
            </w:r>
          </w:p>
        </w:tc>
        <w:tc>
          <w:tcPr>
            <w:tcW w:w="838" w:type="pct"/>
            <w:vAlign w:val="center"/>
          </w:tcPr>
          <w:p w14:paraId="3C5B7A61" w14:textId="77777777" w:rsidR="00EB6430" w:rsidRPr="008B02E0" w:rsidRDefault="00EB6430" w:rsidP="00AE5B32">
            <w:pPr>
              <w:pStyle w:val="TableText0"/>
              <w:jc w:val="center"/>
            </w:pPr>
            <w:r w:rsidRPr="008B02E0">
              <w:t>1.99</w:t>
            </w:r>
          </w:p>
        </w:tc>
      </w:tr>
      <w:tr w:rsidR="00EB6430" w:rsidRPr="008B02E0" w14:paraId="37A3F0B8" w14:textId="77777777" w:rsidTr="00D17F3A">
        <w:tc>
          <w:tcPr>
            <w:tcW w:w="1529" w:type="pct"/>
            <w:vAlign w:val="center"/>
          </w:tcPr>
          <w:p w14:paraId="799C1AC9" w14:textId="77777777" w:rsidR="00EB6430" w:rsidRPr="008B02E0" w:rsidRDefault="00EB6430" w:rsidP="00AE5B32">
            <w:pPr>
              <w:pStyle w:val="TableText0"/>
            </w:pPr>
            <w:r w:rsidRPr="008B02E0">
              <w:t>QALY</w:t>
            </w:r>
          </w:p>
        </w:tc>
        <w:tc>
          <w:tcPr>
            <w:tcW w:w="1359" w:type="pct"/>
            <w:vAlign w:val="center"/>
          </w:tcPr>
          <w:p w14:paraId="74BC8801" w14:textId="77777777" w:rsidR="00EB6430" w:rsidRPr="008B02E0" w:rsidRDefault="00EB6430" w:rsidP="00AE5B32">
            <w:pPr>
              <w:pStyle w:val="TableText0"/>
              <w:jc w:val="center"/>
            </w:pPr>
            <w:r w:rsidRPr="008B02E0">
              <w:t>6.43</w:t>
            </w:r>
          </w:p>
        </w:tc>
        <w:tc>
          <w:tcPr>
            <w:tcW w:w="1274" w:type="pct"/>
            <w:vAlign w:val="center"/>
          </w:tcPr>
          <w:p w14:paraId="7FBA7948" w14:textId="77777777" w:rsidR="00EB6430" w:rsidRPr="008B02E0" w:rsidRDefault="00EB6430" w:rsidP="00AE5B32">
            <w:pPr>
              <w:pStyle w:val="TableText0"/>
              <w:jc w:val="center"/>
            </w:pPr>
            <w:r w:rsidRPr="008B02E0">
              <w:t>4.85</w:t>
            </w:r>
          </w:p>
        </w:tc>
        <w:tc>
          <w:tcPr>
            <w:tcW w:w="838" w:type="pct"/>
            <w:vAlign w:val="center"/>
          </w:tcPr>
          <w:p w14:paraId="2FCBC727" w14:textId="77777777" w:rsidR="00EB6430" w:rsidRPr="008B02E0" w:rsidRDefault="00EB6430" w:rsidP="00AE5B32">
            <w:pPr>
              <w:pStyle w:val="TableText0"/>
              <w:jc w:val="center"/>
            </w:pPr>
            <w:r w:rsidRPr="008B02E0">
              <w:t>1.58</w:t>
            </w:r>
          </w:p>
        </w:tc>
      </w:tr>
      <w:tr w:rsidR="00EB6430" w:rsidRPr="008B02E0" w14:paraId="0DCD5B64" w14:textId="77777777" w:rsidTr="00D17F3A">
        <w:tc>
          <w:tcPr>
            <w:tcW w:w="4162" w:type="pct"/>
            <w:gridSpan w:val="3"/>
            <w:vAlign w:val="center"/>
          </w:tcPr>
          <w:p w14:paraId="27569C9C" w14:textId="77777777" w:rsidR="00EB6430" w:rsidRPr="008B02E0" w:rsidRDefault="00EB6430" w:rsidP="00AE5B32">
            <w:pPr>
              <w:pStyle w:val="TableText0"/>
              <w:rPr>
                <w:rFonts w:ascii="Times" w:hAnsi="Times"/>
              </w:rPr>
            </w:pPr>
            <w:r w:rsidRPr="008B02E0">
              <w:t>Incremental cost/extra LY gained</w:t>
            </w:r>
          </w:p>
        </w:tc>
        <w:tc>
          <w:tcPr>
            <w:tcW w:w="838" w:type="pct"/>
            <w:vAlign w:val="center"/>
          </w:tcPr>
          <w:p w14:paraId="40C2D760" w14:textId="67EAB487" w:rsidR="00EB6430" w:rsidRPr="00DC4F32" w:rsidRDefault="00EB6430" w:rsidP="00AE5B32">
            <w:pPr>
              <w:pStyle w:val="TableText0"/>
              <w:jc w:val="center"/>
              <w:rPr>
                <w:rFonts w:ascii="Times" w:hAnsi="Times"/>
                <w:i/>
                <w:iCs/>
                <w:vertAlign w:val="superscript"/>
              </w:rPr>
            </w:pPr>
            <w:r w:rsidRPr="008B02E0">
              <w:t>$</w:t>
            </w:r>
            <w:r w:rsidR="00E11347" w:rsidRPr="00E11347">
              <w:rPr>
                <w:color w:val="000000"/>
                <w:spacing w:val="53"/>
                <w:shd w:val="solid" w:color="000000" w:fill="000000"/>
                <w:fitText w:val="330" w:id="-628963569"/>
                <w14:textFill>
                  <w14:solidFill>
                    <w14:srgbClr w14:val="000000">
                      <w14:alpha w14:val="100000"/>
                    </w14:srgbClr>
                  </w14:solidFill>
                </w14:textFill>
              </w:rPr>
              <w:t>|||</w:t>
            </w:r>
            <w:r w:rsidR="00E11347" w:rsidRPr="00E11347">
              <w:rPr>
                <w:color w:val="000000"/>
                <w:spacing w:val="1"/>
                <w:shd w:val="solid" w:color="000000" w:fill="000000"/>
                <w:fitText w:val="330" w:id="-628963569"/>
                <w14:textFill>
                  <w14:solidFill>
                    <w14:srgbClr w14:val="000000">
                      <w14:alpha w14:val="100000"/>
                    </w14:srgbClr>
                  </w14:solidFill>
                </w14:textFill>
              </w:rPr>
              <w:t>|</w:t>
            </w:r>
            <w:r w:rsidR="00DC4F32">
              <w:rPr>
                <w:i/>
                <w:iCs/>
                <w:vertAlign w:val="superscript"/>
              </w:rPr>
              <w:t>2</w:t>
            </w:r>
          </w:p>
        </w:tc>
      </w:tr>
      <w:tr w:rsidR="00EB6430" w:rsidRPr="008B02E0" w14:paraId="0927441D" w14:textId="77777777" w:rsidTr="00D17F3A">
        <w:tc>
          <w:tcPr>
            <w:tcW w:w="4162" w:type="pct"/>
            <w:gridSpan w:val="3"/>
            <w:vAlign w:val="center"/>
          </w:tcPr>
          <w:p w14:paraId="1A37B2D1" w14:textId="77777777" w:rsidR="00EB6430" w:rsidRPr="008B02E0" w:rsidRDefault="00EB6430" w:rsidP="00AE5B32">
            <w:pPr>
              <w:pStyle w:val="TableText0"/>
              <w:rPr>
                <w:rFonts w:ascii="Times" w:hAnsi="Times"/>
                <w:b/>
              </w:rPr>
            </w:pPr>
            <w:r w:rsidRPr="008B02E0">
              <w:rPr>
                <w:b/>
              </w:rPr>
              <w:t>Incremental cost/extra QALY gained (base case)</w:t>
            </w:r>
          </w:p>
        </w:tc>
        <w:tc>
          <w:tcPr>
            <w:tcW w:w="838" w:type="pct"/>
            <w:vAlign w:val="center"/>
          </w:tcPr>
          <w:p w14:paraId="65D3CB33" w14:textId="19FCB8A9" w:rsidR="00EB6430" w:rsidRPr="00DC4F32" w:rsidRDefault="00EB6430" w:rsidP="00AE5B32">
            <w:pPr>
              <w:pStyle w:val="TableText0"/>
              <w:jc w:val="center"/>
              <w:rPr>
                <w:rFonts w:ascii="Times" w:hAnsi="Times"/>
                <w:bCs w:val="0"/>
                <w:i/>
                <w:iCs/>
                <w:sz w:val="22"/>
                <w:szCs w:val="28"/>
              </w:rPr>
            </w:pPr>
            <w:r w:rsidRPr="008B02E0">
              <w:rPr>
                <w:b/>
              </w:rPr>
              <w:t>$</w:t>
            </w:r>
            <w:r w:rsidR="00E11347" w:rsidRPr="00E11347">
              <w:rPr>
                <w:b/>
                <w:color w:val="000000"/>
                <w:spacing w:val="53"/>
                <w:shd w:val="solid" w:color="000000" w:fill="000000"/>
                <w:fitText w:val="345" w:id="-628963568"/>
                <w14:textFill>
                  <w14:solidFill>
                    <w14:srgbClr w14:val="000000">
                      <w14:alpha w14:val="100000"/>
                    </w14:srgbClr>
                  </w14:solidFill>
                </w14:textFill>
              </w:rPr>
              <w:t>|||</w:t>
            </w:r>
            <w:r w:rsidR="00E11347" w:rsidRPr="00E11347">
              <w:rPr>
                <w:b/>
                <w:color w:val="000000"/>
                <w:spacing w:val="3"/>
                <w:shd w:val="solid" w:color="000000" w:fill="000000"/>
                <w:fitText w:val="345" w:id="-628963568"/>
                <w14:textFill>
                  <w14:solidFill>
                    <w14:srgbClr w14:val="000000">
                      <w14:alpha w14:val="100000"/>
                    </w14:srgbClr>
                  </w14:solidFill>
                </w14:textFill>
              </w:rPr>
              <w:t>|</w:t>
            </w:r>
            <w:r w:rsidR="00DC4F32" w:rsidRPr="00DC4F32">
              <w:rPr>
                <w:bCs w:val="0"/>
                <w:i/>
                <w:iCs/>
                <w:sz w:val="22"/>
                <w:szCs w:val="28"/>
                <w:vertAlign w:val="superscript"/>
              </w:rPr>
              <w:t>3</w:t>
            </w:r>
          </w:p>
        </w:tc>
      </w:tr>
    </w:tbl>
    <w:p w14:paraId="426CC52E" w14:textId="77777777" w:rsidR="00EB6430" w:rsidRPr="008B02E0" w:rsidRDefault="00EB6430" w:rsidP="00AE5B32">
      <w:pPr>
        <w:pStyle w:val="TableFigureFooter"/>
      </w:pPr>
      <w:r w:rsidRPr="008B02E0">
        <w:t xml:space="preserve">Source: Table 111, p 161 of the submission and </w:t>
      </w:r>
      <w:r w:rsidRPr="008B02E0">
        <w:rPr>
          <w:iCs/>
        </w:rPr>
        <w:t>compiled during the evaluation</w:t>
      </w:r>
      <w:r w:rsidRPr="008B02E0">
        <w:t>.</w:t>
      </w:r>
    </w:p>
    <w:p w14:paraId="61D55BD6" w14:textId="42D05FCB" w:rsidR="00EB6430" w:rsidRDefault="00EB6430" w:rsidP="00AE5B32">
      <w:pPr>
        <w:pStyle w:val="TableFigureFooter"/>
      </w:pPr>
      <w:r w:rsidRPr="008B02E0">
        <w:t xml:space="preserve">LY=life year, </w:t>
      </w:r>
      <w:r w:rsidR="00511836" w:rsidRPr="008B02E0">
        <w:t xml:space="preserve">NIVO+IPI=nivolumab plus ipilimumab, </w:t>
      </w:r>
      <w:r w:rsidRPr="008B02E0">
        <w:t>PFLY=progression free life year, QALY=quality adjusted life year</w:t>
      </w:r>
    </w:p>
    <w:p w14:paraId="715CDA77" w14:textId="615FDA95" w:rsidR="00AA10FB" w:rsidRDefault="00AA10FB" w:rsidP="00AE5B32">
      <w:pPr>
        <w:pStyle w:val="TableFigureFooter"/>
        <w:rPr>
          <w:i/>
          <w:iCs/>
        </w:rPr>
      </w:pPr>
      <w:r>
        <w:rPr>
          <w:i/>
          <w:iCs/>
        </w:rPr>
        <w:t>The redacted values correspond to the following ranges:</w:t>
      </w:r>
    </w:p>
    <w:p w14:paraId="25669CD8" w14:textId="7469087A" w:rsidR="00CB1882" w:rsidRDefault="001F4E8B" w:rsidP="00AE5B32">
      <w:pPr>
        <w:pStyle w:val="TableFigureFooter"/>
        <w:rPr>
          <w:i/>
          <w:iCs/>
        </w:rPr>
      </w:pPr>
      <w:r>
        <w:rPr>
          <w:i/>
          <w:iCs/>
          <w:vertAlign w:val="superscript"/>
        </w:rPr>
        <w:t>1</w:t>
      </w:r>
      <w:r>
        <w:rPr>
          <w:i/>
          <w:iCs/>
        </w:rPr>
        <w:t xml:space="preserve"> $355,000 to &lt; </w:t>
      </w:r>
      <w:r w:rsidR="00313613">
        <w:rPr>
          <w:i/>
          <w:iCs/>
        </w:rPr>
        <w:t>$455,000</w:t>
      </w:r>
    </w:p>
    <w:p w14:paraId="1F2B7202" w14:textId="189E4E8F" w:rsidR="00313613" w:rsidRDefault="00313613" w:rsidP="00AE5B32">
      <w:pPr>
        <w:pStyle w:val="TableFigureFooter"/>
        <w:rPr>
          <w:i/>
          <w:iCs/>
        </w:rPr>
      </w:pPr>
      <w:r w:rsidRPr="00313613">
        <w:rPr>
          <w:i/>
          <w:iCs/>
          <w:vertAlign w:val="superscript"/>
        </w:rPr>
        <w:t>2</w:t>
      </w:r>
      <w:r>
        <w:rPr>
          <w:i/>
          <w:iCs/>
        </w:rPr>
        <w:t xml:space="preserve"> $</w:t>
      </w:r>
      <w:r w:rsidR="000B7980">
        <w:rPr>
          <w:i/>
          <w:iCs/>
        </w:rPr>
        <w:t>55,000 to &lt; $75,000</w:t>
      </w:r>
    </w:p>
    <w:p w14:paraId="62F6A889" w14:textId="08BF7E69" w:rsidR="000B7980" w:rsidRPr="000B7980" w:rsidRDefault="000B7980" w:rsidP="00AE5B32">
      <w:pPr>
        <w:pStyle w:val="TableFigureFooter"/>
        <w:rPr>
          <w:i/>
          <w:iCs/>
        </w:rPr>
      </w:pPr>
      <w:r>
        <w:rPr>
          <w:i/>
          <w:iCs/>
          <w:vertAlign w:val="superscript"/>
        </w:rPr>
        <w:t>3</w:t>
      </w:r>
      <w:r>
        <w:rPr>
          <w:i/>
          <w:iCs/>
        </w:rPr>
        <w:t xml:space="preserve"> $75,000 to &lt; $95,000</w:t>
      </w:r>
    </w:p>
    <w:p w14:paraId="439A959F" w14:textId="77777777" w:rsidR="00AA10FB" w:rsidRPr="00AA10FB" w:rsidRDefault="00AA10FB" w:rsidP="00AE5B32">
      <w:pPr>
        <w:pStyle w:val="TableFigureFooter"/>
        <w:rPr>
          <w:i/>
          <w:iCs/>
        </w:rPr>
      </w:pPr>
    </w:p>
    <w:p w14:paraId="513110AF" w14:textId="25D4436D" w:rsidR="00EB6430" w:rsidRPr="008B02E0" w:rsidRDefault="00EB6430" w:rsidP="00AE5B32">
      <w:pPr>
        <w:pStyle w:val="3-BodyText"/>
      </w:pPr>
      <w:r w:rsidRPr="008B02E0">
        <w:t xml:space="preserve">These results were based on the published price of the comparator with an assumed 50% discount. </w:t>
      </w:r>
    </w:p>
    <w:p w14:paraId="6259F1A6" w14:textId="6A8C0BEA" w:rsidR="00EB6430" w:rsidRPr="008B02E0" w:rsidRDefault="00EB6430" w:rsidP="00AE5B32">
      <w:pPr>
        <w:pStyle w:val="3-BodyText"/>
      </w:pPr>
      <w:r w:rsidRPr="008B02E0">
        <w:rPr>
          <w:iCs/>
        </w:rPr>
        <w:t xml:space="preserve">The majority of costs in both arms were accrued in the first 47.01 months, due to the cost of first line treatment. </w:t>
      </w:r>
      <w:r w:rsidR="00EC6AF6">
        <w:rPr>
          <w:iCs/>
        </w:rPr>
        <w:t>T</w:t>
      </w:r>
      <w:r w:rsidRPr="008B02E0">
        <w:rPr>
          <w:iCs/>
        </w:rPr>
        <w:t>he majority of the benefits were accrued in the extrapolated period (1.58 discounted incremental QALYs compared to 0.26 discounted incremental QALYs at the 47.01 months).</w:t>
      </w:r>
    </w:p>
    <w:p w14:paraId="141182C9" w14:textId="3D92C06E" w:rsidR="00B5625D" w:rsidRPr="008B02E0" w:rsidRDefault="00B5625D" w:rsidP="00AE5B32">
      <w:pPr>
        <w:pStyle w:val="3-BodyText"/>
      </w:pPr>
      <w:r w:rsidRPr="008B02E0">
        <w:t xml:space="preserve">Undiscounted disaggregated costs and effects are presented in </w:t>
      </w:r>
      <w:fldSimple w:instr=" REF _Ref198653478  \* MERGEFORMAT ">
        <w:r w:rsidR="00B542C9" w:rsidRPr="008B02E0">
          <w:t xml:space="preserve">Table </w:t>
        </w:r>
        <w:r w:rsidR="00B542C9">
          <w:rPr>
            <w:noProof/>
          </w:rPr>
          <w:t>13</w:t>
        </w:r>
      </w:fldSimple>
      <w:r w:rsidRPr="008B02E0">
        <w:t xml:space="preserve"> and </w:t>
      </w:r>
      <w:fldSimple w:instr=" REF _Ref198653480  \* MERGEFORMAT ">
        <w:r w:rsidR="00B542C9" w:rsidRPr="008B02E0">
          <w:t xml:space="preserve">Table </w:t>
        </w:r>
        <w:r w:rsidR="00B542C9">
          <w:rPr>
            <w:noProof/>
          </w:rPr>
          <w:t>14</w:t>
        </w:r>
      </w:fldSimple>
      <w:r w:rsidR="003B63A8" w:rsidRPr="008B02E0">
        <w:t>.</w:t>
      </w:r>
      <w:r w:rsidRPr="008B02E0">
        <w:t xml:space="preserve"> </w:t>
      </w:r>
    </w:p>
    <w:p w14:paraId="03F33AE0" w14:textId="722F1EFC" w:rsidR="00B5625D" w:rsidRPr="008B02E0" w:rsidRDefault="00B5625D" w:rsidP="00AE5B32">
      <w:pPr>
        <w:pStyle w:val="TableFigureHeading"/>
        <w:rPr>
          <w:rStyle w:val="CommentReference"/>
          <w:b/>
          <w:szCs w:val="24"/>
        </w:rPr>
      </w:pPr>
      <w:bookmarkStart w:id="91" w:name="_Ref198653478"/>
      <w:r w:rsidRPr="008B02E0">
        <w:t xml:space="preserve">Table </w:t>
      </w:r>
      <w:r w:rsidR="008258C7">
        <w:fldChar w:fldCharType="begin"/>
      </w:r>
      <w:r w:rsidR="008258C7">
        <w:instrText xml:space="preserve"> SEQ Table \* ARABIC </w:instrText>
      </w:r>
      <w:r w:rsidR="008258C7">
        <w:fldChar w:fldCharType="separate"/>
      </w:r>
      <w:r w:rsidR="00B542C9">
        <w:rPr>
          <w:noProof/>
        </w:rPr>
        <w:t>13</w:t>
      </w:r>
      <w:r w:rsidR="008258C7">
        <w:rPr>
          <w:noProof/>
        </w:rPr>
        <w:fldChar w:fldCharType="end"/>
      </w:r>
      <w:bookmarkEnd w:id="91"/>
      <w:r w:rsidRPr="008B02E0">
        <w:t>:</w:t>
      </w:r>
      <w:r w:rsidRPr="008B02E0">
        <w:rPr>
          <w:rStyle w:val="CommentReference"/>
          <w:b/>
          <w:szCs w:val="24"/>
        </w:rPr>
        <w:t xml:space="preserve"> Health care resource items: disaggregated summary of cost impacts (undiscounted)</w:t>
      </w:r>
    </w:p>
    <w:tbl>
      <w:tblPr>
        <w:tblStyle w:val="PBAClayout"/>
        <w:tblW w:w="0" w:type="auto"/>
        <w:tblLook w:val="04A0" w:firstRow="1" w:lastRow="0" w:firstColumn="1" w:lastColumn="0" w:noHBand="0" w:noVBand="1"/>
        <w:tblCaption w:val="Table 13: Health care resource items: disaggregated summary of cost impacts (undiscounted)"/>
      </w:tblPr>
      <w:tblGrid>
        <w:gridCol w:w="2188"/>
        <w:gridCol w:w="1803"/>
        <w:gridCol w:w="1680"/>
        <w:gridCol w:w="1673"/>
        <w:gridCol w:w="1673"/>
      </w:tblGrid>
      <w:tr w:rsidR="00B5625D" w:rsidRPr="008B02E0" w14:paraId="628B08E0" w14:textId="77777777" w:rsidTr="00BD0CB9">
        <w:tc>
          <w:tcPr>
            <w:tcW w:w="2188" w:type="dxa"/>
          </w:tcPr>
          <w:p w14:paraId="25265F9F" w14:textId="77777777" w:rsidR="00B5625D" w:rsidRPr="008B02E0" w:rsidRDefault="00B5625D" w:rsidP="00AE5B32">
            <w:pPr>
              <w:pStyle w:val="In-tableHeading"/>
              <w:rPr>
                <w:iCs/>
                <w:lang w:val="en-AU"/>
              </w:rPr>
            </w:pPr>
            <w:r w:rsidRPr="008B02E0">
              <w:rPr>
                <w:iCs/>
                <w:lang w:val="en-AU"/>
              </w:rPr>
              <w:t>Resource item</w:t>
            </w:r>
          </w:p>
        </w:tc>
        <w:tc>
          <w:tcPr>
            <w:tcW w:w="1803" w:type="dxa"/>
          </w:tcPr>
          <w:p w14:paraId="4C2F0BBC" w14:textId="77777777" w:rsidR="00B5625D" w:rsidRPr="008B02E0" w:rsidRDefault="00B5625D" w:rsidP="00AE5B32">
            <w:pPr>
              <w:pStyle w:val="In-tableHeading"/>
              <w:jc w:val="center"/>
              <w:rPr>
                <w:iCs/>
                <w:lang w:val="en-AU"/>
              </w:rPr>
            </w:pPr>
            <w:r w:rsidRPr="008B02E0">
              <w:rPr>
                <w:iCs/>
                <w:lang w:val="en-AU"/>
              </w:rPr>
              <w:t>NIVO+IPI</w:t>
            </w:r>
          </w:p>
        </w:tc>
        <w:tc>
          <w:tcPr>
            <w:tcW w:w="1680" w:type="dxa"/>
          </w:tcPr>
          <w:p w14:paraId="43E2153F" w14:textId="77777777" w:rsidR="00B5625D" w:rsidRPr="008B02E0" w:rsidRDefault="00B5625D" w:rsidP="00AE5B32">
            <w:pPr>
              <w:pStyle w:val="In-tableHeading"/>
              <w:jc w:val="center"/>
              <w:rPr>
                <w:iCs/>
                <w:lang w:val="en-AU"/>
              </w:rPr>
            </w:pPr>
            <w:r w:rsidRPr="008B02E0">
              <w:rPr>
                <w:iCs/>
                <w:lang w:val="en-AU"/>
              </w:rPr>
              <w:t>Pembrolizumab</w:t>
            </w:r>
          </w:p>
        </w:tc>
        <w:tc>
          <w:tcPr>
            <w:tcW w:w="1673" w:type="dxa"/>
          </w:tcPr>
          <w:p w14:paraId="5355E595" w14:textId="77777777" w:rsidR="00B5625D" w:rsidRPr="008B02E0" w:rsidRDefault="00B5625D" w:rsidP="00AE5B32">
            <w:pPr>
              <w:pStyle w:val="In-tableHeading"/>
              <w:jc w:val="center"/>
              <w:rPr>
                <w:iCs/>
                <w:lang w:val="en-AU"/>
              </w:rPr>
            </w:pPr>
            <w:r w:rsidRPr="008B02E0">
              <w:rPr>
                <w:iCs/>
                <w:lang w:val="en-AU"/>
              </w:rPr>
              <w:t>Incremental cost</w:t>
            </w:r>
          </w:p>
        </w:tc>
        <w:tc>
          <w:tcPr>
            <w:tcW w:w="1673" w:type="dxa"/>
          </w:tcPr>
          <w:p w14:paraId="21555AD9" w14:textId="77777777" w:rsidR="00B5625D" w:rsidRPr="008B02E0" w:rsidRDefault="00B5625D" w:rsidP="00AE5B32">
            <w:pPr>
              <w:pStyle w:val="In-tableHeading"/>
              <w:jc w:val="center"/>
              <w:rPr>
                <w:iCs/>
                <w:lang w:val="en-AU"/>
              </w:rPr>
            </w:pPr>
            <w:r w:rsidRPr="008B02E0">
              <w:rPr>
                <w:iCs/>
                <w:lang w:val="en-AU"/>
              </w:rPr>
              <w:t>% of total incremental cost</w:t>
            </w:r>
          </w:p>
        </w:tc>
      </w:tr>
      <w:tr w:rsidR="00B5625D" w:rsidRPr="008B02E0" w14:paraId="600C9B4A" w14:textId="77777777" w:rsidTr="00BD0CB9">
        <w:tc>
          <w:tcPr>
            <w:tcW w:w="9017" w:type="dxa"/>
            <w:gridSpan w:val="5"/>
          </w:tcPr>
          <w:p w14:paraId="0AE0759C" w14:textId="77777777" w:rsidR="00B5625D" w:rsidRPr="008B02E0" w:rsidRDefault="00B5625D" w:rsidP="00AE5B32">
            <w:pPr>
              <w:pStyle w:val="In-tableHeading"/>
              <w:rPr>
                <w:iCs/>
                <w:lang w:val="en-AU"/>
              </w:rPr>
            </w:pPr>
            <w:r w:rsidRPr="008B02E0">
              <w:rPr>
                <w:iCs/>
                <w:lang w:val="en-AU"/>
              </w:rPr>
              <w:t>First line costs</w:t>
            </w:r>
          </w:p>
        </w:tc>
      </w:tr>
      <w:tr w:rsidR="00B5625D" w:rsidRPr="008B02E0" w14:paraId="77A0059F" w14:textId="77777777" w:rsidTr="00BD0CB9">
        <w:tc>
          <w:tcPr>
            <w:tcW w:w="2188" w:type="dxa"/>
          </w:tcPr>
          <w:p w14:paraId="5EAE59DF" w14:textId="77777777" w:rsidR="00B5625D" w:rsidRPr="008B02E0" w:rsidRDefault="00B5625D" w:rsidP="00AE5B32">
            <w:pPr>
              <w:pStyle w:val="TableText0"/>
              <w:rPr>
                <w:iCs/>
              </w:rPr>
            </w:pPr>
            <w:r w:rsidRPr="008B02E0">
              <w:rPr>
                <w:iCs/>
              </w:rPr>
              <w:t>Nivolumab</w:t>
            </w:r>
          </w:p>
        </w:tc>
        <w:tc>
          <w:tcPr>
            <w:tcW w:w="1803" w:type="dxa"/>
          </w:tcPr>
          <w:p w14:paraId="61BAA0BE" w14:textId="54FCE6CB"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84"/>
                <w14:textFill>
                  <w14:solidFill>
                    <w14:srgbClr w14:val="000000">
                      <w14:alpha w14:val="100000"/>
                    </w14:srgbClr>
                  </w14:solidFill>
                </w14:textFill>
              </w:rPr>
              <w:t>|||</w:t>
            </w:r>
            <w:r w:rsidR="00E11347" w:rsidRPr="00E11347">
              <w:rPr>
                <w:iCs/>
                <w:color w:val="000000"/>
                <w:spacing w:val="1"/>
                <w:shd w:val="solid" w:color="000000" w:fill="000000"/>
                <w:fitText w:val="330" w:id="-628963584"/>
                <w14:textFill>
                  <w14:solidFill>
                    <w14:srgbClr w14:val="000000">
                      <w14:alpha w14:val="100000"/>
                    </w14:srgbClr>
                  </w14:solidFill>
                </w14:textFill>
              </w:rPr>
              <w:t>|</w:t>
            </w:r>
          </w:p>
        </w:tc>
        <w:tc>
          <w:tcPr>
            <w:tcW w:w="1680" w:type="dxa"/>
          </w:tcPr>
          <w:p w14:paraId="4FB585F8" w14:textId="77777777" w:rsidR="00B5625D" w:rsidRPr="008B02E0" w:rsidRDefault="00B5625D" w:rsidP="00AE5B32">
            <w:pPr>
              <w:pStyle w:val="TableText0"/>
              <w:jc w:val="center"/>
              <w:rPr>
                <w:iCs/>
              </w:rPr>
            </w:pPr>
            <w:r w:rsidRPr="008B02E0">
              <w:rPr>
                <w:iCs/>
              </w:rPr>
              <w:t>$0</w:t>
            </w:r>
          </w:p>
        </w:tc>
        <w:tc>
          <w:tcPr>
            <w:tcW w:w="1673" w:type="dxa"/>
          </w:tcPr>
          <w:p w14:paraId="01E158FC" w14:textId="52769828"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83"/>
                <w14:textFill>
                  <w14:solidFill>
                    <w14:srgbClr w14:val="000000">
                      <w14:alpha w14:val="100000"/>
                    </w14:srgbClr>
                  </w14:solidFill>
                </w14:textFill>
              </w:rPr>
              <w:t>|||</w:t>
            </w:r>
            <w:r w:rsidR="00E11347" w:rsidRPr="00E11347">
              <w:rPr>
                <w:iCs/>
                <w:color w:val="000000"/>
                <w:spacing w:val="1"/>
                <w:shd w:val="solid" w:color="000000" w:fill="000000"/>
                <w:fitText w:val="330" w:id="-628963583"/>
                <w14:textFill>
                  <w14:solidFill>
                    <w14:srgbClr w14:val="000000">
                      <w14:alpha w14:val="100000"/>
                    </w14:srgbClr>
                  </w14:solidFill>
                </w14:textFill>
              </w:rPr>
              <w:t>|</w:t>
            </w:r>
          </w:p>
        </w:tc>
        <w:tc>
          <w:tcPr>
            <w:tcW w:w="1673" w:type="dxa"/>
          </w:tcPr>
          <w:p w14:paraId="3D1F5F83" w14:textId="03FA6C5F" w:rsidR="00B5625D" w:rsidRPr="008B02E0" w:rsidRDefault="00E11347" w:rsidP="00AE5B32">
            <w:pPr>
              <w:pStyle w:val="TableText0"/>
              <w:jc w:val="center"/>
              <w:rPr>
                <w:iCs/>
              </w:rPr>
            </w:pPr>
            <w:r w:rsidRPr="00E11347">
              <w:rPr>
                <w:iCs/>
                <w:color w:val="000000"/>
                <w:spacing w:val="53"/>
                <w:shd w:val="solid" w:color="000000" w:fill="000000"/>
                <w:fitText w:val="330" w:id="-628963582"/>
                <w14:textFill>
                  <w14:solidFill>
                    <w14:srgbClr w14:val="000000">
                      <w14:alpha w14:val="100000"/>
                    </w14:srgbClr>
                  </w14:solidFill>
                </w14:textFill>
              </w:rPr>
              <w:t>|||</w:t>
            </w:r>
            <w:r w:rsidRPr="00E11347">
              <w:rPr>
                <w:iCs/>
                <w:color w:val="000000"/>
                <w:spacing w:val="1"/>
                <w:shd w:val="solid" w:color="000000" w:fill="000000"/>
                <w:fitText w:val="330" w:id="-628963582"/>
                <w14:textFill>
                  <w14:solidFill>
                    <w14:srgbClr w14:val="000000">
                      <w14:alpha w14:val="100000"/>
                    </w14:srgbClr>
                  </w14:solidFill>
                </w14:textFill>
              </w:rPr>
              <w:t>|</w:t>
            </w:r>
            <w:r w:rsidR="00B5625D" w:rsidRPr="008B02E0">
              <w:rPr>
                <w:iCs/>
              </w:rPr>
              <w:t>%</w:t>
            </w:r>
          </w:p>
        </w:tc>
      </w:tr>
      <w:tr w:rsidR="00B5625D" w:rsidRPr="008B02E0" w14:paraId="315D7A77" w14:textId="77777777" w:rsidTr="00BD0CB9">
        <w:tc>
          <w:tcPr>
            <w:tcW w:w="2188" w:type="dxa"/>
          </w:tcPr>
          <w:p w14:paraId="51049E38" w14:textId="77777777" w:rsidR="00B5625D" w:rsidRPr="008B02E0" w:rsidRDefault="00B5625D" w:rsidP="00AE5B32">
            <w:pPr>
              <w:pStyle w:val="TableText0"/>
              <w:rPr>
                <w:iCs/>
              </w:rPr>
            </w:pPr>
            <w:r w:rsidRPr="008B02E0">
              <w:rPr>
                <w:iCs/>
              </w:rPr>
              <w:t>Ipilimumab</w:t>
            </w:r>
          </w:p>
        </w:tc>
        <w:tc>
          <w:tcPr>
            <w:tcW w:w="1803" w:type="dxa"/>
          </w:tcPr>
          <w:p w14:paraId="3936B51E" w14:textId="483677D9"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81"/>
                <w14:textFill>
                  <w14:solidFill>
                    <w14:srgbClr w14:val="000000">
                      <w14:alpha w14:val="100000"/>
                    </w14:srgbClr>
                  </w14:solidFill>
                </w14:textFill>
              </w:rPr>
              <w:t>|||</w:t>
            </w:r>
            <w:r w:rsidR="00E11347" w:rsidRPr="00E11347">
              <w:rPr>
                <w:iCs/>
                <w:color w:val="000000"/>
                <w:spacing w:val="1"/>
                <w:shd w:val="solid" w:color="000000" w:fill="000000"/>
                <w:fitText w:val="330" w:id="-628963581"/>
                <w14:textFill>
                  <w14:solidFill>
                    <w14:srgbClr w14:val="000000">
                      <w14:alpha w14:val="100000"/>
                    </w14:srgbClr>
                  </w14:solidFill>
                </w14:textFill>
              </w:rPr>
              <w:t>|</w:t>
            </w:r>
          </w:p>
        </w:tc>
        <w:tc>
          <w:tcPr>
            <w:tcW w:w="1680" w:type="dxa"/>
          </w:tcPr>
          <w:p w14:paraId="02CF1386" w14:textId="77777777" w:rsidR="00B5625D" w:rsidRPr="008B02E0" w:rsidRDefault="00B5625D" w:rsidP="00AE5B32">
            <w:pPr>
              <w:pStyle w:val="TableText0"/>
              <w:jc w:val="center"/>
              <w:rPr>
                <w:iCs/>
              </w:rPr>
            </w:pPr>
            <w:r w:rsidRPr="008B02E0">
              <w:rPr>
                <w:iCs/>
              </w:rPr>
              <w:t>$0</w:t>
            </w:r>
          </w:p>
        </w:tc>
        <w:tc>
          <w:tcPr>
            <w:tcW w:w="1673" w:type="dxa"/>
          </w:tcPr>
          <w:p w14:paraId="5D2CA411" w14:textId="1B616C10"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80"/>
                <w14:textFill>
                  <w14:solidFill>
                    <w14:srgbClr w14:val="000000">
                      <w14:alpha w14:val="100000"/>
                    </w14:srgbClr>
                  </w14:solidFill>
                </w14:textFill>
              </w:rPr>
              <w:t>|||</w:t>
            </w:r>
            <w:r w:rsidR="00E11347" w:rsidRPr="00E11347">
              <w:rPr>
                <w:iCs/>
                <w:color w:val="000000"/>
                <w:spacing w:val="1"/>
                <w:shd w:val="solid" w:color="000000" w:fill="000000"/>
                <w:fitText w:val="330" w:id="-628963580"/>
                <w14:textFill>
                  <w14:solidFill>
                    <w14:srgbClr w14:val="000000">
                      <w14:alpha w14:val="100000"/>
                    </w14:srgbClr>
                  </w14:solidFill>
                </w14:textFill>
              </w:rPr>
              <w:t>|</w:t>
            </w:r>
          </w:p>
        </w:tc>
        <w:tc>
          <w:tcPr>
            <w:tcW w:w="1673" w:type="dxa"/>
          </w:tcPr>
          <w:p w14:paraId="149EF659" w14:textId="4B835A12" w:rsidR="00B5625D" w:rsidRPr="008B02E0" w:rsidRDefault="00E11347" w:rsidP="00AE5B32">
            <w:pPr>
              <w:pStyle w:val="TableText0"/>
              <w:jc w:val="center"/>
              <w:rPr>
                <w:iCs/>
              </w:rPr>
            </w:pPr>
            <w:r w:rsidRPr="00E11347">
              <w:rPr>
                <w:iCs/>
                <w:color w:val="000000"/>
                <w:spacing w:val="53"/>
                <w:shd w:val="solid" w:color="000000" w:fill="000000"/>
                <w:fitText w:val="330" w:id="-628963579"/>
                <w14:textFill>
                  <w14:solidFill>
                    <w14:srgbClr w14:val="000000">
                      <w14:alpha w14:val="100000"/>
                    </w14:srgbClr>
                  </w14:solidFill>
                </w14:textFill>
              </w:rPr>
              <w:t>|||</w:t>
            </w:r>
            <w:r w:rsidRPr="00E11347">
              <w:rPr>
                <w:iCs/>
                <w:color w:val="000000"/>
                <w:spacing w:val="1"/>
                <w:shd w:val="solid" w:color="000000" w:fill="000000"/>
                <w:fitText w:val="330" w:id="-628963579"/>
                <w14:textFill>
                  <w14:solidFill>
                    <w14:srgbClr w14:val="000000">
                      <w14:alpha w14:val="100000"/>
                    </w14:srgbClr>
                  </w14:solidFill>
                </w14:textFill>
              </w:rPr>
              <w:t>|</w:t>
            </w:r>
            <w:r w:rsidR="00B5625D" w:rsidRPr="008B02E0">
              <w:rPr>
                <w:iCs/>
              </w:rPr>
              <w:t>%</w:t>
            </w:r>
          </w:p>
        </w:tc>
      </w:tr>
      <w:tr w:rsidR="00B5625D" w:rsidRPr="008B02E0" w14:paraId="7C0441EB" w14:textId="77777777" w:rsidTr="00BD0CB9">
        <w:tc>
          <w:tcPr>
            <w:tcW w:w="2188" w:type="dxa"/>
          </w:tcPr>
          <w:p w14:paraId="6A3001AB" w14:textId="77777777" w:rsidR="00B5625D" w:rsidRPr="008B02E0" w:rsidRDefault="00B5625D" w:rsidP="00AE5B32">
            <w:pPr>
              <w:pStyle w:val="TableText0"/>
              <w:rPr>
                <w:iCs/>
              </w:rPr>
            </w:pPr>
            <w:r w:rsidRPr="008B02E0">
              <w:rPr>
                <w:iCs/>
              </w:rPr>
              <w:t>Pembrolizumab</w:t>
            </w:r>
          </w:p>
        </w:tc>
        <w:tc>
          <w:tcPr>
            <w:tcW w:w="1803" w:type="dxa"/>
          </w:tcPr>
          <w:p w14:paraId="4EBCE02D" w14:textId="77777777" w:rsidR="00B5625D" w:rsidRPr="008B02E0" w:rsidRDefault="00B5625D" w:rsidP="00AE5B32">
            <w:pPr>
              <w:pStyle w:val="TableText0"/>
              <w:jc w:val="center"/>
              <w:rPr>
                <w:iCs/>
              </w:rPr>
            </w:pPr>
            <w:r w:rsidRPr="008B02E0">
              <w:rPr>
                <w:iCs/>
              </w:rPr>
              <w:t>$0</w:t>
            </w:r>
          </w:p>
        </w:tc>
        <w:tc>
          <w:tcPr>
            <w:tcW w:w="1680" w:type="dxa"/>
          </w:tcPr>
          <w:p w14:paraId="3EF0FD22" w14:textId="77777777" w:rsidR="00B5625D" w:rsidRPr="008B02E0" w:rsidRDefault="00B5625D" w:rsidP="00AE5B32">
            <w:pPr>
              <w:pStyle w:val="TableText0"/>
              <w:jc w:val="center"/>
              <w:rPr>
                <w:iCs/>
              </w:rPr>
            </w:pPr>
            <w:r w:rsidRPr="008B02E0">
              <w:rPr>
                <w:iCs/>
              </w:rPr>
              <w:t>$81,472</w:t>
            </w:r>
          </w:p>
        </w:tc>
        <w:tc>
          <w:tcPr>
            <w:tcW w:w="1673" w:type="dxa"/>
          </w:tcPr>
          <w:p w14:paraId="3E2BD293" w14:textId="58322212" w:rsidR="00B5625D" w:rsidRPr="008B02E0" w:rsidRDefault="009E5502" w:rsidP="00AE5B32">
            <w:pPr>
              <w:pStyle w:val="TableText0"/>
              <w:jc w:val="center"/>
              <w:rPr>
                <w:iCs/>
              </w:rPr>
            </w:pPr>
            <w:r>
              <w:rPr>
                <w:iCs/>
              </w:rPr>
              <w:noBreakHyphen/>
            </w:r>
            <w:r w:rsidR="00B5625D" w:rsidRPr="008B02E0">
              <w:rPr>
                <w:iCs/>
              </w:rPr>
              <w:t>$81,472</w:t>
            </w:r>
          </w:p>
        </w:tc>
        <w:tc>
          <w:tcPr>
            <w:tcW w:w="1673" w:type="dxa"/>
          </w:tcPr>
          <w:p w14:paraId="323A2759" w14:textId="62418367" w:rsidR="00B5625D" w:rsidRPr="008B02E0" w:rsidRDefault="009E5502" w:rsidP="00AE5B32">
            <w:pPr>
              <w:pStyle w:val="TableText0"/>
              <w:jc w:val="center"/>
              <w:rPr>
                <w:iCs/>
              </w:rPr>
            </w:pPr>
            <w:r>
              <w:rPr>
                <w:iCs/>
              </w:rPr>
              <w:noBreakHyphen/>
            </w:r>
            <w:r w:rsidR="00B5625D" w:rsidRPr="008B02E0">
              <w:rPr>
                <w:iCs/>
              </w:rPr>
              <w:t>65.3%</w:t>
            </w:r>
          </w:p>
        </w:tc>
      </w:tr>
      <w:tr w:rsidR="00B5625D" w:rsidRPr="008B02E0" w14:paraId="407F9302" w14:textId="77777777" w:rsidTr="00BD0CB9">
        <w:tc>
          <w:tcPr>
            <w:tcW w:w="2188" w:type="dxa"/>
          </w:tcPr>
          <w:p w14:paraId="4A61C43D" w14:textId="77777777" w:rsidR="00B5625D" w:rsidRPr="008B02E0" w:rsidRDefault="00B5625D" w:rsidP="00AE5B32">
            <w:pPr>
              <w:pStyle w:val="TableText0"/>
              <w:rPr>
                <w:iCs/>
              </w:rPr>
            </w:pPr>
            <w:r w:rsidRPr="008B02E0">
              <w:rPr>
                <w:iCs/>
              </w:rPr>
              <w:t>IV drug administration 1L</w:t>
            </w:r>
          </w:p>
        </w:tc>
        <w:tc>
          <w:tcPr>
            <w:tcW w:w="1803" w:type="dxa"/>
          </w:tcPr>
          <w:p w14:paraId="23B23958" w14:textId="77777777" w:rsidR="00B5625D" w:rsidRPr="008B02E0" w:rsidRDefault="00B5625D" w:rsidP="00AE5B32">
            <w:pPr>
              <w:pStyle w:val="TableText0"/>
              <w:jc w:val="center"/>
              <w:rPr>
                <w:iCs/>
              </w:rPr>
            </w:pPr>
            <w:r w:rsidRPr="008B02E0">
              <w:rPr>
                <w:iCs/>
              </w:rPr>
              <w:t>$2,142</w:t>
            </w:r>
          </w:p>
        </w:tc>
        <w:tc>
          <w:tcPr>
            <w:tcW w:w="1680" w:type="dxa"/>
          </w:tcPr>
          <w:p w14:paraId="074EAF00" w14:textId="77777777" w:rsidR="00B5625D" w:rsidRPr="008B02E0" w:rsidRDefault="00B5625D" w:rsidP="00AE5B32">
            <w:pPr>
              <w:pStyle w:val="TableText0"/>
              <w:jc w:val="center"/>
              <w:rPr>
                <w:iCs/>
              </w:rPr>
            </w:pPr>
            <w:r w:rsidRPr="008B02E0">
              <w:rPr>
                <w:iCs/>
              </w:rPr>
              <w:t>$2,519</w:t>
            </w:r>
          </w:p>
        </w:tc>
        <w:tc>
          <w:tcPr>
            <w:tcW w:w="1673" w:type="dxa"/>
          </w:tcPr>
          <w:p w14:paraId="709C5828" w14:textId="6C285E4B" w:rsidR="00B5625D" w:rsidRPr="008B02E0" w:rsidRDefault="009E5502" w:rsidP="00AE5B32">
            <w:pPr>
              <w:pStyle w:val="TableText0"/>
              <w:jc w:val="center"/>
              <w:rPr>
                <w:iCs/>
              </w:rPr>
            </w:pPr>
            <w:r>
              <w:rPr>
                <w:iCs/>
              </w:rPr>
              <w:noBreakHyphen/>
            </w:r>
            <w:r w:rsidR="00B5625D" w:rsidRPr="008B02E0">
              <w:rPr>
                <w:iCs/>
              </w:rPr>
              <w:t>$377</w:t>
            </w:r>
          </w:p>
        </w:tc>
        <w:tc>
          <w:tcPr>
            <w:tcW w:w="1673" w:type="dxa"/>
          </w:tcPr>
          <w:p w14:paraId="38EEE979" w14:textId="672343BF" w:rsidR="00B5625D" w:rsidRPr="008B02E0" w:rsidRDefault="009E5502" w:rsidP="00AE5B32">
            <w:pPr>
              <w:pStyle w:val="TableText0"/>
              <w:jc w:val="center"/>
              <w:rPr>
                <w:iCs/>
              </w:rPr>
            </w:pPr>
            <w:r>
              <w:rPr>
                <w:iCs/>
              </w:rPr>
              <w:noBreakHyphen/>
            </w:r>
            <w:r w:rsidR="00B5625D" w:rsidRPr="008B02E0">
              <w:rPr>
                <w:iCs/>
              </w:rPr>
              <w:t>0.3%</w:t>
            </w:r>
          </w:p>
        </w:tc>
      </w:tr>
      <w:tr w:rsidR="00B5625D" w:rsidRPr="008B02E0" w14:paraId="514DB006" w14:textId="77777777" w:rsidTr="00BD0CB9">
        <w:tc>
          <w:tcPr>
            <w:tcW w:w="2188" w:type="dxa"/>
          </w:tcPr>
          <w:p w14:paraId="79379B93" w14:textId="77777777" w:rsidR="00B5625D" w:rsidRPr="008B02E0" w:rsidRDefault="00B5625D" w:rsidP="00AE5B32">
            <w:pPr>
              <w:pStyle w:val="TableText0"/>
              <w:rPr>
                <w:iCs/>
              </w:rPr>
            </w:pPr>
            <w:r w:rsidRPr="008B02E0">
              <w:rPr>
                <w:iCs/>
              </w:rPr>
              <w:t>Adverse events</w:t>
            </w:r>
          </w:p>
        </w:tc>
        <w:tc>
          <w:tcPr>
            <w:tcW w:w="1803" w:type="dxa"/>
          </w:tcPr>
          <w:p w14:paraId="65584D29" w14:textId="77777777" w:rsidR="00B5625D" w:rsidRPr="008B02E0" w:rsidRDefault="00B5625D" w:rsidP="00AE5B32">
            <w:pPr>
              <w:pStyle w:val="TableText0"/>
              <w:jc w:val="center"/>
              <w:rPr>
                <w:iCs/>
              </w:rPr>
            </w:pPr>
            <w:r w:rsidRPr="008B02E0">
              <w:rPr>
                <w:iCs/>
              </w:rPr>
              <w:t>$690</w:t>
            </w:r>
          </w:p>
        </w:tc>
        <w:tc>
          <w:tcPr>
            <w:tcW w:w="1680" w:type="dxa"/>
          </w:tcPr>
          <w:p w14:paraId="07951A5B" w14:textId="77777777" w:rsidR="00B5625D" w:rsidRPr="008B02E0" w:rsidRDefault="00B5625D" w:rsidP="00AE5B32">
            <w:pPr>
              <w:pStyle w:val="TableText0"/>
              <w:jc w:val="center"/>
              <w:rPr>
                <w:iCs/>
              </w:rPr>
            </w:pPr>
            <w:r w:rsidRPr="008B02E0">
              <w:rPr>
                <w:iCs/>
              </w:rPr>
              <w:t>$442</w:t>
            </w:r>
          </w:p>
        </w:tc>
        <w:tc>
          <w:tcPr>
            <w:tcW w:w="1673" w:type="dxa"/>
          </w:tcPr>
          <w:p w14:paraId="7E20BD37" w14:textId="77777777" w:rsidR="00B5625D" w:rsidRPr="008B02E0" w:rsidRDefault="00B5625D" w:rsidP="00AE5B32">
            <w:pPr>
              <w:pStyle w:val="TableText0"/>
              <w:jc w:val="center"/>
              <w:rPr>
                <w:iCs/>
              </w:rPr>
            </w:pPr>
            <w:r w:rsidRPr="008B02E0">
              <w:rPr>
                <w:iCs/>
              </w:rPr>
              <w:t>$248</w:t>
            </w:r>
          </w:p>
        </w:tc>
        <w:tc>
          <w:tcPr>
            <w:tcW w:w="1673" w:type="dxa"/>
          </w:tcPr>
          <w:p w14:paraId="4907F4F8" w14:textId="77777777" w:rsidR="00B5625D" w:rsidRPr="008B02E0" w:rsidRDefault="00B5625D" w:rsidP="00AE5B32">
            <w:pPr>
              <w:pStyle w:val="TableText0"/>
              <w:jc w:val="center"/>
              <w:rPr>
                <w:iCs/>
              </w:rPr>
            </w:pPr>
            <w:r w:rsidRPr="008B02E0">
              <w:rPr>
                <w:iCs/>
              </w:rPr>
              <w:t>0.2%</w:t>
            </w:r>
          </w:p>
        </w:tc>
      </w:tr>
      <w:tr w:rsidR="00B5625D" w:rsidRPr="008B02E0" w14:paraId="54C6AF44" w14:textId="77777777" w:rsidTr="00BD0CB9">
        <w:tc>
          <w:tcPr>
            <w:tcW w:w="2188" w:type="dxa"/>
          </w:tcPr>
          <w:p w14:paraId="2C66BF88" w14:textId="77777777" w:rsidR="00B5625D" w:rsidRPr="008B02E0" w:rsidRDefault="00B5625D" w:rsidP="00AE5B32">
            <w:pPr>
              <w:pStyle w:val="TableText0"/>
              <w:rPr>
                <w:iCs/>
              </w:rPr>
            </w:pPr>
            <w:r w:rsidRPr="008B02E0">
              <w:rPr>
                <w:iCs/>
              </w:rPr>
              <w:t>Total</w:t>
            </w:r>
          </w:p>
        </w:tc>
        <w:tc>
          <w:tcPr>
            <w:tcW w:w="1803" w:type="dxa"/>
          </w:tcPr>
          <w:p w14:paraId="7CCE86B7" w14:textId="31995BD2"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78"/>
                <w14:textFill>
                  <w14:solidFill>
                    <w14:srgbClr w14:val="000000">
                      <w14:alpha w14:val="100000"/>
                    </w14:srgbClr>
                  </w14:solidFill>
                </w14:textFill>
              </w:rPr>
              <w:t>|||</w:t>
            </w:r>
            <w:r w:rsidR="00E11347" w:rsidRPr="00E11347">
              <w:rPr>
                <w:iCs/>
                <w:color w:val="000000"/>
                <w:spacing w:val="1"/>
                <w:shd w:val="solid" w:color="000000" w:fill="000000"/>
                <w:fitText w:val="330" w:id="-628963578"/>
                <w14:textFill>
                  <w14:solidFill>
                    <w14:srgbClr w14:val="000000">
                      <w14:alpha w14:val="100000"/>
                    </w14:srgbClr>
                  </w14:solidFill>
                </w14:textFill>
              </w:rPr>
              <w:t>|</w:t>
            </w:r>
          </w:p>
        </w:tc>
        <w:tc>
          <w:tcPr>
            <w:tcW w:w="1680" w:type="dxa"/>
          </w:tcPr>
          <w:p w14:paraId="1A13112B" w14:textId="77777777" w:rsidR="00B5625D" w:rsidRPr="008B02E0" w:rsidRDefault="00B5625D" w:rsidP="00AE5B32">
            <w:pPr>
              <w:pStyle w:val="TableText0"/>
              <w:jc w:val="center"/>
              <w:rPr>
                <w:iCs/>
              </w:rPr>
            </w:pPr>
            <w:r w:rsidRPr="008B02E0">
              <w:rPr>
                <w:iCs/>
              </w:rPr>
              <w:t>$84,433</w:t>
            </w:r>
          </w:p>
        </w:tc>
        <w:tc>
          <w:tcPr>
            <w:tcW w:w="1673" w:type="dxa"/>
          </w:tcPr>
          <w:p w14:paraId="68866DAB" w14:textId="488AA2D6" w:rsidR="00B5625D" w:rsidRPr="008B02E0" w:rsidRDefault="00B5625D" w:rsidP="00AE5B32">
            <w:pPr>
              <w:pStyle w:val="TableText0"/>
              <w:jc w:val="center"/>
              <w:rPr>
                <w:iCs/>
              </w:rPr>
            </w:pPr>
            <w:r w:rsidRPr="008B02E0">
              <w:rPr>
                <w:iCs/>
              </w:rPr>
              <w:t>$</w:t>
            </w:r>
            <w:r w:rsidR="00E11347" w:rsidRPr="00E11347">
              <w:rPr>
                <w:iCs/>
                <w:color w:val="000000"/>
                <w:spacing w:val="53"/>
                <w:shd w:val="solid" w:color="000000" w:fill="000000"/>
                <w:fitText w:val="330" w:id="-628963577"/>
                <w14:textFill>
                  <w14:solidFill>
                    <w14:srgbClr w14:val="000000">
                      <w14:alpha w14:val="100000"/>
                    </w14:srgbClr>
                  </w14:solidFill>
                </w14:textFill>
              </w:rPr>
              <w:t>|||</w:t>
            </w:r>
            <w:r w:rsidR="00E11347" w:rsidRPr="00E11347">
              <w:rPr>
                <w:iCs/>
                <w:color w:val="000000"/>
                <w:spacing w:val="1"/>
                <w:shd w:val="solid" w:color="000000" w:fill="000000"/>
                <w:fitText w:val="330" w:id="-628963577"/>
                <w14:textFill>
                  <w14:solidFill>
                    <w14:srgbClr w14:val="000000">
                      <w14:alpha w14:val="100000"/>
                    </w14:srgbClr>
                  </w14:solidFill>
                </w14:textFill>
              </w:rPr>
              <w:t>|</w:t>
            </w:r>
          </w:p>
        </w:tc>
        <w:tc>
          <w:tcPr>
            <w:tcW w:w="1673" w:type="dxa"/>
          </w:tcPr>
          <w:p w14:paraId="082A2B2A" w14:textId="1A797AEB" w:rsidR="00B5625D" w:rsidRPr="008B02E0" w:rsidRDefault="00E11347" w:rsidP="00AE5B32">
            <w:pPr>
              <w:pStyle w:val="TableText0"/>
              <w:jc w:val="center"/>
              <w:rPr>
                <w:iCs/>
              </w:rPr>
            </w:pPr>
            <w:r w:rsidRPr="00E11347">
              <w:rPr>
                <w:iCs/>
                <w:color w:val="000000"/>
                <w:spacing w:val="53"/>
                <w:shd w:val="solid" w:color="000000" w:fill="000000"/>
                <w:fitText w:val="330" w:id="-628963576"/>
                <w14:textFill>
                  <w14:solidFill>
                    <w14:srgbClr w14:val="000000">
                      <w14:alpha w14:val="100000"/>
                    </w14:srgbClr>
                  </w14:solidFill>
                </w14:textFill>
              </w:rPr>
              <w:t>|||</w:t>
            </w:r>
            <w:r w:rsidRPr="00E11347">
              <w:rPr>
                <w:iCs/>
                <w:color w:val="000000"/>
                <w:spacing w:val="1"/>
                <w:shd w:val="solid" w:color="000000" w:fill="000000"/>
                <w:fitText w:val="330" w:id="-628963576"/>
                <w14:textFill>
                  <w14:solidFill>
                    <w14:srgbClr w14:val="000000">
                      <w14:alpha w14:val="100000"/>
                    </w14:srgbClr>
                  </w14:solidFill>
                </w14:textFill>
              </w:rPr>
              <w:t>|</w:t>
            </w:r>
            <w:r w:rsidR="00B5625D" w:rsidRPr="008B02E0">
              <w:rPr>
                <w:iCs/>
              </w:rPr>
              <w:t>%</w:t>
            </w:r>
          </w:p>
        </w:tc>
      </w:tr>
      <w:tr w:rsidR="00B5625D" w:rsidRPr="008B02E0" w14:paraId="2FDAFBE6" w14:textId="77777777" w:rsidTr="00BD0CB9">
        <w:tc>
          <w:tcPr>
            <w:tcW w:w="9017" w:type="dxa"/>
            <w:gridSpan w:val="5"/>
          </w:tcPr>
          <w:p w14:paraId="653EA8B4" w14:textId="77777777" w:rsidR="00B5625D" w:rsidRPr="008B02E0" w:rsidRDefault="00B5625D" w:rsidP="00AE5B32">
            <w:pPr>
              <w:pStyle w:val="TableText0"/>
              <w:rPr>
                <w:b/>
                <w:bCs w:val="0"/>
                <w:iCs/>
              </w:rPr>
            </w:pPr>
            <w:r w:rsidRPr="008B02E0">
              <w:rPr>
                <w:b/>
                <w:bCs w:val="0"/>
                <w:iCs/>
              </w:rPr>
              <w:t>Subsequent treatment costs</w:t>
            </w:r>
          </w:p>
        </w:tc>
      </w:tr>
      <w:tr w:rsidR="00B5625D" w:rsidRPr="008B02E0" w14:paraId="369CF48E" w14:textId="77777777" w:rsidTr="00BD0CB9">
        <w:tc>
          <w:tcPr>
            <w:tcW w:w="2188" w:type="dxa"/>
          </w:tcPr>
          <w:p w14:paraId="7EFE7FB7" w14:textId="77777777" w:rsidR="00B5625D" w:rsidRPr="008B02E0" w:rsidRDefault="00B5625D" w:rsidP="00AE5B32">
            <w:pPr>
              <w:pStyle w:val="TableText0"/>
              <w:rPr>
                <w:iCs/>
              </w:rPr>
            </w:pPr>
            <w:r w:rsidRPr="008B02E0">
              <w:rPr>
                <w:iCs/>
              </w:rPr>
              <w:t>Drug acquisition</w:t>
            </w:r>
          </w:p>
        </w:tc>
        <w:tc>
          <w:tcPr>
            <w:tcW w:w="1803" w:type="dxa"/>
          </w:tcPr>
          <w:p w14:paraId="04769588" w14:textId="77777777" w:rsidR="00B5625D" w:rsidRPr="008B02E0" w:rsidRDefault="00B5625D" w:rsidP="00AE5B32">
            <w:pPr>
              <w:pStyle w:val="TableText0"/>
              <w:jc w:val="center"/>
              <w:rPr>
                <w:iCs/>
              </w:rPr>
            </w:pPr>
            <w:r w:rsidRPr="008B02E0">
              <w:rPr>
                <w:iCs/>
              </w:rPr>
              <w:t>$2,515</w:t>
            </w:r>
          </w:p>
        </w:tc>
        <w:tc>
          <w:tcPr>
            <w:tcW w:w="1680" w:type="dxa"/>
          </w:tcPr>
          <w:p w14:paraId="5453343C" w14:textId="77777777" w:rsidR="00B5625D" w:rsidRPr="008B02E0" w:rsidRDefault="00B5625D" w:rsidP="00AE5B32">
            <w:pPr>
              <w:pStyle w:val="TableText0"/>
              <w:jc w:val="center"/>
              <w:rPr>
                <w:iCs/>
              </w:rPr>
            </w:pPr>
            <w:r w:rsidRPr="008B02E0">
              <w:rPr>
                <w:iCs/>
              </w:rPr>
              <w:t>$3,876</w:t>
            </w:r>
          </w:p>
        </w:tc>
        <w:tc>
          <w:tcPr>
            <w:tcW w:w="1673" w:type="dxa"/>
          </w:tcPr>
          <w:p w14:paraId="1707B39F" w14:textId="24484FF5" w:rsidR="00B5625D" w:rsidRPr="008B02E0" w:rsidRDefault="009E5502" w:rsidP="00AE5B32">
            <w:pPr>
              <w:pStyle w:val="TableText0"/>
              <w:jc w:val="center"/>
              <w:rPr>
                <w:iCs/>
              </w:rPr>
            </w:pPr>
            <w:r>
              <w:rPr>
                <w:iCs/>
              </w:rPr>
              <w:noBreakHyphen/>
            </w:r>
            <w:r w:rsidR="00B5625D" w:rsidRPr="008B02E0">
              <w:rPr>
                <w:iCs/>
              </w:rPr>
              <w:t>$1,361</w:t>
            </w:r>
          </w:p>
        </w:tc>
        <w:tc>
          <w:tcPr>
            <w:tcW w:w="1673" w:type="dxa"/>
          </w:tcPr>
          <w:p w14:paraId="1D829BBA" w14:textId="226EE347" w:rsidR="00B5625D" w:rsidRPr="008B02E0" w:rsidRDefault="009E5502" w:rsidP="00AE5B32">
            <w:pPr>
              <w:pStyle w:val="TableText0"/>
              <w:jc w:val="center"/>
              <w:rPr>
                <w:iCs/>
              </w:rPr>
            </w:pPr>
            <w:r>
              <w:rPr>
                <w:iCs/>
              </w:rPr>
              <w:noBreakHyphen/>
            </w:r>
            <w:r w:rsidR="00B5625D" w:rsidRPr="008B02E0">
              <w:rPr>
                <w:iCs/>
              </w:rPr>
              <w:t>1.1%</w:t>
            </w:r>
          </w:p>
        </w:tc>
      </w:tr>
      <w:tr w:rsidR="00B5625D" w:rsidRPr="008B02E0" w14:paraId="3A104192" w14:textId="77777777" w:rsidTr="00BD0CB9">
        <w:tc>
          <w:tcPr>
            <w:tcW w:w="2188" w:type="dxa"/>
          </w:tcPr>
          <w:p w14:paraId="3E5EB817" w14:textId="77777777" w:rsidR="00B5625D" w:rsidRPr="008B02E0" w:rsidRDefault="00B5625D" w:rsidP="00AE5B32">
            <w:pPr>
              <w:pStyle w:val="TableText0"/>
              <w:rPr>
                <w:iCs/>
              </w:rPr>
            </w:pPr>
            <w:r w:rsidRPr="008B02E0">
              <w:rPr>
                <w:iCs/>
              </w:rPr>
              <w:t>IV drug administration 2L+</w:t>
            </w:r>
          </w:p>
        </w:tc>
        <w:tc>
          <w:tcPr>
            <w:tcW w:w="1803" w:type="dxa"/>
          </w:tcPr>
          <w:p w14:paraId="52C90F4A" w14:textId="77777777" w:rsidR="00B5625D" w:rsidRPr="008B02E0" w:rsidRDefault="00B5625D" w:rsidP="00AE5B32">
            <w:pPr>
              <w:pStyle w:val="TableText0"/>
              <w:jc w:val="center"/>
              <w:rPr>
                <w:iCs/>
              </w:rPr>
            </w:pPr>
            <w:r w:rsidRPr="008B02E0">
              <w:rPr>
                <w:iCs/>
              </w:rPr>
              <w:t>$128</w:t>
            </w:r>
          </w:p>
        </w:tc>
        <w:tc>
          <w:tcPr>
            <w:tcW w:w="1680" w:type="dxa"/>
          </w:tcPr>
          <w:p w14:paraId="065C67EC" w14:textId="77777777" w:rsidR="00B5625D" w:rsidRPr="008B02E0" w:rsidRDefault="00B5625D" w:rsidP="00AE5B32">
            <w:pPr>
              <w:pStyle w:val="TableText0"/>
              <w:jc w:val="center"/>
              <w:rPr>
                <w:iCs/>
              </w:rPr>
            </w:pPr>
            <w:r w:rsidRPr="008B02E0">
              <w:rPr>
                <w:iCs/>
              </w:rPr>
              <w:t>$197</w:t>
            </w:r>
          </w:p>
        </w:tc>
        <w:tc>
          <w:tcPr>
            <w:tcW w:w="1673" w:type="dxa"/>
          </w:tcPr>
          <w:p w14:paraId="220B7AA4" w14:textId="3289A089" w:rsidR="00B5625D" w:rsidRPr="008B02E0" w:rsidRDefault="009E5502" w:rsidP="00AE5B32">
            <w:pPr>
              <w:pStyle w:val="TableText0"/>
              <w:jc w:val="center"/>
              <w:rPr>
                <w:iCs/>
              </w:rPr>
            </w:pPr>
            <w:r>
              <w:rPr>
                <w:iCs/>
              </w:rPr>
              <w:noBreakHyphen/>
            </w:r>
            <w:r w:rsidR="00B5625D" w:rsidRPr="008B02E0">
              <w:rPr>
                <w:iCs/>
              </w:rPr>
              <w:t>$69</w:t>
            </w:r>
          </w:p>
        </w:tc>
        <w:tc>
          <w:tcPr>
            <w:tcW w:w="1673" w:type="dxa"/>
          </w:tcPr>
          <w:p w14:paraId="2D6C9802" w14:textId="0FEDDC7B" w:rsidR="00B5625D" w:rsidRPr="008B02E0" w:rsidRDefault="009E5502" w:rsidP="00AE5B32">
            <w:pPr>
              <w:pStyle w:val="TableText0"/>
              <w:jc w:val="center"/>
              <w:rPr>
                <w:iCs/>
              </w:rPr>
            </w:pPr>
            <w:r>
              <w:rPr>
                <w:iCs/>
              </w:rPr>
              <w:noBreakHyphen/>
            </w:r>
            <w:r w:rsidR="00B5625D" w:rsidRPr="008B02E0">
              <w:rPr>
                <w:iCs/>
              </w:rPr>
              <w:t>0.1%</w:t>
            </w:r>
          </w:p>
        </w:tc>
      </w:tr>
      <w:tr w:rsidR="00B5625D" w:rsidRPr="008B02E0" w14:paraId="413898A2" w14:textId="77777777" w:rsidTr="00BD0CB9">
        <w:tc>
          <w:tcPr>
            <w:tcW w:w="2188" w:type="dxa"/>
          </w:tcPr>
          <w:p w14:paraId="1CB04466" w14:textId="77777777" w:rsidR="00B5625D" w:rsidRPr="008B02E0" w:rsidRDefault="00B5625D" w:rsidP="00AE5B32">
            <w:pPr>
              <w:pStyle w:val="TableText0"/>
              <w:rPr>
                <w:iCs/>
              </w:rPr>
            </w:pPr>
            <w:r w:rsidRPr="008B02E0">
              <w:rPr>
                <w:iCs/>
              </w:rPr>
              <w:t>Total</w:t>
            </w:r>
          </w:p>
        </w:tc>
        <w:tc>
          <w:tcPr>
            <w:tcW w:w="1803" w:type="dxa"/>
          </w:tcPr>
          <w:p w14:paraId="313CC609" w14:textId="77777777" w:rsidR="00B5625D" w:rsidRPr="008B02E0" w:rsidRDefault="00B5625D" w:rsidP="00AE5B32">
            <w:pPr>
              <w:pStyle w:val="TableText0"/>
              <w:jc w:val="center"/>
              <w:rPr>
                <w:iCs/>
              </w:rPr>
            </w:pPr>
            <w:r w:rsidRPr="008B02E0">
              <w:rPr>
                <w:iCs/>
              </w:rPr>
              <w:t>$2,643</w:t>
            </w:r>
          </w:p>
        </w:tc>
        <w:tc>
          <w:tcPr>
            <w:tcW w:w="1680" w:type="dxa"/>
          </w:tcPr>
          <w:p w14:paraId="03861DF7" w14:textId="77777777" w:rsidR="00B5625D" w:rsidRPr="008B02E0" w:rsidRDefault="00B5625D" w:rsidP="00AE5B32">
            <w:pPr>
              <w:pStyle w:val="TableText0"/>
              <w:jc w:val="center"/>
              <w:rPr>
                <w:iCs/>
              </w:rPr>
            </w:pPr>
            <w:r w:rsidRPr="008B02E0">
              <w:rPr>
                <w:iCs/>
              </w:rPr>
              <w:t>$4,073</w:t>
            </w:r>
          </w:p>
        </w:tc>
        <w:tc>
          <w:tcPr>
            <w:tcW w:w="1673" w:type="dxa"/>
          </w:tcPr>
          <w:p w14:paraId="4B384646" w14:textId="585C4CE1" w:rsidR="00B5625D" w:rsidRPr="008B02E0" w:rsidRDefault="009E5502" w:rsidP="00AE5B32">
            <w:pPr>
              <w:pStyle w:val="TableText0"/>
              <w:jc w:val="center"/>
              <w:rPr>
                <w:iCs/>
              </w:rPr>
            </w:pPr>
            <w:r>
              <w:rPr>
                <w:iCs/>
              </w:rPr>
              <w:noBreakHyphen/>
            </w:r>
            <w:r w:rsidR="00B5625D" w:rsidRPr="008B02E0">
              <w:rPr>
                <w:iCs/>
              </w:rPr>
              <w:t>$1,430</w:t>
            </w:r>
          </w:p>
        </w:tc>
        <w:tc>
          <w:tcPr>
            <w:tcW w:w="1673" w:type="dxa"/>
          </w:tcPr>
          <w:p w14:paraId="48ECD873" w14:textId="21014C15" w:rsidR="00B5625D" w:rsidRPr="008B02E0" w:rsidRDefault="009E5502" w:rsidP="00AE5B32">
            <w:pPr>
              <w:pStyle w:val="TableText0"/>
              <w:jc w:val="center"/>
              <w:rPr>
                <w:iCs/>
              </w:rPr>
            </w:pPr>
            <w:r>
              <w:rPr>
                <w:iCs/>
              </w:rPr>
              <w:noBreakHyphen/>
            </w:r>
            <w:r w:rsidR="00B5625D" w:rsidRPr="008B02E0">
              <w:rPr>
                <w:iCs/>
              </w:rPr>
              <w:t>1.1%</w:t>
            </w:r>
          </w:p>
        </w:tc>
      </w:tr>
      <w:tr w:rsidR="00B5625D" w:rsidRPr="008B02E0" w14:paraId="5D1A31DB" w14:textId="77777777" w:rsidTr="00BD0CB9">
        <w:tc>
          <w:tcPr>
            <w:tcW w:w="9017" w:type="dxa"/>
            <w:gridSpan w:val="5"/>
          </w:tcPr>
          <w:p w14:paraId="3344450F" w14:textId="77777777" w:rsidR="00B5625D" w:rsidRPr="008B02E0" w:rsidRDefault="00B5625D" w:rsidP="00AE5B32">
            <w:pPr>
              <w:pStyle w:val="In-tableHeading"/>
              <w:rPr>
                <w:iCs/>
                <w:lang w:val="en-AU"/>
              </w:rPr>
            </w:pPr>
            <w:r w:rsidRPr="008B02E0">
              <w:rPr>
                <w:iCs/>
                <w:lang w:val="en-AU"/>
              </w:rPr>
              <w:t>Other costs</w:t>
            </w:r>
          </w:p>
        </w:tc>
      </w:tr>
      <w:tr w:rsidR="00B5625D" w:rsidRPr="008B02E0" w14:paraId="055F1914" w14:textId="77777777" w:rsidTr="00BD0CB9">
        <w:tc>
          <w:tcPr>
            <w:tcW w:w="2188" w:type="dxa"/>
          </w:tcPr>
          <w:p w14:paraId="50F77D7E" w14:textId="77777777" w:rsidR="00B5625D" w:rsidRPr="008B02E0" w:rsidRDefault="00B5625D" w:rsidP="00AE5B32">
            <w:pPr>
              <w:pStyle w:val="TableText0"/>
              <w:rPr>
                <w:iCs/>
              </w:rPr>
            </w:pPr>
            <w:r w:rsidRPr="008B02E0">
              <w:rPr>
                <w:iCs/>
              </w:rPr>
              <w:t>Health state resource use</w:t>
            </w:r>
          </w:p>
        </w:tc>
        <w:tc>
          <w:tcPr>
            <w:tcW w:w="1803" w:type="dxa"/>
          </w:tcPr>
          <w:p w14:paraId="419629EF" w14:textId="77777777" w:rsidR="00B5625D" w:rsidRPr="008B02E0" w:rsidRDefault="00B5625D" w:rsidP="00AE5B32">
            <w:pPr>
              <w:pStyle w:val="TableText0"/>
              <w:jc w:val="center"/>
              <w:rPr>
                <w:iCs/>
              </w:rPr>
            </w:pPr>
            <w:r w:rsidRPr="008B02E0">
              <w:rPr>
                <w:iCs/>
              </w:rPr>
              <w:t>$51,379</w:t>
            </w:r>
          </w:p>
        </w:tc>
        <w:tc>
          <w:tcPr>
            <w:tcW w:w="1680" w:type="dxa"/>
          </w:tcPr>
          <w:p w14:paraId="38D38387" w14:textId="77777777" w:rsidR="00B5625D" w:rsidRPr="008B02E0" w:rsidRDefault="00B5625D" w:rsidP="00AE5B32">
            <w:pPr>
              <w:pStyle w:val="TableText0"/>
              <w:jc w:val="center"/>
              <w:rPr>
                <w:iCs/>
              </w:rPr>
            </w:pPr>
            <w:r w:rsidRPr="008B02E0">
              <w:rPr>
                <w:iCs/>
              </w:rPr>
              <w:t>$41,988</w:t>
            </w:r>
          </w:p>
        </w:tc>
        <w:tc>
          <w:tcPr>
            <w:tcW w:w="1673" w:type="dxa"/>
          </w:tcPr>
          <w:p w14:paraId="25699362" w14:textId="77777777" w:rsidR="00B5625D" w:rsidRPr="008B02E0" w:rsidRDefault="00B5625D" w:rsidP="00AE5B32">
            <w:pPr>
              <w:pStyle w:val="TableText0"/>
              <w:jc w:val="center"/>
              <w:rPr>
                <w:iCs/>
              </w:rPr>
            </w:pPr>
            <w:r w:rsidRPr="008B02E0">
              <w:rPr>
                <w:iCs/>
              </w:rPr>
              <w:t>$9,391</w:t>
            </w:r>
          </w:p>
        </w:tc>
        <w:tc>
          <w:tcPr>
            <w:tcW w:w="1673" w:type="dxa"/>
          </w:tcPr>
          <w:p w14:paraId="5E47D910" w14:textId="77777777" w:rsidR="00B5625D" w:rsidRPr="008B02E0" w:rsidRDefault="00B5625D" w:rsidP="00AE5B32">
            <w:pPr>
              <w:pStyle w:val="TableText0"/>
              <w:jc w:val="center"/>
              <w:rPr>
                <w:iCs/>
              </w:rPr>
            </w:pPr>
            <w:r w:rsidRPr="008B02E0">
              <w:rPr>
                <w:iCs/>
              </w:rPr>
              <w:t>7.5%</w:t>
            </w:r>
          </w:p>
        </w:tc>
      </w:tr>
      <w:tr w:rsidR="00B5625D" w:rsidRPr="008B02E0" w14:paraId="1F6F05AB" w14:textId="77777777" w:rsidTr="00BD0CB9">
        <w:tc>
          <w:tcPr>
            <w:tcW w:w="2188" w:type="dxa"/>
          </w:tcPr>
          <w:p w14:paraId="2C51B4B6" w14:textId="77777777" w:rsidR="00B5625D" w:rsidRPr="008B02E0" w:rsidRDefault="00B5625D" w:rsidP="00AE5B32">
            <w:pPr>
              <w:pStyle w:val="TableText0"/>
              <w:rPr>
                <w:iCs/>
              </w:rPr>
            </w:pPr>
            <w:r w:rsidRPr="008B02E0">
              <w:rPr>
                <w:iCs/>
              </w:rPr>
              <w:t>Terminal care</w:t>
            </w:r>
          </w:p>
        </w:tc>
        <w:tc>
          <w:tcPr>
            <w:tcW w:w="1803" w:type="dxa"/>
          </w:tcPr>
          <w:p w14:paraId="558E768B" w14:textId="77777777" w:rsidR="00B5625D" w:rsidRPr="008B02E0" w:rsidRDefault="00B5625D" w:rsidP="00AE5B32">
            <w:pPr>
              <w:pStyle w:val="TableText0"/>
              <w:jc w:val="center"/>
              <w:rPr>
                <w:iCs/>
              </w:rPr>
            </w:pPr>
            <w:r w:rsidRPr="008B02E0">
              <w:rPr>
                <w:iCs/>
              </w:rPr>
              <w:t>$14,862</w:t>
            </w:r>
          </w:p>
        </w:tc>
        <w:tc>
          <w:tcPr>
            <w:tcW w:w="1680" w:type="dxa"/>
          </w:tcPr>
          <w:p w14:paraId="556696D3" w14:textId="77777777" w:rsidR="00B5625D" w:rsidRPr="008B02E0" w:rsidRDefault="00B5625D" w:rsidP="00AE5B32">
            <w:pPr>
              <w:pStyle w:val="TableText0"/>
              <w:jc w:val="center"/>
              <w:rPr>
                <w:iCs/>
              </w:rPr>
            </w:pPr>
            <w:r w:rsidRPr="008B02E0">
              <w:rPr>
                <w:iCs/>
              </w:rPr>
              <w:t>$22,751</w:t>
            </w:r>
          </w:p>
        </w:tc>
        <w:tc>
          <w:tcPr>
            <w:tcW w:w="1673" w:type="dxa"/>
          </w:tcPr>
          <w:p w14:paraId="5BB4FECF" w14:textId="5DFB350A" w:rsidR="00B5625D" w:rsidRPr="008B02E0" w:rsidRDefault="009E5502" w:rsidP="00AE5B32">
            <w:pPr>
              <w:pStyle w:val="TableText0"/>
              <w:jc w:val="center"/>
              <w:rPr>
                <w:iCs/>
              </w:rPr>
            </w:pPr>
            <w:r>
              <w:rPr>
                <w:iCs/>
              </w:rPr>
              <w:noBreakHyphen/>
            </w:r>
            <w:r w:rsidR="00B5625D" w:rsidRPr="008B02E0">
              <w:rPr>
                <w:iCs/>
              </w:rPr>
              <w:t>$7,889</w:t>
            </w:r>
          </w:p>
        </w:tc>
        <w:tc>
          <w:tcPr>
            <w:tcW w:w="1673" w:type="dxa"/>
          </w:tcPr>
          <w:p w14:paraId="49A02317" w14:textId="5CC07BEE" w:rsidR="00B5625D" w:rsidRPr="008B02E0" w:rsidRDefault="009E5502" w:rsidP="00AE5B32">
            <w:pPr>
              <w:pStyle w:val="TableText0"/>
              <w:jc w:val="center"/>
              <w:rPr>
                <w:iCs/>
              </w:rPr>
            </w:pPr>
            <w:r>
              <w:rPr>
                <w:iCs/>
              </w:rPr>
              <w:noBreakHyphen/>
            </w:r>
            <w:r w:rsidR="00B5625D" w:rsidRPr="008B02E0">
              <w:rPr>
                <w:iCs/>
              </w:rPr>
              <w:t>6.3%</w:t>
            </w:r>
          </w:p>
        </w:tc>
      </w:tr>
      <w:tr w:rsidR="00B5625D" w:rsidRPr="008B02E0" w14:paraId="6E223B8D" w14:textId="77777777" w:rsidTr="00BD0CB9">
        <w:tc>
          <w:tcPr>
            <w:tcW w:w="2188" w:type="dxa"/>
          </w:tcPr>
          <w:p w14:paraId="01394293" w14:textId="77777777" w:rsidR="00B5625D" w:rsidRPr="008B02E0" w:rsidRDefault="00B5625D" w:rsidP="00AE5B32">
            <w:pPr>
              <w:pStyle w:val="TableText0"/>
              <w:rPr>
                <w:b/>
                <w:bCs w:val="0"/>
                <w:iCs/>
              </w:rPr>
            </w:pPr>
            <w:r w:rsidRPr="008B02E0">
              <w:rPr>
                <w:b/>
                <w:bCs w:val="0"/>
                <w:iCs/>
              </w:rPr>
              <w:t>Overall total</w:t>
            </w:r>
          </w:p>
        </w:tc>
        <w:tc>
          <w:tcPr>
            <w:tcW w:w="1803" w:type="dxa"/>
          </w:tcPr>
          <w:p w14:paraId="0CBB9F87" w14:textId="58904E1F" w:rsidR="00B5625D" w:rsidRPr="008B02E0" w:rsidRDefault="00B5625D" w:rsidP="00AE5B32">
            <w:pPr>
              <w:pStyle w:val="TableText0"/>
              <w:jc w:val="center"/>
              <w:rPr>
                <w:b/>
                <w:bCs w:val="0"/>
                <w:iCs/>
              </w:rPr>
            </w:pPr>
            <w:r w:rsidRPr="008B02E0">
              <w:rPr>
                <w:b/>
                <w:bCs w:val="0"/>
                <w:iCs/>
              </w:rPr>
              <w:t>$</w:t>
            </w:r>
            <w:r w:rsidR="00E11347" w:rsidRPr="00E11347">
              <w:rPr>
                <w:b/>
                <w:bCs w:val="0"/>
                <w:iCs/>
                <w:color w:val="000000"/>
                <w:spacing w:val="58"/>
                <w:shd w:val="solid" w:color="000000" w:fill="000000"/>
                <w:fitText w:val="360" w:id="-628963575"/>
                <w14:textFill>
                  <w14:solidFill>
                    <w14:srgbClr w14:val="000000">
                      <w14:alpha w14:val="100000"/>
                    </w14:srgbClr>
                  </w14:solidFill>
                </w14:textFill>
              </w:rPr>
              <w:t>|||</w:t>
            </w:r>
            <w:r w:rsidR="00E11347" w:rsidRPr="00E11347">
              <w:rPr>
                <w:b/>
                <w:bCs w:val="0"/>
                <w:iCs/>
                <w:color w:val="000000"/>
                <w:spacing w:val="3"/>
                <w:shd w:val="solid" w:color="000000" w:fill="000000"/>
                <w:fitText w:val="360" w:id="-628963575"/>
                <w14:textFill>
                  <w14:solidFill>
                    <w14:srgbClr w14:val="000000">
                      <w14:alpha w14:val="100000"/>
                    </w14:srgbClr>
                  </w14:solidFill>
                </w14:textFill>
              </w:rPr>
              <w:t>|</w:t>
            </w:r>
          </w:p>
        </w:tc>
        <w:tc>
          <w:tcPr>
            <w:tcW w:w="1680" w:type="dxa"/>
          </w:tcPr>
          <w:p w14:paraId="14E3B246" w14:textId="77777777" w:rsidR="00B5625D" w:rsidRPr="008B02E0" w:rsidRDefault="00B5625D" w:rsidP="00AE5B32">
            <w:pPr>
              <w:pStyle w:val="TableText0"/>
              <w:jc w:val="center"/>
              <w:rPr>
                <w:b/>
                <w:bCs w:val="0"/>
                <w:iCs/>
              </w:rPr>
            </w:pPr>
            <w:r w:rsidRPr="008B02E0">
              <w:rPr>
                <w:b/>
                <w:bCs w:val="0"/>
                <w:iCs/>
              </w:rPr>
              <w:t>$153,246</w:t>
            </w:r>
          </w:p>
        </w:tc>
        <w:tc>
          <w:tcPr>
            <w:tcW w:w="1673" w:type="dxa"/>
          </w:tcPr>
          <w:p w14:paraId="7E3AD731" w14:textId="6D4F03FE" w:rsidR="00B5625D" w:rsidRPr="008B02E0" w:rsidRDefault="00B5625D" w:rsidP="00AE5B32">
            <w:pPr>
              <w:pStyle w:val="TableText0"/>
              <w:jc w:val="center"/>
              <w:rPr>
                <w:b/>
                <w:bCs w:val="0"/>
                <w:iCs/>
              </w:rPr>
            </w:pPr>
            <w:r w:rsidRPr="008B02E0">
              <w:rPr>
                <w:b/>
                <w:bCs w:val="0"/>
                <w:iCs/>
              </w:rPr>
              <w:t>$</w:t>
            </w:r>
            <w:r w:rsidR="00E11347" w:rsidRPr="00E11347">
              <w:rPr>
                <w:b/>
                <w:bCs w:val="0"/>
                <w:iCs/>
                <w:color w:val="000000"/>
                <w:spacing w:val="58"/>
                <w:shd w:val="solid" w:color="000000" w:fill="000000"/>
                <w:fitText w:val="360" w:id="-628963574"/>
                <w14:textFill>
                  <w14:solidFill>
                    <w14:srgbClr w14:val="000000">
                      <w14:alpha w14:val="100000"/>
                    </w14:srgbClr>
                  </w14:solidFill>
                </w14:textFill>
              </w:rPr>
              <w:t>|||</w:t>
            </w:r>
            <w:r w:rsidR="00E11347" w:rsidRPr="00E11347">
              <w:rPr>
                <w:b/>
                <w:bCs w:val="0"/>
                <w:iCs/>
                <w:color w:val="000000"/>
                <w:spacing w:val="3"/>
                <w:shd w:val="solid" w:color="000000" w:fill="000000"/>
                <w:fitText w:val="360" w:id="-628963574"/>
                <w14:textFill>
                  <w14:solidFill>
                    <w14:srgbClr w14:val="000000">
                      <w14:alpha w14:val="100000"/>
                    </w14:srgbClr>
                  </w14:solidFill>
                </w14:textFill>
              </w:rPr>
              <w:t>|</w:t>
            </w:r>
          </w:p>
        </w:tc>
        <w:tc>
          <w:tcPr>
            <w:tcW w:w="1673" w:type="dxa"/>
          </w:tcPr>
          <w:p w14:paraId="325E7E5B" w14:textId="77777777" w:rsidR="00B5625D" w:rsidRPr="008B02E0" w:rsidRDefault="00B5625D" w:rsidP="00AE5B32">
            <w:pPr>
              <w:pStyle w:val="TableText0"/>
              <w:jc w:val="center"/>
              <w:rPr>
                <w:b/>
                <w:bCs w:val="0"/>
                <w:iCs/>
              </w:rPr>
            </w:pPr>
            <w:r w:rsidRPr="008B02E0">
              <w:rPr>
                <w:b/>
                <w:bCs w:val="0"/>
                <w:iCs/>
              </w:rPr>
              <w:t>100%</w:t>
            </w:r>
          </w:p>
        </w:tc>
      </w:tr>
    </w:tbl>
    <w:p w14:paraId="32538FE7" w14:textId="77777777" w:rsidR="00B5625D" w:rsidRPr="008B02E0" w:rsidRDefault="00B5625D" w:rsidP="00AE5B32">
      <w:pPr>
        <w:pStyle w:val="TableFigureFooter"/>
      </w:pPr>
      <w:r w:rsidRPr="008B02E0">
        <w:t>Source: compiled during the evaluation</w:t>
      </w:r>
    </w:p>
    <w:p w14:paraId="4AC4582D" w14:textId="77777777" w:rsidR="00B5625D" w:rsidRPr="008B02E0" w:rsidRDefault="00B5625D" w:rsidP="00AE5B32">
      <w:pPr>
        <w:pStyle w:val="TableFigureFooter"/>
      </w:pPr>
      <w:r w:rsidRPr="008B02E0">
        <w:t xml:space="preserve">IV=intravenous, NIVO+IPI=nivolumab plus ipilimumab, </w:t>
      </w:r>
    </w:p>
    <w:p w14:paraId="69778638" w14:textId="7DC6BDCA" w:rsidR="00B5625D" w:rsidRPr="008B02E0" w:rsidRDefault="00B5625D" w:rsidP="00AE5B32">
      <w:pPr>
        <w:pStyle w:val="TableFigureHeading"/>
        <w:rPr>
          <w:rStyle w:val="CommentReference"/>
          <w:b/>
          <w:szCs w:val="24"/>
        </w:rPr>
      </w:pPr>
      <w:bookmarkStart w:id="92" w:name="_Ref198653480"/>
      <w:r w:rsidRPr="008B02E0">
        <w:lastRenderedPageBreak/>
        <w:t xml:space="preserve">Table </w:t>
      </w:r>
      <w:r w:rsidR="008258C7">
        <w:fldChar w:fldCharType="begin"/>
      </w:r>
      <w:r w:rsidR="008258C7">
        <w:instrText xml:space="preserve"> SEQ Table \* ARABIC </w:instrText>
      </w:r>
      <w:r w:rsidR="008258C7">
        <w:fldChar w:fldCharType="separate"/>
      </w:r>
      <w:r w:rsidR="00B542C9">
        <w:rPr>
          <w:noProof/>
        </w:rPr>
        <w:t>14</w:t>
      </w:r>
      <w:r w:rsidR="008258C7">
        <w:rPr>
          <w:noProof/>
        </w:rPr>
        <w:fldChar w:fldCharType="end"/>
      </w:r>
      <w:bookmarkEnd w:id="92"/>
      <w:r w:rsidRPr="008B02E0">
        <w:t>:</w:t>
      </w:r>
      <w:r w:rsidRPr="008B02E0">
        <w:rPr>
          <w:rStyle w:val="CommentReference"/>
          <w:b/>
          <w:szCs w:val="24"/>
        </w:rPr>
        <w:t xml:space="preserve"> Disaggregated summary of health outcomes included in the economic evaluation (undiscounted)</w:t>
      </w:r>
    </w:p>
    <w:tbl>
      <w:tblPr>
        <w:tblStyle w:val="PBAClayout"/>
        <w:tblW w:w="5034" w:type="pct"/>
        <w:tblLayout w:type="fixed"/>
        <w:tblLook w:val="01E0" w:firstRow="1" w:lastRow="1" w:firstColumn="1" w:lastColumn="1" w:noHBand="0" w:noVBand="0"/>
        <w:tblCaption w:val="Table 14: Disaggregated summary of health outcomes included in the economic evaluation (undiscounted)"/>
      </w:tblPr>
      <w:tblGrid>
        <w:gridCol w:w="1591"/>
        <w:gridCol w:w="1910"/>
        <w:gridCol w:w="1910"/>
        <w:gridCol w:w="1617"/>
        <w:gridCol w:w="2050"/>
      </w:tblGrid>
      <w:tr w:rsidR="00B5625D" w:rsidRPr="008B02E0" w14:paraId="54CF4864" w14:textId="77777777" w:rsidTr="00BD0CB9">
        <w:tc>
          <w:tcPr>
            <w:tcW w:w="1591" w:type="dxa"/>
          </w:tcPr>
          <w:p w14:paraId="29650450" w14:textId="77777777" w:rsidR="00B5625D" w:rsidRPr="008B02E0" w:rsidRDefault="00B5625D" w:rsidP="00AE5B32">
            <w:pPr>
              <w:pStyle w:val="In-tableHeading"/>
              <w:rPr>
                <w:lang w:val="en-AU"/>
              </w:rPr>
            </w:pPr>
            <w:r w:rsidRPr="008B02E0">
              <w:rPr>
                <w:lang w:val="en-AU"/>
              </w:rPr>
              <w:t>Outcome</w:t>
            </w:r>
          </w:p>
        </w:tc>
        <w:tc>
          <w:tcPr>
            <w:tcW w:w="1910" w:type="dxa"/>
          </w:tcPr>
          <w:p w14:paraId="23632F1B" w14:textId="77777777" w:rsidR="00B5625D" w:rsidRPr="008B02E0" w:rsidRDefault="00B5625D" w:rsidP="00AE5B32">
            <w:pPr>
              <w:pStyle w:val="In-tableHeading"/>
              <w:jc w:val="center"/>
              <w:rPr>
                <w:lang w:val="en-AU"/>
              </w:rPr>
            </w:pPr>
            <w:r w:rsidRPr="008B02E0">
              <w:rPr>
                <w:lang w:val="en-AU"/>
              </w:rPr>
              <w:t>Outcome for proposed medicine</w:t>
            </w:r>
          </w:p>
        </w:tc>
        <w:tc>
          <w:tcPr>
            <w:tcW w:w="1910" w:type="dxa"/>
          </w:tcPr>
          <w:p w14:paraId="2F12E192" w14:textId="77777777" w:rsidR="00B5625D" w:rsidRPr="008B02E0" w:rsidRDefault="00B5625D" w:rsidP="00AE5B32">
            <w:pPr>
              <w:pStyle w:val="In-tableHeading"/>
              <w:jc w:val="center"/>
              <w:rPr>
                <w:lang w:val="en-AU"/>
              </w:rPr>
            </w:pPr>
            <w:r w:rsidRPr="008B02E0">
              <w:rPr>
                <w:lang w:val="en-AU"/>
              </w:rPr>
              <w:t>Outcome for comparator</w:t>
            </w:r>
          </w:p>
        </w:tc>
        <w:tc>
          <w:tcPr>
            <w:tcW w:w="1617" w:type="dxa"/>
          </w:tcPr>
          <w:p w14:paraId="026471D0" w14:textId="77777777" w:rsidR="00B5625D" w:rsidRPr="008B02E0" w:rsidRDefault="00B5625D" w:rsidP="00AE5B32">
            <w:pPr>
              <w:pStyle w:val="In-tableHeading"/>
              <w:jc w:val="center"/>
              <w:rPr>
                <w:lang w:val="en-AU"/>
              </w:rPr>
            </w:pPr>
            <w:r w:rsidRPr="008B02E0">
              <w:rPr>
                <w:lang w:val="en-AU"/>
              </w:rPr>
              <w:t>Incremental outcome</w:t>
            </w:r>
          </w:p>
        </w:tc>
        <w:tc>
          <w:tcPr>
            <w:tcW w:w="2050" w:type="dxa"/>
          </w:tcPr>
          <w:p w14:paraId="626EEEE2" w14:textId="77777777" w:rsidR="00B5625D" w:rsidRPr="008B02E0" w:rsidRDefault="00B5625D" w:rsidP="00AE5B32">
            <w:pPr>
              <w:pStyle w:val="In-tableHeading"/>
              <w:jc w:val="center"/>
              <w:rPr>
                <w:lang w:val="en-AU"/>
              </w:rPr>
            </w:pPr>
            <w:r w:rsidRPr="008B02E0">
              <w:rPr>
                <w:lang w:val="en-AU"/>
              </w:rPr>
              <w:t>% of total incremental outcome</w:t>
            </w:r>
          </w:p>
        </w:tc>
      </w:tr>
      <w:tr w:rsidR="00B5625D" w:rsidRPr="008B02E0" w14:paraId="3DD68795" w14:textId="77777777" w:rsidTr="00BD0CB9">
        <w:tc>
          <w:tcPr>
            <w:tcW w:w="1591" w:type="dxa"/>
          </w:tcPr>
          <w:p w14:paraId="2F191193" w14:textId="77777777" w:rsidR="00B5625D" w:rsidRPr="008B02E0" w:rsidRDefault="00B5625D" w:rsidP="00AE5B32">
            <w:pPr>
              <w:pStyle w:val="TableText0"/>
              <w:rPr>
                <w:b/>
                <w:bCs w:val="0"/>
              </w:rPr>
            </w:pPr>
            <w:r w:rsidRPr="008B02E0">
              <w:rPr>
                <w:b/>
                <w:bCs w:val="0"/>
              </w:rPr>
              <w:t>LYs</w:t>
            </w:r>
          </w:p>
        </w:tc>
        <w:tc>
          <w:tcPr>
            <w:tcW w:w="1910" w:type="dxa"/>
          </w:tcPr>
          <w:p w14:paraId="6FC407CC" w14:textId="77777777" w:rsidR="00B5625D" w:rsidRPr="008B02E0" w:rsidRDefault="00B5625D" w:rsidP="00AE5B32">
            <w:pPr>
              <w:pStyle w:val="TableText0"/>
              <w:jc w:val="center"/>
            </w:pPr>
          </w:p>
        </w:tc>
        <w:tc>
          <w:tcPr>
            <w:tcW w:w="1910" w:type="dxa"/>
          </w:tcPr>
          <w:p w14:paraId="4E6BFD51" w14:textId="77777777" w:rsidR="00B5625D" w:rsidRPr="008B02E0" w:rsidRDefault="00B5625D" w:rsidP="00AE5B32">
            <w:pPr>
              <w:pStyle w:val="TableText0"/>
              <w:jc w:val="center"/>
            </w:pPr>
          </w:p>
        </w:tc>
        <w:tc>
          <w:tcPr>
            <w:tcW w:w="1617" w:type="dxa"/>
          </w:tcPr>
          <w:p w14:paraId="1FE1EEF5" w14:textId="77777777" w:rsidR="00B5625D" w:rsidRPr="008B02E0" w:rsidRDefault="00B5625D" w:rsidP="00AE5B32">
            <w:pPr>
              <w:pStyle w:val="TableText0"/>
              <w:jc w:val="center"/>
            </w:pPr>
          </w:p>
        </w:tc>
        <w:tc>
          <w:tcPr>
            <w:tcW w:w="2050" w:type="dxa"/>
          </w:tcPr>
          <w:p w14:paraId="39990160" w14:textId="77777777" w:rsidR="00B5625D" w:rsidRPr="008B02E0" w:rsidRDefault="00B5625D" w:rsidP="00AE5B32">
            <w:pPr>
              <w:pStyle w:val="TableText0"/>
              <w:jc w:val="center"/>
            </w:pPr>
          </w:p>
        </w:tc>
      </w:tr>
      <w:tr w:rsidR="00B5625D" w:rsidRPr="008B02E0" w14:paraId="692215BC" w14:textId="77777777" w:rsidTr="00BD0CB9">
        <w:tc>
          <w:tcPr>
            <w:tcW w:w="1591" w:type="dxa"/>
          </w:tcPr>
          <w:p w14:paraId="6A1C3272" w14:textId="77777777" w:rsidR="00B5625D" w:rsidRPr="008B02E0" w:rsidRDefault="00B5625D" w:rsidP="00AE5B32">
            <w:pPr>
              <w:pStyle w:val="TableText0"/>
            </w:pPr>
            <w:r w:rsidRPr="008B02E0">
              <w:t>PF</w:t>
            </w:r>
          </w:p>
        </w:tc>
        <w:tc>
          <w:tcPr>
            <w:tcW w:w="1910" w:type="dxa"/>
            <w:vAlign w:val="top"/>
          </w:tcPr>
          <w:p w14:paraId="56C83F04" w14:textId="77777777" w:rsidR="00B5625D" w:rsidRPr="008B02E0" w:rsidRDefault="00B5625D" w:rsidP="00AE5B32">
            <w:pPr>
              <w:pStyle w:val="TableText0"/>
              <w:jc w:val="center"/>
            </w:pPr>
            <w:r w:rsidRPr="008B02E0">
              <w:t>10.43</w:t>
            </w:r>
          </w:p>
        </w:tc>
        <w:tc>
          <w:tcPr>
            <w:tcW w:w="1910" w:type="dxa"/>
            <w:vAlign w:val="top"/>
          </w:tcPr>
          <w:p w14:paraId="5B26631B" w14:textId="77777777" w:rsidR="00B5625D" w:rsidRPr="008B02E0" w:rsidRDefault="00B5625D" w:rsidP="00AE5B32">
            <w:pPr>
              <w:pStyle w:val="TableText0"/>
              <w:jc w:val="center"/>
            </w:pPr>
            <w:r w:rsidRPr="008B02E0">
              <w:t>6.16</w:t>
            </w:r>
          </w:p>
        </w:tc>
        <w:tc>
          <w:tcPr>
            <w:tcW w:w="1617" w:type="dxa"/>
            <w:vAlign w:val="top"/>
          </w:tcPr>
          <w:p w14:paraId="6AB4D6CD" w14:textId="77777777" w:rsidR="00B5625D" w:rsidRPr="008B02E0" w:rsidRDefault="00B5625D" w:rsidP="00AE5B32">
            <w:pPr>
              <w:pStyle w:val="TableText0"/>
              <w:jc w:val="center"/>
            </w:pPr>
            <w:r w:rsidRPr="008B02E0">
              <w:t>4.28</w:t>
            </w:r>
          </w:p>
        </w:tc>
        <w:tc>
          <w:tcPr>
            <w:tcW w:w="2050" w:type="dxa"/>
            <w:vAlign w:val="top"/>
          </w:tcPr>
          <w:p w14:paraId="36A16811" w14:textId="77777777" w:rsidR="00B5625D" w:rsidRPr="008B02E0" w:rsidRDefault="00B5625D" w:rsidP="00AE5B32">
            <w:pPr>
              <w:pStyle w:val="TableText0"/>
              <w:jc w:val="center"/>
            </w:pPr>
            <w:r w:rsidRPr="008B02E0">
              <w:t>129.3%</w:t>
            </w:r>
          </w:p>
        </w:tc>
      </w:tr>
      <w:tr w:rsidR="00B5625D" w:rsidRPr="008B02E0" w14:paraId="075D94BF" w14:textId="77777777" w:rsidTr="00BD0CB9">
        <w:tc>
          <w:tcPr>
            <w:tcW w:w="1591" w:type="dxa"/>
          </w:tcPr>
          <w:p w14:paraId="5BA8CB06" w14:textId="77777777" w:rsidR="00B5625D" w:rsidRPr="008B02E0" w:rsidRDefault="00B5625D" w:rsidP="00AE5B32">
            <w:pPr>
              <w:pStyle w:val="TableText0"/>
            </w:pPr>
            <w:r w:rsidRPr="008B02E0">
              <w:t>PD</w:t>
            </w:r>
          </w:p>
        </w:tc>
        <w:tc>
          <w:tcPr>
            <w:tcW w:w="1910" w:type="dxa"/>
            <w:vAlign w:val="top"/>
          </w:tcPr>
          <w:p w14:paraId="75819D70" w14:textId="77777777" w:rsidR="00B5625D" w:rsidRPr="008B02E0" w:rsidRDefault="00B5625D" w:rsidP="00AE5B32">
            <w:pPr>
              <w:pStyle w:val="TableText0"/>
              <w:jc w:val="center"/>
            </w:pPr>
            <w:r w:rsidRPr="008B02E0">
              <w:t>1.79</w:t>
            </w:r>
          </w:p>
        </w:tc>
        <w:tc>
          <w:tcPr>
            <w:tcW w:w="1910" w:type="dxa"/>
            <w:vAlign w:val="top"/>
          </w:tcPr>
          <w:p w14:paraId="0881BFFC" w14:textId="77777777" w:rsidR="00B5625D" w:rsidRPr="008B02E0" w:rsidRDefault="00B5625D" w:rsidP="00AE5B32">
            <w:pPr>
              <w:pStyle w:val="TableText0"/>
              <w:jc w:val="center"/>
            </w:pPr>
            <w:r w:rsidRPr="008B02E0">
              <w:t>2.76</w:t>
            </w:r>
          </w:p>
        </w:tc>
        <w:tc>
          <w:tcPr>
            <w:tcW w:w="1617" w:type="dxa"/>
            <w:vAlign w:val="top"/>
          </w:tcPr>
          <w:p w14:paraId="74AEE868" w14:textId="61DB472B" w:rsidR="00B5625D" w:rsidRPr="008B02E0" w:rsidRDefault="009E5502" w:rsidP="00AE5B32">
            <w:pPr>
              <w:pStyle w:val="TableText0"/>
              <w:jc w:val="center"/>
            </w:pPr>
            <w:r>
              <w:noBreakHyphen/>
            </w:r>
            <w:r w:rsidR="00B5625D" w:rsidRPr="008B02E0">
              <w:t>0.97</w:t>
            </w:r>
          </w:p>
        </w:tc>
        <w:tc>
          <w:tcPr>
            <w:tcW w:w="2050" w:type="dxa"/>
            <w:vAlign w:val="top"/>
          </w:tcPr>
          <w:p w14:paraId="7516D105" w14:textId="04256D03" w:rsidR="00B5625D" w:rsidRPr="008B02E0" w:rsidRDefault="009E5502" w:rsidP="00AE5B32">
            <w:pPr>
              <w:pStyle w:val="TableText0"/>
              <w:jc w:val="center"/>
            </w:pPr>
            <w:r>
              <w:noBreakHyphen/>
            </w:r>
            <w:r w:rsidR="00B5625D" w:rsidRPr="008B02E0">
              <w:t>29.3%</w:t>
            </w:r>
          </w:p>
        </w:tc>
      </w:tr>
      <w:tr w:rsidR="00B5625D" w:rsidRPr="008B02E0" w14:paraId="62490E98" w14:textId="77777777" w:rsidTr="00BD0CB9">
        <w:tc>
          <w:tcPr>
            <w:tcW w:w="1591" w:type="dxa"/>
          </w:tcPr>
          <w:p w14:paraId="2C201477" w14:textId="77777777" w:rsidR="00B5625D" w:rsidRPr="008B02E0" w:rsidRDefault="00B5625D" w:rsidP="00AE5B32">
            <w:pPr>
              <w:pStyle w:val="TableText0"/>
            </w:pPr>
            <w:r w:rsidRPr="008B02E0">
              <w:t>Total</w:t>
            </w:r>
          </w:p>
        </w:tc>
        <w:tc>
          <w:tcPr>
            <w:tcW w:w="1910" w:type="dxa"/>
          </w:tcPr>
          <w:p w14:paraId="65BDF218" w14:textId="77777777" w:rsidR="00B5625D" w:rsidRPr="008B02E0" w:rsidRDefault="00B5625D" w:rsidP="00AE5B32">
            <w:pPr>
              <w:pStyle w:val="TableText0"/>
              <w:jc w:val="center"/>
            </w:pPr>
            <w:r w:rsidRPr="008B02E0">
              <w:t>12.22</w:t>
            </w:r>
          </w:p>
        </w:tc>
        <w:tc>
          <w:tcPr>
            <w:tcW w:w="1910" w:type="dxa"/>
          </w:tcPr>
          <w:p w14:paraId="42FD6CE4" w14:textId="77777777" w:rsidR="00B5625D" w:rsidRPr="008B02E0" w:rsidRDefault="00B5625D" w:rsidP="00AE5B32">
            <w:pPr>
              <w:pStyle w:val="TableText0"/>
              <w:jc w:val="center"/>
            </w:pPr>
            <w:r w:rsidRPr="008B02E0">
              <w:t>8.92</w:t>
            </w:r>
          </w:p>
        </w:tc>
        <w:tc>
          <w:tcPr>
            <w:tcW w:w="1617" w:type="dxa"/>
          </w:tcPr>
          <w:p w14:paraId="0F474F6E" w14:textId="77777777" w:rsidR="00B5625D" w:rsidRPr="008B02E0" w:rsidRDefault="00B5625D" w:rsidP="00AE5B32">
            <w:pPr>
              <w:pStyle w:val="TableText0"/>
              <w:jc w:val="center"/>
            </w:pPr>
            <w:r w:rsidRPr="008B02E0">
              <w:t>3.31</w:t>
            </w:r>
          </w:p>
        </w:tc>
        <w:tc>
          <w:tcPr>
            <w:tcW w:w="2050" w:type="dxa"/>
          </w:tcPr>
          <w:p w14:paraId="3DBEF851" w14:textId="77777777" w:rsidR="00B5625D" w:rsidRPr="008B02E0" w:rsidRDefault="00B5625D" w:rsidP="00AE5B32">
            <w:pPr>
              <w:pStyle w:val="TableText0"/>
              <w:jc w:val="center"/>
            </w:pPr>
            <w:r w:rsidRPr="008B02E0">
              <w:t>100%</w:t>
            </w:r>
          </w:p>
        </w:tc>
      </w:tr>
      <w:tr w:rsidR="00B5625D" w:rsidRPr="008B02E0" w14:paraId="18604DE2" w14:textId="77777777" w:rsidTr="00BD0CB9">
        <w:tc>
          <w:tcPr>
            <w:tcW w:w="1591" w:type="dxa"/>
          </w:tcPr>
          <w:p w14:paraId="27C1CEE3" w14:textId="77777777" w:rsidR="00B5625D" w:rsidRPr="008B02E0" w:rsidRDefault="00B5625D" w:rsidP="00AE5B32">
            <w:pPr>
              <w:pStyle w:val="TableText0"/>
              <w:rPr>
                <w:b/>
                <w:bCs w:val="0"/>
              </w:rPr>
            </w:pPr>
            <w:r w:rsidRPr="008B02E0">
              <w:rPr>
                <w:b/>
                <w:bCs w:val="0"/>
              </w:rPr>
              <w:t>QALYs</w:t>
            </w:r>
          </w:p>
        </w:tc>
        <w:tc>
          <w:tcPr>
            <w:tcW w:w="1910" w:type="dxa"/>
          </w:tcPr>
          <w:p w14:paraId="512AA2FF" w14:textId="77777777" w:rsidR="00B5625D" w:rsidRPr="008B02E0" w:rsidRDefault="00B5625D" w:rsidP="00AE5B32">
            <w:pPr>
              <w:pStyle w:val="TableText0"/>
              <w:jc w:val="center"/>
            </w:pPr>
          </w:p>
        </w:tc>
        <w:tc>
          <w:tcPr>
            <w:tcW w:w="1910" w:type="dxa"/>
          </w:tcPr>
          <w:p w14:paraId="6BBBE3E1" w14:textId="77777777" w:rsidR="00B5625D" w:rsidRPr="008B02E0" w:rsidRDefault="00B5625D" w:rsidP="00AE5B32">
            <w:pPr>
              <w:pStyle w:val="TableText0"/>
              <w:jc w:val="center"/>
            </w:pPr>
          </w:p>
        </w:tc>
        <w:tc>
          <w:tcPr>
            <w:tcW w:w="1617" w:type="dxa"/>
          </w:tcPr>
          <w:p w14:paraId="22222760" w14:textId="77777777" w:rsidR="00B5625D" w:rsidRPr="008B02E0" w:rsidRDefault="00B5625D" w:rsidP="00AE5B32">
            <w:pPr>
              <w:pStyle w:val="TableText0"/>
              <w:jc w:val="center"/>
            </w:pPr>
          </w:p>
        </w:tc>
        <w:tc>
          <w:tcPr>
            <w:tcW w:w="2050" w:type="dxa"/>
          </w:tcPr>
          <w:p w14:paraId="134D5270" w14:textId="77777777" w:rsidR="00B5625D" w:rsidRPr="008B02E0" w:rsidRDefault="00B5625D" w:rsidP="00AE5B32">
            <w:pPr>
              <w:pStyle w:val="TableText0"/>
              <w:jc w:val="center"/>
            </w:pPr>
          </w:p>
        </w:tc>
      </w:tr>
      <w:tr w:rsidR="00B5625D" w:rsidRPr="008B02E0" w14:paraId="37675242" w14:textId="77777777" w:rsidTr="00BD0CB9">
        <w:tc>
          <w:tcPr>
            <w:tcW w:w="1591" w:type="dxa"/>
          </w:tcPr>
          <w:p w14:paraId="41989D9C" w14:textId="77777777" w:rsidR="00B5625D" w:rsidRPr="008B02E0" w:rsidRDefault="00B5625D" w:rsidP="00AE5B32">
            <w:pPr>
              <w:pStyle w:val="TableText0"/>
              <w:rPr>
                <w:iCs/>
              </w:rPr>
            </w:pPr>
            <w:r w:rsidRPr="008B02E0">
              <w:rPr>
                <w:iCs/>
              </w:rPr>
              <w:t>PF</w:t>
            </w:r>
          </w:p>
        </w:tc>
        <w:tc>
          <w:tcPr>
            <w:tcW w:w="1910" w:type="dxa"/>
            <w:vAlign w:val="top"/>
          </w:tcPr>
          <w:p w14:paraId="16E34097" w14:textId="77777777" w:rsidR="00B5625D" w:rsidRPr="008B02E0" w:rsidRDefault="00B5625D" w:rsidP="00AE5B32">
            <w:pPr>
              <w:pStyle w:val="TableText0"/>
              <w:jc w:val="center"/>
              <w:rPr>
                <w:iCs/>
              </w:rPr>
            </w:pPr>
            <w:r w:rsidRPr="008B02E0">
              <w:rPr>
                <w:iCs/>
              </w:rPr>
              <w:t>8.10</w:t>
            </w:r>
          </w:p>
        </w:tc>
        <w:tc>
          <w:tcPr>
            <w:tcW w:w="1910" w:type="dxa"/>
            <w:vAlign w:val="top"/>
          </w:tcPr>
          <w:p w14:paraId="2731AF4F" w14:textId="77777777" w:rsidR="00B5625D" w:rsidRPr="008B02E0" w:rsidRDefault="00B5625D" w:rsidP="00AE5B32">
            <w:pPr>
              <w:pStyle w:val="TableText0"/>
              <w:jc w:val="center"/>
              <w:rPr>
                <w:iCs/>
              </w:rPr>
            </w:pPr>
            <w:r w:rsidRPr="008B02E0">
              <w:rPr>
                <w:iCs/>
              </w:rPr>
              <w:t>4.79</w:t>
            </w:r>
          </w:p>
        </w:tc>
        <w:tc>
          <w:tcPr>
            <w:tcW w:w="1617" w:type="dxa"/>
            <w:vAlign w:val="top"/>
          </w:tcPr>
          <w:p w14:paraId="381F23FF" w14:textId="77777777" w:rsidR="00B5625D" w:rsidRPr="008B02E0" w:rsidRDefault="00B5625D" w:rsidP="00AE5B32">
            <w:pPr>
              <w:pStyle w:val="TableText0"/>
              <w:jc w:val="center"/>
              <w:rPr>
                <w:iCs/>
              </w:rPr>
            </w:pPr>
            <w:r w:rsidRPr="008B02E0">
              <w:rPr>
                <w:iCs/>
              </w:rPr>
              <w:t>3.30</w:t>
            </w:r>
          </w:p>
        </w:tc>
        <w:tc>
          <w:tcPr>
            <w:tcW w:w="2050" w:type="dxa"/>
            <w:vAlign w:val="top"/>
          </w:tcPr>
          <w:p w14:paraId="1DB4AD41" w14:textId="77777777" w:rsidR="00B5625D" w:rsidRPr="008B02E0" w:rsidRDefault="00B5625D" w:rsidP="00AE5B32">
            <w:pPr>
              <w:pStyle w:val="TableText0"/>
              <w:jc w:val="center"/>
              <w:rPr>
                <w:iCs/>
              </w:rPr>
            </w:pPr>
            <w:r w:rsidRPr="008B02E0">
              <w:rPr>
                <w:iCs/>
              </w:rPr>
              <w:t>127.3%</w:t>
            </w:r>
          </w:p>
        </w:tc>
      </w:tr>
      <w:tr w:rsidR="00B5625D" w:rsidRPr="008B02E0" w14:paraId="3AE4C554" w14:textId="77777777" w:rsidTr="00BD0CB9">
        <w:tc>
          <w:tcPr>
            <w:tcW w:w="1591" w:type="dxa"/>
          </w:tcPr>
          <w:p w14:paraId="11CB77EF" w14:textId="77777777" w:rsidR="00B5625D" w:rsidRPr="008B02E0" w:rsidRDefault="00B5625D" w:rsidP="00AE5B32">
            <w:pPr>
              <w:pStyle w:val="TableText0"/>
              <w:rPr>
                <w:iCs/>
              </w:rPr>
            </w:pPr>
            <w:r w:rsidRPr="008B02E0">
              <w:rPr>
                <w:iCs/>
              </w:rPr>
              <w:t>PD</w:t>
            </w:r>
          </w:p>
        </w:tc>
        <w:tc>
          <w:tcPr>
            <w:tcW w:w="1910" w:type="dxa"/>
            <w:vAlign w:val="top"/>
          </w:tcPr>
          <w:p w14:paraId="45C4CA04" w14:textId="77777777" w:rsidR="00B5625D" w:rsidRPr="008B02E0" w:rsidRDefault="00B5625D" w:rsidP="00AE5B32">
            <w:pPr>
              <w:pStyle w:val="TableText0"/>
              <w:jc w:val="center"/>
              <w:rPr>
                <w:iCs/>
              </w:rPr>
            </w:pPr>
            <w:r w:rsidRPr="008B02E0">
              <w:rPr>
                <w:iCs/>
              </w:rPr>
              <w:t>1.30</w:t>
            </w:r>
          </w:p>
        </w:tc>
        <w:tc>
          <w:tcPr>
            <w:tcW w:w="1910" w:type="dxa"/>
            <w:vAlign w:val="top"/>
          </w:tcPr>
          <w:p w14:paraId="2986CC27" w14:textId="77777777" w:rsidR="00B5625D" w:rsidRPr="008B02E0" w:rsidRDefault="00B5625D" w:rsidP="00AE5B32">
            <w:pPr>
              <w:pStyle w:val="TableText0"/>
              <w:jc w:val="center"/>
              <w:rPr>
                <w:iCs/>
              </w:rPr>
            </w:pPr>
            <w:r w:rsidRPr="008B02E0">
              <w:rPr>
                <w:iCs/>
              </w:rPr>
              <w:t>2.01</w:t>
            </w:r>
          </w:p>
        </w:tc>
        <w:tc>
          <w:tcPr>
            <w:tcW w:w="1617" w:type="dxa"/>
            <w:vAlign w:val="top"/>
          </w:tcPr>
          <w:p w14:paraId="3352BFB2" w14:textId="1785D991" w:rsidR="00B5625D" w:rsidRPr="008B02E0" w:rsidRDefault="009E5502" w:rsidP="00AE5B32">
            <w:pPr>
              <w:pStyle w:val="TableText0"/>
              <w:jc w:val="center"/>
              <w:rPr>
                <w:iCs/>
              </w:rPr>
            </w:pPr>
            <w:r>
              <w:rPr>
                <w:iCs/>
              </w:rPr>
              <w:noBreakHyphen/>
            </w:r>
            <w:r w:rsidR="00B5625D" w:rsidRPr="008B02E0">
              <w:rPr>
                <w:iCs/>
              </w:rPr>
              <w:t>0.71</w:t>
            </w:r>
          </w:p>
        </w:tc>
        <w:tc>
          <w:tcPr>
            <w:tcW w:w="2050" w:type="dxa"/>
            <w:vAlign w:val="top"/>
          </w:tcPr>
          <w:p w14:paraId="0890ED1A" w14:textId="45EF816A" w:rsidR="00B5625D" w:rsidRPr="008B02E0" w:rsidRDefault="009E5502" w:rsidP="00AE5B32">
            <w:pPr>
              <w:pStyle w:val="TableText0"/>
              <w:jc w:val="center"/>
              <w:rPr>
                <w:iCs/>
              </w:rPr>
            </w:pPr>
            <w:r>
              <w:rPr>
                <w:iCs/>
              </w:rPr>
              <w:noBreakHyphen/>
            </w:r>
            <w:r w:rsidR="00B5625D" w:rsidRPr="008B02E0">
              <w:rPr>
                <w:iCs/>
              </w:rPr>
              <w:t>27.2%</w:t>
            </w:r>
          </w:p>
        </w:tc>
      </w:tr>
      <w:tr w:rsidR="00B5625D" w:rsidRPr="008B02E0" w14:paraId="4252904C" w14:textId="77777777" w:rsidTr="00BD0CB9">
        <w:tc>
          <w:tcPr>
            <w:tcW w:w="1591" w:type="dxa"/>
          </w:tcPr>
          <w:p w14:paraId="7572FAE8" w14:textId="77777777" w:rsidR="00B5625D" w:rsidRPr="008B02E0" w:rsidRDefault="00B5625D" w:rsidP="00AE5B32">
            <w:pPr>
              <w:pStyle w:val="TableText0"/>
              <w:rPr>
                <w:iCs/>
              </w:rPr>
            </w:pPr>
            <w:r w:rsidRPr="008B02E0">
              <w:rPr>
                <w:iCs/>
              </w:rPr>
              <w:t>AEs</w:t>
            </w:r>
          </w:p>
        </w:tc>
        <w:tc>
          <w:tcPr>
            <w:tcW w:w="1910" w:type="dxa"/>
            <w:vAlign w:val="top"/>
          </w:tcPr>
          <w:p w14:paraId="57109CDA" w14:textId="321224A3" w:rsidR="00B5625D" w:rsidRPr="008B02E0" w:rsidRDefault="009E5502" w:rsidP="00AE5B32">
            <w:pPr>
              <w:pStyle w:val="TableText0"/>
              <w:jc w:val="center"/>
              <w:rPr>
                <w:iCs/>
              </w:rPr>
            </w:pPr>
            <w:r>
              <w:rPr>
                <w:iCs/>
              </w:rPr>
              <w:noBreakHyphen/>
            </w:r>
            <w:r w:rsidR="00B5625D" w:rsidRPr="008B02E0">
              <w:rPr>
                <w:iCs/>
              </w:rPr>
              <w:t>0.004</w:t>
            </w:r>
          </w:p>
        </w:tc>
        <w:tc>
          <w:tcPr>
            <w:tcW w:w="1910" w:type="dxa"/>
            <w:vAlign w:val="top"/>
          </w:tcPr>
          <w:p w14:paraId="335E39BA" w14:textId="0D164661" w:rsidR="00B5625D" w:rsidRPr="008B02E0" w:rsidRDefault="009E5502" w:rsidP="00AE5B32">
            <w:pPr>
              <w:pStyle w:val="TableText0"/>
              <w:jc w:val="center"/>
              <w:rPr>
                <w:iCs/>
              </w:rPr>
            </w:pPr>
            <w:r>
              <w:rPr>
                <w:iCs/>
              </w:rPr>
              <w:noBreakHyphen/>
            </w:r>
            <w:r w:rsidR="00B5625D" w:rsidRPr="008B02E0">
              <w:rPr>
                <w:iCs/>
              </w:rPr>
              <w:t>0.001</w:t>
            </w:r>
          </w:p>
        </w:tc>
        <w:tc>
          <w:tcPr>
            <w:tcW w:w="1617" w:type="dxa"/>
            <w:vAlign w:val="top"/>
          </w:tcPr>
          <w:p w14:paraId="40D968F1" w14:textId="716ABCCA" w:rsidR="00B5625D" w:rsidRPr="008B02E0" w:rsidRDefault="009E5502" w:rsidP="00AE5B32">
            <w:pPr>
              <w:pStyle w:val="TableText0"/>
              <w:jc w:val="center"/>
              <w:rPr>
                <w:iCs/>
              </w:rPr>
            </w:pPr>
            <w:r>
              <w:rPr>
                <w:iCs/>
              </w:rPr>
              <w:noBreakHyphen/>
            </w:r>
            <w:r w:rsidR="00B5625D" w:rsidRPr="008B02E0">
              <w:rPr>
                <w:iCs/>
              </w:rPr>
              <w:t>0.003</w:t>
            </w:r>
          </w:p>
        </w:tc>
        <w:tc>
          <w:tcPr>
            <w:tcW w:w="2050" w:type="dxa"/>
            <w:vAlign w:val="top"/>
          </w:tcPr>
          <w:p w14:paraId="6F9BAD41" w14:textId="7F12AE85" w:rsidR="00B5625D" w:rsidRPr="008B02E0" w:rsidRDefault="009E5502" w:rsidP="00AE5B32">
            <w:pPr>
              <w:pStyle w:val="TableText0"/>
              <w:jc w:val="center"/>
              <w:rPr>
                <w:iCs/>
              </w:rPr>
            </w:pPr>
            <w:r>
              <w:rPr>
                <w:iCs/>
              </w:rPr>
              <w:noBreakHyphen/>
            </w:r>
            <w:r w:rsidR="00B5625D" w:rsidRPr="008B02E0">
              <w:rPr>
                <w:iCs/>
              </w:rPr>
              <w:t>0.1%</w:t>
            </w:r>
          </w:p>
        </w:tc>
      </w:tr>
      <w:tr w:rsidR="00B5625D" w:rsidRPr="008B02E0" w14:paraId="5D005DEB" w14:textId="77777777" w:rsidTr="00BD0CB9">
        <w:trPr>
          <w:trHeight w:val="121"/>
        </w:trPr>
        <w:tc>
          <w:tcPr>
            <w:tcW w:w="1591" w:type="dxa"/>
          </w:tcPr>
          <w:p w14:paraId="74768CD9" w14:textId="77777777" w:rsidR="00B5625D" w:rsidRPr="008B02E0" w:rsidRDefault="00B5625D" w:rsidP="00AE5B32">
            <w:pPr>
              <w:pStyle w:val="TableText0"/>
              <w:rPr>
                <w:iCs/>
              </w:rPr>
            </w:pPr>
            <w:r w:rsidRPr="008B02E0">
              <w:rPr>
                <w:iCs/>
              </w:rPr>
              <w:t>Total</w:t>
            </w:r>
          </w:p>
        </w:tc>
        <w:tc>
          <w:tcPr>
            <w:tcW w:w="1910" w:type="dxa"/>
          </w:tcPr>
          <w:p w14:paraId="0306477D" w14:textId="77777777" w:rsidR="00B5625D" w:rsidRPr="008B02E0" w:rsidRDefault="00B5625D" w:rsidP="00AE5B32">
            <w:pPr>
              <w:pStyle w:val="TableText0"/>
              <w:jc w:val="center"/>
              <w:rPr>
                <w:iCs/>
              </w:rPr>
            </w:pPr>
            <w:r w:rsidRPr="008B02E0">
              <w:rPr>
                <w:iCs/>
              </w:rPr>
              <w:t>9.39</w:t>
            </w:r>
          </w:p>
        </w:tc>
        <w:tc>
          <w:tcPr>
            <w:tcW w:w="1910" w:type="dxa"/>
          </w:tcPr>
          <w:p w14:paraId="22F13432" w14:textId="77777777" w:rsidR="00B5625D" w:rsidRPr="008B02E0" w:rsidRDefault="00B5625D" w:rsidP="00AE5B32">
            <w:pPr>
              <w:pStyle w:val="TableText0"/>
              <w:jc w:val="center"/>
              <w:rPr>
                <w:iCs/>
              </w:rPr>
            </w:pPr>
            <w:r w:rsidRPr="008B02E0">
              <w:rPr>
                <w:iCs/>
              </w:rPr>
              <w:t>6.80</w:t>
            </w:r>
          </w:p>
        </w:tc>
        <w:tc>
          <w:tcPr>
            <w:tcW w:w="1617" w:type="dxa"/>
          </w:tcPr>
          <w:p w14:paraId="1A6C14F8" w14:textId="77777777" w:rsidR="00B5625D" w:rsidRPr="008B02E0" w:rsidRDefault="00B5625D" w:rsidP="00AE5B32">
            <w:pPr>
              <w:pStyle w:val="TableText0"/>
              <w:jc w:val="center"/>
              <w:rPr>
                <w:iCs/>
              </w:rPr>
            </w:pPr>
            <w:r w:rsidRPr="008B02E0">
              <w:rPr>
                <w:iCs/>
              </w:rPr>
              <w:t>2.60</w:t>
            </w:r>
          </w:p>
        </w:tc>
        <w:tc>
          <w:tcPr>
            <w:tcW w:w="2050" w:type="dxa"/>
          </w:tcPr>
          <w:p w14:paraId="3F6D3E6B" w14:textId="77777777" w:rsidR="00B5625D" w:rsidRPr="008B02E0" w:rsidRDefault="00B5625D" w:rsidP="00AE5B32">
            <w:pPr>
              <w:pStyle w:val="TableText0"/>
              <w:jc w:val="center"/>
              <w:rPr>
                <w:iCs/>
              </w:rPr>
            </w:pPr>
            <w:r w:rsidRPr="008B02E0">
              <w:rPr>
                <w:iCs/>
              </w:rPr>
              <w:t>100%</w:t>
            </w:r>
          </w:p>
        </w:tc>
      </w:tr>
    </w:tbl>
    <w:p w14:paraId="721FF269" w14:textId="77777777" w:rsidR="00B5625D" w:rsidRPr="008B02E0" w:rsidRDefault="00B5625D" w:rsidP="00AE5B32">
      <w:pPr>
        <w:pStyle w:val="TableFigureFooter"/>
      </w:pPr>
      <w:r w:rsidRPr="008B02E0">
        <w:t xml:space="preserve">Source: Table 108, p161 and </w:t>
      </w:r>
      <w:r w:rsidRPr="008B02E0">
        <w:rPr>
          <w:iCs/>
        </w:rPr>
        <w:t>compiled during the evaluation</w:t>
      </w:r>
    </w:p>
    <w:p w14:paraId="4EA39184" w14:textId="77777777" w:rsidR="00B5625D" w:rsidRPr="008B02E0" w:rsidRDefault="00B5625D" w:rsidP="00AE5B32">
      <w:pPr>
        <w:pStyle w:val="TableFigureFooter"/>
      </w:pPr>
      <w:r w:rsidRPr="008B02E0">
        <w:t>NIVO+IPI=nivolumab plus ipilimumab, LY=life year, PD=progressed disease, PF=progression free, QALY=quality adjusted life year</w:t>
      </w:r>
    </w:p>
    <w:p w14:paraId="01A5F455" w14:textId="77777777" w:rsidR="00EB6430" w:rsidRPr="008B02E0" w:rsidRDefault="00EB6430" w:rsidP="00AE5B32">
      <w:pPr>
        <w:pStyle w:val="3-BodyText"/>
      </w:pPr>
      <w:r w:rsidRPr="008B02E0">
        <w:t>Incremental LYs and QALYs (undiscounted 3.30 LYs, 2.60 QALYs) were driven by the increase in LYs in the progression free health state (4.28 undiscounted LYs, 3.30 undiscounted QALYs, 129.3% and 127.3% of the incremental LYs and QALYs respectively).</w:t>
      </w:r>
    </w:p>
    <w:p w14:paraId="569B0332" w14:textId="3648903A" w:rsidR="00EB6430" w:rsidRPr="008B02E0" w:rsidRDefault="00EB6430" w:rsidP="00AE5B32">
      <w:pPr>
        <w:pStyle w:val="3-BodyText"/>
        <w:rPr>
          <w:iCs/>
        </w:rPr>
      </w:pPr>
      <w:r w:rsidRPr="008B02E0">
        <w:t xml:space="preserve">The results of key sensitivity analyses are summarised in </w:t>
      </w:r>
      <w:r w:rsidRPr="008B02E0">
        <w:fldChar w:fldCharType="begin"/>
      </w:r>
      <w:r w:rsidRPr="008B02E0">
        <w:instrText xml:space="preserve"> REF _Ref104804865 \h </w:instrText>
      </w:r>
      <w:r w:rsidRPr="008B02E0">
        <w:fldChar w:fldCharType="separate"/>
      </w:r>
      <w:r w:rsidR="00B542C9" w:rsidRPr="008B02E0">
        <w:t xml:space="preserve">Table </w:t>
      </w:r>
      <w:r w:rsidR="00B542C9">
        <w:rPr>
          <w:noProof/>
        </w:rPr>
        <w:t>15</w:t>
      </w:r>
      <w:r w:rsidRPr="008B02E0">
        <w:fldChar w:fldCharType="end"/>
      </w:r>
      <w:r w:rsidRPr="008B02E0">
        <w:t xml:space="preserve">. </w:t>
      </w:r>
      <w:r w:rsidRPr="008B02E0">
        <w:rPr>
          <w:iCs/>
        </w:rPr>
        <w:t xml:space="preserve">The ICER was most sensitive to time horizon, PFS and </w:t>
      </w:r>
      <w:r w:rsidR="00943749" w:rsidRPr="008B02E0">
        <w:rPr>
          <w:iCs/>
        </w:rPr>
        <w:t xml:space="preserve">OS </w:t>
      </w:r>
      <w:r w:rsidR="00D920D6" w:rsidRPr="008B02E0">
        <w:rPr>
          <w:iCs/>
        </w:rPr>
        <w:t>benefit</w:t>
      </w:r>
      <w:r w:rsidRPr="008B02E0">
        <w:rPr>
          <w:iCs/>
        </w:rPr>
        <w:t xml:space="preserve">, time on treatment, and baseline population characteristics when they affected survival. </w:t>
      </w:r>
      <w:r w:rsidR="00D10A0C" w:rsidRPr="008B02E0">
        <w:rPr>
          <w:iCs/>
        </w:rPr>
        <w:t>The PSCR provided an updated economic model which included alternative extrapolations to be selected to estimate the time varying HRs.</w:t>
      </w:r>
      <w:r w:rsidR="00280A9F" w:rsidRPr="008B02E0">
        <w:rPr>
          <w:iCs/>
        </w:rPr>
        <w:t xml:space="preserve"> </w:t>
      </w:r>
      <w:r w:rsidR="00D10A0C" w:rsidRPr="008B02E0">
        <w:rPr>
          <w:iCs/>
        </w:rPr>
        <w:t xml:space="preserve">Sensitivity analyses for selected extrapolations are provided below. </w:t>
      </w:r>
      <w:r w:rsidR="00D10A0C" w:rsidRPr="008B02E0" w:rsidDel="00EE351E">
        <w:rPr>
          <w:iCs/>
        </w:rPr>
        <w:t xml:space="preserve"> </w:t>
      </w:r>
    </w:p>
    <w:p w14:paraId="473C9072" w14:textId="4536F2FB" w:rsidR="004D2B36" w:rsidRPr="008B02E0" w:rsidRDefault="004D2B36" w:rsidP="00AE5B32">
      <w:pPr>
        <w:pStyle w:val="3-BodyText"/>
        <w:rPr>
          <w:iCs/>
        </w:rPr>
      </w:pPr>
      <w:r w:rsidRPr="008B02E0">
        <w:rPr>
          <w:iCs/>
        </w:rPr>
        <w:t xml:space="preserve">The ESC </w:t>
      </w:r>
      <w:r w:rsidR="00AF4F56" w:rsidRPr="008B02E0">
        <w:rPr>
          <w:iCs/>
        </w:rPr>
        <w:t>did not suggest</w:t>
      </w:r>
      <w:r w:rsidR="00130D18" w:rsidRPr="008B02E0">
        <w:rPr>
          <w:iCs/>
        </w:rPr>
        <w:t xml:space="preserve"> </w:t>
      </w:r>
      <w:r w:rsidRPr="008B02E0">
        <w:rPr>
          <w:iCs/>
        </w:rPr>
        <w:t xml:space="preserve">a </w:t>
      </w:r>
      <w:r w:rsidR="00130D18" w:rsidRPr="008B02E0">
        <w:rPr>
          <w:iCs/>
        </w:rPr>
        <w:t>revised base case</w:t>
      </w:r>
      <w:r w:rsidR="00AF4F56" w:rsidRPr="008B02E0">
        <w:rPr>
          <w:iCs/>
        </w:rPr>
        <w:t>, as it considered that it</w:t>
      </w:r>
      <w:r w:rsidR="00130D18" w:rsidRPr="008B02E0">
        <w:rPr>
          <w:iCs/>
        </w:rPr>
        <w:t xml:space="preserve"> would not </w:t>
      </w:r>
      <w:r w:rsidR="00636DF4" w:rsidRPr="008B02E0">
        <w:rPr>
          <w:iCs/>
        </w:rPr>
        <w:t>resolve</w:t>
      </w:r>
      <w:r w:rsidR="00130D18" w:rsidRPr="008B02E0">
        <w:rPr>
          <w:iCs/>
        </w:rPr>
        <w:t xml:space="preserve"> the</w:t>
      </w:r>
      <w:r w:rsidR="008118FB" w:rsidRPr="008B02E0">
        <w:rPr>
          <w:iCs/>
        </w:rPr>
        <w:t xml:space="preserve"> high level of</w:t>
      </w:r>
      <w:r w:rsidR="00130D18" w:rsidRPr="008B02E0">
        <w:rPr>
          <w:iCs/>
        </w:rPr>
        <w:t xml:space="preserve"> uncertainty related to the indirect comparisons and structur</w:t>
      </w:r>
      <w:r w:rsidR="00AF4F56" w:rsidRPr="008B02E0">
        <w:rPr>
          <w:iCs/>
        </w:rPr>
        <w:t>e</w:t>
      </w:r>
      <w:r w:rsidR="00130D18" w:rsidRPr="008B02E0">
        <w:rPr>
          <w:iCs/>
        </w:rPr>
        <w:t xml:space="preserve"> of the model.</w:t>
      </w:r>
    </w:p>
    <w:p w14:paraId="13D6765A" w14:textId="3F2BA088" w:rsidR="00EB6430" w:rsidRPr="008B02E0" w:rsidRDefault="00EB6430" w:rsidP="00AE5B32">
      <w:pPr>
        <w:pStyle w:val="Caption"/>
        <w:rPr>
          <w:rStyle w:val="CommentReference"/>
          <w:b/>
          <w:szCs w:val="24"/>
        </w:rPr>
      </w:pPr>
      <w:bookmarkStart w:id="93" w:name="_Ref104804865"/>
      <w:r w:rsidRPr="008B02E0">
        <w:t xml:space="preserve">Table </w:t>
      </w:r>
      <w:r w:rsidR="008258C7">
        <w:fldChar w:fldCharType="begin"/>
      </w:r>
      <w:r w:rsidR="008258C7">
        <w:instrText xml:space="preserve"> SEQ Table \* ARABIC </w:instrText>
      </w:r>
      <w:r w:rsidR="008258C7">
        <w:fldChar w:fldCharType="separate"/>
      </w:r>
      <w:r w:rsidR="00B542C9">
        <w:rPr>
          <w:noProof/>
        </w:rPr>
        <w:t>15</w:t>
      </w:r>
      <w:r w:rsidR="008258C7">
        <w:rPr>
          <w:noProof/>
        </w:rPr>
        <w:fldChar w:fldCharType="end"/>
      </w:r>
      <w:bookmarkEnd w:id="93"/>
      <w:r w:rsidRPr="008B02E0">
        <w:t>:</w:t>
      </w:r>
      <w:r w:rsidRPr="008B02E0">
        <w:rPr>
          <w:rStyle w:val="CommentReference"/>
          <w:b/>
          <w:szCs w:val="24"/>
        </w:rPr>
        <w:t xml:space="preserve"> Sensitivity analyses</w:t>
      </w:r>
    </w:p>
    <w:tbl>
      <w:tblPr>
        <w:tblStyle w:val="PBAClayout"/>
        <w:tblW w:w="5001" w:type="pct"/>
        <w:tblLook w:val="04A0" w:firstRow="1" w:lastRow="0" w:firstColumn="1" w:lastColumn="0" w:noHBand="0" w:noVBand="1"/>
        <w:tblCaption w:val="Table 15: Sensitivity analyses"/>
      </w:tblPr>
      <w:tblGrid>
        <w:gridCol w:w="4084"/>
        <w:gridCol w:w="1333"/>
        <w:gridCol w:w="1382"/>
        <w:gridCol w:w="1145"/>
        <w:gridCol w:w="1075"/>
      </w:tblGrid>
      <w:tr w:rsidR="00EB6430" w:rsidRPr="008B02E0" w14:paraId="308EFAE8" w14:textId="77777777" w:rsidTr="007648A6">
        <w:trPr>
          <w:tblHeader/>
        </w:trPr>
        <w:tc>
          <w:tcPr>
            <w:tcW w:w="2264" w:type="pct"/>
          </w:tcPr>
          <w:p w14:paraId="258709D4" w14:textId="77777777" w:rsidR="00EB6430" w:rsidRPr="008B02E0" w:rsidRDefault="00EB6430" w:rsidP="00AE5B32">
            <w:pPr>
              <w:pStyle w:val="In-tableHeading"/>
              <w:keepNext w:val="0"/>
              <w:rPr>
                <w:lang w:val="en-AU"/>
              </w:rPr>
            </w:pPr>
            <w:r w:rsidRPr="008B02E0">
              <w:rPr>
                <w:lang w:val="en-AU"/>
              </w:rPr>
              <w:t>Analyses</w:t>
            </w:r>
          </w:p>
        </w:tc>
        <w:tc>
          <w:tcPr>
            <w:tcW w:w="739" w:type="pct"/>
          </w:tcPr>
          <w:p w14:paraId="4890C728" w14:textId="77777777" w:rsidR="00EB6430" w:rsidRPr="008B02E0" w:rsidRDefault="00EB6430" w:rsidP="00AE5B32">
            <w:pPr>
              <w:pStyle w:val="In-tableHeading"/>
              <w:keepNext w:val="0"/>
              <w:jc w:val="center"/>
              <w:rPr>
                <w:lang w:val="en-AU"/>
              </w:rPr>
            </w:pPr>
            <w:r w:rsidRPr="008B02E0">
              <w:rPr>
                <w:lang w:val="en-AU"/>
              </w:rPr>
              <w:t>Incremental cost</w:t>
            </w:r>
          </w:p>
        </w:tc>
        <w:tc>
          <w:tcPr>
            <w:tcW w:w="766" w:type="pct"/>
          </w:tcPr>
          <w:p w14:paraId="75352BC2" w14:textId="77777777" w:rsidR="00EB6430" w:rsidRPr="008B02E0" w:rsidRDefault="00EB6430" w:rsidP="00AE5B32">
            <w:pPr>
              <w:pStyle w:val="In-tableHeading"/>
              <w:keepNext w:val="0"/>
              <w:jc w:val="center"/>
              <w:rPr>
                <w:lang w:val="en-AU"/>
              </w:rPr>
            </w:pPr>
            <w:r w:rsidRPr="008B02E0">
              <w:rPr>
                <w:lang w:val="en-AU"/>
              </w:rPr>
              <w:t>Incremental QALY</w:t>
            </w:r>
          </w:p>
        </w:tc>
        <w:tc>
          <w:tcPr>
            <w:tcW w:w="635" w:type="pct"/>
          </w:tcPr>
          <w:p w14:paraId="13DCB6B4" w14:textId="77777777" w:rsidR="00EB6430" w:rsidRPr="008B02E0" w:rsidRDefault="00EB6430" w:rsidP="00AE5B32">
            <w:pPr>
              <w:pStyle w:val="In-tableHeading"/>
              <w:keepNext w:val="0"/>
              <w:jc w:val="center"/>
              <w:rPr>
                <w:lang w:val="en-AU"/>
              </w:rPr>
            </w:pPr>
            <w:r w:rsidRPr="008B02E0">
              <w:rPr>
                <w:lang w:val="en-AU"/>
              </w:rPr>
              <w:t>ICER</w:t>
            </w:r>
          </w:p>
        </w:tc>
        <w:tc>
          <w:tcPr>
            <w:tcW w:w="596" w:type="pct"/>
          </w:tcPr>
          <w:p w14:paraId="1559C95F" w14:textId="77777777" w:rsidR="00EB6430" w:rsidRPr="008B02E0" w:rsidRDefault="00EB6430" w:rsidP="00AE5B32">
            <w:pPr>
              <w:pStyle w:val="In-tableHeading"/>
              <w:keepNext w:val="0"/>
              <w:jc w:val="center"/>
              <w:rPr>
                <w:lang w:val="en-AU"/>
              </w:rPr>
            </w:pPr>
            <w:r w:rsidRPr="008B02E0">
              <w:rPr>
                <w:lang w:val="en-AU"/>
              </w:rPr>
              <w:t>% change</w:t>
            </w:r>
          </w:p>
        </w:tc>
      </w:tr>
      <w:tr w:rsidR="00EB6430" w:rsidRPr="008B02E0" w14:paraId="6FAED127" w14:textId="77777777" w:rsidTr="007648A6">
        <w:trPr>
          <w:tblHeader/>
        </w:trPr>
        <w:tc>
          <w:tcPr>
            <w:tcW w:w="2264" w:type="pct"/>
            <w:tcBorders>
              <w:bottom w:val="single" w:sz="4" w:space="0" w:color="auto"/>
            </w:tcBorders>
          </w:tcPr>
          <w:p w14:paraId="783C755D" w14:textId="77777777" w:rsidR="00EB6430" w:rsidRPr="008B02E0" w:rsidRDefault="00EB6430" w:rsidP="00AE5B32">
            <w:pPr>
              <w:pStyle w:val="TableText0"/>
              <w:keepNext w:val="0"/>
              <w:rPr>
                <w:b/>
              </w:rPr>
            </w:pPr>
            <w:r w:rsidRPr="008B02E0">
              <w:rPr>
                <w:b/>
              </w:rPr>
              <w:t>Base case</w:t>
            </w:r>
          </w:p>
        </w:tc>
        <w:tc>
          <w:tcPr>
            <w:tcW w:w="739" w:type="pct"/>
            <w:tcBorders>
              <w:bottom w:val="single" w:sz="4" w:space="0" w:color="auto"/>
            </w:tcBorders>
            <w:vAlign w:val="top"/>
          </w:tcPr>
          <w:p w14:paraId="426F5DE2" w14:textId="4184BC81" w:rsidR="00EB6430" w:rsidRPr="008B02E0" w:rsidRDefault="00EB6430" w:rsidP="00AE5B32">
            <w:pPr>
              <w:pStyle w:val="TableText0"/>
              <w:keepNext w:val="0"/>
              <w:jc w:val="center"/>
              <w:rPr>
                <w:b/>
              </w:rPr>
            </w:pPr>
            <w:r w:rsidRPr="008B02E0">
              <w:rPr>
                <w:b/>
              </w:rPr>
              <w:t>$</w:t>
            </w:r>
            <w:r w:rsidR="00E11347" w:rsidRPr="00E11347">
              <w:rPr>
                <w:b/>
                <w:color w:val="000000"/>
                <w:spacing w:val="53"/>
                <w:shd w:val="solid" w:color="000000" w:fill="000000"/>
                <w:fitText w:val="345" w:id="-628963573"/>
                <w14:textFill>
                  <w14:solidFill>
                    <w14:srgbClr w14:val="000000">
                      <w14:alpha w14:val="100000"/>
                    </w14:srgbClr>
                  </w14:solidFill>
                </w14:textFill>
              </w:rPr>
              <w:t>|||</w:t>
            </w:r>
            <w:r w:rsidR="00E11347" w:rsidRPr="00E11347">
              <w:rPr>
                <w:b/>
                <w:color w:val="000000"/>
                <w:spacing w:val="3"/>
                <w:shd w:val="solid" w:color="000000" w:fill="000000"/>
                <w:fitText w:val="345" w:id="-628963573"/>
                <w14:textFill>
                  <w14:solidFill>
                    <w14:srgbClr w14:val="000000">
                      <w14:alpha w14:val="100000"/>
                    </w14:srgbClr>
                  </w14:solidFill>
                </w14:textFill>
              </w:rPr>
              <w:t>|</w:t>
            </w:r>
          </w:p>
        </w:tc>
        <w:tc>
          <w:tcPr>
            <w:tcW w:w="766" w:type="pct"/>
            <w:tcBorders>
              <w:bottom w:val="single" w:sz="4" w:space="0" w:color="auto"/>
            </w:tcBorders>
            <w:vAlign w:val="top"/>
          </w:tcPr>
          <w:p w14:paraId="45716C8F" w14:textId="77777777" w:rsidR="00EB6430" w:rsidRPr="008B02E0" w:rsidRDefault="00EB6430" w:rsidP="00AE5B32">
            <w:pPr>
              <w:pStyle w:val="TableText0"/>
              <w:keepNext w:val="0"/>
              <w:jc w:val="center"/>
              <w:rPr>
                <w:b/>
              </w:rPr>
            </w:pPr>
            <w:r w:rsidRPr="008B02E0">
              <w:rPr>
                <w:b/>
              </w:rPr>
              <w:t>1.58</w:t>
            </w:r>
          </w:p>
        </w:tc>
        <w:tc>
          <w:tcPr>
            <w:tcW w:w="635" w:type="pct"/>
            <w:tcBorders>
              <w:bottom w:val="single" w:sz="4" w:space="0" w:color="auto"/>
            </w:tcBorders>
            <w:vAlign w:val="top"/>
          </w:tcPr>
          <w:p w14:paraId="2B5E9267" w14:textId="69D330B4" w:rsidR="00EB6430" w:rsidRPr="00837811" w:rsidRDefault="00EB6430" w:rsidP="00AE5B32">
            <w:pPr>
              <w:pStyle w:val="TableText0"/>
              <w:keepNext w:val="0"/>
              <w:jc w:val="center"/>
              <w:rPr>
                <w:b/>
                <w:vertAlign w:val="superscript"/>
              </w:rPr>
            </w:pPr>
            <w:r w:rsidRPr="00837811">
              <w:rPr>
                <w:b/>
              </w:rPr>
              <w:t>$</w:t>
            </w:r>
            <w:r w:rsidR="00E11347" w:rsidRPr="00E11347">
              <w:rPr>
                <w:b/>
                <w:color w:val="000000"/>
                <w:spacing w:val="58"/>
                <w:shd w:val="solid" w:color="000000" w:fill="000000"/>
                <w:fitText w:val="360" w:id="-628963572"/>
                <w14:textFill>
                  <w14:solidFill>
                    <w14:srgbClr w14:val="000000">
                      <w14:alpha w14:val="100000"/>
                    </w14:srgbClr>
                  </w14:solidFill>
                </w14:textFill>
              </w:rPr>
              <w:t>|||</w:t>
            </w:r>
            <w:r w:rsidR="00E11347" w:rsidRPr="00E11347">
              <w:rPr>
                <w:b/>
                <w:color w:val="000000"/>
                <w:spacing w:val="3"/>
                <w:shd w:val="solid" w:color="000000" w:fill="000000"/>
                <w:fitText w:val="360" w:id="-628963572"/>
                <w14:textFill>
                  <w14:solidFill>
                    <w14:srgbClr w14:val="000000">
                      <w14:alpha w14:val="100000"/>
                    </w14:srgbClr>
                  </w14:solidFill>
                </w14:textFill>
              </w:rPr>
              <w:t>|</w:t>
            </w:r>
            <w:r w:rsidR="001A2370" w:rsidRPr="00837811">
              <w:rPr>
                <w:b/>
                <w:vertAlign w:val="superscript"/>
              </w:rPr>
              <w:t>1</w:t>
            </w:r>
          </w:p>
        </w:tc>
        <w:tc>
          <w:tcPr>
            <w:tcW w:w="596" w:type="pct"/>
            <w:tcBorders>
              <w:bottom w:val="single" w:sz="4" w:space="0" w:color="auto"/>
            </w:tcBorders>
          </w:tcPr>
          <w:p w14:paraId="662334D6" w14:textId="38419A08" w:rsidR="00EB6430" w:rsidRPr="008B02E0" w:rsidRDefault="009E5502" w:rsidP="00AE5B32">
            <w:pPr>
              <w:pStyle w:val="TableText0"/>
              <w:keepNext w:val="0"/>
              <w:jc w:val="center"/>
              <w:rPr>
                <w:b/>
              </w:rPr>
            </w:pPr>
            <w:r>
              <w:rPr>
                <w:b/>
              </w:rPr>
              <w:noBreakHyphen/>
            </w:r>
          </w:p>
        </w:tc>
      </w:tr>
      <w:tr w:rsidR="00EB6430" w:rsidRPr="008B02E0" w14:paraId="504ED847" w14:textId="77777777" w:rsidTr="007648A6">
        <w:tc>
          <w:tcPr>
            <w:tcW w:w="2264" w:type="pct"/>
            <w:tcBorders>
              <w:bottom w:val="nil"/>
            </w:tcBorders>
          </w:tcPr>
          <w:p w14:paraId="209AB616" w14:textId="77777777" w:rsidR="00EB6430" w:rsidRPr="008B02E0" w:rsidRDefault="00EB6430" w:rsidP="00AE5B32">
            <w:pPr>
              <w:pStyle w:val="TableText0"/>
            </w:pPr>
            <w:r w:rsidRPr="008B02E0">
              <w:t>Discount rate (base case 5% costs and outcomes)</w:t>
            </w:r>
          </w:p>
        </w:tc>
        <w:tc>
          <w:tcPr>
            <w:tcW w:w="739" w:type="pct"/>
            <w:tcBorders>
              <w:bottom w:val="nil"/>
            </w:tcBorders>
          </w:tcPr>
          <w:p w14:paraId="6A4839A4" w14:textId="77777777" w:rsidR="00EB6430" w:rsidRPr="008B02E0" w:rsidRDefault="00EB6430" w:rsidP="00AE5B32">
            <w:pPr>
              <w:pStyle w:val="TableText0"/>
              <w:jc w:val="center"/>
            </w:pPr>
          </w:p>
        </w:tc>
        <w:tc>
          <w:tcPr>
            <w:tcW w:w="766" w:type="pct"/>
            <w:tcBorders>
              <w:bottom w:val="nil"/>
            </w:tcBorders>
          </w:tcPr>
          <w:p w14:paraId="6FD825A3" w14:textId="77777777" w:rsidR="00EB6430" w:rsidRPr="008B02E0" w:rsidRDefault="00EB6430" w:rsidP="00AE5B32">
            <w:pPr>
              <w:pStyle w:val="TableText0"/>
              <w:jc w:val="center"/>
            </w:pPr>
          </w:p>
        </w:tc>
        <w:tc>
          <w:tcPr>
            <w:tcW w:w="635" w:type="pct"/>
            <w:tcBorders>
              <w:bottom w:val="nil"/>
            </w:tcBorders>
          </w:tcPr>
          <w:p w14:paraId="5228CEFB" w14:textId="77777777" w:rsidR="00EB6430" w:rsidRPr="00837811" w:rsidRDefault="00EB6430" w:rsidP="00AE5B32">
            <w:pPr>
              <w:pStyle w:val="TableText0"/>
              <w:jc w:val="center"/>
            </w:pPr>
          </w:p>
        </w:tc>
        <w:tc>
          <w:tcPr>
            <w:tcW w:w="596" w:type="pct"/>
            <w:tcBorders>
              <w:bottom w:val="nil"/>
            </w:tcBorders>
          </w:tcPr>
          <w:p w14:paraId="02995B43" w14:textId="77777777" w:rsidR="00EB6430" w:rsidRPr="008B02E0" w:rsidRDefault="00EB6430" w:rsidP="00AE5B32">
            <w:pPr>
              <w:pStyle w:val="TableText0"/>
              <w:jc w:val="center"/>
            </w:pPr>
          </w:p>
        </w:tc>
      </w:tr>
      <w:tr w:rsidR="00EB6430" w:rsidRPr="008B02E0" w14:paraId="041946C7" w14:textId="77777777" w:rsidTr="007648A6">
        <w:tc>
          <w:tcPr>
            <w:tcW w:w="2264" w:type="pct"/>
            <w:tcBorders>
              <w:top w:val="nil"/>
              <w:bottom w:val="nil"/>
            </w:tcBorders>
          </w:tcPr>
          <w:p w14:paraId="7BCC0BCF" w14:textId="77777777" w:rsidR="00EB6430" w:rsidRPr="008B02E0" w:rsidRDefault="00EB6430" w:rsidP="00AE5B32">
            <w:pPr>
              <w:pStyle w:val="TableText0"/>
              <w:keepNext w:val="0"/>
              <w:numPr>
                <w:ilvl w:val="0"/>
                <w:numId w:val="6"/>
              </w:numPr>
              <w:ind w:left="104" w:hanging="49"/>
            </w:pPr>
            <w:r w:rsidRPr="008B02E0">
              <w:t>0% costs and outcomes</w:t>
            </w:r>
          </w:p>
        </w:tc>
        <w:tc>
          <w:tcPr>
            <w:tcW w:w="739" w:type="pct"/>
            <w:tcBorders>
              <w:top w:val="nil"/>
              <w:bottom w:val="nil"/>
            </w:tcBorders>
            <w:vAlign w:val="top"/>
          </w:tcPr>
          <w:p w14:paraId="5DEE0A3F" w14:textId="4AD9403B"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1"/>
                <w14:textFill>
                  <w14:solidFill>
                    <w14:srgbClr w14:val="000000">
                      <w14:alpha w14:val="100000"/>
                    </w14:srgbClr>
                  </w14:solidFill>
                </w14:textFill>
              </w:rPr>
              <w:t>|||</w:t>
            </w:r>
            <w:r w:rsidR="00E11347" w:rsidRPr="00E11347">
              <w:rPr>
                <w:color w:val="000000"/>
                <w:spacing w:val="1"/>
                <w:shd w:val="solid" w:color="000000" w:fill="000000"/>
                <w:fitText w:val="330" w:id="-628963571"/>
                <w14:textFill>
                  <w14:solidFill>
                    <w14:srgbClr w14:val="000000">
                      <w14:alpha w14:val="100000"/>
                    </w14:srgbClr>
                  </w14:solidFill>
                </w14:textFill>
              </w:rPr>
              <w:t>|</w:t>
            </w:r>
          </w:p>
        </w:tc>
        <w:tc>
          <w:tcPr>
            <w:tcW w:w="766" w:type="pct"/>
            <w:tcBorders>
              <w:top w:val="nil"/>
              <w:bottom w:val="nil"/>
            </w:tcBorders>
            <w:vAlign w:val="top"/>
          </w:tcPr>
          <w:p w14:paraId="100BEB15" w14:textId="77777777" w:rsidR="00EB6430" w:rsidRPr="008B02E0" w:rsidRDefault="00EB6430" w:rsidP="00AE5B32">
            <w:pPr>
              <w:pStyle w:val="TableText0"/>
              <w:keepNext w:val="0"/>
              <w:jc w:val="center"/>
            </w:pPr>
            <w:r w:rsidRPr="008B02E0">
              <w:t>2.60</w:t>
            </w:r>
          </w:p>
        </w:tc>
        <w:tc>
          <w:tcPr>
            <w:tcW w:w="635" w:type="pct"/>
            <w:tcBorders>
              <w:top w:val="nil"/>
              <w:bottom w:val="nil"/>
            </w:tcBorders>
            <w:vAlign w:val="top"/>
          </w:tcPr>
          <w:p w14:paraId="34463017" w14:textId="1A36DDB0" w:rsidR="00EB6430" w:rsidRPr="00837811" w:rsidRDefault="00EB6430" w:rsidP="00AE5B32">
            <w:pPr>
              <w:pStyle w:val="TableText0"/>
              <w:keepNext w:val="0"/>
              <w:jc w:val="center"/>
            </w:pPr>
            <w:r w:rsidRPr="00837811">
              <w:t>$</w:t>
            </w:r>
            <w:r w:rsidR="00E11347" w:rsidRPr="00E11347">
              <w:rPr>
                <w:color w:val="000000"/>
                <w:spacing w:val="53"/>
                <w:shd w:val="solid" w:color="000000" w:fill="000000"/>
                <w:fitText w:val="330" w:id="-628963570"/>
                <w14:textFill>
                  <w14:solidFill>
                    <w14:srgbClr w14:val="000000">
                      <w14:alpha w14:val="100000"/>
                    </w14:srgbClr>
                  </w14:solidFill>
                </w14:textFill>
              </w:rPr>
              <w:t>|||</w:t>
            </w:r>
            <w:r w:rsidR="00E11347" w:rsidRPr="00E11347">
              <w:rPr>
                <w:color w:val="000000"/>
                <w:spacing w:val="1"/>
                <w:shd w:val="solid" w:color="000000" w:fill="000000"/>
                <w:fitText w:val="330" w:id="-628963570"/>
                <w14:textFill>
                  <w14:solidFill>
                    <w14:srgbClr w14:val="000000">
                      <w14:alpha w14:val="100000"/>
                    </w14:srgbClr>
                  </w14:solidFill>
                </w14:textFill>
              </w:rPr>
              <w:t>|</w:t>
            </w:r>
            <w:r w:rsidR="00AD5B0E" w:rsidRPr="00837811">
              <w:rPr>
                <w:vertAlign w:val="superscript"/>
              </w:rPr>
              <w:t>2</w:t>
            </w:r>
          </w:p>
        </w:tc>
        <w:tc>
          <w:tcPr>
            <w:tcW w:w="596" w:type="pct"/>
            <w:tcBorders>
              <w:top w:val="nil"/>
              <w:bottom w:val="nil"/>
            </w:tcBorders>
            <w:vAlign w:val="top"/>
          </w:tcPr>
          <w:p w14:paraId="03AFA353" w14:textId="40F1DA17" w:rsidR="00EB6430" w:rsidRPr="009E52ED" w:rsidRDefault="009E5502" w:rsidP="00AE5B32">
            <w:pPr>
              <w:pStyle w:val="TableText0"/>
              <w:keepNext w:val="0"/>
              <w:jc w:val="center"/>
              <w:rPr>
                <w:highlight w:val="yellow"/>
              </w:rPr>
            </w:pPr>
            <w:r w:rsidRPr="00F161EE">
              <w:noBreakHyphen/>
            </w:r>
            <w:r w:rsidR="00E11347" w:rsidRPr="00E11347">
              <w:rPr>
                <w:color w:val="000000"/>
                <w:spacing w:val="53"/>
                <w:shd w:val="solid" w:color="000000" w:fill="000000"/>
                <w:fitText w:val="330" w:id="-628963569"/>
                <w14:textFill>
                  <w14:solidFill>
                    <w14:srgbClr w14:val="000000">
                      <w14:alpha w14:val="100000"/>
                    </w14:srgbClr>
                  </w14:solidFill>
                </w14:textFill>
              </w:rPr>
              <w:t>|||</w:t>
            </w:r>
            <w:r w:rsidR="00E11347" w:rsidRPr="00E11347">
              <w:rPr>
                <w:color w:val="000000"/>
                <w:spacing w:val="1"/>
                <w:shd w:val="solid" w:color="000000" w:fill="000000"/>
                <w:fitText w:val="330" w:id="-628963569"/>
                <w14:textFill>
                  <w14:solidFill>
                    <w14:srgbClr w14:val="000000">
                      <w14:alpha w14:val="100000"/>
                    </w14:srgbClr>
                  </w14:solidFill>
                </w14:textFill>
              </w:rPr>
              <w:t>|</w:t>
            </w:r>
            <w:r w:rsidR="00EB6430" w:rsidRPr="00F161EE">
              <w:t>%</w:t>
            </w:r>
          </w:p>
        </w:tc>
      </w:tr>
      <w:tr w:rsidR="00EB6430" w:rsidRPr="008B02E0" w14:paraId="2519C90A" w14:textId="77777777" w:rsidTr="007648A6">
        <w:tc>
          <w:tcPr>
            <w:tcW w:w="2264" w:type="pct"/>
            <w:tcBorders>
              <w:top w:val="nil"/>
              <w:bottom w:val="single" w:sz="4" w:space="0" w:color="auto"/>
            </w:tcBorders>
          </w:tcPr>
          <w:p w14:paraId="58BCE66E" w14:textId="77777777" w:rsidR="00EB6430" w:rsidRPr="008B02E0" w:rsidRDefault="00EB6430" w:rsidP="00AE5B32">
            <w:pPr>
              <w:pStyle w:val="TableText0"/>
              <w:keepNext w:val="0"/>
              <w:numPr>
                <w:ilvl w:val="0"/>
                <w:numId w:val="6"/>
              </w:numPr>
              <w:ind w:left="104" w:hanging="49"/>
            </w:pPr>
            <w:r w:rsidRPr="008B02E0">
              <w:t>3.5% costs and outcomes</w:t>
            </w:r>
          </w:p>
        </w:tc>
        <w:tc>
          <w:tcPr>
            <w:tcW w:w="739" w:type="pct"/>
            <w:tcBorders>
              <w:top w:val="nil"/>
              <w:bottom w:val="single" w:sz="4" w:space="0" w:color="auto"/>
            </w:tcBorders>
            <w:vAlign w:val="top"/>
          </w:tcPr>
          <w:p w14:paraId="61E0F542" w14:textId="67DD364F"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68"/>
                <w14:textFill>
                  <w14:solidFill>
                    <w14:srgbClr w14:val="000000">
                      <w14:alpha w14:val="100000"/>
                    </w14:srgbClr>
                  </w14:solidFill>
                </w14:textFill>
              </w:rPr>
              <w:t>|||</w:t>
            </w:r>
            <w:r w:rsidR="00E11347" w:rsidRPr="00E11347">
              <w:rPr>
                <w:color w:val="000000"/>
                <w:spacing w:val="1"/>
                <w:shd w:val="solid" w:color="000000" w:fill="000000"/>
                <w:fitText w:val="330" w:id="-628963568"/>
                <w14:textFill>
                  <w14:solidFill>
                    <w14:srgbClr w14:val="000000">
                      <w14:alpha w14:val="100000"/>
                    </w14:srgbClr>
                  </w14:solidFill>
                </w14:textFill>
              </w:rPr>
              <w:t>|</w:t>
            </w:r>
          </w:p>
        </w:tc>
        <w:tc>
          <w:tcPr>
            <w:tcW w:w="766" w:type="pct"/>
            <w:tcBorders>
              <w:top w:val="nil"/>
              <w:bottom w:val="single" w:sz="4" w:space="0" w:color="auto"/>
            </w:tcBorders>
            <w:vAlign w:val="top"/>
          </w:tcPr>
          <w:p w14:paraId="0E2DC304" w14:textId="77777777" w:rsidR="00EB6430" w:rsidRPr="008B02E0" w:rsidRDefault="00EB6430" w:rsidP="00AE5B32">
            <w:pPr>
              <w:pStyle w:val="TableText0"/>
              <w:keepNext w:val="0"/>
              <w:jc w:val="center"/>
            </w:pPr>
            <w:r w:rsidRPr="008B02E0">
              <w:t>1.81</w:t>
            </w:r>
          </w:p>
        </w:tc>
        <w:tc>
          <w:tcPr>
            <w:tcW w:w="635" w:type="pct"/>
            <w:tcBorders>
              <w:top w:val="nil"/>
              <w:bottom w:val="single" w:sz="4" w:space="0" w:color="auto"/>
            </w:tcBorders>
            <w:vAlign w:val="top"/>
          </w:tcPr>
          <w:p w14:paraId="0C9F225C" w14:textId="6E4A1988" w:rsidR="00EB6430" w:rsidRPr="00837811" w:rsidRDefault="00EB6430" w:rsidP="00AE5B32">
            <w:pPr>
              <w:pStyle w:val="TableText0"/>
              <w:keepNext w:val="0"/>
              <w:jc w:val="center"/>
              <w:rPr>
                <w:vertAlign w:val="superscript"/>
              </w:rPr>
            </w:pPr>
            <w:r w:rsidRPr="00837811">
              <w:t>$</w:t>
            </w:r>
            <w:r w:rsidR="00E11347" w:rsidRPr="00E11347">
              <w:rPr>
                <w:color w:val="000000"/>
                <w:spacing w:val="53"/>
                <w:shd w:val="solid" w:color="000000" w:fill="000000"/>
                <w:fitText w:val="330" w:id="-628963584"/>
                <w14:textFill>
                  <w14:solidFill>
                    <w14:srgbClr w14:val="000000">
                      <w14:alpha w14:val="100000"/>
                    </w14:srgbClr>
                  </w14:solidFill>
                </w14:textFill>
              </w:rPr>
              <w:t>|||</w:t>
            </w:r>
            <w:r w:rsidR="00E11347" w:rsidRPr="00E11347">
              <w:rPr>
                <w:color w:val="000000"/>
                <w:spacing w:val="1"/>
                <w:shd w:val="solid" w:color="000000" w:fill="000000"/>
                <w:fitText w:val="330" w:id="-628963584"/>
                <w14:textFill>
                  <w14:solidFill>
                    <w14:srgbClr w14:val="000000">
                      <w14:alpha w14:val="100000"/>
                    </w14:srgbClr>
                  </w14:solidFill>
                </w14:textFill>
              </w:rPr>
              <w:t>|</w:t>
            </w:r>
            <w:r w:rsidR="000C0FE2" w:rsidRPr="00837811">
              <w:rPr>
                <w:vertAlign w:val="superscript"/>
              </w:rPr>
              <w:t>3</w:t>
            </w:r>
          </w:p>
        </w:tc>
        <w:tc>
          <w:tcPr>
            <w:tcW w:w="596" w:type="pct"/>
            <w:tcBorders>
              <w:top w:val="nil"/>
              <w:bottom w:val="single" w:sz="4" w:space="0" w:color="auto"/>
            </w:tcBorders>
            <w:vAlign w:val="top"/>
          </w:tcPr>
          <w:p w14:paraId="4FF5D5D9" w14:textId="76EF2EA2" w:rsidR="00EB6430" w:rsidRPr="009E52ED" w:rsidRDefault="009E5502" w:rsidP="00AE5B32">
            <w:pPr>
              <w:pStyle w:val="TableText0"/>
              <w:keepNext w:val="0"/>
              <w:jc w:val="center"/>
              <w:rPr>
                <w:highlight w:val="yellow"/>
              </w:rPr>
            </w:pPr>
            <w:r w:rsidRPr="00F161EE">
              <w:noBreakHyphen/>
            </w:r>
            <w:r w:rsidR="00E11347" w:rsidRPr="00E11347">
              <w:rPr>
                <w:color w:val="000000"/>
                <w:spacing w:val="53"/>
                <w:shd w:val="solid" w:color="000000" w:fill="000000"/>
                <w:fitText w:val="330" w:id="-628963583"/>
                <w14:textFill>
                  <w14:solidFill>
                    <w14:srgbClr w14:val="000000">
                      <w14:alpha w14:val="100000"/>
                    </w14:srgbClr>
                  </w14:solidFill>
                </w14:textFill>
              </w:rPr>
              <w:t>|||</w:t>
            </w:r>
            <w:r w:rsidR="00E11347" w:rsidRPr="00E11347">
              <w:rPr>
                <w:color w:val="000000"/>
                <w:spacing w:val="1"/>
                <w:shd w:val="solid" w:color="000000" w:fill="000000"/>
                <w:fitText w:val="330" w:id="-628963583"/>
                <w14:textFill>
                  <w14:solidFill>
                    <w14:srgbClr w14:val="000000">
                      <w14:alpha w14:val="100000"/>
                    </w14:srgbClr>
                  </w14:solidFill>
                </w14:textFill>
              </w:rPr>
              <w:t>|</w:t>
            </w:r>
            <w:r w:rsidR="00EB6430" w:rsidRPr="00F161EE">
              <w:t>%</w:t>
            </w:r>
          </w:p>
        </w:tc>
      </w:tr>
      <w:tr w:rsidR="00EB6430" w:rsidRPr="008B02E0" w14:paraId="7490536C" w14:textId="77777777" w:rsidTr="007648A6">
        <w:tc>
          <w:tcPr>
            <w:tcW w:w="2264" w:type="pct"/>
            <w:tcBorders>
              <w:bottom w:val="nil"/>
            </w:tcBorders>
          </w:tcPr>
          <w:p w14:paraId="69424AFD" w14:textId="700EA0EF" w:rsidR="00EB6430" w:rsidRPr="008B02E0" w:rsidRDefault="00EB6430" w:rsidP="00AE5B32">
            <w:pPr>
              <w:pStyle w:val="TableText0"/>
              <w:keepNext w:val="0"/>
            </w:pPr>
            <w:r w:rsidRPr="008B02E0">
              <w:t xml:space="preserve">Time horizon (base case </w:t>
            </w:r>
            <w:r w:rsidR="00F40E88" w:rsidRPr="008B02E0">
              <w:rPr>
                <w:iCs/>
              </w:rPr>
              <w:t>20</w:t>
            </w:r>
            <w:r w:rsidRPr="008B02E0">
              <w:t xml:space="preserve"> years)</w:t>
            </w:r>
          </w:p>
        </w:tc>
        <w:tc>
          <w:tcPr>
            <w:tcW w:w="739" w:type="pct"/>
            <w:tcBorders>
              <w:bottom w:val="nil"/>
            </w:tcBorders>
          </w:tcPr>
          <w:p w14:paraId="2F43BB41" w14:textId="77777777" w:rsidR="00EB6430" w:rsidRPr="008B02E0" w:rsidRDefault="00EB6430" w:rsidP="00AE5B32">
            <w:pPr>
              <w:pStyle w:val="TableText0"/>
              <w:keepNext w:val="0"/>
              <w:jc w:val="center"/>
            </w:pPr>
          </w:p>
        </w:tc>
        <w:tc>
          <w:tcPr>
            <w:tcW w:w="766" w:type="pct"/>
            <w:tcBorders>
              <w:bottom w:val="nil"/>
            </w:tcBorders>
          </w:tcPr>
          <w:p w14:paraId="5473834E" w14:textId="77777777" w:rsidR="00EB6430" w:rsidRPr="008B02E0" w:rsidRDefault="00EB6430" w:rsidP="00AE5B32">
            <w:pPr>
              <w:pStyle w:val="TableText0"/>
              <w:keepNext w:val="0"/>
              <w:jc w:val="center"/>
            </w:pPr>
          </w:p>
        </w:tc>
        <w:tc>
          <w:tcPr>
            <w:tcW w:w="635" w:type="pct"/>
            <w:tcBorders>
              <w:bottom w:val="nil"/>
            </w:tcBorders>
          </w:tcPr>
          <w:p w14:paraId="6E81273E" w14:textId="77777777" w:rsidR="00EB6430" w:rsidRPr="00837811" w:rsidRDefault="00EB6430" w:rsidP="00AE5B32">
            <w:pPr>
              <w:pStyle w:val="TableText0"/>
              <w:keepNext w:val="0"/>
              <w:jc w:val="center"/>
            </w:pPr>
          </w:p>
        </w:tc>
        <w:tc>
          <w:tcPr>
            <w:tcW w:w="596" w:type="pct"/>
            <w:tcBorders>
              <w:bottom w:val="nil"/>
            </w:tcBorders>
          </w:tcPr>
          <w:p w14:paraId="6BCB628B" w14:textId="77777777" w:rsidR="00EB6430" w:rsidRPr="009E52ED" w:rsidRDefault="00EB6430" w:rsidP="00AE5B32">
            <w:pPr>
              <w:pStyle w:val="TableText0"/>
              <w:keepNext w:val="0"/>
              <w:jc w:val="center"/>
              <w:rPr>
                <w:highlight w:val="yellow"/>
              </w:rPr>
            </w:pPr>
          </w:p>
        </w:tc>
      </w:tr>
      <w:tr w:rsidR="00EB6430" w:rsidRPr="008B02E0" w14:paraId="5C6429C7" w14:textId="77777777" w:rsidTr="007648A6">
        <w:tc>
          <w:tcPr>
            <w:tcW w:w="2264" w:type="pct"/>
            <w:tcBorders>
              <w:top w:val="nil"/>
              <w:bottom w:val="nil"/>
            </w:tcBorders>
          </w:tcPr>
          <w:p w14:paraId="5FDD49D9" w14:textId="77777777" w:rsidR="00EB6430" w:rsidRPr="008B02E0" w:rsidRDefault="00EB6430" w:rsidP="00AE5B32">
            <w:pPr>
              <w:pStyle w:val="TableText0"/>
              <w:keepNext w:val="0"/>
              <w:numPr>
                <w:ilvl w:val="0"/>
                <w:numId w:val="6"/>
              </w:numPr>
              <w:ind w:left="104" w:hanging="49"/>
            </w:pPr>
            <w:r w:rsidRPr="008B02E0">
              <w:t>7.5 years</w:t>
            </w:r>
          </w:p>
        </w:tc>
        <w:tc>
          <w:tcPr>
            <w:tcW w:w="739" w:type="pct"/>
            <w:tcBorders>
              <w:top w:val="nil"/>
              <w:bottom w:val="nil"/>
            </w:tcBorders>
            <w:vAlign w:val="top"/>
          </w:tcPr>
          <w:p w14:paraId="4766EE29" w14:textId="64C0CCDA"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82"/>
                <w14:textFill>
                  <w14:solidFill>
                    <w14:srgbClr w14:val="000000">
                      <w14:alpha w14:val="100000"/>
                    </w14:srgbClr>
                  </w14:solidFill>
                </w14:textFill>
              </w:rPr>
              <w:t>|||</w:t>
            </w:r>
            <w:r w:rsidR="00E11347" w:rsidRPr="00E11347">
              <w:rPr>
                <w:iCs/>
                <w:color w:val="000000"/>
                <w:spacing w:val="1"/>
                <w:shd w:val="solid" w:color="000000" w:fill="000000"/>
                <w:fitText w:val="330" w:id="-628963582"/>
                <w14:textFill>
                  <w14:solidFill>
                    <w14:srgbClr w14:val="000000">
                      <w14:alpha w14:val="100000"/>
                    </w14:srgbClr>
                  </w14:solidFill>
                </w14:textFill>
              </w:rPr>
              <w:t>|</w:t>
            </w:r>
          </w:p>
        </w:tc>
        <w:tc>
          <w:tcPr>
            <w:tcW w:w="766" w:type="pct"/>
            <w:tcBorders>
              <w:top w:val="nil"/>
              <w:bottom w:val="nil"/>
            </w:tcBorders>
            <w:vAlign w:val="top"/>
          </w:tcPr>
          <w:p w14:paraId="52CB7D0D" w14:textId="77777777" w:rsidR="00EB6430" w:rsidRPr="008B02E0" w:rsidRDefault="00EB6430" w:rsidP="00AE5B32">
            <w:pPr>
              <w:pStyle w:val="TableText0"/>
              <w:keepNext w:val="0"/>
              <w:jc w:val="center"/>
              <w:rPr>
                <w:iCs/>
              </w:rPr>
            </w:pPr>
            <w:r w:rsidRPr="008B02E0">
              <w:rPr>
                <w:iCs/>
              </w:rPr>
              <w:t>0.62</w:t>
            </w:r>
          </w:p>
        </w:tc>
        <w:tc>
          <w:tcPr>
            <w:tcW w:w="635" w:type="pct"/>
            <w:tcBorders>
              <w:top w:val="nil"/>
              <w:bottom w:val="nil"/>
            </w:tcBorders>
            <w:vAlign w:val="top"/>
          </w:tcPr>
          <w:p w14:paraId="6389339D" w14:textId="349D1196" w:rsidR="00EB6430" w:rsidRPr="00837811" w:rsidRDefault="00EB6430" w:rsidP="00AE5B32">
            <w:pPr>
              <w:pStyle w:val="TableText0"/>
              <w:keepNext w:val="0"/>
              <w:jc w:val="center"/>
              <w:rPr>
                <w:vertAlign w:val="superscript"/>
              </w:rPr>
            </w:pPr>
            <w:r w:rsidRPr="00837811">
              <w:t>$</w:t>
            </w:r>
            <w:r w:rsidR="00E11347" w:rsidRPr="00E11347">
              <w:rPr>
                <w:color w:val="000000"/>
                <w:spacing w:val="53"/>
                <w:shd w:val="solid" w:color="000000" w:fill="000000"/>
                <w:fitText w:val="330" w:id="-628963581"/>
                <w14:textFill>
                  <w14:solidFill>
                    <w14:srgbClr w14:val="000000">
                      <w14:alpha w14:val="100000"/>
                    </w14:srgbClr>
                  </w14:solidFill>
                </w14:textFill>
              </w:rPr>
              <w:t>|||</w:t>
            </w:r>
            <w:r w:rsidR="00E11347" w:rsidRPr="00E11347">
              <w:rPr>
                <w:color w:val="000000"/>
                <w:spacing w:val="1"/>
                <w:shd w:val="solid" w:color="000000" w:fill="000000"/>
                <w:fitText w:val="330" w:id="-628963581"/>
                <w14:textFill>
                  <w14:solidFill>
                    <w14:srgbClr w14:val="000000">
                      <w14:alpha w14:val="100000"/>
                    </w14:srgbClr>
                  </w14:solidFill>
                </w14:textFill>
              </w:rPr>
              <w:t>|</w:t>
            </w:r>
            <w:r w:rsidR="00FF3C36" w:rsidRPr="00837811">
              <w:rPr>
                <w:vertAlign w:val="superscript"/>
              </w:rPr>
              <w:t>4</w:t>
            </w:r>
          </w:p>
        </w:tc>
        <w:tc>
          <w:tcPr>
            <w:tcW w:w="596" w:type="pct"/>
            <w:tcBorders>
              <w:top w:val="nil"/>
              <w:bottom w:val="nil"/>
            </w:tcBorders>
            <w:vAlign w:val="top"/>
          </w:tcPr>
          <w:p w14:paraId="218DEA59" w14:textId="39B2E932" w:rsidR="00EB6430" w:rsidRPr="009E52ED" w:rsidRDefault="00E11347" w:rsidP="00AE5B32">
            <w:pPr>
              <w:pStyle w:val="TableText0"/>
              <w:keepNext w:val="0"/>
              <w:jc w:val="center"/>
              <w:rPr>
                <w:iCs/>
                <w:highlight w:val="yellow"/>
              </w:rPr>
            </w:pPr>
            <w:r w:rsidRPr="00E11347">
              <w:rPr>
                <w:iCs/>
                <w:color w:val="000000"/>
                <w:spacing w:val="53"/>
                <w:shd w:val="solid" w:color="000000" w:fill="000000"/>
                <w:fitText w:val="330" w:id="-628963580"/>
                <w14:textFill>
                  <w14:solidFill>
                    <w14:srgbClr w14:val="000000">
                      <w14:alpha w14:val="100000"/>
                    </w14:srgbClr>
                  </w14:solidFill>
                </w14:textFill>
              </w:rPr>
              <w:t>|||</w:t>
            </w:r>
            <w:r w:rsidRPr="00E11347">
              <w:rPr>
                <w:iCs/>
                <w:color w:val="000000"/>
                <w:spacing w:val="1"/>
                <w:shd w:val="solid" w:color="000000" w:fill="000000"/>
                <w:fitText w:val="330" w:id="-628963580"/>
                <w14:textFill>
                  <w14:solidFill>
                    <w14:srgbClr w14:val="000000">
                      <w14:alpha w14:val="100000"/>
                    </w14:srgbClr>
                  </w14:solidFill>
                </w14:textFill>
              </w:rPr>
              <w:t>|</w:t>
            </w:r>
            <w:r w:rsidR="00EB6430" w:rsidRPr="00F161EE">
              <w:rPr>
                <w:iCs/>
              </w:rPr>
              <w:t>%</w:t>
            </w:r>
          </w:p>
        </w:tc>
      </w:tr>
      <w:tr w:rsidR="00EB6430" w:rsidRPr="008B02E0" w14:paraId="62279D64" w14:textId="77777777" w:rsidTr="007648A6">
        <w:tc>
          <w:tcPr>
            <w:tcW w:w="2264" w:type="pct"/>
            <w:tcBorders>
              <w:top w:val="nil"/>
              <w:bottom w:val="nil"/>
            </w:tcBorders>
          </w:tcPr>
          <w:p w14:paraId="09A3A225" w14:textId="77777777" w:rsidR="00EB6430" w:rsidRPr="008B02E0" w:rsidRDefault="00EB6430" w:rsidP="00AE5B32">
            <w:pPr>
              <w:pStyle w:val="TableText0"/>
              <w:keepNext w:val="0"/>
              <w:numPr>
                <w:ilvl w:val="0"/>
                <w:numId w:val="6"/>
              </w:numPr>
              <w:ind w:left="104" w:hanging="49"/>
            </w:pPr>
            <w:r w:rsidRPr="008B02E0">
              <w:t>10 years</w:t>
            </w:r>
          </w:p>
        </w:tc>
        <w:tc>
          <w:tcPr>
            <w:tcW w:w="739" w:type="pct"/>
            <w:tcBorders>
              <w:top w:val="nil"/>
              <w:bottom w:val="nil"/>
            </w:tcBorders>
            <w:vAlign w:val="top"/>
          </w:tcPr>
          <w:p w14:paraId="659019AA" w14:textId="749C7634"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9"/>
                <w14:textFill>
                  <w14:solidFill>
                    <w14:srgbClr w14:val="000000">
                      <w14:alpha w14:val="100000"/>
                    </w14:srgbClr>
                  </w14:solidFill>
                </w14:textFill>
              </w:rPr>
              <w:t>|||</w:t>
            </w:r>
            <w:r w:rsidR="00E11347" w:rsidRPr="00E11347">
              <w:rPr>
                <w:color w:val="000000"/>
                <w:spacing w:val="1"/>
                <w:shd w:val="solid" w:color="000000" w:fill="000000"/>
                <w:fitText w:val="330" w:id="-628963579"/>
                <w14:textFill>
                  <w14:solidFill>
                    <w14:srgbClr w14:val="000000">
                      <w14:alpha w14:val="100000"/>
                    </w14:srgbClr>
                  </w14:solidFill>
                </w14:textFill>
              </w:rPr>
              <w:t>|</w:t>
            </w:r>
          </w:p>
        </w:tc>
        <w:tc>
          <w:tcPr>
            <w:tcW w:w="766" w:type="pct"/>
            <w:tcBorders>
              <w:top w:val="nil"/>
              <w:bottom w:val="nil"/>
            </w:tcBorders>
            <w:vAlign w:val="top"/>
          </w:tcPr>
          <w:p w14:paraId="64357FBF" w14:textId="77777777" w:rsidR="00EB6430" w:rsidRPr="008B02E0" w:rsidRDefault="00EB6430" w:rsidP="00AE5B32">
            <w:pPr>
              <w:pStyle w:val="TableText0"/>
              <w:keepNext w:val="0"/>
              <w:jc w:val="center"/>
            </w:pPr>
            <w:r w:rsidRPr="008B02E0">
              <w:t>0.87</w:t>
            </w:r>
          </w:p>
        </w:tc>
        <w:tc>
          <w:tcPr>
            <w:tcW w:w="635" w:type="pct"/>
            <w:tcBorders>
              <w:top w:val="nil"/>
              <w:bottom w:val="nil"/>
            </w:tcBorders>
            <w:vAlign w:val="top"/>
          </w:tcPr>
          <w:p w14:paraId="7372BF4A" w14:textId="3AE951E2" w:rsidR="00EB6430" w:rsidRPr="00837811" w:rsidRDefault="00EB6430" w:rsidP="00AE5B32">
            <w:pPr>
              <w:pStyle w:val="TableText0"/>
              <w:keepNext w:val="0"/>
              <w:jc w:val="center"/>
              <w:rPr>
                <w:vertAlign w:val="superscript"/>
              </w:rPr>
            </w:pPr>
            <w:r w:rsidRPr="00837811">
              <w:t>$</w:t>
            </w:r>
            <w:r w:rsidR="00E11347" w:rsidRPr="00E11347">
              <w:rPr>
                <w:color w:val="000000"/>
                <w:spacing w:val="53"/>
                <w:shd w:val="solid" w:color="000000" w:fill="000000"/>
                <w:fitText w:val="330" w:id="-628963578"/>
                <w14:textFill>
                  <w14:solidFill>
                    <w14:srgbClr w14:val="000000">
                      <w14:alpha w14:val="100000"/>
                    </w14:srgbClr>
                  </w14:solidFill>
                </w14:textFill>
              </w:rPr>
              <w:t>|||</w:t>
            </w:r>
            <w:r w:rsidR="00E11347" w:rsidRPr="00E11347">
              <w:rPr>
                <w:color w:val="000000"/>
                <w:spacing w:val="1"/>
                <w:shd w:val="solid" w:color="000000" w:fill="000000"/>
                <w:fitText w:val="330" w:id="-628963578"/>
                <w14:textFill>
                  <w14:solidFill>
                    <w14:srgbClr w14:val="000000">
                      <w14:alpha w14:val="100000"/>
                    </w14:srgbClr>
                  </w14:solidFill>
                </w14:textFill>
              </w:rPr>
              <w:t>|</w:t>
            </w:r>
            <w:r w:rsidR="00B06447" w:rsidRPr="00837811">
              <w:rPr>
                <w:vertAlign w:val="superscript"/>
              </w:rPr>
              <w:t>5</w:t>
            </w:r>
          </w:p>
        </w:tc>
        <w:tc>
          <w:tcPr>
            <w:tcW w:w="596" w:type="pct"/>
            <w:tcBorders>
              <w:top w:val="nil"/>
              <w:bottom w:val="nil"/>
            </w:tcBorders>
            <w:vAlign w:val="top"/>
          </w:tcPr>
          <w:p w14:paraId="14217238" w14:textId="62A77B31" w:rsidR="00EB6430" w:rsidRPr="009E52ED" w:rsidRDefault="00E11347" w:rsidP="00AE5B32">
            <w:pPr>
              <w:pStyle w:val="TableText0"/>
              <w:keepNext w:val="0"/>
              <w:jc w:val="center"/>
              <w:rPr>
                <w:highlight w:val="yellow"/>
              </w:rPr>
            </w:pPr>
            <w:r w:rsidRPr="00E11347">
              <w:rPr>
                <w:color w:val="000000"/>
                <w:spacing w:val="53"/>
                <w:shd w:val="solid" w:color="000000" w:fill="000000"/>
                <w:fitText w:val="330" w:id="-628963577"/>
                <w14:textFill>
                  <w14:solidFill>
                    <w14:srgbClr w14:val="000000">
                      <w14:alpha w14:val="100000"/>
                    </w14:srgbClr>
                  </w14:solidFill>
                </w14:textFill>
              </w:rPr>
              <w:t>|||</w:t>
            </w:r>
            <w:r w:rsidRPr="00E11347">
              <w:rPr>
                <w:color w:val="000000"/>
                <w:spacing w:val="1"/>
                <w:shd w:val="solid" w:color="000000" w:fill="000000"/>
                <w:fitText w:val="330" w:id="-628963577"/>
                <w14:textFill>
                  <w14:solidFill>
                    <w14:srgbClr w14:val="000000">
                      <w14:alpha w14:val="100000"/>
                    </w14:srgbClr>
                  </w14:solidFill>
                </w14:textFill>
              </w:rPr>
              <w:t>|</w:t>
            </w:r>
            <w:r w:rsidR="00EB6430" w:rsidRPr="00F161EE">
              <w:t>%</w:t>
            </w:r>
          </w:p>
        </w:tc>
      </w:tr>
      <w:tr w:rsidR="00EB6430" w:rsidRPr="008B02E0" w14:paraId="13178E99" w14:textId="77777777" w:rsidTr="007648A6">
        <w:tc>
          <w:tcPr>
            <w:tcW w:w="2264" w:type="pct"/>
            <w:tcBorders>
              <w:top w:val="nil"/>
              <w:bottom w:val="single" w:sz="4" w:space="0" w:color="auto"/>
            </w:tcBorders>
          </w:tcPr>
          <w:p w14:paraId="24CDF75F" w14:textId="77777777" w:rsidR="00EB6430" w:rsidRPr="008B02E0" w:rsidRDefault="00EB6430" w:rsidP="00AE5B32">
            <w:pPr>
              <w:pStyle w:val="TableText0"/>
              <w:keepNext w:val="0"/>
              <w:numPr>
                <w:ilvl w:val="0"/>
                <w:numId w:val="6"/>
              </w:numPr>
              <w:ind w:left="104" w:hanging="49"/>
            </w:pPr>
            <w:r w:rsidRPr="008B02E0">
              <w:t>15 years</w:t>
            </w:r>
          </w:p>
        </w:tc>
        <w:tc>
          <w:tcPr>
            <w:tcW w:w="739" w:type="pct"/>
            <w:tcBorders>
              <w:top w:val="nil"/>
              <w:bottom w:val="single" w:sz="4" w:space="0" w:color="auto"/>
            </w:tcBorders>
            <w:vAlign w:val="top"/>
          </w:tcPr>
          <w:p w14:paraId="0C97BC86" w14:textId="253FFEAA"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6"/>
                <w14:textFill>
                  <w14:solidFill>
                    <w14:srgbClr w14:val="000000">
                      <w14:alpha w14:val="100000"/>
                    </w14:srgbClr>
                  </w14:solidFill>
                </w14:textFill>
              </w:rPr>
              <w:t>|||</w:t>
            </w:r>
            <w:r w:rsidR="00E11347" w:rsidRPr="00E11347">
              <w:rPr>
                <w:color w:val="000000"/>
                <w:spacing w:val="1"/>
                <w:shd w:val="solid" w:color="000000" w:fill="000000"/>
                <w:fitText w:val="330" w:id="-628963576"/>
                <w14:textFill>
                  <w14:solidFill>
                    <w14:srgbClr w14:val="000000">
                      <w14:alpha w14:val="100000"/>
                    </w14:srgbClr>
                  </w14:solidFill>
                </w14:textFill>
              </w:rPr>
              <w:t>|</w:t>
            </w:r>
          </w:p>
        </w:tc>
        <w:tc>
          <w:tcPr>
            <w:tcW w:w="766" w:type="pct"/>
            <w:tcBorders>
              <w:top w:val="nil"/>
              <w:bottom w:val="single" w:sz="4" w:space="0" w:color="auto"/>
            </w:tcBorders>
            <w:vAlign w:val="top"/>
          </w:tcPr>
          <w:p w14:paraId="34281F52" w14:textId="77777777" w:rsidR="00EB6430" w:rsidRPr="008B02E0" w:rsidRDefault="00EB6430" w:rsidP="00AE5B32">
            <w:pPr>
              <w:pStyle w:val="TableText0"/>
              <w:keepNext w:val="0"/>
              <w:jc w:val="center"/>
            </w:pPr>
            <w:r w:rsidRPr="008B02E0">
              <w:t>1.28</w:t>
            </w:r>
          </w:p>
        </w:tc>
        <w:tc>
          <w:tcPr>
            <w:tcW w:w="635" w:type="pct"/>
            <w:tcBorders>
              <w:top w:val="nil"/>
              <w:bottom w:val="single" w:sz="4" w:space="0" w:color="auto"/>
            </w:tcBorders>
            <w:vAlign w:val="top"/>
          </w:tcPr>
          <w:p w14:paraId="024660F0" w14:textId="60E5D07F" w:rsidR="00EB6430" w:rsidRPr="00837811" w:rsidRDefault="00EB6430" w:rsidP="00AE5B32">
            <w:pPr>
              <w:pStyle w:val="TableText0"/>
              <w:keepNext w:val="0"/>
              <w:jc w:val="center"/>
              <w:rPr>
                <w:vertAlign w:val="superscript"/>
              </w:rPr>
            </w:pPr>
            <w:r w:rsidRPr="00837811">
              <w:t>$</w:t>
            </w:r>
            <w:r w:rsidR="00E11347" w:rsidRPr="00E11347">
              <w:rPr>
                <w:color w:val="000000"/>
                <w:spacing w:val="53"/>
                <w:shd w:val="solid" w:color="000000" w:fill="000000"/>
                <w:fitText w:val="330" w:id="-628963575"/>
                <w14:textFill>
                  <w14:solidFill>
                    <w14:srgbClr w14:val="000000">
                      <w14:alpha w14:val="100000"/>
                    </w14:srgbClr>
                  </w14:solidFill>
                </w14:textFill>
              </w:rPr>
              <w:t>|||</w:t>
            </w:r>
            <w:r w:rsidR="00E11347" w:rsidRPr="00E11347">
              <w:rPr>
                <w:color w:val="000000"/>
                <w:spacing w:val="1"/>
                <w:shd w:val="solid" w:color="000000" w:fill="000000"/>
                <w:fitText w:val="330" w:id="-628963575"/>
                <w14:textFill>
                  <w14:solidFill>
                    <w14:srgbClr w14:val="000000">
                      <w14:alpha w14:val="100000"/>
                    </w14:srgbClr>
                  </w14:solidFill>
                </w14:textFill>
              </w:rPr>
              <w:t>|</w:t>
            </w:r>
            <w:r w:rsidR="001D31CD" w:rsidRPr="00837811">
              <w:rPr>
                <w:vertAlign w:val="superscript"/>
              </w:rPr>
              <w:t>6</w:t>
            </w:r>
          </w:p>
        </w:tc>
        <w:tc>
          <w:tcPr>
            <w:tcW w:w="596" w:type="pct"/>
            <w:tcBorders>
              <w:top w:val="nil"/>
              <w:bottom w:val="single" w:sz="4" w:space="0" w:color="auto"/>
            </w:tcBorders>
            <w:vAlign w:val="top"/>
          </w:tcPr>
          <w:p w14:paraId="610189FD" w14:textId="0395364E" w:rsidR="00EB6430" w:rsidRPr="009E52ED" w:rsidRDefault="00E11347" w:rsidP="00AE5B32">
            <w:pPr>
              <w:pStyle w:val="TableText0"/>
              <w:keepNext w:val="0"/>
              <w:jc w:val="center"/>
              <w:rPr>
                <w:highlight w:val="yellow"/>
              </w:rPr>
            </w:pPr>
            <w:r w:rsidRPr="00E11347">
              <w:rPr>
                <w:color w:val="000000"/>
                <w:spacing w:val="53"/>
                <w:shd w:val="solid" w:color="000000" w:fill="000000"/>
                <w:fitText w:val="330" w:id="-628963574"/>
                <w14:textFill>
                  <w14:solidFill>
                    <w14:srgbClr w14:val="000000">
                      <w14:alpha w14:val="100000"/>
                    </w14:srgbClr>
                  </w14:solidFill>
                </w14:textFill>
              </w:rPr>
              <w:t>|||</w:t>
            </w:r>
            <w:r w:rsidRPr="00E11347">
              <w:rPr>
                <w:color w:val="000000"/>
                <w:spacing w:val="1"/>
                <w:shd w:val="solid" w:color="000000" w:fill="000000"/>
                <w:fitText w:val="330" w:id="-628963574"/>
                <w14:textFill>
                  <w14:solidFill>
                    <w14:srgbClr w14:val="000000">
                      <w14:alpha w14:val="100000"/>
                    </w14:srgbClr>
                  </w14:solidFill>
                </w14:textFill>
              </w:rPr>
              <w:t>|</w:t>
            </w:r>
            <w:r w:rsidR="00EB6430" w:rsidRPr="00F161EE">
              <w:t>%</w:t>
            </w:r>
          </w:p>
        </w:tc>
      </w:tr>
      <w:tr w:rsidR="00EB6430" w:rsidRPr="008B02E0" w14:paraId="176B6765" w14:textId="77777777" w:rsidTr="007648A6">
        <w:tc>
          <w:tcPr>
            <w:tcW w:w="5000" w:type="pct"/>
            <w:gridSpan w:val="5"/>
            <w:tcBorders>
              <w:bottom w:val="nil"/>
            </w:tcBorders>
          </w:tcPr>
          <w:p w14:paraId="09C64C57" w14:textId="0B44E5EC" w:rsidR="00EB6430" w:rsidRPr="008B02E0" w:rsidRDefault="00EB6430" w:rsidP="00AE5B32">
            <w:pPr>
              <w:pStyle w:val="TableText0"/>
              <w:keepNext w:val="0"/>
            </w:pPr>
            <w:r w:rsidRPr="008B02E0">
              <w:t>PF to PD HR approach (base case time varying</w:t>
            </w:r>
            <w:r w:rsidR="008764A2" w:rsidRPr="008B02E0">
              <w:t xml:space="preserve"> HR</w:t>
            </w:r>
            <w:r w:rsidRPr="008B02E0">
              <w:t xml:space="preserve"> based on comparison of CM</w:t>
            </w:r>
            <w:r w:rsidR="009E5502">
              <w:noBreakHyphen/>
            </w:r>
            <w:r w:rsidRPr="008B02E0">
              <w:t>8HW 1L TTP and KN</w:t>
            </w:r>
            <w:r w:rsidR="009E5502">
              <w:noBreakHyphen/>
            </w:r>
            <w:r w:rsidRPr="008B02E0">
              <w:t>177 PFS data weighted via unanchored MAIC)</w:t>
            </w:r>
          </w:p>
        </w:tc>
      </w:tr>
      <w:tr w:rsidR="00EB6430" w:rsidRPr="008B02E0" w14:paraId="2016007B" w14:textId="77777777" w:rsidTr="007648A6">
        <w:tc>
          <w:tcPr>
            <w:tcW w:w="5000" w:type="pct"/>
            <w:gridSpan w:val="5"/>
            <w:tcBorders>
              <w:top w:val="nil"/>
              <w:bottom w:val="nil"/>
            </w:tcBorders>
          </w:tcPr>
          <w:p w14:paraId="0E6A539A" w14:textId="0CDB3C98" w:rsidR="00EB6430" w:rsidRPr="008B02E0" w:rsidRDefault="00EB6430" w:rsidP="00AE5B32">
            <w:pPr>
              <w:pStyle w:val="TableText0"/>
              <w:keepNext w:val="0"/>
              <w:ind w:left="170"/>
              <w:rPr>
                <w:u w:val="single"/>
              </w:rPr>
            </w:pPr>
            <w:r w:rsidRPr="008B02E0">
              <w:rPr>
                <w:u w:val="single"/>
              </w:rPr>
              <w:t>Comparing CM</w:t>
            </w:r>
            <w:r w:rsidR="009E5502">
              <w:rPr>
                <w:u w:val="single"/>
              </w:rPr>
              <w:noBreakHyphen/>
            </w:r>
            <w:r w:rsidRPr="008B02E0">
              <w:rPr>
                <w:u w:val="single"/>
              </w:rPr>
              <w:t>8HW 1L TTP and KN</w:t>
            </w:r>
            <w:r w:rsidR="009E5502">
              <w:rPr>
                <w:u w:val="single"/>
              </w:rPr>
              <w:noBreakHyphen/>
            </w:r>
            <w:r w:rsidRPr="008B02E0">
              <w:rPr>
                <w:u w:val="single"/>
              </w:rPr>
              <w:t>177 PFS</w:t>
            </w:r>
          </w:p>
        </w:tc>
      </w:tr>
      <w:tr w:rsidR="00EB6430" w:rsidRPr="008B02E0" w14:paraId="6C53F604" w14:textId="77777777" w:rsidTr="007648A6">
        <w:tc>
          <w:tcPr>
            <w:tcW w:w="2264" w:type="pct"/>
            <w:tcBorders>
              <w:top w:val="nil"/>
              <w:bottom w:val="nil"/>
            </w:tcBorders>
          </w:tcPr>
          <w:p w14:paraId="071D37BE" w14:textId="72B76AC8" w:rsidR="00EB6430" w:rsidRPr="008B02E0" w:rsidRDefault="00EB6430" w:rsidP="00AE5B32">
            <w:pPr>
              <w:pStyle w:val="TableText0"/>
              <w:keepNext w:val="0"/>
              <w:numPr>
                <w:ilvl w:val="0"/>
                <w:numId w:val="6"/>
              </w:numPr>
              <w:ind w:left="104" w:hanging="49"/>
            </w:pPr>
            <w:r w:rsidRPr="008B02E0">
              <w:t>Time</w:t>
            </w:r>
            <w:r w:rsidR="009E5502">
              <w:noBreakHyphen/>
            </w:r>
            <w:r w:rsidRPr="008B02E0">
              <w:t>varying, adjusted anchored MAIC</w:t>
            </w:r>
          </w:p>
        </w:tc>
        <w:tc>
          <w:tcPr>
            <w:tcW w:w="739" w:type="pct"/>
            <w:tcBorders>
              <w:top w:val="nil"/>
              <w:bottom w:val="nil"/>
            </w:tcBorders>
            <w:vAlign w:val="top"/>
          </w:tcPr>
          <w:p w14:paraId="06F02B53" w14:textId="12FA9689"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3"/>
                <w14:textFill>
                  <w14:solidFill>
                    <w14:srgbClr w14:val="000000">
                      <w14:alpha w14:val="100000"/>
                    </w14:srgbClr>
                  </w14:solidFill>
                </w14:textFill>
              </w:rPr>
              <w:t>|||</w:t>
            </w:r>
            <w:r w:rsidR="00E11347" w:rsidRPr="00E11347">
              <w:rPr>
                <w:color w:val="000000"/>
                <w:spacing w:val="1"/>
                <w:shd w:val="solid" w:color="000000" w:fill="000000"/>
                <w:fitText w:val="330" w:id="-628963573"/>
                <w14:textFill>
                  <w14:solidFill>
                    <w14:srgbClr w14:val="000000">
                      <w14:alpha w14:val="100000"/>
                    </w14:srgbClr>
                  </w14:solidFill>
                </w14:textFill>
              </w:rPr>
              <w:t>|</w:t>
            </w:r>
          </w:p>
        </w:tc>
        <w:tc>
          <w:tcPr>
            <w:tcW w:w="766" w:type="pct"/>
            <w:tcBorders>
              <w:top w:val="nil"/>
              <w:bottom w:val="nil"/>
            </w:tcBorders>
            <w:vAlign w:val="top"/>
          </w:tcPr>
          <w:p w14:paraId="46BAC493" w14:textId="77777777" w:rsidR="00EB6430" w:rsidRPr="008B02E0" w:rsidRDefault="00EB6430" w:rsidP="00AE5B32">
            <w:pPr>
              <w:pStyle w:val="TableText0"/>
              <w:keepNext w:val="0"/>
              <w:jc w:val="center"/>
            </w:pPr>
            <w:r w:rsidRPr="008B02E0">
              <w:t>2.23</w:t>
            </w:r>
          </w:p>
        </w:tc>
        <w:tc>
          <w:tcPr>
            <w:tcW w:w="635" w:type="pct"/>
            <w:tcBorders>
              <w:top w:val="nil"/>
              <w:bottom w:val="nil"/>
            </w:tcBorders>
            <w:vAlign w:val="top"/>
          </w:tcPr>
          <w:p w14:paraId="061428CD" w14:textId="10A8AC02" w:rsidR="00EB6430" w:rsidRPr="001D31CD" w:rsidRDefault="00EB6430" w:rsidP="00AE5B32">
            <w:pPr>
              <w:pStyle w:val="TableText0"/>
              <w:keepNext w:val="0"/>
              <w:jc w:val="center"/>
              <w:rPr>
                <w:vertAlign w:val="superscript"/>
              </w:rPr>
            </w:pPr>
            <w:r w:rsidRPr="008B02E0">
              <w:t>$</w:t>
            </w:r>
            <w:r w:rsidR="00E11347" w:rsidRPr="00E11347">
              <w:rPr>
                <w:color w:val="000000"/>
                <w:spacing w:val="53"/>
                <w:shd w:val="solid" w:color="000000" w:fill="000000"/>
                <w:fitText w:val="330" w:id="-628963572"/>
                <w14:textFill>
                  <w14:solidFill>
                    <w14:srgbClr w14:val="000000">
                      <w14:alpha w14:val="100000"/>
                    </w14:srgbClr>
                  </w14:solidFill>
                </w14:textFill>
              </w:rPr>
              <w:t>|||</w:t>
            </w:r>
            <w:r w:rsidR="00E11347" w:rsidRPr="00E11347">
              <w:rPr>
                <w:color w:val="000000"/>
                <w:spacing w:val="1"/>
                <w:shd w:val="solid" w:color="000000" w:fill="000000"/>
                <w:fitText w:val="330" w:id="-628963572"/>
                <w14:textFill>
                  <w14:solidFill>
                    <w14:srgbClr w14:val="000000">
                      <w14:alpha w14:val="100000"/>
                    </w14:srgbClr>
                  </w14:solidFill>
                </w14:textFill>
              </w:rPr>
              <w:t>|</w:t>
            </w:r>
            <w:r w:rsidR="00837811">
              <w:rPr>
                <w:vertAlign w:val="superscript"/>
              </w:rPr>
              <w:t>3</w:t>
            </w:r>
          </w:p>
        </w:tc>
        <w:tc>
          <w:tcPr>
            <w:tcW w:w="596" w:type="pct"/>
            <w:tcBorders>
              <w:top w:val="nil"/>
              <w:bottom w:val="nil"/>
            </w:tcBorders>
            <w:vAlign w:val="top"/>
          </w:tcPr>
          <w:p w14:paraId="4E6DFB71" w14:textId="4B5DACB0" w:rsidR="00EB6430" w:rsidRPr="009E52ED" w:rsidRDefault="009E5502" w:rsidP="00AE5B32">
            <w:pPr>
              <w:pStyle w:val="TableText0"/>
              <w:keepNext w:val="0"/>
              <w:jc w:val="center"/>
              <w:rPr>
                <w:highlight w:val="yellow"/>
              </w:rPr>
            </w:pPr>
            <w:r w:rsidRPr="00F161EE">
              <w:noBreakHyphen/>
            </w:r>
            <w:r w:rsidR="00E11347" w:rsidRPr="00E11347">
              <w:rPr>
                <w:color w:val="000000"/>
                <w:spacing w:val="53"/>
                <w:shd w:val="solid" w:color="000000" w:fill="000000"/>
                <w:fitText w:val="330" w:id="-628963571"/>
                <w14:textFill>
                  <w14:solidFill>
                    <w14:srgbClr w14:val="000000">
                      <w14:alpha w14:val="100000"/>
                    </w14:srgbClr>
                  </w14:solidFill>
                </w14:textFill>
              </w:rPr>
              <w:t>|||</w:t>
            </w:r>
            <w:r w:rsidR="00E11347" w:rsidRPr="00E11347">
              <w:rPr>
                <w:color w:val="000000"/>
                <w:spacing w:val="1"/>
                <w:shd w:val="solid" w:color="000000" w:fill="000000"/>
                <w:fitText w:val="330" w:id="-628963571"/>
                <w14:textFill>
                  <w14:solidFill>
                    <w14:srgbClr w14:val="000000">
                      <w14:alpha w14:val="100000"/>
                    </w14:srgbClr>
                  </w14:solidFill>
                </w14:textFill>
              </w:rPr>
              <w:t>|</w:t>
            </w:r>
            <w:r w:rsidR="00EB6430" w:rsidRPr="00F161EE">
              <w:t>%</w:t>
            </w:r>
          </w:p>
        </w:tc>
      </w:tr>
      <w:tr w:rsidR="00EB6430" w:rsidRPr="008B02E0" w14:paraId="77C9E14B" w14:textId="77777777" w:rsidTr="007648A6">
        <w:tc>
          <w:tcPr>
            <w:tcW w:w="2264" w:type="pct"/>
            <w:tcBorders>
              <w:top w:val="nil"/>
              <w:bottom w:val="nil"/>
            </w:tcBorders>
          </w:tcPr>
          <w:p w14:paraId="6C11DABB" w14:textId="0385B808" w:rsidR="00EB6430" w:rsidRPr="008B02E0" w:rsidRDefault="00EB6430" w:rsidP="00AE5B32">
            <w:pPr>
              <w:pStyle w:val="TableText0"/>
              <w:keepNext w:val="0"/>
              <w:numPr>
                <w:ilvl w:val="0"/>
                <w:numId w:val="6"/>
              </w:numPr>
              <w:ind w:left="104" w:hanging="49"/>
            </w:pPr>
            <w:r w:rsidRPr="008B02E0">
              <w:t>Time</w:t>
            </w:r>
            <w:r w:rsidR="009E5502">
              <w:noBreakHyphen/>
            </w:r>
            <w:r w:rsidRPr="008B02E0">
              <w:t>varying, unweighted anchored MAIC</w:t>
            </w:r>
          </w:p>
        </w:tc>
        <w:tc>
          <w:tcPr>
            <w:tcW w:w="739" w:type="pct"/>
            <w:tcBorders>
              <w:top w:val="nil"/>
              <w:bottom w:val="nil"/>
            </w:tcBorders>
            <w:vAlign w:val="top"/>
          </w:tcPr>
          <w:p w14:paraId="04012BB4" w14:textId="618CF4EE"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0"/>
                <w14:textFill>
                  <w14:solidFill>
                    <w14:srgbClr w14:val="000000">
                      <w14:alpha w14:val="100000"/>
                    </w14:srgbClr>
                  </w14:solidFill>
                </w14:textFill>
              </w:rPr>
              <w:t>|||</w:t>
            </w:r>
            <w:r w:rsidR="00E11347" w:rsidRPr="00E11347">
              <w:rPr>
                <w:color w:val="000000"/>
                <w:spacing w:val="1"/>
                <w:shd w:val="solid" w:color="000000" w:fill="000000"/>
                <w:fitText w:val="330" w:id="-628963570"/>
                <w14:textFill>
                  <w14:solidFill>
                    <w14:srgbClr w14:val="000000">
                      <w14:alpha w14:val="100000"/>
                    </w14:srgbClr>
                  </w14:solidFill>
                </w14:textFill>
              </w:rPr>
              <w:t>|</w:t>
            </w:r>
          </w:p>
        </w:tc>
        <w:tc>
          <w:tcPr>
            <w:tcW w:w="766" w:type="pct"/>
            <w:tcBorders>
              <w:top w:val="nil"/>
              <w:bottom w:val="nil"/>
            </w:tcBorders>
            <w:vAlign w:val="top"/>
          </w:tcPr>
          <w:p w14:paraId="3BF63DEE" w14:textId="77777777" w:rsidR="00EB6430" w:rsidRPr="008B02E0" w:rsidRDefault="00EB6430" w:rsidP="00AE5B32">
            <w:pPr>
              <w:pStyle w:val="TableText0"/>
              <w:keepNext w:val="0"/>
              <w:jc w:val="center"/>
            </w:pPr>
            <w:r w:rsidRPr="008B02E0">
              <w:t>2.20</w:t>
            </w:r>
          </w:p>
        </w:tc>
        <w:tc>
          <w:tcPr>
            <w:tcW w:w="635" w:type="pct"/>
            <w:tcBorders>
              <w:top w:val="nil"/>
              <w:bottom w:val="nil"/>
            </w:tcBorders>
            <w:vAlign w:val="top"/>
          </w:tcPr>
          <w:p w14:paraId="70B2AD5F" w14:textId="75149C98"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69"/>
                <w14:textFill>
                  <w14:solidFill>
                    <w14:srgbClr w14:val="000000">
                      <w14:alpha w14:val="100000"/>
                    </w14:srgbClr>
                  </w14:solidFill>
                </w14:textFill>
              </w:rPr>
              <w:t>|||</w:t>
            </w:r>
            <w:r w:rsidR="00E11347" w:rsidRPr="00E11347">
              <w:rPr>
                <w:color w:val="000000"/>
                <w:spacing w:val="1"/>
                <w:shd w:val="solid" w:color="000000" w:fill="000000"/>
                <w:fitText w:val="330" w:id="-628963569"/>
                <w14:textFill>
                  <w14:solidFill>
                    <w14:srgbClr w14:val="000000">
                      <w14:alpha w14:val="100000"/>
                    </w14:srgbClr>
                  </w14:solidFill>
                </w14:textFill>
              </w:rPr>
              <w:t>|</w:t>
            </w:r>
            <w:r w:rsidR="00837811">
              <w:rPr>
                <w:vertAlign w:val="superscript"/>
              </w:rPr>
              <w:t>3</w:t>
            </w:r>
          </w:p>
        </w:tc>
        <w:tc>
          <w:tcPr>
            <w:tcW w:w="596" w:type="pct"/>
            <w:tcBorders>
              <w:top w:val="nil"/>
              <w:bottom w:val="nil"/>
            </w:tcBorders>
            <w:vAlign w:val="top"/>
          </w:tcPr>
          <w:p w14:paraId="11B21485" w14:textId="4A477B7D" w:rsidR="00EB6430" w:rsidRPr="009E52ED" w:rsidRDefault="009E5502" w:rsidP="00AE5B32">
            <w:pPr>
              <w:pStyle w:val="TableText0"/>
              <w:keepNext w:val="0"/>
              <w:jc w:val="center"/>
              <w:rPr>
                <w:highlight w:val="yellow"/>
              </w:rPr>
            </w:pPr>
            <w:r w:rsidRPr="00F161EE">
              <w:noBreakHyphen/>
            </w:r>
            <w:r w:rsidR="00E11347" w:rsidRPr="00E11347">
              <w:rPr>
                <w:color w:val="000000"/>
                <w:spacing w:val="53"/>
                <w:shd w:val="solid" w:color="000000" w:fill="000000"/>
                <w:fitText w:val="330" w:id="-628963568"/>
                <w14:textFill>
                  <w14:solidFill>
                    <w14:srgbClr w14:val="000000">
                      <w14:alpha w14:val="100000"/>
                    </w14:srgbClr>
                  </w14:solidFill>
                </w14:textFill>
              </w:rPr>
              <w:t>|||</w:t>
            </w:r>
            <w:r w:rsidR="00E11347" w:rsidRPr="00E11347">
              <w:rPr>
                <w:color w:val="000000"/>
                <w:spacing w:val="1"/>
                <w:shd w:val="solid" w:color="000000" w:fill="000000"/>
                <w:fitText w:val="330" w:id="-628963568"/>
                <w14:textFill>
                  <w14:solidFill>
                    <w14:srgbClr w14:val="000000">
                      <w14:alpha w14:val="100000"/>
                    </w14:srgbClr>
                  </w14:solidFill>
                </w14:textFill>
              </w:rPr>
              <w:t>|</w:t>
            </w:r>
            <w:r w:rsidR="00EB6430" w:rsidRPr="00F161EE">
              <w:t>%</w:t>
            </w:r>
          </w:p>
        </w:tc>
      </w:tr>
      <w:tr w:rsidR="00EB6430" w:rsidRPr="008B02E0" w14:paraId="478D2ADD" w14:textId="77777777" w:rsidTr="007648A6">
        <w:tc>
          <w:tcPr>
            <w:tcW w:w="2264" w:type="pct"/>
            <w:tcBorders>
              <w:top w:val="nil"/>
              <w:bottom w:val="nil"/>
            </w:tcBorders>
          </w:tcPr>
          <w:p w14:paraId="16D4F62E" w14:textId="0BD396E9" w:rsidR="00491171" w:rsidRPr="008B02E0" w:rsidRDefault="00EB6430" w:rsidP="00AE5B32">
            <w:pPr>
              <w:pStyle w:val="TableText0"/>
              <w:keepNext w:val="0"/>
              <w:numPr>
                <w:ilvl w:val="0"/>
                <w:numId w:val="6"/>
              </w:numPr>
              <w:ind w:left="104" w:hanging="49"/>
              <w:rPr>
                <w:iCs/>
              </w:rPr>
            </w:pPr>
            <w:r w:rsidRPr="008B02E0">
              <w:rPr>
                <w:iCs/>
              </w:rPr>
              <w:t>Time</w:t>
            </w:r>
            <w:r w:rsidR="009E5502">
              <w:rPr>
                <w:iCs/>
              </w:rPr>
              <w:noBreakHyphen/>
            </w:r>
            <w:r w:rsidRPr="008B02E0">
              <w:rPr>
                <w:iCs/>
              </w:rPr>
              <w:t>varying, unanchored MAIC, converge from Month 47</w:t>
            </w:r>
            <w:r w:rsidR="00857E07" w:rsidRPr="008B02E0">
              <w:rPr>
                <w:iCs/>
              </w:rPr>
              <w:t xml:space="preserve"> (HR=1)</w:t>
            </w:r>
            <w:r w:rsidRPr="008B02E0">
              <w:rPr>
                <w:iCs/>
              </w:rPr>
              <w:t xml:space="preserve"> (end of trial)</w:t>
            </w:r>
          </w:p>
        </w:tc>
        <w:tc>
          <w:tcPr>
            <w:tcW w:w="739" w:type="pct"/>
            <w:tcBorders>
              <w:top w:val="nil"/>
              <w:bottom w:val="nil"/>
            </w:tcBorders>
            <w:vAlign w:val="top"/>
          </w:tcPr>
          <w:p w14:paraId="02F506FA" w14:textId="10DE94F8"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84"/>
                <w14:textFill>
                  <w14:solidFill>
                    <w14:srgbClr w14:val="000000">
                      <w14:alpha w14:val="100000"/>
                    </w14:srgbClr>
                  </w14:solidFill>
                </w14:textFill>
              </w:rPr>
              <w:t>|||</w:t>
            </w:r>
            <w:r w:rsidR="00E11347" w:rsidRPr="00E11347">
              <w:rPr>
                <w:iCs/>
                <w:color w:val="000000"/>
                <w:spacing w:val="1"/>
                <w:shd w:val="solid" w:color="000000" w:fill="000000"/>
                <w:fitText w:val="330" w:id="-628963584"/>
                <w14:textFill>
                  <w14:solidFill>
                    <w14:srgbClr w14:val="000000">
                      <w14:alpha w14:val="100000"/>
                    </w14:srgbClr>
                  </w14:solidFill>
                </w14:textFill>
              </w:rPr>
              <w:t>|</w:t>
            </w:r>
          </w:p>
        </w:tc>
        <w:tc>
          <w:tcPr>
            <w:tcW w:w="766" w:type="pct"/>
            <w:tcBorders>
              <w:top w:val="nil"/>
              <w:bottom w:val="nil"/>
            </w:tcBorders>
            <w:vAlign w:val="top"/>
          </w:tcPr>
          <w:p w14:paraId="0D194425" w14:textId="77777777" w:rsidR="00EB6430" w:rsidRPr="008B02E0" w:rsidRDefault="00EB6430" w:rsidP="00AE5B32">
            <w:pPr>
              <w:pStyle w:val="TableText0"/>
              <w:keepNext w:val="0"/>
              <w:jc w:val="center"/>
              <w:rPr>
                <w:iCs/>
              </w:rPr>
            </w:pPr>
            <w:r w:rsidRPr="008B02E0">
              <w:rPr>
                <w:iCs/>
              </w:rPr>
              <w:t>1.41</w:t>
            </w:r>
          </w:p>
        </w:tc>
        <w:tc>
          <w:tcPr>
            <w:tcW w:w="635" w:type="pct"/>
            <w:tcBorders>
              <w:top w:val="nil"/>
              <w:bottom w:val="nil"/>
            </w:tcBorders>
            <w:vAlign w:val="top"/>
          </w:tcPr>
          <w:p w14:paraId="1D57F013" w14:textId="5AE2F2E7" w:rsidR="00EB6430" w:rsidRPr="00837811"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583"/>
                <w14:textFill>
                  <w14:solidFill>
                    <w14:srgbClr w14:val="000000">
                      <w14:alpha w14:val="100000"/>
                    </w14:srgbClr>
                  </w14:solidFill>
                </w14:textFill>
              </w:rPr>
              <w:t>|||</w:t>
            </w:r>
            <w:r w:rsidR="00E11347" w:rsidRPr="00E11347">
              <w:rPr>
                <w:iCs/>
                <w:color w:val="000000"/>
                <w:spacing w:val="1"/>
                <w:shd w:val="solid" w:color="000000" w:fill="000000"/>
                <w:fitText w:val="330" w:id="-628963583"/>
                <w14:textFill>
                  <w14:solidFill>
                    <w14:srgbClr w14:val="000000">
                      <w14:alpha w14:val="100000"/>
                    </w14:srgbClr>
                  </w14:solidFill>
                </w14:textFill>
              </w:rPr>
              <w:t>|</w:t>
            </w:r>
            <w:r w:rsidR="00837811">
              <w:rPr>
                <w:iCs/>
                <w:vertAlign w:val="superscript"/>
              </w:rPr>
              <w:t>1</w:t>
            </w:r>
          </w:p>
        </w:tc>
        <w:tc>
          <w:tcPr>
            <w:tcW w:w="596" w:type="pct"/>
            <w:tcBorders>
              <w:top w:val="nil"/>
              <w:bottom w:val="nil"/>
            </w:tcBorders>
            <w:vAlign w:val="top"/>
          </w:tcPr>
          <w:p w14:paraId="51A1CEF3" w14:textId="19214004" w:rsidR="00EB6430" w:rsidRPr="009E52ED" w:rsidRDefault="00E11347" w:rsidP="00AE5B32">
            <w:pPr>
              <w:pStyle w:val="TableText0"/>
              <w:keepNext w:val="0"/>
              <w:jc w:val="center"/>
              <w:rPr>
                <w:iCs/>
                <w:highlight w:val="yellow"/>
              </w:rPr>
            </w:pPr>
            <w:r w:rsidRPr="00E11347">
              <w:rPr>
                <w:iCs/>
                <w:color w:val="000000"/>
                <w:spacing w:val="53"/>
                <w:shd w:val="solid" w:color="000000" w:fill="000000"/>
                <w:fitText w:val="330" w:id="-628963582"/>
                <w14:textFill>
                  <w14:solidFill>
                    <w14:srgbClr w14:val="000000">
                      <w14:alpha w14:val="100000"/>
                    </w14:srgbClr>
                  </w14:solidFill>
                </w14:textFill>
              </w:rPr>
              <w:t>|||</w:t>
            </w:r>
            <w:r w:rsidRPr="00E11347">
              <w:rPr>
                <w:iCs/>
                <w:color w:val="000000"/>
                <w:spacing w:val="1"/>
                <w:shd w:val="solid" w:color="000000" w:fill="000000"/>
                <w:fitText w:val="330" w:id="-628963582"/>
                <w14:textFill>
                  <w14:solidFill>
                    <w14:srgbClr w14:val="000000">
                      <w14:alpha w14:val="100000"/>
                    </w14:srgbClr>
                  </w14:solidFill>
                </w14:textFill>
              </w:rPr>
              <w:t>|</w:t>
            </w:r>
            <w:r w:rsidR="00EB6430" w:rsidRPr="00F161EE">
              <w:rPr>
                <w:iCs/>
              </w:rPr>
              <w:t>%</w:t>
            </w:r>
          </w:p>
        </w:tc>
      </w:tr>
      <w:tr w:rsidR="00EB6430" w:rsidRPr="008B02E0" w14:paraId="08C316EE" w14:textId="77777777" w:rsidTr="007648A6">
        <w:tc>
          <w:tcPr>
            <w:tcW w:w="5000" w:type="pct"/>
            <w:gridSpan w:val="5"/>
            <w:tcBorders>
              <w:top w:val="nil"/>
              <w:bottom w:val="nil"/>
            </w:tcBorders>
          </w:tcPr>
          <w:p w14:paraId="0DB235B5" w14:textId="400C6E70" w:rsidR="00EB6430" w:rsidRPr="009E52ED" w:rsidRDefault="00EB6430" w:rsidP="00AE5B32">
            <w:pPr>
              <w:pStyle w:val="TableText0"/>
              <w:keepNext w:val="0"/>
              <w:ind w:left="170"/>
              <w:rPr>
                <w:u w:val="single"/>
              </w:rPr>
            </w:pPr>
            <w:r w:rsidRPr="009E52ED">
              <w:rPr>
                <w:u w:val="single"/>
              </w:rPr>
              <w:t>Comparing CM</w:t>
            </w:r>
            <w:r w:rsidR="009E5502" w:rsidRPr="009E52ED">
              <w:rPr>
                <w:u w:val="single"/>
              </w:rPr>
              <w:noBreakHyphen/>
            </w:r>
            <w:r w:rsidRPr="009E52ED">
              <w:rPr>
                <w:u w:val="single"/>
              </w:rPr>
              <w:t>8HW 1L PFS and KN</w:t>
            </w:r>
            <w:r w:rsidR="009E5502" w:rsidRPr="009E52ED">
              <w:rPr>
                <w:u w:val="single"/>
              </w:rPr>
              <w:noBreakHyphen/>
            </w:r>
            <w:r w:rsidRPr="009E52ED">
              <w:rPr>
                <w:u w:val="single"/>
              </w:rPr>
              <w:t>177 PFS</w:t>
            </w:r>
          </w:p>
        </w:tc>
      </w:tr>
      <w:tr w:rsidR="00EB6430" w:rsidRPr="008B02E0" w14:paraId="5CE1F791" w14:textId="77777777" w:rsidTr="007648A6">
        <w:tc>
          <w:tcPr>
            <w:tcW w:w="2264" w:type="pct"/>
            <w:tcBorders>
              <w:top w:val="nil"/>
              <w:bottom w:val="nil"/>
            </w:tcBorders>
          </w:tcPr>
          <w:p w14:paraId="3F536873" w14:textId="634B2BD3" w:rsidR="00EB6430" w:rsidRPr="008B02E0" w:rsidRDefault="00EB6430" w:rsidP="00AE5B32">
            <w:pPr>
              <w:pStyle w:val="TableText0"/>
              <w:keepNext w:val="0"/>
              <w:numPr>
                <w:ilvl w:val="0"/>
                <w:numId w:val="6"/>
              </w:numPr>
              <w:ind w:left="104" w:hanging="49"/>
              <w:rPr>
                <w:iCs/>
              </w:rPr>
            </w:pPr>
            <w:r w:rsidRPr="008B02E0">
              <w:rPr>
                <w:iCs/>
              </w:rPr>
              <w:t>Time</w:t>
            </w:r>
            <w:r w:rsidR="009E5502">
              <w:rPr>
                <w:iCs/>
              </w:rPr>
              <w:noBreakHyphen/>
            </w:r>
            <w:r w:rsidRPr="008B02E0">
              <w:rPr>
                <w:iCs/>
              </w:rPr>
              <w:t xml:space="preserve">varying, unanchored MAIC </w:t>
            </w:r>
          </w:p>
        </w:tc>
        <w:tc>
          <w:tcPr>
            <w:tcW w:w="739" w:type="pct"/>
            <w:tcBorders>
              <w:top w:val="nil"/>
              <w:bottom w:val="nil"/>
            </w:tcBorders>
            <w:vAlign w:val="top"/>
          </w:tcPr>
          <w:p w14:paraId="7DDAE242" w14:textId="098D8993"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81"/>
                <w14:textFill>
                  <w14:solidFill>
                    <w14:srgbClr w14:val="000000">
                      <w14:alpha w14:val="100000"/>
                    </w14:srgbClr>
                  </w14:solidFill>
                </w14:textFill>
              </w:rPr>
              <w:t>|||</w:t>
            </w:r>
            <w:r w:rsidR="00E11347" w:rsidRPr="00E11347">
              <w:rPr>
                <w:iCs/>
                <w:color w:val="000000"/>
                <w:spacing w:val="1"/>
                <w:shd w:val="solid" w:color="000000" w:fill="000000"/>
                <w:fitText w:val="330" w:id="-628963581"/>
                <w14:textFill>
                  <w14:solidFill>
                    <w14:srgbClr w14:val="000000">
                      <w14:alpha w14:val="100000"/>
                    </w14:srgbClr>
                  </w14:solidFill>
                </w14:textFill>
              </w:rPr>
              <w:t>|</w:t>
            </w:r>
          </w:p>
        </w:tc>
        <w:tc>
          <w:tcPr>
            <w:tcW w:w="766" w:type="pct"/>
            <w:tcBorders>
              <w:top w:val="nil"/>
              <w:bottom w:val="nil"/>
            </w:tcBorders>
            <w:vAlign w:val="top"/>
          </w:tcPr>
          <w:p w14:paraId="5127000D" w14:textId="77777777" w:rsidR="00EB6430" w:rsidRPr="008B02E0" w:rsidRDefault="00EB6430" w:rsidP="00AE5B32">
            <w:pPr>
              <w:pStyle w:val="TableText0"/>
              <w:keepNext w:val="0"/>
              <w:jc w:val="center"/>
              <w:rPr>
                <w:iCs/>
              </w:rPr>
            </w:pPr>
            <w:r w:rsidRPr="008B02E0">
              <w:rPr>
                <w:iCs/>
              </w:rPr>
              <w:t>0.88</w:t>
            </w:r>
          </w:p>
        </w:tc>
        <w:tc>
          <w:tcPr>
            <w:tcW w:w="635" w:type="pct"/>
            <w:tcBorders>
              <w:top w:val="nil"/>
              <w:bottom w:val="nil"/>
            </w:tcBorders>
            <w:vAlign w:val="top"/>
          </w:tcPr>
          <w:p w14:paraId="6039D926" w14:textId="4C8131D6" w:rsidR="00EB6430" w:rsidRPr="0026295E"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580"/>
                <w14:textFill>
                  <w14:solidFill>
                    <w14:srgbClr w14:val="000000">
                      <w14:alpha w14:val="100000"/>
                    </w14:srgbClr>
                  </w14:solidFill>
                </w14:textFill>
              </w:rPr>
              <w:t>|||</w:t>
            </w:r>
            <w:r w:rsidR="00E11347" w:rsidRPr="00E11347">
              <w:rPr>
                <w:iCs/>
                <w:color w:val="000000"/>
                <w:spacing w:val="1"/>
                <w:shd w:val="solid" w:color="000000" w:fill="000000"/>
                <w:fitText w:val="330" w:id="-628963580"/>
                <w14:textFill>
                  <w14:solidFill>
                    <w14:srgbClr w14:val="000000">
                      <w14:alpha w14:val="100000"/>
                    </w14:srgbClr>
                  </w14:solidFill>
                </w14:textFill>
              </w:rPr>
              <w:t>|</w:t>
            </w:r>
            <w:r w:rsidR="0026295E">
              <w:rPr>
                <w:iCs/>
                <w:vertAlign w:val="superscript"/>
              </w:rPr>
              <w:t>7</w:t>
            </w:r>
          </w:p>
        </w:tc>
        <w:tc>
          <w:tcPr>
            <w:tcW w:w="596" w:type="pct"/>
            <w:tcBorders>
              <w:top w:val="nil"/>
              <w:bottom w:val="nil"/>
            </w:tcBorders>
            <w:vAlign w:val="top"/>
          </w:tcPr>
          <w:p w14:paraId="264C6C42" w14:textId="2CA1B735" w:rsidR="00EB6430" w:rsidRPr="009E52ED" w:rsidRDefault="00E11347" w:rsidP="00AE5B32">
            <w:pPr>
              <w:pStyle w:val="TableText0"/>
              <w:keepNext w:val="0"/>
              <w:jc w:val="center"/>
              <w:rPr>
                <w:iCs/>
                <w:highlight w:val="yellow"/>
              </w:rPr>
            </w:pPr>
            <w:r w:rsidRPr="00E11347">
              <w:rPr>
                <w:iCs/>
                <w:color w:val="000000"/>
                <w:spacing w:val="53"/>
                <w:shd w:val="solid" w:color="000000" w:fill="000000"/>
                <w:fitText w:val="330" w:id="-628963579"/>
                <w14:textFill>
                  <w14:solidFill>
                    <w14:srgbClr w14:val="000000">
                      <w14:alpha w14:val="100000"/>
                    </w14:srgbClr>
                  </w14:solidFill>
                </w14:textFill>
              </w:rPr>
              <w:t>|||</w:t>
            </w:r>
            <w:r w:rsidRPr="00E11347">
              <w:rPr>
                <w:iCs/>
                <w:color w:val="000000"/>
                <w:spacing w:val="1"/>
                <w:shd w:val="solid" w:color="000000" w:fill="000000"/>
                <w:fitText w:val="330" w:id="-628963579"/>
                <w14:textFill>
                  <w14:solidFill>
                    <w14:srgbClr w14:val="000000">
                      <w14:alpha w14:val="100000"/>
                    </w14:srgbClr>
                  </w14:solidFill>
                </w14:textFill>
              </w:rPr>
              <w:t>|</w:t>
            </w:r>
            <w:r w:rsidR="00EB6430" w:rsidRPr="00F161EE">
              <w:rPr>
                <w:iCs/>
              </w:rPr>
              <w:t>%</w:t>
            </w:r>
          </w:p>
        </w:tc>
      </w:tr>
      <w:tr w:rsidR="00EB6430" w:rsidRPr="008B02E0" w14:paraId="4204D006" w14:textId="77777777" w:rsidTr="007648A6">
        <w:tc>
          <w:tcPr>
            <w:tcW w:w="2264" w:type="pct"/>
            <w:tcBorders>
              <w:top w:val="nil"/>
              <w:bottom w:val="nil"/>
            </w:tcBorders>
          </w:tcPr>
          <w:p w14:paraId="63E35C7A" w14:textId="77777777" w:rsidR="00EB6430" w:rsidRPr="008B02E0" w:rsidRDefault="00EB6430" w:rsidP="00AE5B32">
            <w:pPr>
              <w:pStyle w:val="TableText0"/>
              <w:keepNext w:val="0"/>
              <w:numPr>
                <w:ilvl w:val="0"/>
                <w:numId w:val="6"/>
              </w:numPr>
              <w:ind w:left="104" w:hanging="49"/>
            </w:pPr>
            <w:r w:rsidRPr="008B02E0">
              <w:t>Constant</w:t>
            </w:r>
            <w:r w:rsidRPr="008B02E0">
              <w:rPr>
                <w:vertAlign w:val="superscript"/>
              </w:rPr>
              <w:t>a</w:t>
            </w:r>
            <w:r w:rsidRPr="008B02E0">
              <w:t>, unanchored MAIC mean HR=0.63</w:t>
            </w:r>
          </w:p>
        </w:tc>
        <w:tc>
          <w:tcPr>
            <w:tcW w:w="739" w:type="pct"/>
            <w:tcBorders>
              <w:top w:val="nil"/>
              <w:bottom w:val="nil"/>
            </w:tcBorders>
            <w:vAlign w:val="top"/>
          </w:tcPr>
          <w:p w14:paraId="245F9641" w14:textId="18435E78"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8"/>
                <w14:textFill>
                  <w14:solidFill>
                    <w14:srgbClr w14:val="000000">
                      <w14:alpha w14:val="100000"/>
                    </w14:srgbClr>
                  </w14:solidFill>
                </w14:textFill>
              </w:rPr>
              <w:t>|||</w:t>
            </w:r>
            <w:r w:rsidR="00E11347" w:rsidRPr="00E11347">
              <w:rPr>
                <w:color w:val="000000"/>
                <w:spacing w:val="1"/>
                <w:shd w:val="solid" w:color="000000" w:fill="000000"/>
                <w:fitText w:val="330" w:id="-628963578"/>
                <w14:textFill>
                  <w14:solidFill>
                    <w14:srgbClr w14:val="000000">
                      <w14:alpha w14:val="100000"/>
                    </w14:srgbClr>
                  </w14:solidFill>
                </w14:textFill>
              </w:rPr>
              <w:t>|</w:t>
            </w:r>
          </w:p>
        </w:tc>
        <w:tc>
          <w:tcPr>
            <w:tcW w:w="766" w:type="pct"/>
            <w:tcBorders>
              <w:top w:val="nil"/>
              <w:bottom w:val="nil"/>
            </w:tcBorders>
            <w:vAlign w:val="top"/>
          </w:tcPr>
          <w:p w14:paraId="0213FE9A" w14:textId="77777777" w:rsidR="00EB6430" w:rsidRPr="008B02E0" w:rsidRDefault="00EB6430" w:rsidP="00AE5B32">
            <w:pPr>
              <w:pStyle w:val="TableText0"/>
              <w:keepNext w:val="0"/>
              <w:jc w:val="center"/>
            </w:pPr>
            <w:r w:rsidRPr="008B02E0">
              <w:t>1.05</w:t>
            </w:r>
          </w:p>
        </w:tc>
        <w:tc>
          <w:tcPr>
            <w:tcW w:w="635" w:type="pct"/>
            <w:tcBorders>
              <w:top w:val="nil"/>
              <w:bottom w:val="nil"/>
            </w:tcBorders>
            <w:vAlign w:val="top"/>
          </w:tcPr>
          <w:p w14:paraId="541B1C42" w14:textId="791FF67A" w:rsidR="00EB6430" w:rsidRPr="0026295E" w:rsidRDefault="00EB6430" w:rsidP="00AE5B32">
            <w:pPr>
              <w:pStyle w:val="TableText0"/>
              <w:keepNext w:val="0"/>
              <w:jc w:val="center"/>
              <w:rPr>
                <w:vertAlign w:val="superscript"/>
              </w:rPr>
            </w:pPr>
            <w:r w:rsidRPr="008B02E0">
              <w:t>$</w:t>
            </w:r>
            <w:r w:rsidR="00E11347" w:rsidRPr="00E11347">
              <w:rPr>
                <w:color w:val="000000"/>
                <w:spacing w:val="53"/>
                <w:shd w:val="solid" w:color="000000" w:fill="000000"/>
                <w:fitText w:val="330" w:id="-628963577"/>
                <w14:textFill>
                  <w14:solidFill>
                    <w14:srgbClr w14:val="000000">
                      <w14:alpha w14:val="100000"/>
                    </w14:srgbClr>
                  </w14:solidFill>
                </w14:textFill>
              </w:rPr>
              <w:t>|||</w:t>
            </w:r>
            <w:r w:rsidR="00E11347" w:rsidRPr="00E11347">
              <w:rPr>
                <w:color w:val="000000"/>
                <w:spacing w:val="1"/>
                <w:shd w:val="solid" w:color="000000" w:fill="000000"/>
                <w:fitText w:val="330" w:id="-628963577"/>
                <w14:textFill>
                  <w14:solidFill>
                    <w14:srgbClr w14:val="000000">
                      <w14:alpha w14:val="100000"/>
                    </w14:srgbClr>
                  </w14:solidFill>
                </w14:textFill>
              </w:rPr>
              <w:t>|</w:t>
            </w:r>
            <w:r w:rsidR="0026295E">
              <w:rPr>
                <w:vertAlign w:val="superscript"/>
              </w:rPr>
              <w:t>8</w:t>
            </w:r>
          </w:p>
        </w:tc>
        <w:tc>
          <w:tcPr>
            <w:tcW w:w="596" w:type="pct"/>
            <w:tcBorders>
              <w:top w:val="nil"/>
              <w:bottom w:val="nil"/>
            </w:tcBorders>
            <w:vAlign w:val="top"/>
          </w:tcPr>
          <w:p w14:paraId="2F17E04E" w14:textId="47D33388" w:rsidR="00EB6430" w:rsidRPr="009E52ED" w:rsidRDefault="00E11347" w:rsidP="00AE5B32">
            <w:pPr>
              <w:pStyle w:val="TableText0"/>
              <w:keepNext w:val="0"/>
              <w:jc w:val="center"/>
              <w:rPr>
                <w:highlight w:val="yellow"/>
              </w:rPr>
            </w:pPr>
            <w:r w:rsidRPr="00E11347">
              <w:rPr>
                <w:color w:val="000000"/>
                <w:spacing w:val="53"/>
                <w:shd w:val="solid" w:color="000000" w:fill="000000"/>
                <w:fitText w:val="330" w:id="-628963576"/>
                <w14:textFill>
                  <w14:solidFill>
                    <w14:srgbClr w14:val="000000">
                      <w14:alpha w14:val="100000"/>
                    </w14:srgbClr>
                  </w14:solidFill>
                </w14:textFill>
              </w:rPr>
              <w:t>|||</w:t>
            </w:r>
            <w:r w:rsidRPr="00E11347">
              <w:rPr>
                <w:color w:val="000000"/>
                <w:spacing w:val="1"/>
                <w:shd w:val="solid" w:color="000000" w:fill="000000"/>
                <w:fitText w:val="330" w:id="-628963576"/>
                <w14:textFill>
                  <w14:solidFill>
                    <w14:srgbClr w14:val="000000">
                      <w14:alpha w14:val="100000"/>
                    </w14:srgbClr>
                  </w14:solidFill>
                </w14:textFill>
              </w:rPr>
              <w:t>|</w:t>
            </w:r>
            <w:r w:rsidR="00EB6430" w:rsidRPr="00F161EE">
              <w:t>%</w:t>
            </w:r>
          </w:p>
        </w:tc>
      </w:tr>
      <w:tr w:rsidR="00EB6430" w:rsidRPr="008B02E0" w14:paraId="56A980BC" w14:textId="77777777" w:rsidTr="007648A6">
        <w:tc>
          <w:tcPr>
            <w:tcW w:w="2264" w:type="pct"/>
            <w:tcBorders>
              <w:top w:val="nil"/>
              <w:bottom w:val="nil"/>
            </w:tcBorders>
          </w:tcPr>
          <w:p w14:paraId="4DAD5F27" w14:textId="77777777" w:rsidR="00EB6430" w:rsidRPr="008B02E0" w:rsidRDefault="00EB6430" w:rsidP="00AE5B32">
            <w:pPr>
              <w:pStyle w:val="TableText0"/>
              <w:keepNext w:val="0"/>
              <w:numPr>
                <w:ilvl w:val="0"/>
                <w:numId w:val="6"/>
              </w:numPr>
              <w:ind w:left="104" w:hanging="49"/>
              <w:rPr>
                <w:iCs/>
              </w:rPr>
            </w:pPr>
            <w:r w:rsidRPr="008B02E0">
              <w:rPr>
                <w:iCs/>
              </w:rPr>
              <w:t>Constant, unanchored MAIC lower 95%CI=0.44</w:t>
            </w:r>
          </w:p>
        </w:tc>
        <w:tc>
          <w:tcPr>
            <w:tcW w:w="739" w:type="pct"/>
            <w:tcBorders>
              <w:top w:val="nil"/>
              <w:bottom w:val="nil"/>
            </w:tcBorders>
            <w:vAlign w:val="top"/>
          </w:tcPr>
          <w:p w14:paraId="0F28475E" w14:textId="322BA7C8"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75"/>
                <w14:textFill>
                  <w14:solidFill>
                    <w14:srgbClr w14:val="000000">
                      <w14:alpha w14:val="100000"/>
                    </w14:srgbClr>
                  </w14:solidFill>
                </w14:textFill>
              </w:rPr>
              <w:t>|||</w:t>
            </w:r>
            <w:r w:rsidR="00E11347" w:rsidRPr="00E11347">
              <w:rPr>
                <w:iCs/>
                <w:color w:val="000000"/>
                <w:spacing w:val="1"/>
                <w:shd w:val="solid" w:color="000000" w:fill="000000"/>
                <w:fitText w:val="330" w:id="-628963575"/>
                <w14:textFill>
                  <w14:solidFill>
                    <w14:srgbClr w14:val="000000">
                      <w14:alpha w14:val="100000"/>
                    </w14:srgbClr>
                  </w14:solidFill>
                </w14:textFill>
              </w:rPr>
              <w:t>|</w:t>
            </w:r>
          </w:p>
        </w:tc>
        <w:tc>
          <w:tcPr>
            <w:tcW w:w="766" w:type="pct"/>
            <w:tcBorders>
              <w:top w:val="nil"/>
              <w:bottom w:val="nil"/>
            </w:tcBorders>
            <w:vAlign w:val="top"/>
          </w:tcPr>
          <w:p w14:paraId="17469FB7" w14:textId="77777777" w:rsidR="00EB6430" w:rsidRPr="008B02E0" w:rsidRDefault="00EB6430" w:rsidP="00AE5B32">
            <w:pPr>
              <w:pStyle w:val="TableText0"/>
              <w:keepNext w:val="0"/>
              <w:jc w:val="center"/>
              <w:rPr>
                <w:iCs/>
              </w:rPr>
            </w:pPr>
            <w:r w:rsidRPr="008B02E0">
              <w:rPr>
                <w:iCs/>
              </w:rPr>
              <w:t>1.91</w:t>
            </w:r>
          </w:p>
        </w:tc>
        <w:tc>
          <w:tcPr>
            <w:tcW w:w="635" w:type="pct"/>
            <w:tcBorders>
              <w:top w:val="nil"/>
              <w:bottom w:val="nil"/>
            </w:tcBorders>
            <w:vAlign w:val="top"/>
          </w:tcPr>
          <w:p w14:paraId="0B69FCA9" w14:textId="17DD4E6A" w:rsidR="00EB6430" w:rsidRPr="008E2529"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574"/>
                <w14:textFill>
                  <w14:solidFill>
                    <w14:srgbClr w14:val="000000">
                      <w14:alpha w14:val="100000"/>
                    </w14:srgbClr>
                  </w14:solidFill>
                </w14:textFill>
              </w:rPr>
              <w:t>|||</w:t>
            </w:r>
            <w:r w:rsidR="00E11347" w:rsidRPr="00E11347">
              <w:rPr>
                <w:iCs/>
                <w:color w:val="000000"/>
                <w:spacing w:val="1"/>
                <w:shd w:val="solid" w:color="000000" w:fill="000000"/>
                <w:fitText w:val="330" w:id="-628963574"/>
                <w14:textFill>
                  <w14:solidFill>
                    <w14:srgbClr w14:val="000000">
                      <w14:alpha w14:val="100000"/>
                    </w14:srgbClr>
                  </w14:solidFill>
                </w14:textFill>
              </w:rPr>
              <w:t>|</w:t>
            </w:r>
            <w:r w:rsidR="008E2529">
              <w:rPr>
                <w:iCs/>
                <w:vertAlign w:val="superscript"/>
              </w:rPr>
              <w:t>3</w:t>
            </w:r>
          </w:p>
        </w:tc>
        <w:tc>
          <w:tcPr>
            <w:tcW w:w="596" w:type="pct"/>
            <w:tcBorders>
              <w:top w:val="nil"/>
              <w:bottom w:val="nil"/>
            </w:tcBorders>
            <w:vAlign w:val="top"/>
          </w:tcPr>
          <w:p w14:paraId="7C0E9650" w14:textId="66E70B31" w:rsidR="00EB6430" w:rsidRPr="008B02E0" w:rsidRDefault="009E5502" w:rsidP="00AE5B32">
            <w:pPr>
              <w:pStyle w:val="TableText0"/>
              <w:keepNext w:val="0"/>
              <w:jc w:val="center"/>
              <w:rPr>
                <w:iCs/>
              </w:rPr>
            </w:pPr>
            <w:r>
              <w:rPr>
                <w:iCs/>
              </w:rPr>
              <w:noBreakHyphen/>
            </w:r>
            <w:r w:rsidR="00E11347" w:rsidRPr="00E11347">
              <w:rPr>
                <w:iCs/>
                <w:color w:val="000000"/>
                <w:spacing w:val="53"/>
                <w:shd w:val="solid" w:color="000000" w:fill="000000"/>
                <w:fitText w:val="330" w:id="-628963573"/>
                <w14:textFill>
                  <w14:solidFill>
                    <w14:srgbClr w14:val="000000">
                      <w14:alpha w14:val="100000"/>
                    </w14:srgbClr>
                  </w14:solidFill>
                </w14:textFill>
              </w:rPr>
              <w:t>|||</w:t>
            </w:r>
            <w:r w:rsidR="00E11347" w:rsidRPr="00E11347">
              <w:rPr>
                <w:iCs/>
                <w:color w:val="000000"/>
                <w:spacing w:val="1"/>
                <w:shd w:val="solid" w:color="000000" w:fill="000000"/>
                <w:fitText w:val="330" w:id="-628963573"/>
                <w14:textFill>
                  <w14:solidFill>
                    <w14:srgbClr w14:val="000000">
                      <w14:alpha w14:val="100000"/>
                    </w14:srgbClr>
                  </w14:solidFill>
                </w14:textFill>
              </w:rPr>
              <w:t>|</w:t>
            </w:r>
            <w:r w:rsidR="00EB6430" w:rsidRPr="008B02E0">
              <w:rPr>
                <w:iCs/>
              </w:rPr>
              <w:t>%</w:t>
            </w:r>
          </w:p>
        </w:tc>
      </w:tr>
      <w:tr w:rsidR="00EB6430" w:rsidRPr="008B02E0" w14:paraId="29C61D2A" w14:textId="77777777" w:rsidTr="007648A6">
        <w:tc>
          <w:tcPr>
            <w:tcW w:w="2264" w:type="pct"/>
            <w:tcBorders>
              <w:top w:val="nil"/>
              <w:bottom w:val="single" w:sz="4" w:space="0" w:color="auto"/>
            </w:tcBorders>
          </w:tcPr>
          <w:p w14:paraId="3FBC87EF" w14:textId="77777777" w:rsidR="00EB6430" w:rsidRPr="008B02E0" w:rsidRDefault="00EB6430" w:rsidP="00AE5B32">
            <w:pPr>
              <w:pStyle w:val="TableText0"/>
              <w:keepNext w:val="0"/>
              <w:numPr>
                <w:ilvl w:val="0"/>
                <w:numId w:val="6"/>
              </w:numPr>
              <w:ind w:left="104" w:hanging="49"/>
              <w:rPr>
                <w:iCs/>
              </w:rPr>
            </w:pPr>
            <w:r w:rsidRPr="008B02E0">
              <w:rPr>
                <w:iCs/>
              </w:rPr>
              <w:lastRenderedPageBreak/>
              <w:t>Constant, unanchored MAIC upper 95%CI=0.90</w:t>
            </w:r>
          </w:p>
        </w:tc>
        <w:tc>
          <w:tcPr>
            <w:tcW w:w="739" w:type="pct"/>
            <w:tcBorders>
              <w:top w:val="nil"/>
              <w:bottom w:val="single" w:sz="4" w:space="0" w:color="auto"/>
            </w:tcBorders>
            <w:vAlign w:val="top"/>
          </w:tcPr>
          <w:p w14:paraId="3EB7BB49" w14:textId="7B691822"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72"/>
                <w14:textFill>
                  <w14:solidFill>
                    <w14:srgbClr w14:val="000000">
                      <w14:alpha w14:val="100000"/>
                    </w14:srgbClr>
                  </w14:solidFill>
                </w14:textFill>
              </w:rPr>
              <w:t>|||</w:t>
            </w:r>
            <w:r w:rsidR="00E11347" w:rsidRPr="00E11347">
              <w:rPr>
                <w:iCs/>
                <w:color w:val="000000"/>
                <w:spacing w:val="1"/>
                <w:shd w:val="solid" w:color="000000" w:fill="000000"/>
                <w:fitText w:val="330" w:id="-628963572"/>
                <w14:textFill>
                  <w14:solidFill>
                    <w14:srgbClr w14:val="000000">
                      <w14:alpha w14:val="100000"/>
                    </w14:srgbClr>
                  </w14:solidFill>
                </w14:textFill>
              </w:rPr>
              <w:t>|</w:t>
            </w:r>
          </w:p>
        </w:tc>
        <w:tc>
          <w:tcPr>
            <w:tcW w:w="766" w:type="pct"/>
            <w:tcBorders>
              <w:top w:val="nil"/>
              <w:bottom w:val="single" w:sz="4" w:space="0" w:color="auto"/>
            </w:tcBorders>
            <w:vAlign w:val="top"/>
          </w:tcPr>
          <w:p w14:paraId="2998A2BB" w14:textId="77777777" w:rsidR="00EB6430" w:rsidRPr="008B02E0" w:rsidRDefault="00EB6430" w:rsidP="00AE5B32">
            <w:pPr>
              <w:pStyle w:val="TableText0"/>
              <w:keepNext w:val="0"/>
              <w:jc w:val="center"/>
              <w:rPr>
                <w:iCs/>
              </w:rPr>
            </w:pPr>
            <w:r w:rsidRPr="008B02E0">
              <w:rPr>
                <w:iCs/>
              </w:rPr>
              <w:t>0.23</w:t>
            </w:r>
          </w:p>
        </w:tc>
        <w:tc>
          <w:tcPr>
            <w:tcW w:w="635" w:type="pct"/>
            <w:tcBorders>
              <w:top w:val="nil"/>
              <w:bottom w:val="single" w:sz="4" w:space="0" w:color="auto"/>
            </w:tcBorders>
            <w:vAlign w:val="top"/>
          </w:tcPr>
          <w:p w14:paraId="5FA7B726" w14:textId="7E666A72" w:rsidR="00EB6430" w:rsidRPr="008E2529"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571"/>
                <w14:textFill>
                  <w14:solidFill>
                    <w14:srgbClr w14:val="000000">
                      <w14:alpha w14:val="100000"/>
                    </w14:srgbClr>
                  </w14:solidFill>
                </w14:textFill>
              </w:rPr>
              <w:t>|||</w:t>
            </w:r>
            <w:r w:rsidR="00E11347" w:rsidRPr="00E11347">
              <w:rPr>
                <w:iCs/>
                <w:color w:val="000000"/>
                <w:spacing w:val="1"/>
                <w:shd w:val="solid" w:color="000000" w:fill="000000"/>
                <w:fitText w:val="330" w:id="-628963571"/>
                <w14:textFill>
                  <w14:solidFill>
                    <w14:srgbClr w14:val="000000">
                      <w14:alpha w14:val="100000"/>
                    </w14:srgbClr>
                  </w14:solidFill>
                </w14:textFill>
              </w:rPr>
              <w:t>|</w:t>
            </w:r>
            <w:r w:rsidR="006C3C57">
              <w:rPr>
                <w:iCs/>
                <w:vertAlign w:val="superscript"/>
              </w:rPr>
              <w:t>9</w:t>
            </w:r>
          </w:p>
        </w:tc>
        <w:tc>
          <w:tcPr>
            <w:tcW w:w="596" w:type="pct"/>
            <w:tcBorders>
              <w:top w:val="nil"/>
              <w:bottom w:val="single" w:sz="4" w:space="0" w:color="auto"/>
            </w:tcBorders>
            <w:vAlign w:val="top"/>
          </w:tcPr>
          <w:p w14:paraId="402A1721" w14:textId="1F947444" w:rsidR="00EB6430" w:rsidRPr="008B02E0" w:rsidRDefault="00E11347" w:rsidP="00AE5B32">
            <w:pPr>
              <w:pStyle w:val="TableText0"/>
              <w:keepNext w:val="0"/>
              <w:jc w:val="center"/>
              <w:rPr>
                <w:iCs/>
              </w:rPr>
            </w:pPr>
            <w:r w:rsidRPr="00E11347">
              <w:rPr>
                <w:iCs/>
                <w:color w:val="000000"/>
                <w:spacing w:val="53"/>
                <w:shd w:val="solid" w:color="000000" w:fill="000000"/>
                <w:fitText w:val="330" w:id="-628963570"/>
                <w14:textFill>
                  <w14:solidFill>
                    <w14:srgbClr w14:val="000000">
                      <w14:alpha w14:val="100000"/>
                    </w14:srgbClr>
                  </w14:solidFill>
                </w14:textFill>
              </w:rPr>
              <w:t>|||</w:t>
            </w:r>
            <w:r w:rsidRPr="00E11347">
              <w:rPr>
                <w:iCs/>
                <w:color w:val="000000"/>
                <w:spacing w:val="1"/>
                <w:shd w:val="solid" w:color="000000" w:fill="000000"/>
                <w:fitText w:val="330" w:id="-628963570"/>
                <w14:textFill>
                  <w14:solidFill>
                    <w14:srgbClr w14:val="000000">
                      <w14:alpha w14:val="100000"/>
                    </w14:srgbClr>
                  </w14:solidFill>
                </w14:textFill>
              </w:rPr>
              <w:t>|</w:t>
            </w:r>
            <w:r w:rsidR="00EB6430" w:rsidRPr="008B02E0">
              <w:rPr>
                <w:iCs/>
              </w:rPr>
              <w:t>%</w:t>
            </w:r>
          </w:p>
        </w:tc>
      </w:tr>
      <w:tr w:rsidR="00387D82" w:rsidRPr="008B02E0" w14:paraId="74B697E8" w14:textId="77777777" w:rsidTr="007648A6">
        <w:tc>
          <w:tcPr>
            <w:tcW w:w="5000" w:type="pct"/>
            <w:gridSpan w:val="5"/>
            <w:tcBorders>
              <w:bottom w:val="nil"/>
            </w:tcBorders>
          </w:tcPr>
          <w:p w14:paraId="588EAE03" w14:textId="6C86EE21" w:rsidR="00387D82" w:rsidRPr="008B02E0" w:rsidRDefault="00387D82" w:rsidP="00AE5B32">
            <w:pPr>
              <w:pStyle w:val="TableText0"/>
              <w:rPr>
                <w:iCs/>
              </w:rPr>
            </w:pPr>
            <w:r w:rsidRPr="008B02E0">
              <w:rPr>
                <w:iCs/>
              </w:rPr>
              <w:t>Time</w:t>
            </w:r>
            <w:r w:rsidR="009E5502">
              <w:rPr>
                <w:iCs/>
              </w:rPr>
              <w:noBreakHyphen/>
            </w:r>
            <w:r w:rsidRPr="008B02E0">
              <w:rPr>
                <w:iCs/>
              </w:rPr>
              <w:t>varying HR extrapolation and PF to PD extrapolations in both arms (base case: generalised gamma)</w:t>
            </w:r>
          </w:p>
        </w:tc>
      </w:tr>
      <w:tr w:rsidR="007648A6" w:rsidRPr="008B02E0" w14:paraId="7008F6C2" w14:textId="77777777" w:rsidTr="007648A6">
        <w:tc>
          <w:tcPr>
            <w:tcW w:w="2264" w:type="pct"/>
            <w:tcBorders>
              <w:top w:val="nil"/>
              <w:bottom w:val="nil"/>
            </w:tcBorders>
          </w:tcPr>
          <w:p w14:paraId="1BEE91ED" w14:textId="77777777" w:rsidR="00387D82" w:rsidRPr="008B02E0" w:rsidRDefault="00387D82" w:rsidP="00AE5B32">
            <w:pPr>
              <w:pStyle w:val="TableText0"/>
              <w:keepNext w:val="0"/>
              <w:numPr>
                <w:ilvl w:val="0"/>
                <w:numId w:val="6"/>
              </w:numPr>
              <w:ind w:left="104" w:hanging="49"/>
              <w:rPr>
                <w:iCs/>
              </w:rPr>
            </w:pPr>
            <w:r w:rsidRPr="008B02E0">
              <w:rPr>
                <w:iCs/>
              </w:rPr>
              <w:t>Gamma</w:t>
            </w:r>
          </w:p>
        </w:tc>
        <w:tc>
          <w:tcPr>
            <w:tcW w:w="739" w:type="pct"/>
            <w:tcBorders>
              <w:top w:val="nil"/>
              <w:bottom w:val="nil"/>
            </w:tcBorders>
            <w:vAlign w:val="top"/>
          </w:tcPr>
          <w:p w14:paraId="2A60E147" w14:textId="10DABAD7" w:rsidR="00387D82" w:rsidRPr="008B02E0" w:rsidRDefault="00387D82" w:rsidP="00AE5B32">
            <w:pPr>
              <w:pStyle w:val="TableText0"/>
              <w:jc w:val="center"/>
              <w:rPr>
                <w:iCs/>
              </w:rPr>
            </w:pPr>
            <w:r w:rsidRPr="008B02E0">
              <w:rPr>
                <w:iCs/>
              </w:rPr>
              <w:t>$</w:t>
            </w:r>
            <w:r w:rsidR="00E11347" w:rsidRPr="00E11347">
              <w:rPr>
                <w:iCs/>
                <w:color w:val="000000"/>
                <w:spacing w:val="53"/>
                <w:shd w:val="solid" w:color="000000" w:fill="000000"/>
                <w:fitText w:val="330" w:id="-628963569"/>
                <w14:textFill>
                  <w14:solidFill>
                    <w14:srgbClr w14:val="000000">
                      <w14:alpha w14:val="100000"/>
                    </w14:srgbClr>
                  </w14:solidFill>
                </w14:textFill>
              </w:rPr>
              <w:t>|||</w:t>
            </w:r>
            <w:r w:rsidR="00E11347" w:rsidRPr="00E11347">
              <w:rPr>
                <w:iCs/>
                <w:color w:val="000000"/>
                <w:spacing w:val="1"/>
                <w:shd w:val="solid" w:color="000000" w:fill="000000"/>
                <w:fitText w:val="330" w:id="-628963569"/>
                <w14:textFill>
                  <w14:solidFill>
                    <w14:srgbClr w14:val="000000">
                      <w14:alpha w14:val="100000"/>
                    </w14:srgbClr>
                  </w14:solidFill>
                </w14:textFill>
              </w:rPr>
              <w:t>|</w:t>
            </w:r>
          </w:p>
        </w:tc>
        <w:tc>
          <w:tcPr>
            <w:tcW w:w="766" w:type="pct"/>
            <w:tcBorders>
              <w:top w:val="nil"/>
              <w:bottom w:val="nil"/>
            </w:tcBorders>
            <w:vAlign w:val="top"/>
          </w:tcPr>
          <w:p w14:paraId="61AF32C3" w14:textId="77777777" w:rsidR="00387D82" w:rsidRPr="008B02E0" w:rsidRDefault="00387D82" w:rsidP="00AE5B32">
            <w:pPr>
              <w:pStyle w:val="TableText0"/>
              <w:jc w:val="center"/>
              <w:rPr>
                <w:iCs/>
              </w:rPr>
            </w:pPr>
            <w:r w:rsidRPr="008B02E0">
              <w:rPr>
                <w:iCs/>
              </w:rPr>
              <w:t>1.11</w:t>
            </w:r>
          </w:p>
        </w:tc>
        <w:tc>
          <w:tcPr>
            <w:tcW w:w="635" w:type="pct"/>
            <w:tcBorders>
              <w:top w:val="nil"/>
              <w:bottom w:val="nil"/>
            </w:tcBorders>
            <w:vAlign w:val="top"/>
          </w:tcPr>
          <w:p w14:paraId="193B581B" w14:textId="479BFDA3" w:rsidR="00387D82" w:rsidRPr="006C3C57" w:rsidRDefault="00387D82" w:rsidP="00AE5B32">
            <w:pPr>
              <w:pStyle w:val="TableText0"/>
              <w:jc w:val="center"/>
              <w:rPr>
                <w:iCs/>
                <w:vertAlign w:val="superscript"/>
              </w:rPr>
            </w:pPr>
            <w:r w:rsidRPr="008B02E0">
              <w:rPr>
                <w:iCs/>
              </w:rPr>
              <w:t>$</w:t>
            </w:r>
            <w:r w:rsidR="00E11347" w:rsidRPr="00E11347">
              <w:rPr>
                <w:iCs/>
                <w:color w:val="000000"/>
                <w:spacing w:val="53"/>
                <w:shd w:val="solid" w:color="000000" w:fill="000000"/>
                <w:fitText w:val="330" w:id="-628963568"/>
                <w14:textFill>
                  <w14:solidFill>
                    <w14:srgbClr w14:val="000000">
                      <w14:alpha w14:val="100000"/>
                    </w14:srgbClr>
                  </w14:solidFill>
                </w14:textFill>
              </w:rPr>
              <w:t>|||</w:t>
            </w:r>
            <w:r w:rsidR="00E11347" w:rsidRPr="00E11347">
              <w:rPr>
                <w:iCs/>
                <w:color w:val="000000"/>
                <w:spacing w:val="1"/>
                <w:shd w:val="solid" w:color="000000" w:fill="000000"/>
                <w:fitText w:val="330" w:id="-628963568"/>
                <w14:textFill>
                  <w14:solidFill>
                    <w14:srgbClr w14:val="000000">
                      <w14:alpha w14:val="100000"/>
                    </w14:srgbClr>
                  </w14:solidFill>
                </w14:textFill>
              </w:rPr>
              <w:t>|</w:t>
            </w:r>
            <w:r w:rsidR="006C3C57">
              <w:rPr>
                <w:iCs/>
                <w:vertAlign w:val="superscript"/>
              </w:rPr>
              <w:t>6</w:t>
            </w:r>
          </w:p>
        </w:tc>
        <w:tc>
          <w:tcPr>
            <w:tcW w:w="596" w:type="pct"/>
            <w:tcBorders>
              <w:top w:val="nil"/>
              <w:bottom w:val="nil"/>
            </w:tcBorders>
            <w:vAlign w:val="top"/>
          </w:tcPr>
          <w:p w14:paraId="14AFC18D" w14:textId="49B3BCBB" w:rsidR="00387D82" w:rsidRPr="008B02E0" w:rsidRDefault="00E11347" w:rsidP="00AE5B32">
            <w:pPr>
              <w:pStyle w:val="TableText0"/>
              <w:jc w:val="center"/>
              <w:rPr>
                <w:iCs/>
              </w:rPr>
            </w:pPr>
            <w:r w:rsidRPr="00E11347">
              <w:rPr>
                <w:iCs/>
                <w:color w:val="000000"/>
                <w:spacing w:val="53"/>
                <w:shd w:val="solid" w:color="000000" w:fill="000000"/>
                <w:fitText w:val="330" w:id="-628963584"/>
                <w14:textFill>
                  <w14:solidFill>
                    <w14:srgbClr w14:val="000000">
                      <w14:alpha w14:val="100000"/>
                    </w14:srgbClr>
                  </w14:solidFill>
                </w14:textFill>
              </w:rPr>
              <w:t>|||</w:t>
            </w:r>
            <w:r w:rsidRPr="00E11347">
              <w:rPr>
                <w:iCs/>
                <w:color w:val="000000"/>
                <w:spacing w:val="1"/>
                <w:shd w:val="solid" w:color="000000" w:fill="000000"/>
                <w:fitText w:val="330" w:id="-628963584"/>
                <w14:textFill>
                  <w14:solidFill>
                    <w14:srgbClr w14:val="000000">
                      <w14:alpha w14:val="100000"/>
                    </w14:srgbClr>
                  </w14:solidFill>
                </w14:textFill>
              </w:rPr>
              <w:t>|</w:t>
            </w:r>
            <w:r w:rsidR="00387D82" w:rsidRPr="008B02E0">
              <w:rPr>
                <w:iCs/>
              </w:rPr>
              <w:t>%</w:t>
            </w:r>
          </w:p>
        </w:tc>
      </w:tr>
      <w:tr w:rsidR="007648A6" w:rsidRPr="008B02E0" w14:paraId="6BB40B79" w14:textId="77777777" w:rsidTr="007648A6">
        <w:tc>
          <w:tcPr>
            <w:tcW w:w="2264" w:type="pct"/>
            <w:tcBorders>
              <w:top w:val="nil"/>
              <w:bottom w:val="nil"/>
            </w:tcBorders>
          </w:tcPr>
          <w:p w14:paraId="7E420535" w14:textId="7D4932DB" w:rsidR="00387D82" w:rsidRPr="008B02E0" w:rsidRDefault="00387D82" w:rsidP="00AE5B32">
            <w:pPr>
              <w:pStyle w:val="TableText0"/>
              <w:keepNext w:val="0"/>
              <w:numPr>
                <w:ilvl w:val="0"/>
                <w:numId w:val="6"/>
              </w:numPr>
              <w:ind w:left="104" w:hanging="49"/>
              <w:rPr>
                <w:iCs/>
              </w:rPr>
            </w:pPr>
            <w:r w:rsidRPr="008B02E0">
              <w:rPr>
                <w:iCs/>
              </w:rPr>
              <w:t>Log</w:t>
            </w:r>
            <w:r w:rsidR="009E5502">
              <w:rPr>
                <w:iCs/>
              </w:rPr>
              <w:noBreakHyphen/>
            </w:r>
            <w:r w:rsidRPr="008B02E0">
              <w:rPr>
                <w:iCs/>
              </w:rPr>
              <w:t>logistic</w:t>
            </w:r>
          </w:p>
        </w:tc>
        <w:tc>
          <w:tcPr>
            <w:tcW w:w="739" w:type="pct"/>
            <w:tcBorders>
              <w:top w:val="nil"/>
              <w:bottom w:val="nil"/>
            </w:tcBorders>
            <w:vAlign w:val="top"/>
          </w:tcPr>
          <w:p w14:paraId="45CEC3CE" w14:textId="7D9F71E5" w:rsidR="00387D82" w:rsidRPr="008B02E0" w:rsidRDefault="00387D82" w:rsidP="00AE5B32">
            <w:pPr>
              <w:pStyle w:val="TableText0"/>
              <w:jc w:val="center"/>
              <w:rPr>
                <w:iCs/>
              </w:rPr>
            </w:pPr>
            <w:r w:rsidRPr="008B02E0">
              <w:rPr>
                <w:iCs/>
              </w:rPr>
              <w:t>$</w:t>
            </w:r>
            <w:r w:rsidR="00E11347" w:rsidRPr="00E11347">
              <w:rPr>
                <w:iCs/>
                <w:color w:val="000000"/>
                <w:spacing w:val="53"/>
                <w:shd w:val="solid" w:color="000000" w:fill="000000"/>
                <w:fitText w:val="330" w:id="-628963583"/>
                <w14:textFill>
                  <w14:solidFill>
                    <w14:srgbClr w14:val="000000">
                      <w14:alpha w14:val="100000"/>
                    </w14:srgbClr>
                  </w14:solidFill>
                </w14:textFill>
              </w:rPr>
              <w:t>|||</w:t>
            </w:r>
            <w:r w:rsidR="00E11347" w:rsidRPr="00E11347">
              <w:rPr>
                <w:iCs/>
                <w:color w:val="000000"/>
                <w:spacing w:val="1"/>
                <w:shd w:val="solid" w:color="000000" w:fill="000000"/>
                <w:fitText w:val="330" w:id="-628963583"/>
                <w14:textFill>
                  <w14:solidFill>
                    <w14:srgbClr w14:val="000000">
                      <w14:alpha w14:val="100000"/>
                    </w14:srgbClr>
                  </w14:solidFill>
                </w14:textFill>
              </w:rPr>
              <w:t>|</w:t>
            </w:r>
          </w:p>
        </w:tc>
        <w:tc>
          <w:tcPr>
            <w:tcW w:w="766" w:type="pct"/>
            <w:tcBorders>
              <w:top w:val="nil"/>
              <w:bottom w:val="nil"/>
            </w:tcBorders>
            <w:vAlign w:val="top"/>
          </w:tcPr>
          <w:p w14:paraId="283A91ED" w14:textId="77777777" w:rsidR="00387D82" w:rsidRPr="008B02E0" w:rsidRDefault="00387D82" w:rsidP="00AE5B32">
            <w:pPr>
              <w:pStyle w:val="TableText0"/>
              <w:jc w:val="center"/>
              <w:rPr>
                <w:iCs/>
              </w:rPr>
            </w:pPr>
            <w:r w:rsidRPr="008B02E0">
              <w:rPr>
                <w:iCs/>
              </w:rPr>
              <w:t>1.38</w:t>
            </w:r>
          </w:p>
        </w:tc>
        <w:tc>
          <w:tcPr>
            <w:tcW w:w="635" w:type="pct"/>
            <w:tcBorders>
              <w:top w:val="nil"/>
              <w:bottom w:val="nil"/>
            </w:tcBorders>
            <w:vAlign w:val="top"/>
          </w:tcPr>
          <w:p w14:paraId="69FCEDA3" w14:textId="7548B271" w:rsidR="00387D82" w:rsidRPr="00A5089F" w:rsidRDefault="00387D82" w:rsidP="00AE5B32">
            <w:pPr>
              <w:pStyle w:val="TableText0"/>
              <w:jc w:val="center"/>
              <w:rPr>
                <w:iCs/>
                <w:vertAlign w:val="superscript"/>
              </w:rPr>
            </w:pPr>
            <w:r w:rsidRPr="008B02E0">
              <w:rPr>
                <w:iCs/>
              </w:rPr>
              <w:t>$</w:t>
            </w:r>
            <w:r w:rsidR="00E11347" w:rsidRPr="00E11347">
              <w:rPr>
                <w:iCs/>
                <w:color w:val="000000"/>
                <w:spacing w:val="53"/>
                <w:shd w:val="solid" w:color="000000" w:fill="000000"/>
                <w:fitText w:val="330" w:id="-628963582"/>
                <w14:textFill>
                  <w14:solidFill>
                    <w14:srgbClr w14:val="000000">
                      <w14:alpha w14:val="100000"/>
                    </w14:srgbClr>
                  </w14:solidFill>
                </w14:textFill>
              </w:rPr>
              <w:t>|||</w:t>
            </w:r>
            <w:r w:rsidR="00E11347" w:rsidRPr="00E11347">
              <w:rPr>
                <w:iCs/>
                <w:color w:val="000000"/>
                <w:spacing w:val="1"/>
                <w:shd w:val="solid" w:color="000000" w:fill="000000"/>
                <w:fitText w:val="330" w:id="-628963582"/>
                <w14:textFill>
                  <w14:solidFill>
                    <w14:srgbClr w14:val="000000">
                      <w14:alpha w14:val="100000"/>
                    </w14:srgbClr>
                  </w14:solidFill>
                </w14:textFill>
              </w:rPr>
              <w:t>|</w:t>
            </w:r>
            <w:r w:rsidR="00A5089F">
              <w:rPr>
                <w:iCs/>
                <w:vertAlign w:val="superscript"/>
              </w:rPr>
              <w:t>1</w:t>
            </w:r>
          </w:p>
        </w:tc>
        <w:tc>
          <w:tcPr>
            <w:tcW w:w="596" w:type="pct"/>
            <w:tcBorders>
              <w:top w:val="nil"/>
              <w:bottom w:val="nil"/>
            </w:tcBorders>
            <w:vAlign w:val="top"/>
          </w:tcPr>
          <w:p w14:paraId="27357D6D" w14:textId="7D169CD3" w:rsidR="00387D82" w:rsidRPr="008B02E0" w:rsidRDefault="00E11347" w:rsidP="00AE5B32">
            <w:pPr>
              <w:pStyle w:val="TableText0"/>
              <w:jc w:val="center"/>
              <w:rPr>
                <w:iCs/>
              </w:rPr>
            </w:pPr>
            <w:r w:rsidRPr="00E11347">
              <w:rPr>
                <w:iCs/>
                <w:color w:val="000000"/>
                <w:spacing w:val="53"/>
                <w:shd w:val="solid" w:color="000000" w:fill="000000"/>
                <w:fitText w:val="330" w:id="-628963581"/>
                <w14:textFill>
                  <w14:solidFill>
                    <w14:srgbClr w14:val="000000">
                      <w14:alpha w14:val="100000"/>
                    </w14:srgbClr>
                  </w14:solidFill>
                </w14:textFill>
              </w:rPr>
              <w:t>|||</w:t>
            </w:r>
            <w:r w:rsidRPr="00E11347">
              <w:rPr>
                <w:iCs/>
                <w:color w:val="000000"/>
                <w:spacing w:val="1"/>
                <w:shd w:val="solid" w:color="000000" w:fill="000000"/>
                <w:fitText w:val="330" w:id="-628963581"/>
                <w14:textFill>
                  <w14:solidFill>
                    <w14:srgbClr w14:val="000000">
                      <w14:alpha w14:val="100000"/>
                    </w14:srgbClr>
                  </w14:solidFill>
                </w14:textFill>
              </w:rPr>
              <w:t>|</w:t>
            </w:r>
            <w:r w:rsidR="00387D82" w:rsidRPr="008B02E0">
              <w:rPr>
                <w:iCs/>
              </w:rPr>
              <w:t>%</w:t>
            </w:r>
          </w:p>
        </w:tc>
      </w:tr>
      <w:tr w:rsidR="007648A6" w:rsidRPr="008B02E0" w14:paraId="53E02339" w14:textId="77777777" w:rsidTr="007648A6">
        <w:tc>
          <w:tcPr>
            <w:tcW w:w="2264" w:type="pct"/>
            <w:tcBorders>
              <w:top w:val="nil"/>
              <w:bottom w:val="nil"/>
            </w:tcBorders>
          </w:tcPr>
          <w:p w14:paraId="52EB7301" w14:textId="7DFADC60" w:rsidR="00387D82" w:rsidRPr="008B02E0" w:rsidRDefault="00387D82" w:rsidP="00AE5B32">
            <w:pPr>
              <w:pStyle w:val="TableText0"/>
              <w:keepNext w:val="0"/>
              <w:numPr>
                <w:ilvl w:val="0"/>
                <w:numId w:val="6"/>
              </w:numPr>
              <w:ind w:left="104" w:hanging="49"/>
              <w:rPr>
                <w:iCs/>
              </w:rPr>
            </w:pPr>
            <w:r w:rsidRPr="008B02E0">
              <w:rPr>
                <w:iCs/>
              </w:rPr>
              <w:t>Log</w:t>
            </w:r>
            <w:r w:rsidR="009E5502">
              <w:rPr>
                <w:iCs/>
              </w:rPr>
              <w:noBreakHyphen/>
            </w:r>
            <w:r w:rsidRPr="008B02E0">
              <w:rPr>
                <w:iCs/>
              </w:rPr>
              <w:t>normal</w:t>
            </w:r>
          </w:p>
        </w:tc>
        <w:tc>
          <w:tcPr>
            <w:tcW w:w="739" w:type="pct"/>
            <w:tcBorders>
              <w:top w:val="nil"/>
              <w:bottom w:val="nil"/>
            </w:tcBorders>
            <w:vAlign w:val="top"/>
          </w:tcPr>
          <w:p w14:paraId="2DA7DB5C" w14:textId="488958A8" w:rsidR="00387D82" w:rsidRPr="008B02E0" w:rsidRDefault="00387D82" w:rsidP="00AE5B32">
            <w:pPr>
              <w:pStyle w:val="TableText0"/>
              <w:jc w:val="center"/>
              <w:rPr>
                <w:iCs/>
              </w:rPr>
            </w:pPr>
            <w:r w:rsidRPr="008B02E0">
              <w:rPr>
                <w:iCs/>
              </w:rPr>
              <w:t>$</w:t>
            </w:r>
            <w:r w:rsidR="00E11347" w:rsidRPr="00E11347">
              <w:rPr>
                <w:iCs/>
                <w:color w:val="000000"/>
                <w:spacing w:val="53"/>
                <w:shd w:val="solid" w:color="000000" w:fill="000000"/>
                <w:fitText w:val="330" w:id="-628963580"/>
                <w14:textFill>
                  <w14:solidFill>
                    <w14:srgbClr w14:val="000000">
                      <w14:alpha w14:val="100000"/>
                    </w14:srgbClr>
                  </w14:solidFill>
                </w14:textFill>
              </w:rPr>
              <w:t>|||</w:t>
            </w:r>
            <w:r w:rsidR="00E11347" w:rsidRPr="00E11347">
              <w:rPr>
                <w:iCs/>
                <w:color w:val="000000"/>
                <w:spacing w:val="1"/>
                <w:shd w:val="solid" w:color="000000" w:fill="000000"/>
                <w:fitText w:val="330" w:id="-628963580"/>
                <w14:textFill>
                  <w14:solidFill>
                    <w14:srgbClr w14:val="000000">
                      <w14:alpha w14:val="100000"/>
                    </w14:srgbClr>
                  </w14:solidFill>
                </w14:textFill>
              </w:rPr>
              <w:t>|</w:t>
            </w:r>
          </w:p>
        </w:tc>
        <w:tc>
          <w:tcPr>
            <w:tcW w:w="766" w:type="pct"/>
            <w:tcBorders>
              <w:top w:val="nil"/>
              <w:bottom w:val="nil"/>
            </w:tcBorders>
            <w:vAlign w:val="top"/>
          </w:tcPr>
          <w:p w14:paraId="1B9724C7" w14:textId="77777777" w:rsidR="00387D82" w:rsidRPr="008B02E0" w:rsidRDefault="00387D82" w:rsidP="00AE5B32">
            <w:pPr>
              <w:pStyle w:val="TableText0"/>
              <w:jc w:val="center"/>
              <w:rPr>
                <w:iCs/>
              </w:rPr>
            </w:pPr>
            <w:r w:rsidRPr="008B02E0">
              <w:rPr>
                <w:iCs/>
              </w:rPr>
              <w:t>1.40</w:t>
            </w:r>
          </w:p>
        </w:tc>
        <w:tc>
          <w:tcPr>
            <w:tcW w:w="635" w:type="pct"/>
            <w:tcBorders>
              <w:top w:val="nil"/>
              <w:bottom w:val="nil"/>
            </w:tcBorders>
            <w:vAlign w:val="top"/>
          </w:tcPr>
          <w:p w14:paraId="106A9D4B" w14:textId="43A0C752" w:rsidR="00387D82" w:rsidRPr="00A5089F" w:rsidRDefault="00387D82" w:rsidP="00AE5B32">
            <w:pPr>
              <w:pStyle w:val="TableText0"/>
              <w:jc w:val="center"/>
              <w:rPr>
                <w:iCs/>
                <w:vertAlign w:val="superscript"/>
              </w:rPr>
            </w:pPr>
            <w:r w:rsidRPr="008B02E0">
              <w:rPr>
                <w:iCs/>
              </w:rPr>
              <w:t>$</w:t>
            </w:r>
            <w:r w:rsidR="00E11347" w:rsidRPr="00E11347">
              <w:rPr>
                <w:iCs/>
                <w:color w:val="000000"/>
                <w:spacing w:val="53"/>
                <w:shd w:val="solid" w:color="000000" w:fill="000000"/>
                <w:fitText w:val="330" w:id="-628963579"/>
                <w14:textFill>
                  <w14:solidFill>
                    <w14:srgbClr w14:val="000000">
                      <w14:alpha w14:val="100000"/>
                    </w14:srgbClr>
                  </w14:solidFill>
                </w14:textFill>
              </w:rPr>
              <w:t>|||</w:t>
            </w:r>
            <w:r w:rsidR="00E11347" w:rsidRPr="00E11347">
              <w:rPr>
                <w:iCs/>
                <w:color w:val="000000"/>
                <w:spacing w:val="1"/>
                <w:shd w:val="solid" w:color="000000" w:fill="000000"/>
                <w:fitText w:val="330" w:id="-628963579"/>
                <w14:textFill>
                  <w14:solidFill>
                    <w14:srgbClr w14:val="000000">
                      <w14:alpha w14:val="100000"/>
                    </w14:srgbClr>
                  </w14:solidFill>
                </w14:textFill>
              </w:rPr>
              <w:t>|</w:t>
            </w:r>
            <w:r w:rsidR="00A5089F">
              <w:rPr>
                <w:iCs/>
                <w:vertAlign w:val="superscript"/>
              </w:rPr>
              <w:t>1</w:t>
            </w:r>
          </w:p>
        </w:tc>
        <w:tc>
          <w:tcPr>
            <w:tcW w:w="596" w:type="pct"/>
            <w:tcBorders>
              <w:top w:val="nil"/>
              <w:bottom w:val="nil"/>
            </w:tcBorders>
            <w:vAlign w:val="top"/>
          </w:tcPr>
          <w:p w14:paraId="65210628" w14:textId="24F7A71F" w:rsidR="00387D82" w:rsidRPr="008B02E0" w:rsidRDefault="00E11347" w:rsidP="00AE5B32">
            <w:pPr>
              <w:pStyle w:val="TableText0"/>
              <w:jc w:val="center"/>
              <w:rPr>
                <w:iCs/>
              </w:rPr>
            </w:pPr>
            <w:r w:rsidRPr="00E11347">
              <w:rPr>
                <w:iCs/>
                <w:color w:val="000000"/>
                <w:spacing w:val="53"/>
                <w:shd w:val="solid" w:color="000000" w:fill="000000"/>
                <w:fitText w:val="330" w:id="-628963578"/>
                <w14:textFill>
                  <w14:solidFill>
                    <w14:srgbClr w14:val="000000">
                      <w14:alpha w14:val="100000"/>
                    </w14:srgbClr>
                  </w14:solidFill>
                </w14:textFill>
              </w:rPr>
              <w:t>|||</w:t>
            </w:r>
            <w:r w:rsidRPr="00E11347">
              <w:rPr>
                <w:iCs/>
                <w:color w:val="000000"/>
                <w:spacing w:val="1"/>
                <w:shd w:val="solid" w:color="000000" w:fill="000000"/>
                <w:fitText w:val="330" w:id="-628963578"/>
                <w14:textFill>
                  <w14:solidFill>
                    <w14:srgbClr w14:val="000000">
                      <w14:alpha w14:val="100000"/>
                    </w14:srgbClr>
                  </w14:solidFill>
                </w14:textFill>
              </w:rPr>
              <w:t>|</w:t>
            </w:r>
            <w:r w:rsidR="00387D82" w:rsidRPr="008B02E0">
              <w:rPr>
                <w:iCs/>
              </w:rPr>
              <w:t>%</w:t>
            </w:r>
          </w:p>
        </w:tc>
      </w:tr>
      <w:tr w:rsidR="007648A6" w:rsidRPr="008B02E0" w14:paraId="5BDAE860" w14:textId="77777777" w:rsidTr="007648A6">
        <w:tc>
          <w:tcPr>
            <w:tcW w:w="2264" w:type="pct"/>
            <w:tcBorders>
              <w:top w:val="nil"/>
              <w:bottom w:val="single" w:sz="4" w:space="0" w:color="auto"/>
            </w:tcBorders>
          </w:tcPr>
          <w:p w14:paraId="04C5DDFB" w14:textId="77777777" w:rsidR="00387D82" w:rsidRPr="008B02E0" w:rsidRDefault="00387D82" w:rsidP="00AE5B32">
            <w:pPr>
              <w:pStyle w:val="TableText0"/>
              <w:keepNext w:val="0"/>
              <w:numPr>
                <w:ilvl w:val="0"/>
                <w:numId w:val="6"/>
              </w:numPr>
              <w:ind w:left="104" w:hanging="49"/>
              <w:rPr>
                <w:iCs/>
              </w:rPr>
            </w:pPr>
            <w:r w:rsidRPr="008B02E0">
              <w:rPr>
                <w:iCs/>
              </w:rPr>
              <w:t>Weibull</w:t>
            </w:r>
          </w:p>
        </w:tc>
        <w:tc>
          <w:tcPr>
            <w:tcW w:w="739" w:type="pct"/>
            <w:tcBorders>
              <w:top w:val="nil"/>
              <w:bottom w:val="single" w:sz="4" w:space="0" w:color="auto"/>
            </w:tcBorders>
            <w:vAlign w:val="top"/>
          </w:tcPr>
          <w:p w14:paraId="35E1A5E0" w14:textId="1E0D9F33" w:rsidR="00387D82" w:rsidRPr="008B02E0" w:rsidRDefault="00387D82" w:rsidP="00AE5B32">
            <w:pPr>
              <w:pStyle w:val="TableText0"/>
              <w:jc w:val="center"/>
              <w:rPr>
                <w:iCs/>
              </w:rPr>
            </w:pPr>
            <w:r w:rsidRPr="008B02E0">
              <w:rPr>
                <w:iCs/>
              </w:rPr>
              <w:t>$</w:t>
            </w:r>
            <w:r w:rsidR="00E11347" w:rsidRPr="00E11347">
              <w:rPr>
                <w:iCs/>
                <w:color w:val="000000"/>
                <w:spacing w:val="53"/>
                <w:shd w:val="solid" w:color="000000" w:fill="000000"/>
                <w:fitText w:val="330" w:id="-628963577"/>
                <w14:textFill>
                  <w14:solidFill>
                    <w14:srgbClr w14:val="000000">
                      <w14:alpha w14:val="100000"/>
                    </w14:srgbClr>
                  </w14:solidFill>
                </w14:textFill>
              </w:rPr>
              <w:t>|||</w:t>
            </w:r>
            <w:r w:rsidR="00E11347" w:rsidRPr="00E11347">
              <w:rPr>
                <w:iCs/>
                <w:color w:val="000000"/>
                <w:spacing w:val="1"/>
                <w:shd w:val="solid" w:color="000000" w:fill="000000"/>
                <w:fitText w:val="330" w:id="-628963577"/>
                <w14:textFill>
                  <w14:solidFill>
                    <w14:srgbClr w14:val="000000">
                      <w14:alpha w14:val="100000"/>
                    </w14:srgbClr>
                  </w14:solidFill>
                </w14:textFill>
              </w:rPr>
              <w:t>|</w:t>
            </w:r>
          </w:p>
        </w:tc>
        <w:tc>
          <w:tcPr>
            <w:tcW w:w="766" w:type="pct"/>
            <w:tcBorders>
              <w:top w:val="nil"/>
              <w:bottom w:val="single" w:sz="4" w:space="0" w:color="auto"/>
            </w:tcBorders>
            <w:vAlign w:val="top"/>
          </w:tcPr>
          <w:p w14:paraId="2CA544FD" w14:textId="77777777" w:rsidR="00387D82" w:rsidRPr="008B02E0" w:rsidRDefault="00387D82" w:rsidP="00AE5B32">
            <w:pPr>
              <w:pStyle w:val="TableText0"/>
              <w:jc w:val="center"/>
              <w:rPr>
                <w:iCs/>
              </w:rPr>
            </w:pPr>
            <w:r w:rsidRPr="008B02E0">
              <w:rPr>
                <w:iCs/>
              </w:rPr>
              <w:t>1.19</w:t>
            </w:r>
          </w:p>
        </w:tc>
        <w:tc>
          <w:tcPr>
            <w:tcW w:w="635" w:type="pct"/>
            <w:tcBorders>
              <w:top w:val="nil"/>
              <w:bottom w:val="single" w:sz="4" w:space="0" w:color="auto"/>
            </w:tcBorders>
            <w:vAlign w:val="top"/>
          </w:tcPr>
          <w:p w14:paraId="5B5463BE" w14:textId="016C56C7" w:rsidR="00387D82" w:rsidRPr="00A5089F" w:rsidRDefault="00387D82" w:rsidP="00AE5B32">
            <w:pPr>
              <w:pStyle w:val="TableText0"/>
              <w:jc w:val="center"/>
              <w:rPr>
                <w:iCs/>
                <w:vertAlign w:val="superscript"/>
              </w:rPr>
            </w:pPr>
            <w:r w:rsidRPr="008B02E0">
              <w:rPr>
                <w:iCs/>
              </w:rPr>
              <w:t>$</w:t>
            </w:r>
            <w:r w:rsidR="00E11347" w:rsidRPr="00E11347">
              <w:rPr>
                <w:iCs/>
                <w:color w:val="000000"/>
                <w:spacing w:val="53"/>
                <w:shd w:val="solid" w:color="000000" w:fill="000000"/>
                <w:fitText w:val="330" w:id="-628963576"/>
                <w14:textFill>
                  <w14:solidFill>
                    <w14:srgbClr w14:val="000000">
                      <w14:alpha w14:val="100000"/>
                    </w14:srgbClr>
                  </w14:solidFill>
                </w14:textFill>
              </w:rPr>
              <w:t>|||</w:t>
            </w:r>
            <w:r w:rsidR="00E11347" w:rsidRPr="00E11347">
              <w:rPr>
                <w:iCs/>
                <w:color w:val="000000"/>
                <w:spacing w:val="1"/>
                <w:shd w:val="solid" w:color="000000" w:fill="000000"/>
                <w:fitText w:val="330" w:id="-628963576"/>
                <w14:textFill>
                  <w14:solidFill>
                    <w14:srgbClr w14:val="000000">
                      <w14:alpha w14:val="100000"/>
                    </w14:srgbClr>
                  </w14:solidFill>
                </w14:textFill>
              </w:rPr>
              <w:t>|</w:t>
            </w:r>
            <w:r w:rsidR="00A5089F">
              <w:rPr>
                <w:iCs/>
                <w:vertAlign w:val="superscript"/>
              </w:rPr>
              <w:t>1</w:t>
            </w:r>
          </w:p>
        </w:tc>
        <w:tc>
          <w:tcPr>
            <w:tcW w:w="596" w:type="pct"/>
            <w:tcBorders>
              <w:top w:val="nil"/>
              <w:bottom w:val="single" w:sz="4" w:space="0" w:color="auto"/>
            </w:tcBorders>
            <w:vAlign w:val="top"/>
          </w:tcPr>
          <w:p w14:paraId="4F8354F4" w14:textId="344028B3" w:rsidR="00387D82" w:rsidRPr="008B02E0" w:rsidRDefault="00E11347" w:rsidP="00AE5B32">
            <w:pPr>
              <w:pStyle w:val="TableText0"/>
              <w:jc w:val="center"/>
              <w:rPr>
                <w:iCs/>
              </w:rPr>
            </w:pPr>
            <w:r w:rsidRPr="00E11347">
              <w:rPr>
                <w:iCs/>
                <w:color w:val="000000"/>
                <w:spacing w:val="53"/>
                <w:shd w:val="solid" w:color="000000" w:fill="000000"/>
                <w:fitText w:val="330" w:id="-628963575"/>
                <w14:textFill>
                  <w14:solidFill>
                    <w14:srgbClr w14:val="000000">
                      <w14:alpha w14:val="100000"/>
                    </w14:srgbClr>
                  </w14:solidFill>
                </w14:textFill>
              </w:rPr>
              <w:t>|||</w:t>
            </w:r>
            <w:r w:rsidRPr="00E11347">
              <w:rPr>
                <w:iCs/>
                <w:color w:val="000000"/>
                <w:spacing w:val="1"/>
                <w:shd w:val="solid" w:color="000000" w:fill="000000"/>
                <w:fitText w:val="330" w:id="-628963575"/>
                <w14:textFill>
                  <w14:solidFill>
                    <w14:srgbClr w14:val="000000">
                      <w14:alpha w14:val="100000"/>
                    </w14:srgbClr>
                  </w14:solidFill>
                </w14:textFill>
              </w:rPr>
              <w:t>|</w:t>
            </w:r>
            <w:r w:rsidR="00387D82" w:rsidRPr="008B02E0">
              <w:rPr>
                <w:iCs/>
              </w:rPr>
              <w:t>%</w:t>
            </w:r>
          </w:p>
        </w:tc>
      </w:tr>
      <w:tr w:rsidR="00EB6430" w:rsidRPr="008B02E0" w14:paraId="44AEA8EA" w14:textId="77777777" w:rsidTr="007648A6">
        <w:tc>
          <w:tcPr>
            <w:tcW w:w="2264" w:type="pct"/>
            <w:tcBorders>
              <w:top w:val="nil"/>
              <w:bottom w:val="single" w:sz="4" w:space="0" w:color="auto"/>
            </w:tcBorders>
          </w:tcPr>
          <w:p w14:paraId="3059955F" w14:textId="44D89DE1" w:rsidR="00EB6430" w:rsidRPr="008B02E0" w:rsidRDefault="00EB6430" w:rsidP="00AE5B32">
            <w:pPr>
              <w:pStyle w:val="TableText0"/>
              <w:rPr>
                <w:i/>
                <w:iCs/>
              </w:rPr>
            </w:pPr>
            <w:r w:rsidRPr="008B02E0">
              <w:t>PF to death informed by CM</w:t>
            </w:r>
            <w:r w:rsidR="009E5502">
              <w:noBreakHyphen/>
            </w:r>
            <w:r w:rsidRPr="008B02E0">
              <w:t>142 (base case general population mortality)</w:t>
            </w:r>
          </w:p>
        </w:tc>
        <w:tc>
          <w:tcPr>
            <w:tcW w:w="739" w:type="pct"/>
            <w:tcBorders>
              <w:top w:val="nil"/>
              <w:bottom w:val="single" w:sz="4" w:space="0" w:color="auto"/>
            </w:tcBorders>
            <w:vAlign w:val="top"/>
          </w:tcPr>
          <w:p w14:paraId="77C4316E" w14:textId="28DB02B3" w:rsidR="00EB6430" w:rsidRPr="008B02E0" w:rsidRDefault="00EB6430" w:rsidP="00AE5B32">
            <w:pPr>
              <w:pStyle w:val="TableText0"/>
              <w:keepNext w:val="0"/>
              <w:jc w:val="center"/>
              <w:rPr>
                <w:i/>
                <w:iCs/>
              </w:rPr>
            </w:pPr>
            <w:r w:rsidRPr="008B02E0">
              <w:t>$</w:t>
            </w:r>
            <w:r w:rsidR="00E11347" w:rsidRPr="00E11347">
              <w:rPr>
                <w:color w:val="000000"/>
                <w:spacing w:val="53"/>
                <w:shd w:val="solid" w:color="000000" w:fill="000000"/>
                <w:fitText w:val="330" w:id="-628963574"/>
                <w14:textFill>
                  <w14:solidFill>
                    <w14:srgbClr w14:val="000000">
                      <w14:alpha w14:val="100000"/>
                    </w14:srgbClr>
                  </w14:solidFill>
                </w14:textFill>
              </w:rPr>
              <w:t>|||</w:t>
            </w:r>
            <w:r w:rsidR="00E11347" w:rsidRPr="00E11347">
              <w:rPr>
                <w:color w:val="000000"/>
                <w:spacing w:val="1"/>
                <w:shd w:val="solid" w:color="000000" w:fill="000000"/>
                <w:fitText w:val="330" w:id="-628963574"/>
                <w14:textFill>
                  <w14:solidFill>
                    <w14:srgbClr w14:val="000000">
                      <w14:alpha w14:val="100000"/>
                    </w14:srgbClr>
                  </w14:solidFill>
                </w14:textFill>
              </w:rPr>
              <w:t>|</w:t>
            </w:r>
          </w:p>
        </w:tc>
        <w:tc>
          <w:tcPr>
            <w:tcW w:w="766" w:type="pct"/>
            <w:tcBorders>
              <w:top w:val="nil"/>
              <w:bottom w:val="single" w:sz="4" w:space="0" w:color="auto"/>
            </w:tcBorders>
            <w:vAlign w:val="top"/>
          </w:tcPr>
          <w:p w14:paraId="3CA93396" w14:textId="77777777" w:rsidR="00EB6430" w:rsidRPr="008B02E0" w:rsidRDefault="00EB6430" w:rsidP="00AE5B32">
            <w:pPr>
              <w:pStyle w:val="TableText0"/>
              <w:keepNext w:val="0"/>
              <w:jc w:val="center"/>
              <w:rPr>
                <w:i/>
                <w:iCs/>
              </w:rPr>
            </w:pPr>
            <w:r w:rsidRPr="008B02E0">
              <w:t>1.41</w:t>
            </w:r>
          </w:p>
        </w:tc>
        <w:tc>
          <w:tcPr>
            <w:tcW w:w="635" w:type="pct"/>
            <w:tcBorders>
              <w:top w:val="nil"/>
              <w:bottom w:val="single" w:sz="4" w:space="0" w:color="auto"/>
            </w:tcBorders>
            <w:vAlign w:val="top"/>
          </w:tcPr>
          <w:p w14:paraId="422CC740" w14:textId="01B5D1CE" w:rsidR="00EB6430" w:rsidRPr="00A5089F" w:rsidRDefault="00EB6430" w:rsidP="00AE5B32">
            <w:pPr>
              <w:pStyle w:val="TableText0"/>
              <w:keepNext w:val="0"/>
              <w:jc w:val="center"/>
              <w:rPr>
                <w:i/>
                <w:iCs/>
                <w:vertAlign w:val="superscript"/>
              </w:rPr>
            </w:pPr>
            <w:r w:rsidRPr="008B02E0">
              <w:t>$</w:t>
            </w:r>
            <w:r w:rsidR="00E11347" w:rsidRPr="00E11347">
              <w:rPr>
                <w:color w:val="000000"/>
                <w:spacing w:val="53"/>
                <w:shd w:val="solid" w:color="000000" w:fill="000000"/>
                <w:fitText w:val="330" w:id="-628963573"/>
                <w14:textFill>
                  <w14:solidFill>
                    <w14:srgbClr w14:val="000000">
                      <w14:alpha w14:val="100000"/>
                    </w14:srgbClr>
                  </w14:solidFill>
                </w14:textFill>
              </w:rPr>
              <w:t>|||</w:t>
            </w:r>
            <w:r w:rsidR="00E11347" w:rsidRPr="00E11347">
              <w:rPr>
                <w:color w:val="000000"/>
                <w:spacing w:val="1"/>
                <w:shd w:val="solid" w:color="000000" w:fill="000000"/>
                <w:fitText w:val="330" w:id="-628963573"/>
                <w14:textFill>
                  <w14:solidFill>
                    <w14:srgbClr w14:val="000000">
                      <w14:alpha w14:val="100000"/>
                    </w14:srgbClr>
                  </w14:solidFill>
                </w14:textFill>
              </w:rPr>
              <w:t>|</w:t>
            </w:r>
            <w:r w:rsidR="00A5089F">
              <w:rPr>
                <w:vertAlign w:val="superscript"/>
              </w:rPr>
              <w:t>1</w:t>
            </w:r>
          </w:p>
        </w:tc>
        <w:tc>
          <w:tcPr>
            <w:tcW w:w="596" w:type="pct"/>
            <w:tcBorders>
              <w:top w:val="nil"/>
              <w:bottom w:val="single" w:sz="4" w:space="0" w:color="auto"/>
            </w:tcBorders>
            <w:vAlign w:val="top"/>
          </w:tcPr>
          <w:p w14:paraId="4AE4C036" w14:textId="16CFE005" w:rsidR="00EB6430" w:rsidRPr="008B02E0" w:rsidRDefault="00E11347" w:rsidP="00AE5B32">
            <w:pPr>
              <w:pStyle w:val="TableText0"/>
              <w:keepNext w:val="0"/>
              <w:jc w:val="center"/>
              <w:rPr>
                <w:i/>
                <w:iCs/>
              </w:rPr>
            </w:pPr>
            <w:r w:rsidRPr="00E11347">
              <w:rPr>
                <w:color w:val="000000"/>
                <w:spacing w:val="53"/>
                <w:shd w:val="solid" w:color="000000" w:fill="000000"/>
                <w:fitText w:val="330" w:id="-628963572"/>
                <w14:textFill>
                  <w14:solidFill>
                    <w14:srgbClr w14:val="000000">
                      <w14:alpha w14:val="100000"/>
                    </w14:srgbClr>
                  </w14:solidFill>
                </w14:textFill>
              </w:rPr>
              <w:t>|||</w:t>
            </w:r>
            <w:r w:rsidRPr="00E11347">
              <w:rPr>
                <w:color w:val="000000"/>
                <w:spacing w:val="1"/>
                <w:shd w:val="solid" w:color="000000" w:fill="000000"/>
                <w:fitText w:val="330" w:id="-628963572"/>
                <w14:textFill>
                  <w14:solidFill>
                    <w14:srgbClr w14:val="000000">
                      <w14:alpha w14:val="100000"/>
                    </w14:srgbClr>
                  </w14:solidFill>
                </w14:textFill>
              </w:rPr>
              <w:t>|</w:t>
            </w:r>
            <w:r w:rsidR="00EB6430" w:rsidRPr="008B02E0">
              <w:t>%</w:t>
            </w:r>
          </w:p>
        </w:tc>
      </w:tr>
      <w:tr w:rsidR="00EB6430" w:rsidRPr="008B02E0" w14:paraId="4FF11B33" w14:textId="77777777" w:rsidTr="007648A6">
        <w:tc>
          <w:tcPr>
            <w:tcW w:w="5000" w:type="pct"/>
            <w:gridSpan w:val="5"/>
            <w:tcBorders>
              <w:bottom w:val="nil"/>
            </w:tcBorders>
          </w:tcPr>
          <w:p w14:paraId="7B92F5EA" w14:textId="610D6C99" w:rsidR="00EB6430" w:rsidRPr="008B02E0" w:rsidRDefault="00EB6430" w:rsidP="00AE5B32">
            <w:pPr>
              <w:pStyle w:val="TableText0"/>
              <w:keepNext w:val="0"/>
            </w:pPr>
            <w:r w:rsidRPr="008B02E0">
              <w:t>Utility source (base case PF=0.801 CM</w:t>
            </w:r>
            <w:r w:rsidR="009E5502">
              <w:noBreakHyphen/>
            </w:r>
            <w:r w:rsidRPr="008B02E0">
              <w:t>8HW 1L NIVO+IPI, PD=0.745 CM</w:t>
            </w:r>
            <w:r w:rsidR="009E5502">
              <w:noBreakHyphen/>
            </w:r>
            <w:r w:rsidRPr="008B02E0">
              <w:t>8HW 1L NIVO+IPI and chemotherapy with age adjustment)</w:t>
            </w:r>
          </w:p>
        </w:tc>
      </w:tr>
      <w:tr w:rsidR="00EB6430" w:rsidRPr="008B02E0" w14:paraId="57F0A571" w14:textId="77777777" w:rsidTr="007648A6">
        <w:tc>
          <w:tcPr>
            <w:tcW w:w="2264" w:type="pct"/>
            <w:tcBorders>
              <w:top w:val="nil"/>
              <w:bottom w:val="nil"/>
            </w:tcBorders>
          </w:tcPr>
          <w:p w14:paraId="6FAD63D8" w14:textId="7BFC7D94" w:rsidR="00EB6430" w:rsidRPr="008B02E0" w:rsidRDefault="00EB6430" w:rsidP="00AE5B32">
            <w:pPr>
              <w:pStyle w:val="TableText0"/>
              <w:keepNext w:val="0"/>
              <w:numPr>
                <w:ilvl w:val="0"/>
                <w:numId w:val="6"/>
              </w:numPr>
              <w:ind w:left="104" w:hanging="49"/>
            </w:pPr>
            <w:r w:rsidRPr="008B02E0">
              <w:t>PF=0.772 and PD=0.745 CM</w:t>
            </w:r>
            <w:r w:rsidR="009E5502">
              <w:noBreakHyphen/>
            </w:r>
            <w:r w:rsidRPr="008B02E0">
              <w:t>8HW 1L NIVO+IPI and chemotherapy</w:t>
            </w:r>
          </w:p>
        </w:tc>
        <w:tc>
          <w:tcPr>
            <w:tcW w:w="739" w:type="pct"/>
            <w:tcBorders>
              <w:top w:val="nil"/>
              <w:bottom w:val="nil"/>
            </w:tcBorders>
            <w:vAlign w:val="top"/>
          </w:tcPr>
          <w:p w14:paraId="69DC3A05" w14:textId="10DFACA1"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71"/>
                <w14:textFill>
                  <w14:solidFill>
                    <w14:srgbClr w14:val="000000">
                      <w14:alpha w14:val="100000"/>
                    </w14:srgbClr>
                  </w14:solidFill>
                </w14:textFill>
              </w:rPr>
              <w:t>|||</w:t>
            </w:r>
            <w:r w:rsidR="00E11347" w:rsidRPr="00E11347">
              <w:rPr>
                <w:color w:val="000000"/>
                <w:spacing w:val="1"/>
                <w:shd w:val="solid" w:color="000000" w:fill="000000"/>
                <w:fitText w:val="330" w:id="-628963571"/>
                <w14:textFill>
                  <w14:solidFill>
                    <w14:srgbClr w14:val="000000">
                      <w14:alpha w14:val="100000"/>
                    </w14:srgbClr>
                  </w14:solidFill>
                </w14:textFill>
              </w:rPr>
              <w:t>|</w:t>
            </w:r>
          </w:p>
        </w:tc>
        <w:tc>
          <w:tcPr>
            <w:tcW w:w="766" w:type="pct"/>
            <w:tcBorders>
              <w:top w:val="nil"/>
              <w:bottom w:val="nil"/>
            </w:tcBorders>
            <w:vAlign w:val="top"/>
          </w:tcPr>
          <w:p w14:paraId="40AAC907" w14:textId="77777777" w:rsidR="00EB6430" w:rsidRPr="008B02E0" w:rsidRDefault="00EB6430" w:rsidP="00AE5B32">
            <w:pPr>
              <w:pStyle w:val="TableText0"/>
              <w:keepNext w:val="0"/>
              <w:jc w:val="center"/>
            </w:pPr>
            <w:r w:rsidRPr="008B02E0">
              <w:t>1.50</w:t>
            </w:r>
          </w:p>
        </w:tc>
        <w:tc>
          <w:tcPr>
            <w:tcW w:w="635" w:type="pct"/>
            <w:tcBorders>
              <w:top w:val="nil"/>
              <w:bottom w:val="nil"/>
            </w:tcBorders>
            <w:vAlign w:val="top"/>
          </w:tcPr>
          <w:p w14:paraId="72EEEB01" w14:textId="4A9538E8" w:rsidR="00EB6430" w:rsidRPr="00A5089F" w:rsidRDefault="00EB6430" w:rsidP="00AE5B32">
            <w:pPr>
              <w:pStyle w:val="TableText0"/>
              <w:keepNext w:val="0"/>
              <w:jc w:val="center"/>
              <w:rPr>
                <w:vertAlign w:val="superscript"/>
              </w:rPr>
            </w:pPr>
            <w:r w:rsidRPr="008B02E0">
              <w:t>$</w:t>
            </w:r>
            <w:r w:rsidR="00E11347" w:rsidRPr="00E11347">
              <w:rPr>
                <w:color w:val="000000"/>
                <w:spacing w:val="53"/>
                <w:shd w:val="solid" w:color="000000" w:fill="000000"/>
                <w:fitText w:val="330" w:id="-628963570"/>
                <w14:textFill>
                  <w14:solidFill>
                    <w14:srgbClr w14:val="000000">
                      <w14:alpha w14:val="100000"/>
                    </w14:srgbClr>
                  </w14:solidFill>
                </w14:textFill>
              </w:rPr>
              <w:t>|||</w:t>
            </w:r>
            <w:r w:rsidR="00E11347" w:rsidRPr="00E11347">
              <w:rPr>
                <w:color w:val="000000"/>
                <w:spacing w:val="1"/>
                <w:shd w:val="solid" w:color="000000" w:fill="000000"/>
                <w:fitText w:val="330" w:id="-628963570"/>
                <w14:textFill>
                  <w14:solidFill>
                    <w14:srgbClr w14:val="000000">
                      <w14:alpha w14:val="100000"/>
                    </w14:srgbClr>
                  </w14:solidFill>
                </w14:textFill>
              </w:rPr>
              <w:t>|</w:t>
            </w:r>
            <w:r w:rsidR="00A5089F">
              <w:rPr>
                <w:vertAlign w:val="superscript"/>
              </w:rPr>
              <w:t>1</w:t>
            </w:r>
          </w:p>
        </w:tc>
        <w:tc>
          <w:tcPr>
            <w:tcW w:w="596" w:type="pct"/>
            <w:tcBorders>
              <w:top w:val="nil"/>
              <w:bottom w:val="nil"/>
            </w:tcBorders>
            <w:vAlign w:val="top"/>
          </w:tcPr>
          <w:p w14:paraId="52BA80EB" w14:textId="255DBEA9" w:rsidR="00EB6430" w:rsidRPr="008B02E0" w:rsidRDefault="00E11347" w:rsidP="00AE5B32">
            <w:pPr>
              <w:pStyle w:val="TableText0"/>
              <w:keepNext w:val="0"/>
              <w:jc w:val="center"/>
            </w:pPr>
            <w:r w:rsidRPr="00E11347">
              <w:rPr>
                <w:color w:val="000000"/>
                <w:spacing w:val="53"/>
                <w:shd w:val="solid" w:color="000000" w:fill="000000"/>
                <w:fitText w:val="330" w:id="-628963569"/>
                <w14:textFill>
                  <w14:solidFill>
                    <w14:srgbClr w14:val="000000">
                      <w14:alpha w14:val="100000"/>
                    </w14:srgbClr>
                  </w14:solidFill>
                </w14:textFill>
              </w:rPr>
              <w:t>|||</w:t>
            </w:r>
            <w:r w:rsidRPr="00E11347">
              <w:rPr>
                <w:color w:val="000000"/>
                <w:spacing w:val="1"/>
                <w:shd w:val="solid" w:color="000000" w:fill="000000"/>
                <w:fitText w:val="330" w:id="-628963569"/>
                <w14:textFill>
                  <w14:solidFill>
                    <w14:srgbClr w14:val="000000">
                      <w14:alpha w14:val="100000"/>
                    </w14:srgbClr>
                  </w14:solidFill>
                </w14:textFill>
              </w:rPr>
              <w:t>|</w:t>
            </w:r>
            <w:r w:rsidR="00EB6430" w:rsidRPr="008B02E0">
              <w:t>%</w:t>
            </w:r>
          </w:p>
        </w:tc>
      </w:tr>
      <w:tr w:rsidR="00EB6430" w:rsidRPr="008B02E0" w14:paraId="013DC03A" w14:textId="77777777" w:rsidTr="007648A6">
        <w:tc>
          <w:tcPr>
            <w:tcW w:w="2264" w:type="pct"/>
            <w:tcBorders>
              <w:top w:val="nil"/>
              <w:bottom w:val="nil"/>
            </w:tcBorders>
          </w:tcPr>
          <w:p w14:paraId="4607B35F" w14:textId="318AF829" w:rsidR="00EB6430" w:rsidRPr="008B02E0" w:rsidRDefault="00EB6430" w:rsidP="00AE5B32">
            <w:pPr>
              <w:pStyle w:val="TableText0"/>
              <w:keepNext w:val="0"/>
              <w:numPr>
                <w:ilvl w:val="0"/>
                <w:numId w:val="6"/>
              </w:numPr>
              <w:ind w:left="104" w:hanging="49"/>
              <w:rPr>
                <w:iCs/>
              </w:rPr>
            </w:pPr>
            <w:r w:rsidRPr="008B02E0">
              <w:rPr>
                <w:iCs/>
              </w:rPr>
              <w:t>PF=0.852 and PD=0.730 KN</w:t>
            </w:r>
            <w:r w:rsidR="009E5502">
              <w:rPr>
                <w:iCs/>
              </w:rPr>
              <w:noBreakHyphen/>
            </w:r>
            <w:r w:rsidRPr="008B02E0">
              <w:rPr>
                <w:iCs/>
              </w:rPr>
              <w:t>177</w:t>
            </w:r>
          </w:p>
        </w:tc>
        <w:tc>
          <w:tcPr>
            <w:tcW w:w="739" w:type="pct"/>
            <w:tcBorders>
              <w:top w:val="nil"/>
              <w:bottom w:val="nil"/>
            </w:tcBorders>
            <w:vAlign w:val="top"/>
          </w:tcPr>
          <w:p w14:paraId="30791CC1" w14:textId="4B81A585" w:rsidR="00EB6430" w:rsidRPr="008B02E0" w:rsidRDefault="00EB6430" w:rsidP="00AE5B32">
            <w:pPr>
              <w:pStyle w:val="TableText0"/>
              <w:keepNext w:val="0"/>
              <w:jc w:val="center"/>
              <w:rPr>
                <w:iCs/>
              </w:rPr>
            </w:pPr>
            <w:r w:rsidRPr="008B02E0">
              <w:t>$</w:t>
            </w:r>
            <w:r w:rsidR="00E11347" w:rsidRPr="00E11347">
              <w:rPr>
                <w:color w:val="000000"/>
                <w:spacing w:val="53"/>
                <w:shd w:val="solid" w:color="000000" w:fill="000000"/>
                <w:fitText w:val="330" w:id="-628963568"/>
                <w14:textFill>
                  <w14:solidFill>
                    <w14:srgbClr w14:val="000000">
                      <w14:alpha w14:val="100000"/>
                    </w14:srgbClr>
                  </w14:solidFill>
                </w14:textFill>
              </w:rPr>
              <w:t>|||</w:t>
            </w:r>
            <w:r w:rsidR="00E11347" w:rsidRPr="00E11347">
              <w:rPr>
                <w:color w:val="000000"/>
                <w:spacing w:val="1"/>
                <w:shd w:val="solid" w:color="000000" w:fill="000000"/>
                <w:fitText w:val="330" w:id="-628963568"/>
                <w14:textFill>
                  <w14:solidFill>
                    <w14:srgbClr w14:val="000000">
                      <w14:alpha w14:val="100000"/>
                    </w14:srgbClr>
                  </w14:solidFill>
                </w14:textFill>
              </w:rPr>
              <w:t>|</w:t>
            </w:r>
          </w:p>
        </w:tc>
        <w:tc>
          <w:tcPr>
            <w:tcW w:w="766" w:type="pct"/>
            <w:tcBorders>
              <w:top w:val="nil"/>
              <w:bottom w:val="nil"/>
            </w:tcBorders>
            <w:vAlign w:val="top"/>
          </w:tcPr>
          <w:p w14:paraId="3150D867" w14:textId="77777777" w:rsidR="00EB6430" w:rsidRPr="008B02E0" w:rsidRDefault="00EB6430" w:rsidP="00AE5B32">
            <w:pPr>
              <w:pStyle w:val="TableText0"/>
              <w:keepNext w:val="0"/>
              <w:jc w:val="center"/>
              <w:rPr>
                <w:iCs/>
              </w:rPr>
            </w:pPr>
            <w:r w:rsidRPr="008B02E0">
              <w:t>1.72</w:t>
            </w:r>
          </w:p>
        </w:tc>
        <w:tc>
          <w:tcPr>
            <w:tcW w:w="635" w:type="pct"/>
            <w:tcBorders>
              <w:top w:val="nil"/>
              <w:bottom w:val="nil"/>
            </w:tcBorders>
            <w:vAlign w:val="top"/>
          </w:tcPr>
          <w:p w14:paraId="058ABB6B" w14:textId="0A72AADF" w:rsidR="00EB6430" w:rsidRPr="00D12972" w:rsidRDefault="00EB6430" w:rsidP="00AE5B32">
            <w:pPr>
              <w:pStyle w:val="TableText0"/>
              <w:keepNext w:val="0"/>
              <w:jc w:val="center"/>
              <w:rPr>
                <w:iCs/>
                <w:vertAlign w:val="superscript"/>
              </w:rPr>
            </w:pPr>
            <w:r w:rsidRPr="008B02E0">
              <w:t>$</w:t>
            </w:r>
            <w:r w:rsidR="00E11347" w:rsidRPr="00E11347">
              <w:rPr>
                <w:color w:val="000000"/>
                <w:spacing w:val="53"/>
                <w:shd w:val="solid" w:color="000000" w:fill="000000"/>
                <w:fitText w:val="330" w:id="-628963584"/>
                <w14:textFill>
                  <w14:solidFill>
                    <w14:srgbClr w14:val="000000">
                      <w14:alpha w14:val="100000"/>
                    </w14:srgbClr>
                  </w14:solidFill>
                </w14:textFill>
              </w:rPr>
              <w:t>|||</w:t>
            </w:r>
            <w:r w:rsidR="00E11347" w:rsidRPr="00E11347">
              <w:rPr>
                <w:color w:val="000000"/>
                <w:spacing w:val="1"/>
                <w:shd w:val="solid" w:color="000000" w:fill="000000"/>
                <w:fitText w:val="330" w:id="-628963584"/>
                <w14:textFill>
                  <w14:solidFill>
                    <w14:srgbClr w14:val="000000">
                      <w14:alpha w14:val="100000"/>
                    </w14:srgbClr>
                  </w14:solidFill>
                </w14:textFill>
              </w:rPr>
              <w:t>|</w:t>
            </w:r>
            <w:r w:rsidR="00D12972" w:rsidRPr="00D12972">
              <w:rPr>
                <w:vertAlign w:val="superscript"/>
              </w:rPr>
              <w:t>3</w:t>
            </w:r>
          </w:p>
        </w:tc>
        <w:tc>
          <w:tcPr>
            <w:tcW w:w="596" w:type="pct"/>
            <w:tcBorders>
              <w:top w:val="nil"/>
              <w:bottom w:val="nil"/>
            </w:tcBorders>
            <w:vAlign w:val="top"/>
          </w:tcPr>
          <w:p w14:paraId="36449CBD" w14:textId="3D946679" w:rsidR="00EB6430" w:rsidRPr="008B02E0" w:rsidRDefault="009E5502" w:rsidP="00AE5B32">
            <w:pPr>
              <w:pStyle w:val="TableText0"/>
              <w:keepNext w:val="0"/>
              <w:jc w:val="center"/>
              <w:rPr>
                <w:iCs/>
              </w:rPr>
            </w:pPr>
            <w:r>
              <w:noBreakHyphen/>
            </w:r>
            <w:r w:rsidR="00E11347" w:rsidRPr="00E11347">
              <w:rPr>
                <w:color w:val="000000"/>
                <w:spacing w:val="53"/>
                <w:shd w:val="solid" w:color="000000" w:fill="000000"/>
                <w:fitText w:val="330" w:id="-628963583"/>
                <w14:textFill>
                  <w14:solidFill>
                    <w14:srgbClr w14:val="000000">
                      <w14:alpha w14:val="100000"/>
                    </w14:srgbClr>
                  </w14:solidFill>
                </w14:textFill>
              </w:rPr>
              <w:t>|||</w:t>
            </w:r>
            <w:r w:rsidR="00E11347" w:rsidRPr="00E11347">
              <w:rPr>
                <w:color w:val="000000"/>
                <w:spacing w:val="1"/>
                <w:shd w:val="solid" w:color="000000" w:fill="000000"/>
                <w:fitText w:val="330" w:id="-628963583"/>
                <w14:textFill>
                  <w14:solidFill>
                    <w14:srgbClr w14:val="000000">
                      <w14:alpha w14:val="100000"/>
                    </w14:srgbClr>
                  </w14:solidFill>
                </w14:textFill>
              </w:rPr>
              <w:t>|</w:t>
            </w:r>
            <w:r w:rsidR="00EB6430" w:rsidRPr="008B02E0">
              <w:t>%</w:t>
            </w:r>
          </w:p>
        </w:tc>
      </w:tr>
      <w:tr w:rsidR="00EB6430" w:rsidRPr="008B02E0" w14:paraId="6E9C04CC" w14:textId="77777777" w:rsidTr="007648A6">
        <w:tc>
          <w:tcPr>
            <w:tcW w:w="5000" w:type="pct"/>
            <w:gridSpan w:val="5"/>
            <w:tcBorders>
              <w:bottom w:val="nil"/>
            </w:tcBorders>
          </w:tcPr>
          <w:p w14:paraId="39042213" w14:textId="43329FF3" w:rsidR="00EB6430" w:rsidRPr="008B02E0" w:rsidRDefault="00EB6430" w:rsidP="00AE5B32">
            <w:pPr>
              <w:pStyle w:val="TableText0"/>
              <w:keepNext w:val="0"/>
            </w:pPr>
            <w:r w:rsidRPr="008B02E0">
              <w:t>Treatment costs (base case NIVO+IPI=CM</w:t>
            </w:r>
            <w:r w:rsidR="009E5502">
              <w:noBreakHyphen/>
            </w:r>
            <w:r w:rsidRPr="008B02E0">
              <w:t xml:space="preserve">8HW TTD, pembrolizumab=PFS max 2 years of </w:t>
            </w:r>
            <w:r w:rsidR="003E487B">
              <w:t>200 mg</w:t>
            </w:r>
            <w:r w:rsidRPr="008B02E0">
              <w:t xml:space="preserve"> every 3 weeks with 50% rebate)</w:t>
            </w:r>
          </w:p>
        </w:tc>
      </w:tr>
      <w:tr w:rsidR="00EB6430" w:rsidRPr="008B02E0" w14:paraId="10DAA494" w14:textId="77777777" w:rsidTr="007648A6">
        <w:tc>
          <w:tcPr>
            <w:tcW w:w="2264" w:type="pct"/>
            <w:tcBorders>
              <w:top w:val="nil"/>
              <w:bottom w:val="nil"/>
            </w:tcBorders>
          </w:tcPr>
          <w:p w14:paraId="7270FFDD" w14:textId="52FCE840" w:rsidR="00EB6430" w:rsidRPr="008B02E0" w:rsidRDefault="00EB6430" w:rsidP="00AE5B32">
            <w:pPr>
              <w:pStyle w:val="TableText0"/>
              <w:keepNext w:val="0"/>
              <w:numPr>
                <w:ilvl w:val="0"/>
                <w:numId w:val="6"/>
              </w:numPr>
              <w:ind w:left="104" w:hanging="49"/>
            </w:pPr>
            <w:r w:rsidRPr="008B02E0">
              <w:t>NIVO+IPI=CM</w:t>
            </w:r>
            <w:r w:rsidR="009E5502">
              <w:noBreakHyphen/>
            </w:r>
            <w:r w:rsidRPr="008B02E0">
              <w:t>8HW mean doses (17.3 NIVO, 3.7 IPI), pembrolizumab KN</w:t>
            </w:r>
            <w:r w:rsidR="009E5502">
              <w:noBreakHyphen/>
            </w:r>
            <w:r w:rsidRPr="008B02E0">
              <w:t>177 median time on treatment 11.1 months (16.1 doses)</w:t>
            </w:r>
            <w:r w:rsidRPr="008B02E0">
              <w:rPr>
                <w:vertAlign w:val="superscript"/>
              </w:rPr>
              <w:t>c</w:t>
            </w:r>
          </w:p>
        </w:tc>
        <w:tc>
          <w:tcPr>
            <w:tcW w:w="739" w:type="pct"/>
            <w:tcBorders>
              <w:top w:val="nil"/>
              <w:bottom w:val="nil"/>
            </w:tcBorders>
            <w:vAlign w:val="top"/>
          </w:tcPr>
          <w:p w14:paraId="7414C7EE" w14:textId="0B1E687B"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582"/>
                <w14:textFill>
                  <w14:solidFill>
                    <w14:srgbClr w14:val="000000">
                      <w14:alpha w14:val="100000"/>
                    </w14:srgbClr>
                  </w14:solidFill>
                </w14:textFill>
              </w:rPr>
              <w:t>|||</w:t>
            </w:r>
            <w:r w:rsidR="00E11347" w:rsidRPr="00E11347">
              <w:rPr>
                <w:color w:val="000000"/>
                <w:spacing w:val="1"/>
                <w:shd w:val="solid" w:color="000000" w:fill="000000"/>
                <w:fitText w:val="330" w:id="-628963582"/>
                <w14:textFill>
                  <w14:solidFill>
                    <w14:srgbClr w14:val="000000">
                      <w14:alpha w14:val="100000"/>
                    </w14:srgbClr>
                  </w14:solidFill>
                </w14:textFill>
              </w:rPr>
              <w:t>|</w:t>
            </w:r>
          </w:p>
        </w:tc>
        <w:tc>
          <w:tcPr>
            <w:tcW w:w="766" w:type="pct"/>
            <w:tcBorders>
              <w:top w:val="nil"/>
              <w:bottom w:val="nil"/>
            </w:tcBorders>
            <w:vAlign w:val="top"/>
          </w:tcPr>
          <w:p w14:paraId="5C46DF09" w14:textId="77777777" w:rsidR="00EB6430" w:rsidRPr="008B02E0" w:rsidRDefault="00EB6430" w:rsidP="00AE5B32">
            <w:pPr>
              <w:pStyle w:val="TableText0"/>
              <w:keepNext w:val="0"/>
              <w:jc w:val="center"/>
            </w:pPr>
            <w:r w:rsidRPr="008B02E0">
              <w:t>1.58</w:t>
            </w:r>
          </w:p>
        </w:tc>
        <w:tc>
          <w:tcPr>
            <w:tcW w:w="635" w:type="pct"/>
            <w:tcBorders>
              <w:top w:val="nil"/>
              <w:bottom w:val="nil"/>
            </w:tcBorders>
            <w:vAlign w:val="top"/>
          </w:tcPr>
          <w:p w14:paraId="25E73390" w14:textId="54033045" w:rsidR="00EB6430" w:rsidRPr="00D12972" w:rsidRDefault="00EB6430" w:rsidP="00AE5B32">
            <w:pPr>
              <w:pStyle w:val="TableText0"/>
              <w:keepNext w:val="0"/>
              <w:jc w:val="center"/>
              <w:rPr>
                <w:vertAlign w:val="superscript"/>
              </w:rPr>
            </w:pPr>
            <w:r w:rsidRPr="008B02E0">
              <w:t>$</w:t>
            </w:r>
            <w:r w:rsidR="00E11347" w:rsidRPr="00E11347">
              <w:rPr>
                <w:color w:val="000000"/>
                <w:spacing w:val="53"/>
                <w:shd w:val="solid" w:color="000000" w:fill="000000"/>
                <w:fitText w:val="330" w:id="-628963581"/>
                <w14:textFill>
                  <w14:solidFill>
                    <w14:srgbClr w14:val="000000">
                      <w14:alpha w14:val="100000"/>
                    </w14:srgbClr>
                  </w14:solidFill>
                </w14:textFill>
              </w:rPr>
              <w:t>|||</w:t>
            </w:r>
            <w:r w:rsidR="00E11347" w:rsidRPr="00E11347">
              <w:rPr>
                <w:color w:val="000000"/>
                <w:spacing w:val="1"/>
                <w:shd w:val="solid" w:color="000000" w:fill="000000"/>
                <w:fitText w:val="330" w:id="-628963581"/>
                <w14:textFill>
                  <w14:solidFill>
                    <w14:srgbClr w14:val="000000">
                      <w14:alpha w14:val="100000"/>
                    </w14:srgbClr>
                  </w14:solidFill>
                </w14:textFill>
              </w:rPr>
              <w:t>|</w:t>
            </w:r>
            <w:r w:rsidR="00D12972">
              <w:rPr>
                <w:vertAlign w:val="superscript"/>
              </w:rPr>
              <w:t>1</w:t>
            </w:r>
          </w:p>
        </w:tc>
        <w:tc>
          <w:tcPr>
            <w:tcW w:w="596" w:type="pct"/>
            <w:tcBorders>
              <w:top w:val="nil"/>
              <w:bottom w:val="nil"/>
            </w:tcBorders>
            <w:vAlign w:val="top"/>
          </w:tcPr>
          <w:p w14:paraId="31B1E63E" w14:textId="410133D6" w:rsidR="00EB6430" w:rsidRPr="008B02E0" w:rsidRDefault="00E11347" w:rsidP="00AE5B32">
            <w:pPr>
              <w:pStyle w:val="TableText0"/>
              <w:keepNext w:val="0"/>
              <w:jc w:val="center"/>
            </w:pPr>
            <w:r w:rsidRPr="00E11347">
              <w:rPr>
                <w:color w:val="000000"/>
                <w:spacing w:val="53"/>
                <w:shd w:val="solid" w:color="000000" w:fill="000000"/>
                <w:fitText w:val="330" w:id="-628963580"/>
                <w14:textFill>
                  <w14:solidFill>
                    <w14:srgbClr w14:val="000000">
                      <w14:alpha w14:val="100000"/>
                    </w14:srgbClr>
                  </w14:solidFill>
                </w14:textFill>
              </w:rPr>
              <w:t>|||</w:t>
            </w:r>
            <w:r w:rsidRPr="00E11347">
              <w:rPr>
                <w:color w:val="000000"/>
                <w:spacing w:val="1"/>
                <w:shd w:val="solid" w:color="000000" w:fill="000000"/>
                <w:fitText w:val="330" w:id="-628963580"/>
                <w14:textFill>
                  <w14:solidFill>
                    <w14:srgbClr w14:val="000000">
                      <w14:alpha w14:val="100000"/>
                    </w14:srgbClr>
                  </w14:solidFill>
                </w14:textFill>
              </w:rPr>
              <w:t>|</w:t>
            </w:r>
            <w:r w:rsidR="00EB6430" w:rsidRPr="008B02E0">
              <w:t>%</w:t>
            </w:r>
          </w:p>
        </w:tc>
      </w:tr>
      <w:tr w:rsidR="00EB6430" w:rsidRPr="008B02E0" w14:paraId="5180E6E8" w14:textId="77777777" w:rsidTr="007648A6">
        <w:tc>
          <w:tcPr>
            <w:tcW w:w="2264" w:type="pct"/>
            <w:tcBorders>
              <w:top w:val="nil"/>
              <w:bottom w:val="nil"/>
            </w:tcBorders>
          </w:tcPr>
          <w:p w14:paraId="2EE88341" w14:textId="40196A8B" w:rsidR="00EB6430" w:rsidRPr="008B02E0" w:rsidRDefault="00EB6430" w:rsidP="00AE5B32">
            <w:pPr>
              <w:pStyle w:val="TableText0"/>
              <w:keepNext w:val="0"/>
              <w:numPr>
                <w:ilvl w:val="0"/>
                <w:numId w:val="6"/>
              </w:numPr>
              <w:ind w:left="104" w:hanging="49"/>
            </w:pPr>
            <w:r w:rsidRPr="008B02E0">
              <w:t>NIVO+IPI=CM</w:t>
            </w:r>
            <w:r w:rsidR="009E5502">
              <w:noBreakHyphen/>
            </w:r>
            <w:r w:rsidRPr="008B02E0">
              <w:t xml:space="preserve">8HW mean doses (17.3 NIVO, 3.7 IPI), </w:t>
            </w:r>
            <w:r w:rsidRPr="008B02E0">
              <w:rPr>
                <w:iCs/>
              </w:rPr>
              <w:t>pembrolizumab PSD March 2021 (19.2 doses)</w:t>
            </w:r>
            <w:r w:rsidRPr="008B02E0">
              <w:rPr>
                <w:vertAlign w:val="superscript"/>
              </w:rPr>
              <w:t xml:space="preserve"> c</w:t>
            </w:r>
          </w:p>
        </w:tc>
        <w:tc>
          <w:tcPr>
            <w:tcW w:w="739" w:type="pct"/>
            <w:tcBorders>
              <w:top w:val="nil"/>
              <w:bottom w:val="nil"/>
            </w:tcBorders>
            <w:vAlign w:val="top"/>
          </w:tcPr>
          <w:p w14:paraId="29002503" w14:textId="7816DDEA"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579"/>
                <w14:textFill>
                  <w14:solidFill>
                    <w14:srgbClr w14:val="000000">
                      <w14:alpha w14:val="100000"/>
                    </w14:srgbClr>
                  </w14:solidFill>
                </w14:textFill>
              </w:rPr>
              <w:t>|||</w:t>
            </w:r>
            <w:r w:rsidR="00E11347" w:rsidRPr="00E11347">
              <w:rPr>
                <w:iCs/>
                <w:color w:val="000000"/>
                <w:spacing w:val="1"/>
                <w:shd w:val="solid" w:color="000000" w:fill="000000"/>
                <w:fitText w:val="330" w:id="-628963579"/>
                <w14:textFill>
                  <w14:solidFill>
                    <w14:srgbClr w14:val="000000">
                      <w14:alpha w14:val="100000"/>
                    </w14:srgbClr>
                  </w14:solidFill>
                </w14:textFill>
              </w:rPr>
              <w:t>|</w:t>
            </w:r>
          </w:p>
        </w:tc>
        <w:tc>
          <w:tcPr>
            <w:tcW w:w="766" w:type="pct"/>
            <w:tcBorders>
              <w:top w:val="nil"/>
              <w:bottom w:val="nil"/>
            </w:tcBorders>
            <w:vAlign w:val="top"/>
          </w:tcPr>
          <w:p w14:paraId="0598BA1D" w14:textId="77777777" w:rsidR="00EB6430" w:rsidRPr="008B02E0" w:rsidRDefault="00EB6430" w:rsidP="00AE5B32">
            <w:pPr>
              <w:pStyle w:val="TableText0"/>
              <w:keepNext w:val="0"/>
              <w:jc w:val="center"/>
              <w:rPr>
                <w:iCs/>
              </w:rPr>
            </w:pPr>
            <w:r w:rsidRPr="008B02E0">
              <w:rPr>
                <w:iCs/>
              </w:rPr>
              <w:t>1.58</w:t>
            </w:r>
          </w:p>
        </w:tc>
        <w:tc>
          <w:tcPr>
            <w:tcW w:w="635" w:type="pct"/>
            <w:tcBorders>
              <w:top w:val="nil"/>
              <w:bottom w:val="nil"/>
            </w:tcBorders>
            <w:vAlign w:val="top"/>
          </w:tcPr>
          <w:p w14:paraId="4F288BBA" w14:textId="3362F53A" w:rsidR="00EB6430" w:rsidRPr="00C50A61"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328"/>
                <w14:textFill>
                  <w14:solidFill>
                    <w14:srgbClr w14:val="000000">
                      <w14:alpha w14:val="100000"/>
                    </w14:srgbClr>
                  </w14:solidFill>
                </w14:textFill>
              </w:rPr>
              <w:t>|||</w:t>
            </w:r>
            <w:r w:rsidR="00E11347" w:rsidRPr="00E11347">
              <w:rPr>
                <w:iCs/>
                <w:color w:val="000000"/>
                <w:spacing w:val="1"/>
                <w:shd w:val="solid" w:color="000000" w:fill="000000"/>
                <w:fitText w:val="330" w:id="-628963328"/>
                <w14:textFill>
                  <w14:solidFill>
                    <w14:srgbClr w14:val="000000">
                      <w14:alpha w14:val="100000"/>
                    </w14:srgbClr>
                  </w14:solidFill>
                </w14:textFill>
              </w:rPr>
              <w:t>|</w:t>
            </w:r>
            <w:r w:rsidR="00C50A61">
              <w:rPr>
                <w:iCs/>
                <w:vertAlign w:val="superscript"/>
              </w:rPr>
              <w:t>1</w:t>
            </w:r>
          </w:p>
        </w:tc>
        <w:tc>
          <w:tcPr>
            <w:tcW w:w="596" w:type="pct"/>
            <w:tcBorders>
              <w:top w:val="nil"/>
              <w:bottom w:val="nil"/>
            </w:tcBorders>
            <w:vAlign w:val="top"/>
          </w:tcPr>
          <w:p w14:paraId="61854A51" w14:textId="3D465365" w:rsidR="00EB6430" w:rsidRPr="008B02E0" w:rsidRDefault="00E11347" w:rsidP="00AE5B32">
            <w:pPr>
              <w:pStyle w:val="TableText0"/>
              <w:keepNext w:val="0"/>
              <w:jc w:val="center"/>
              <w:rPr>
                <w:iCs/>
              </w:rPr>
            </w:pPr>
            <w:r w:rsidRPr="00E11347">
              <w:rPr>
                <w:iCs/>
                <w:color w:val="000000"/>
                <w:spacing w:val="53"/>
                <w:shd w:val="solid" w:color="000000" w:fill="000000"/>
                <w:fitText w:val="330" w:id="-628963327"/>
                <w14:textFill>
                  <w14:solidFill>
                    <w14:srgbClr w14:val="000000">
                      <w14:alpha w14:val="100000"/>
                    </w14:srgbClr>
                  </w14:solidFill>
                </w14:textFill>
              </w:rPr>
              <w:t>|||</w:t>
            </w:r>
            <w:r w:rsidRPr="00E11347">
              <w:rPr>
                <w:iCs/>
                <w:color w:val="000000"/>
                <w:spacing w:val="1"/>
                <w:shd w:val="solid" w:color="000000" w:fill="000000"/>
                <w:fitText w:val="330" w:id="-628963327"/>
                <w14:textFill>
                  <w14:solidFill>
                    <w14:srgbClr w14:val="000000">
                      <w14:alpha w14:val="100000"/>
                    </w14:srgbClr>
                  </w14:solidFill>
                </w14:textFill>
              </w:rPr>
              <w:t>|</w:t>
            </w:r>
            <w:r w:rsidR="00EB6430" w:rsidRPr="008B02E0">
              <w:rPr>
                <w:iCs/>
              </w:rPr>
              <w:t>%</w:t>
            </w:r>
          </w:p>
        </w:tc>
      </w:tr>
      <w:tr w:rsidR="00EB6430" w:rsidRPr="008B02E0" w14:paraId="0F68A5A5" w14:textId="77777777" w:rsidTr="007648A6">
        <w:tc>
          <w:tcPr>
            <w:tcW w:w="2264" w:type="pct"/>
            <w:tcBorders>
              <w:top w:val="nil"/>
              <w:bottom w:val="nil"/>
            </w:tcBorders>
          </w:tcPr>
          <w:p w14:paraId="5927382F" w14:textId="5D7FF955" w:rsidR="00EB6430" w:rsidRPr="008B02E0" w:rsidRDefault="00EB6430" w:rsidP="00AE5B32">
            <w:pPr>
              <w:pStyle w:val="TableText0"/>
              <w:keepNext w:val="0"/>
              <w:numPr>
                <w:ilvl w:val="0"/>
                <w:numId w:val="6"/>
              </w:numPr>
              <w:ind w:left="104" w:hanging="49"/>
            </w:pPr>
            <w:r w:rsidRPr="008B02E0">
              <w:t>Per protocol (NIVO 20.3 doses, IPI 3.7 doses, pembrolizumab 20.5 doses)</w:t>
            </w:r>
            <w:r w:rsidRPr="008B02E0">
              <w:rPr>
                <w:vertAlign w:val="superscript"/>
              </w:rPr>
              <w:t xml:space="preserve"> c,d</w:t>
            </w:r>
          </w:p>
        </w:tc>
        <w:tc>
          <w:tcPr>
            <w:tcW w:w="739" w:type="pct"/>
            <w:tcBorders>
              <w:top w:val="nil"/>
              <w:bottom w:val="nil"/>
            </w:tcBorders>
            <w:vAlign w:val="top"/>
          </w:tcPr>
          <w:p w14:paraId="50A33E1D" w14:textId="78DF1138" w:rsidR="00EB6430" w:rsidRPr="008B02E0" w:rsidRDefault="00EB6430" w:rsidP="00AE5B32">
            <w:pPr>
              <w:pStyle w:val="TableText0"/>
              <w:keepNext w:val="0"/>
              <w:jc w:val="center"/>
            </w:pPr>
            <w:r w:rsidRPr="008B02E0">
              <w:t>$</w:t>
            </w:r>
            <w:r w:rsidR="00E11347" w:rsidRPr="00E11347">
              <w:rPr>
                <w:color w:val="000000"/>
                <w:spacing w:val="53"/>
                <w:shd w:val="solid" w:color="000000" w:fill="000000"/>
                <w:fitText w:val="330" w:id="-628963326"/>
                <w14:textFill>
                  <w14:solidFill>
                    <w14:srgbClr w14:val="000000">
                      <w14:alpha w14:val="100000"/>
                    </w14:srgbClr>
                  </w14:solidFill>
                </w14:textFill>
              </w:rPr>
              <w:t>|||</w:t>
            </w:r>
            <w:r w:rsidR="00E11347" w:rsidRPr="00E11347">
              <w:rPr>
                <w:color w:val="000000"/>
                <w:spacing w:val="1"/>
                <w:shd w:val="solid" w:color="000000" w:fill="000000"/>
                <w:fitText w:val="330" w:id="-628963326"/>
                <w14:textFill>
                  <w14:solidFill>
                    <w14:srgbClr w14:val="000000">
                      <w14:alpha w14:val="100000"/>
                    </w14:srgbClr>
                  </w14:solidFill>
                </w14:textFill>
              </w:rPr>
              <w:t>|</w:t>
            </w:r>
          </w:p>
        </w:tc>
        <w:tc>
          <w:tcPr>
            <w:tcW w:w="766" w:type="pct"/>
            <w:tcBorders>
              <w:top w:val="nil"/>
              <w:bottom w:val="nil"/>
            </w:tcBorders>
            <w:vAlign w:val="top"/>
          </w:tcPr>
          <w:p w14:paraId="2192AC9D" w14:textId="77777777" w:rsidR="00EB6430" w:rsidRPr="008B02E0" w:rsidRDefault="00EB6430" w:rsidP="00AE5B32">
            <w:pPr>
              <w:pStyle w:val="TableText0"/>
              <w:keepNext w:val="0"/>
              <w:jc w:val="center"/>
            </w:pPr>
            <w:r w:rsidRPr="008B02E0">
              <w:t>1.58</w:t>
            </w:r>
          </w:p>
        </w:tc>
        <w:tc>
          <w:tcPr>
            <w:tcW w:w="635" w:type="pct"/>
            <w:tcBorders>
              <w:top w:val="nil"/>
              <w:bottom w:val="nil"/>
            </w:tcBorders>
            <w:vAlign w:val="top"/>
          </w:tcPr>
          <w:p w14:paraId="12F4C0DB" w14:textId="0A1F72F0" w:rsidR="00EB6430" w:rsidRPr="00C50A61" w:rsidRDefault="00EB6430" w:rsidP="00AE5B32">
            <w:pPr>
              <w:pStyle w:val="TableText0"/>
              <w:keepNext w:val="0"/>
              <w:jc w:val="center"/>
              <w:rPr>
                <w:vertAlign w:val="superscript"/>
              </w:rPr>
            </w:pPr>
            <w:r w:rsidRPr="008B02E0">
              <w:t>$</w:t>
            </w:r>
            <w:r w:rsidR="00E11347" w:rsidRPr="00E11347">
              <w:rPr>
                <w:color w:val="000000"/>
                <w:spacing w:val="53"/>
                <w:shd w:val="solid" w:color="000000" w:fill="000000"/>
                <w:fitText w:val="330" w:id="-628963325"/>
                <w14:textFill>
                  <w14:solidFill>
                    <w14:srgbClr w14:val="000000">
                      <w14:alpha w14:val="100000"/>
                    </w14:srgbClr>
                  </w14:solidFill>
                </w14:textFill>
              </w:rPr>
              <w:t>|||</w:t>
            </w:r>
            <w:r w:rsidR="00E11347" w:rsidRPr="00E11347">
              <w:rPr>
                <w:color w:val="000000"/>
                <w:spacing w:val="1"/>
                <w:shd w:val="solid" w:color="000000" w:fill="000000"/>
                <w:fitText w:val="330" w:id="-628963325"/>
                <w14:textFill>
                  <w14:solidFill>
                    <w14:srgbClr w14:val="000000">
                      <w14:alpha w14:val="100000"/>
                    </w14:srgbClr>
                  </w14:solidFill>
                </w14:textFill>
              </w:rPr>
              <w:t>|</w:t>
            </w:r>
            <w:r w:rsidR="00C50A61">
              <w:rPr>
                <w:vertAlign w:val="superscript"/>
              </w:rPr>
              <w:t>1</w:t>
            </w:r>
          </w:p>
        </w:tc>
        <w:tc>
          <w:tcPr>
            <w:tcW w:w="596" w:type="pct"/>
            <w:tcBorders>
              <w:top w:val="nil"/>
              <w:bottom w:val="nil"/>
            </w:tcBorders>
            <w:vAlign w:val="top"/>
          </w:tcPr>
          <w:p w14:paraId="52973F6A" w14:textId="2737D593" w:rsidR="00EB6430" w:rsidRPr="008B02E0" w:rsidRDefault="00E11347" w:rsidP="00AE5B32">
            <w:pPr>
              <w:pStyle w:val="TableText0"/>
              <w:keepNext w:val="0"/>
              <w:jc w:val="center"/>
            </w:pPr>
            <w:r w:rsidRPr="00E11347">
              <w:rPr>
                <w:color w:val="000000"/>
                <w:spacing w:val="53"/>
                <w:shd w:val="solid" w:color="000000" w:fill="000000"/>
                <w:fitText w:val="330" w:id="-628963324"/>
                <w14:textFill>
                  <w14:solidFill>
                    <w14:srgbClr w14:val="000000">
                      <w14:alpha w14:val="100000"/>
                    </w14:srgbClr>
                  </w14:solidFill>
                </w14:textFill>
              </w:rPr>
              <w:t>|||</w:t>
            </w:r>
            <w:r w:rsidRPr="00E11347">
              <w:rPr>
                <w:color w:val="000000"/>
                <w:spacing w:val="1"/>
                <w:shd w:val="solid" w:color="000000" w:fill="000000"/>
                <w:fitText w:val="330" w:id="-628963324"/>
                <w14:textFill>
                  <w14:solidFill>
                    <w14:srgbClr w14:val="000000">
                      <w14:alpha w14:val="100000"/>
                    </w14:srgbClr>
                  </w14:solidFill>
                </w14:textFill>
              </w:rPr>
              <w:t>|</w:t>
            </w:r>
            <w:r w:rsidR="00EB6430" w:rsidRPr="008B02E0">
              <w:t>%</w:t>
            </w:r>
          </w:p>
        </w:tc>
      </w:tr>
      <w:tr w:rsidR="00EB6430" w:rsidRPr="008B02E0" w14:paraId="4691D4C8" w14:textId="77777777" w:rsidTr="007648A6">
        <w:tc>
          <w:tcPr>
            <w:tcW w:w="2264" w:type="pct"/>
            <w:tcBorders>
              <w:top w:val="nil"/>
              <w:bottom w:val="nil"/>
            </w:tcBorders>
          </w:tcPr>
          <w:p w14:paraId="3CA76024" w14:textId="118D1084" w:rsidR="00EB6430" w:rsidRPr="008B02E0" w:rsidRDefault="00EB6430" w:rsidP="00AE5B32">
            <w:pPr>
              <w:pStyle w:val="TableText0"/>
              <w:keepNext w:val="0"/>
              <w:numPr>
                <w:ilvl w:val="0"/>
                <w:numId w:val="6"/>
              </w:numPr>
              <w:ind w:left="104" w:hanging="49"/>
              <w:rPr>
                <w:i/>
                <w:iCs/>
              </w:rPr>
            </w:pPr>
            <w:r w:rsidRPr="008B02E0">
              <w:rPr>
                <w:iCs/>
              </w:rPr>
              <w:t>Maximum 2 years (NIVO 26.4 doses, IPI 4 doses, pembrolizumab 34.8 doses)</w:t>
            </w:r>
            <w:r w:rsidRPr="008B02E0">
              <w:rPr>
                <w:vertAlign w:val="superscript"/>
              </w:rPr>
              <w:t>c</w:t>
            </w:r>
          </w:p>
        </w:tc>
        <w:tc>
          <w:tcPr>
            <w:tcW w:w="739" w:type="pct"/>
            <w:tcBorders>
              <w:top w:val="nil"/>
              <w:bottom w:val="nil"/>
            </w:tcBorders>
            <w:vAlign w:val="top"/>
          </w:tcPr>
          <w:p w14:paraId="7C201D91" w14:textId="599B50BA" w:rsidR="00EB6430" w:rsidRPr="008B02E0" w:rsidRDefault="00EB6430" w:rsidP="00AE5B32">
            <w:pPr>
              <w:pStyle w:val="TableText0"/>
              <w:keepNext w:val="0"/>
              <w:jc w:val="center"/>
              <w:rPr>
                <w:i/>
                <w:iCs/>
              </w:rPr>
            </w:pPr>
            <w:r w:rsidRPr="008B02E0">
              <w:t>$</w:t>
            </w:r>
            <w:r w:rsidR="00E11347" w:rsidRPr="00E11347">
              <w:rPr>
                <w:color w:val="000000"/>
                <w:spacing w:val="53"/>
                <w:shd w:val="solid" w:color="000000" w:fill="000000"/>
                <w:fitText w:val="330" w:id="-628963323"/>
                <w14:textFill>
                  <w14:solidFill>
                    <w14:srgbClr w14:val="000000">
                      <w14:alpha w14:val="100000"/>
                    </w14:srgbClr>
                  </w14:solidFill>
                </w14:textFill>
              </w:rPr>
              <w:t>|||</w:t>
            </w:r>
            <w:r w:rsidR="00E11347" w:rsidRPr="00E11347">
              <w:rPr>
                <w:color w:val="000000"/>
                <w:spacing w:val="1"/>
                <w:shd w:val="solid" w:color="000000" w:fill="000000"/>
                <w:fitText w:val="330" w:id="-628963323"/>
                <w14:textFill>
                  <w14:solidFill>
                    <w14:srgbClr w14:val="000000">
                      <w14:alpha w14:val="100000"/>
                    </w14:srgbClr>
                  </w14:solidFill>
                </w14:textFill>
              </w:rPr>
              <w:t>|</w:t>
            </w:r>
          </w:p>
        </w:tc>
        <w:tc>
          <w:tcPr>
            <w:tcW w:w="766" w:type="pct"/>
            <w:tcBorders>
              <w:top w:val="nil"/>
              <w:bottom w:val="nil"/>
            </w:tcBorders>
            <w:vAlign w:val="top"/>
          </w:tcPr>
          <w:p w14:paraId="771B315E" w14:textId="77777777" w:rsidR="00EB6430" w:rsidRPr="008B02E0" w:rsidRDefault="00EB6430" w:rsidP="00AE5B32">
            <w:pPr>
              <w:pStyle w:val="TableText0"/>
              <w:keepNext w:val="0"/>
              <w:jc w:val="center"/>
              <w:rPr>
                <w:i/>
                <w:iCs/>
              </w:rPr>
            </w:pPr>
            <w:r w:rsidRPr="008B02E0">
              <w:t>1.58</w:t>
            </w:r>
          </w:p>
        </w:tc>
        <w:tc>
          <w:tcPr>
            <w:tcW w:w="635" w:type="pct"/>
            <w:tcBorders>
              <w:top w:val="nil"/>
              <w:bottom w:val="nil"/>
            </w:tcBorders>
            <w:vAlign w:val="top"/>
          </w:tcPr>
          <w:p w14:paraId="6941E05A" w14:textId="7A146104" w:rsidR="00EB6430" w:rsidRPr="00CC4804" w:rsidRDefault="00EB6430" w:rsidP="00AE5B32">
            <w:pPr>
              <w:pStyle w:val="TableText0"/>
              <w:keepNext w:val="0"/>
              <w:jc w:val="center"/>
              <w:rPr>
                <w:i/>
                <w:iCs/>
                <w:vertAlign w:val="superscript"/>
              </w:rPr>
            </w:pPr>
            <w:r w:rsidRPr="008B02E0">
              <w:t>$</w:t>
            </w:r>
            <w:r w:rsidR="00E11347" w:rsidRPr="00E11347">
              <w:rPr>
                <w:color w:val="000000"/>
                <w:spacing w:val="53"/>
                <w:shd w:val="solid" w:color="000000" w:fill="000000"/>
                <w:fitText w:val="330" w:id="-628963322"/>
                <w14:textFill>
                  <w14:solidFill>
                    <w14:srgbClr w14:val="000000">
                      <w14:alpha w14:val="100000"/>
                    </w14:srgbClr>
                  </w14:solidFill>
                </w14:textFill>
              </w:rPr>
              <w:t>|||</w:t>
            </w:r>
            <w:r w:rsidR="00E11347" w:rsidRPr="00E11347">
              <w:rPr>
                <w:color w:val="000000"/>
                <w:spacing w:val="1"/>
                <w:shd w:val="solid" w:color="000000" w:fill="000000"/>
                <w:fitText w:val="330" w:id="-628963322"/>
                <w14:textFill>
                  <w14:solidFill>
                    <w14:srgbClr w14:val="000000">
                      <w14:alpha w14:val="100000"/>
                    </w14:srgbClr>
                  </w14:solidFill>
                </w14:textFill>
              </w:rPr>
              <w:t>|</w:t>
            </w:r>
            <w:r w:rsidR="00CC4804">
              <w:rPr>
                <w:vertAlign w:val="superscript"/>
              </w:rPr>
              <w:t>8</w:t>
            </w:r>
          </w:p>
        </w:tc>
        <w:tc>
          <w:tcPr>
            <w:tcW w:w="596" w:type="pct"/>
            <w:tcBorders>
              <w:top w:val="nil"/>
              <w:bottom w:val="nil"/>
            </w:tcBorders>
            <w:vAlign w:val="top"/>
          </w:tcPr>
          <w:p w14:paraId="1F48CA9E" w14:textId="16169EBE" w:rsidR="00EB6430" w:rsidRPr="008B02E0" w:rsidRDefault="00E11347" w:rsidP="00AE5B32">
            <w:pPr>
              <w:pStyle w:val="TableText0"/>
              <w:keepNext w:val="0"/>
              <w:jc w:val="center"/>
              <w:rPr>
                <w:i/>
                <w:iCs/>
              </w:rPr>
            </w:pPr>
            <w:r w:rsidRPr="00E11347">
              <w:rPr>
                <w:color w:val="000000"/>
                <w:spacing w:val="53"/>
                <w:shd w:val="solid" w:color="000000" w:fill="000000"/>
                <w:fitText w:val="330" w:id="-628963321"/>
                <w14:textFill>
                  <w14:solidFill>
                    <w14:srgbClr w14:val="000000">
                      <w14:alpha w14:val="100000"/>
                    </w14:srgbClr>
                  </w14:solidFill>
                </w14:textFill>
              </w:rPr>
              <w:t>|||</w:t>
            </w:r>
            <w:r w:rsidRPr="00E11347">
              <w:rPr>
                <w:color w:val="000000"/>
                <w:spacing w:val="1"/>
                <w:shd w:val="solid" w:color="000000" w:fill="000000"/>
                <w:fitText w:val="330" w:id="-628963321"/>
                <w14:textFill>
                  <w14:solidFill>
                    <w14:srgbClr w14:val="000000">
                      <w14:alpha w14:val="100000"/>
                    </w14:srgbClr>
                  </w14:solidFill>
                </w14:textFill>
              </w:rPr>
              <w:t>|</w:t>
            </w:r>
            <w:r w:rsidR="00EB6430" w:rsidRPr="008B02E0">
              <w:t>%</w:t>
            </w:r>
          </w:p>
        </w:tc>
      </w:tr>
      <w:tr w:rsidR="00EB6430" w:rsidRPr="008B02E0" w14:paraId="38B03380" w14:textId="77777777" w:rsidTr="007648A6">
        <w:tc>
          <w:tcPr>
            <w:tcW w:w="2264" w:type="pct"/>
            <w:tcBorders>
              <w:top w:val="single" w:sz="4" w:space="0" w:color="auto"/>
              <w:bottom w:val="single" w:sz="4" w:space="0" w:color="auto"/>
            </w:tcBorders>
          </w:tcPr>
          <w:p w14:paraId="02AABA68" w14:textId="77777777" w:rsidR="00EB6430" w:rsidRPr="008B02E0" w:rsidRDefault="00EB6430" w:rsidP="00AE5B32">
            <w:pPr>
              <w:pStyle w:val="TableText0"/>
              <w:rPr>
                <w:i/>
                <w:iCs/>
              </w:rPr>
            </w:pPr>
            <w:r w:rsidRPr="008B02E0">
              <w:t>No terminal care cost (base case $33,533 per death)</w:t>
            </w:r>
          </w:p>
        </w:tc>
        <w:tc>
          <w:tcPr>
            <w:tcW w:w="739" w:type="pct"/>
            <w:tcBorders>
              <w:top w:val="single" w:sz="4" w:space="0" w:color="auto"/>
              <w:bottom w:val="single" w:sz="4" w:space="0" w:color="auto"/>
            </w:tcBorders>
            <w:vAlign w:val="top"/>
          </w:tcPr>
          <w:p w14:paraId="6ABDDCFA" w14:textId="63401DF1" w:rsidR="00EB6430" w:rsidRPr="008B02E0" w:rsidRDefault="00EB6430" w:rsidP="00AE5B32">
            <w:pPr>
              <w:pStyle w:val="TableText0"/>
              <w:keepNext w:val="0"/>
              <w:jc w:val="center"/>
              <w:rPr>
                <w:i/>
                <w:iCs/>
              </w:rPr>
            </w:pPr>
            <w:r w:rsidRPr="008B02E0">
              <w:t>$</w:t>
            </w:r>
            <w:r w:rsidR="00E11347" w:rsidRPr="00E11347">
              <w:rPr>
                <w:color w:val="000000"/>
                <w:spacing w:val="53"/>
                <w:shd w:val="solid" w:color="000000" w:fill="000000"/>
                <w:fitText w:val="330" w:id="-628963320"/>
                <w14:textFill>
                  <w14:solidFill>
                    <w14:srgbClr w14:val="000000">
                      <w14:alpha w14:val="100000"/>
                    </w14:srgbClr>
                  </w14:solidFill>
                </w14:textFill>
              </w:rPr>
              <w:t>|||</w:t>
            </w:r>
            <w:r w:rsidR="00E11347" w:rsidRPr="00E11347">
              <w:rPr>
                <w:color w:val="000000"/>
                <w:spacing w:val="1"/>
                <w:shd w:val="solid" w:color="000000" w:fill="000000"/>
                <w:fitText w:val="330" w:id="-628963320"/>
                <w14:textFill>
                  <w14:solidFill>
                    <w14:srgbClr w14:val="000000">
                      <w14:alpha w14:val="100000"/>
                    </w14:srgbClr>
                  </w14:solidFill>
                </w14:textFill>
              </w:rPr>
              <w:t>|</w:t>
            </w:r>
          </w:p>
        </w:tc>
        <w:tc>
          <w:tcPr>
            <w:tcW w:w="766" w:type="pct"/>
            <w:tcBorders>
              <w:top w:val="single" w:sz="4" w:space="0" w:color="auto"/>
              <w:bottom w:val="single" w:sz="4" w:space="0" w:color="auto"/>
            </w:tcBorders>
            <w:vAlign w:val="top"/>
          </w:tcPr>
          <w:p w14:paraId="10D361AE" w14:textId="77777777" w:rsidR="00EB6430" w:rsidRPr="008B02E0" w:rsidRDefault="00EB6430" w:rsidP="00AE5B32">
            <w:pPr>
              <w:pStyle w:val="TableText0"/>
              <w:keepNext w:val="0"/>
              <w:jc w:val="center"/>
              <w:rPr>
                <w:i/>
                <w:iCs/>
              </w:rPr>
            </w:pPr>
            <w:r w:rsidRPr="008B02E0">
              <w:t>1.58</w:t>
            </w:r>
          </w:p>
        </w:tc>
        <w:tc>
          <w:tcPr>
            <w:tcW w:w="635" w:type="pct"/>
            <w:tcBorders>
              <w:top w:val="single" w:sz="4" w:space="0" w:color="auto"/>
              <w:bottom w:val="single" w:sz="4" w:space="0" w:color="auto"/>
            </w:tcBorders>
            <w:vAlign w:val="top"/>
          </w:tcPr>
          <w:p w14:paraId="1857082F" w14:textId="51005B22" w:rsidR="00EB6430" w:rsidRPr="00CC4804" w:rsidRDefault="00EB6430" w:rsidP="00AE5B32">
            <w:pPr>
              <w:pStyle w:val="TableText0"/>
              <w:keepNext w:val="0"/>
              <w:jc w:val="center"/>
              <w:rPr>
                <w:i/>
                <w:iCs/>
                <w:vertAlign w:val="superscript"/>
              </w:rPr>
            </w:pPr>
            <w:r w:rsidRPr="008B02E0">
              <w:t>$</w:t>
            </w:r>
            <w:r w:rsidR="00E11347" w:rsidRPr="00E11347">
              <w:rPr>
                <w:color w:val="000000"/>
                <w:spacing w:val="53"/>
                <w:shd w:val="solid" w:color="000000" w:fill="000000"/>
                <w:fitText w:val="330" w:id="-628963319"/>
                <w14:textFill>
                  <w14:solidFill>
                    <w14:srgbClr w14:val="000000">
                      <w14:alpha w14:val="100000"/>
                    </w14:srgbClr>
                  </w14:solidFill>
                </w14:textFill>
              </w:rPr>
              <w:t>|||</w:t>
            </w:r>
            <w:r w:rsidR="00E11347" w:rsidRPr="00E11347">
              <w:rPr>
                <w:color w:val="000000"/>
                <w:spacing w:val="1"/>
                <w:shd w:val="solid" w:color="000000" w:fill="000000"/>
                <w:fitText w:val="330" w:id="-628963319"/>
                <w14:textFill>
                  <w14:solidFill>
                    <w14:srgbClr w14:val="000000">
                      <w14:alpha w14:val="100000"/>
                    </w14:srgbClr>
                  </w14:solidFill>
                </w14:textFill>
              </w:rPr>
              <w:t>|</w:t>
            </w:r>
            <w:r w:rsidR="00CC4804">
              <w:rPr>
                <w:vertAlign w:val="superscript"/>
              </w:rPr>
              <w:t>1</w:t>
            </w:r>
          </w:p>
        </w:tc>
        <w:tc>
          <w:tcPr>
            <w:tcW w:w="596" w:type="pct"/>
            <w:tcBorders>
              <w:top w:val="single" w:sz="4" w:space="0" w:color="auto"/>
              <w:bottom w:val="single" w:sz="4" w:space="0" w:color="auto"/>
            </w:tcBorders>
            <w:vAlign w:val="top"/>
          </w:tcPr>
          <w:p w14:paraId="5DE1C0D9" w14:textId="111F82B6" w:rsidR="00EB6430" w:rsidRPr="008B02E0" w:rsidRDefault="00E11347" w:rsidP="00AE5B32">
            <w:pPr>
              <w:pStyle w:val="TableText0"/>
              <w:keepNext w:val="0"/>
              <w:jc w:val="center"/>
              <w:rPr>
                <w:i/>
                <w:iCs/>
              </w:rPr>
            </w:pPr>
            <w:r w:rsidRPr="00E11347">
              <w:rPr>
                <w:color w:val="000000"/>
                <w:spacing w:val="53"/>
                <w:shd w:val="solid" w:color="000000" w:fill="000000"/>
                <w:fitText w:val="330" w:id="-628963318"/>
                <w14:textFill>
                  <w14:solidFill>
                    <w14:srgbClr w14:val="000000">
                      <w14:alpha w14:val="100000"/>
                    </w14:srgbClr>
                  </w14:solidFill>
                </w14:textFill>
              </w:rPr>
              <w:t>|||</w:t>
            </w:r>
            <w:r w:rsidRPr="00E11347">
              <w:rPr>
                <w:color w:val="000000"/>
                <w:spacing w:val="1"/>
                <w:shd w:val="solid" w:color="000000" w:fill="000000"/>
                <w:fitText w:val="330" w:id="-628963318"/>
                <w14:textFill>
                  <w14:solidFill>
                    <w14:srgbClr w14:val="000000">
                      <w14:alpha w14:val="100000"/>
                    </w14:srgbClr>
                  </w14:solidFill>
                </w14:textFill>
              </w:rPr>
              <w:t>|</w:t>
            </w:r>
            <w:r w:rsidR="00EB6430" w:rsidRPr="008B02E0">
              <w:t>%</w:t>
            </w:r>
          </w:p>
        </w:tc>
      </w:tr>
      <w:tr w:rsidR="00EB6430" w:rsidRPr="008B02E0" w14:paraId="5D8C9B86" w14:textId="77777777" w:rsidTr="007648A6">
        <w:tc>
          <w:tcPr>
            <w:tcW w:w="5000" w:type="pct"/>
            <w:gridSpan w:val="5"/>
            <w:tcBorders>
              <w:top w:val="single" w:sz="4" w:space="0" w:color="auto"/>
              <w:bottom w:val="nil"/>
            </w:tcBorders>
          </w:tcPr>
          <w:p w14:paraId="5AB49A34" w14:textId="2320E7C3" w:rsidR="00EB6430" w:rsidRPr="008B02E0" w:rsidRDefault="00EB6430" w:rsidP="00AE5B32">
            <w:pPr>
              <w:pStyle w:val="TableText0"/>
            </w:pPr>
            <w:r w:rsidRPr="008B02E0">
              <w:t>Population characteristics (base case CM</w:t>
            </w:r>
            <w:r w:rsidR="009E5502">
              <w:noBreakHyphen/>
            </w:r>
            <w:r w:rsidRPr="008B02E0">
              <w:t>8HW 1L NIVO+IPI and chemotherapy arms combined)</w:t>
            </w:r>
          </w:p>
        </w:tc>
      </w:tr>
      <w:tr w:rsidR="00EB6430" w:rsidRPr="008B02E0" w14:paraId="24A90AAC" w14:textId="77777777" w:rsidTr="007648A6">
        <w:tc>
          <w:tcPr>
            <w:tcW w:w="2264" w:type="pct"/>
            <w:tcBorders>
              <w:top w:val="nil"/>
              <w:bottom w:val="single" w:sz="4" w:space="0" w:color="auto"/>
            </w:tcBorders>
            <w:vAlign w:val="top"/>
          </w:tcPr>
          <w:p w14:paraId="76374D53" w14:textId="6CC178D1" w:rsidR="00EB6430" w:rsidRPr="008B02E0" w:rsidRDefault="00EB6430" w:rsidP="00AE5B32">
            <w:pPr>
              <w:pStyle w:val="TableText0"/>
              <w:rPr>
                <w:iCs/>
              </w:rPr>
            </w:pPr>
            <w:r w:rsidRPr="008B02E0">
              <w:rPr>
                <w:iCs/>
              </w:rPr>
              <w:t>Chong 2019 (S</w:t>
            </w:r>
            <w:r w:rsidR="00B5127B" w:rsidRPr="008B02E0">
              <w:rPr>
                <w:iCs/>
              </w:rPr>
              <w:t xml:space="preserve">outh </w:t>
            </w:r>
            <w:r w:rsidRPr="008B02E0">
              <w:rPr>
                <w:iCs/>
              </w:rPr>
              <w:t>A</w:t>
            </w:r>
            <w:r w:rsidR="00B5127B" w:rsidRPr="008B02E0">
              <w:rPr>
                <w:iCs/>
              </w:rPr>
              <w:t>ustralia</w:t>
            </w:r>
            <w:r w:rsidRPr="008B02E0">
              <w:rPr>
                <w:iCs/>
              </w:rPr>
              <w:t xml:space="preserve"> MSI</w:t>
            </w:r>
            <w:r w:rsidR="009E5502">
              <w:rPr>
                <w:iCs/>
              </w:rPr>
              <w:noBreakHyphen/>
            </w:r>
            <w:r w:rsidRPr="008B02E0">
              <w:rPr>
                <w:iCs/>
              </w:rPr>
              <w:t>H population)</w:t>
            </w:r>
          </w:p>
        </w:tc>
        <w:tc>
          <w:tcPr>
            <w:tcW w:w="739" w:type="pct"/>
            <w:tcBorders>
              <w:top w:val="nil"/>
              <w:bottom w:val="single" w:sz="4" w:space="0" w:color="auto"/>
            </w:tcBorders>
            <w:vAlign w:val="top"/>
          </w:tcPr>
          <w:p w14:paraId="429E6DB3" w14:textId="29504FA8"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317"/>
                <w14:textFill>
                  <w14:solidFill>
                    <w14:srgbClr w14:val="000000">
                      <w14:alpha w14:val="100000"/>
                    </w14:srgbClr>
                  </w14:solidFill>
                </w14:textFill>
              </w:rPr>
              <w:t>|||</w:t>
            </w:r>
            <w:r w:rsidR="00E11347" w:rsidRPr="00E11347">
              <w:rPr>
                <w:iCs/>
                <w:color w:val="000000"/>
                <w:spacing w:val="1"/>
                <w:shd w:val="solid" w:color="000000" w:fill="000000"/>
                <w:fitText w:val="330" w:id="-628963317"/>
                <w14:textFill>
                  <w14:solidFill>
                    <w14:srgbClr w14:val="000000">
                      <w14:alpha w14:val="100000"/>
                    </w14:srgbClr>
                  </w14:solidFill>
                </w14:textFill>
              </w:rPr>
              <w:t>|</w:t>
            </w:r>
          </w:p>
        </w:tc>
        <w:tc>
          <w:tcPr>
            <w:tcW w:w="766" w:type="pct"/>
            <w:tcBorders>
              <w:top w:val="nil"/>
              <w:bottom w:val="single" w:sz="4" w:space="0" w:color="auto"/>
            </w:tcBorders>
            <w:vAlign w:val="top"/>
          </w:tcPr>
          <w:p w14:paraId="52E3524E" w14:textId="77777777" w:rsidR="00EB6430" w:rsidRPr="008B02E0" w:rsidRDefault="00EB6430" w:rsidP="00AE5B32">
            <w:pPr>
              <w:pStyle w:val="TableText0"/>
              <w:keepNext w:val="0"/>
              <w:jc w:val="center"/>
              <w:rPr>
                <w:iCs/>
              </w:rPr>
            </w:pPr>
            <w:r w:rsidRPr="008B02E0">
              <w:rPr>
                <w:iCs/>
              </w:rPr>
              <w:t>1.33</w:t>
            </w:r>
          </w:p>
        </w:tc>
        <w:tc>
          <w:tcPr>
            <w:tcW w:w="635" w:type="pct"/>
            <w:tcBorders>
              <w:top w:val="nil"/>
              <w:bottom w:val="single" w:sz="4" w:space="0" w:color="auto"/>
            </w:tcBorders>
            <w:vAlign w:val="top"/>
          </w:tcPr>
          <w:p w14:paraId="75D951D9" w14:textId="283B2AA1" w:rsidR="00EB6430" w:rsidRPr="00CC4804"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316"/>
                <w14:textFill>
                  <w14:solidFill>
                    <w14:srgbClr w14:val="000000">
                      <w14:alpha w14:val="100000"/>
                    </w14:srgbClr>
                  </w14:solidFill>
                </w14:textFill>
              </w:rPr>
              <w:t>|||</w:t>
            </w:r>
            <w:r w:rsidR="00E11347" w:rsidRPr="00E11347">
              <w:rPr>
                <w:iCs/>
                <w:color w:val="000000"/>
                <w:spacing w:val="1"/>
                <w:shd w:val="solid" w:color="000000" w:fill="000000"/>
                <w:fitText w:val="330" w:id="-628963316"/>
                <w14:textFill>
                  <w14:solidFill>
                    <w14:srgbClr w14:val="000000">
                      <w14:alpha w14:val="100000"/>
                    </w14:srgbClr>
                  </w14:solidFill>
                </w14:textFill>
              </w:rPr>
              <w:t>|</w:t>
            </w:r>
            <w:r w:rsidR="00CC4804">
              <w:rPr>
                <w:iCs/>
                <w:vertAlign w:val="superscript"/>
              </w:rPr>
              <w:t>1</w:t>
            </w:r>
          </w:p>
        </w:tc>
        <w:tc>
          <w:tcPr>
            <w:tcW w:w="596" w:type="pct"/>
            <w:tcBorders>
              <w:top w:val="nil"/>
              <w:bottom w:val="single" w:sz="4" w:space="0" w:color="auto"/>
            </w:tcBorders>
            <w:vAlign w:val="top"/>
          </w:tcPr>
          <w:p w14:paraId="2D25F808" w14:textId="29A6325B" w:rsidR="00EB6430" w:rsidRPr="008B02E0" w:rsidRDefault="00E11347" w:rsidP="00AE5B32">
            <w:pPr>
              <w:pStyle w:val="TableText0"/>
              <w:keepNext w:val="0"/>
              <w:jc w:val="center"/>
              <w:rPr>
                <w:iCs/>
              </w:rPr>
            </w:pPr>
            <w:r w:rsidRPr="00E11347">
              <w:rPr>
                <w:iCs/>
                <w:color w:val="000000"/>
                <w:spacing w:val="53"/>
                <w:shd w:val="solid" w:color="000000" w:fill="000000"/>
                <w:fitText w:val="330" w:id="-628963315"/>
                <w14:textFill>
                  <w14:solidFill>
                    <w14:srgbClr w14:val="000000">
                      <w14:alpha w14:val="100000"/>
                    </w14:srgbClr>
                  </w14:solidFill>
                </w14:textFill>
              </w:rPr>
              <w:t>|||</w:t>
            </w:r>
            <w:r w:rsidRPr="00E11347">
              <w:rPr>
                <w:iCs/>
                <w:color w:val="000000"/>
                <w:spacing w:val="1"/>
                <w:shd w:val="solid" w:color="000000" w:fill="000000"/>
                <w:fitText w:val="330" w:id="-628963315"/>
                <w14:textFill>
                  <w14:solidFill>
                    <w14:srgbClr w14:val="000000">
                      <w14:alpha w14:val="100000"/>
                    </w14:srgbClr>
                  </w14:solidFill>
                </w14:textFill>
              </w:rPr>
              <w:t>|</w:t>
            </w:r>
            <w:r w:rsidR="00EB6430" w:rsidRPr="008B02E0">
              <w:rPr>
                <w:iCs/>
              </w:rPr>
              <w:t>%</w:t>
            </w:r>
          </w:p>
        </w:tc>
      </w:tr>
      <w:tr w:rsidR="00EB6430" w:rsidRPr="008B02E0" w14:paraId="293B7918" w14:textId="77777777" w:rsidTr="007648A6">
        <w:tc>
          <w:tcPr>
            <w:tcW w:w="2264" w:type="pct"/>
            <w:tcBorders>
              <w:top w:val="nil"/>
              <w:bottom w:val="single" w:sz="4" w:space="0" w:color="auto"/>
            </w:tcBorders>
            <w:vAlign w:val="top"/>
          </w:tcPr>
          <w:p w14:paraId="040B3211" w14:textId="4DD71CC1" w:rsidR="00EB6430" w:rsidRPr="008B02E0" w:rsidRDefault="00EB6430" w:rsidP="00AE5B32">
            <w:pPr>
              <w:pStyle w:val="TableText0"/>
              <w:rPr>
                <w:iCs/>
              </w:rPr>
            </w:pPr>
            <w:r w:rsidRPr="008B02E0">
              <w:rPr>
                <w:iCs/>
              </w:rPr>
              <w:t>Centrally confirmed MSI</w:t>
            </w:r>
            <w:r w:rsidR="009E5502">
              <w:rPr>
                <w:iCs/>
              </w:rPr>
              <w:noBreakHyphen/>
            </w:r>
            <w:r w:rsidRPr="008B02E0">
              <w:rPr>
                <w:iCs/>
              </w:rPr>
              <w:t>H/dMMR subgroup (base case locally confirmed)</w:t>
            </w:r>
            <w:r w:rsidRPr="008B02E0">
              <w:rPr>
                <w:iCs/>
                <w:vertAlign w:val="superscript"/>
              </w:rPr>
              <w:t>e</w:t>
            </w:r>
          </w:p>
        </w:tc>
        <w:tc>
          <w:tcPr>
            <w:tcW w:w="739" w:type="pct"/>
            <w:tcBorders>
              <w:top w:val="nil"/>
              <w:bottom w:val="single" w:sz="4" w:space="0" w:color="auto"/>
            </w:tcBorders>
            <w:vAlign w:val="top"/>
          </w:tcPr>
          <w:p w14:paraId="3C8C77E3" w14:textId="4899E0FC" w:rsidR="00EB6430" w:rsidRPr="008B02E0" w:rsidRDefault="00EB6430" w:rsidP="00AE5B32">
            <w:pPr>
              <w:pStyle w:val="TableText0"/>
              <w:keepNext w:val="0"/>
              <w:jc w:val="center"/>
              <w:rPr>
                <w:iCs/>
              </w:rPr>
            </w:pPr>
            <w:r w:rsidRPr="008B02E0">
              <w:rPr>
                <w:iCs/>
              </w:rPr>
              <w:t>$</w:t>
            </w:r>
            <w:r w:rsidR="00E11347" w:rsidRPr="00E11347">
              <w:rPr>
                <w:iCs/>
                <w:color w:val="000000"/>
                <w:spacing w:val="53"/>
                <w:shd w:val="solid" w:color="000000" w:fill="000000"/>
                <w:fitText w:val="330" w:id="-628963314"/>
                <w14:textFill>
                  <w14:solidFill>
                    <w14:srgbClr w14:val="000000">
                      <w14:alpha w14:val="100000"/>
                    </w14:srgbClr>
                  </w14:solidFill>
                </w14:textFill>
              </w:rPr>
              <w:t>|||</w:t>
            </w:r>
            <w:r w:rsidR="00E11347" w:rsidRPr="00E11347">
              <w:rPr>
                <w:iCs/>
                <w:color w:val="000000"/>
                <w:spacing w:val="1"/>
                <w:shd w:val="solid" w:color="000000" w:fill="000000"/>
                <w:fitText w:val="330" w:id="-628963314"/>
                <w14:textFill>
                  <w14:solidFill>
                    <w14:srgbClr w14:val="000000">
                      <w14:alpha w14:val="100000"/>
                    </w14:srgbClr>
                  </w14:solidFill>
                </w14:textFill>
              </w:rPr>
              <w:t>|</w:t>
            </w:r>
          </w:p>
        </w:tc>
        <w:tc>
          <w:tcPr>
            <w:tcW w:w="766" w:type="pct"/>
            <w:tcBorders>
              <w:top w:val="nil"/>
              <w:bottom w:val="single" w:sz="4" w:space="0" w:color="auto"/>
            </w:tcBorders>
            <w:vAlign w:val="top"/>
          </w:tcPr>
          <w:p w14:paraId="73E024C4" w14:textId="77777777" w:rsidR="00EB6430" w:rsidRPr="008B02E0" w:rsidRDefault="00EB6430" w:rsidP="00AE5B32">
            <w:pPr>
              <w:pStyle w:val="TableText0"/>
              <w:keepNext w:val="0"/>
              <w:jc w:val="center"/>
              <w:rPr>
                <w:iCs/>
              </w:rPr>
            </w:pPr>
            <w:r w:rsidRPr="008B02E0">
              <w:rPr>
                <w:iCs/>
              </w:rPr>
              <w:t>1.15</w:t>
            </w:r>
          </w:p>
        </w:tc>
        <w:tc>
          <w:tcPr>
            <w:tcW w:w="635" w:type="pct"/>
            <w:tcBorders>
              <w:top w:val="nil"/>
              <w:bottom w:val="single" w:sz="4" w:space="0" w:color="auto"/>
            </w:tcBorders>
            <w:vAlign w:val="top"/>
          </w:tcPr>
          <w:p w14:paraId="78EF6338" w14:textId="40F4DB08" w:rsidR="00EB6430" w:rsidRPr="00CC4804" w:rsidRDefault="00EB6430" w:rsidP="00AE5B32">
            <w:pPr>
              <w:pStyle w:val="TableText0"/>
              <w:keepNext w:val="0"/>
              <w:jc w:val="center"/>
              <w:rPr>
                <w:iCs/>
                <w:vertAlign w:val="superscript"/>
              </w:rPr>
            </w:pPr>
            <w:r w:rsidRPr="008B02E0">
              <w:rPr>
                <w:iCs/>
              </w:rPr>
              <w:t>$</w:t>
            </w:r>
            <w:r w:rsidR="00E11347" w:rsidRPr="00E11347">
              <w:rPr>
                <w:iCs/>
                <w:color w:val="000000"/>
                <w:spacing w:val="53"/>
                <w:shd w:val="solid" w:color="000000" w:fill="000000"/>
                <w:fitText w:val="330" w:id="-628963313"/>
                <w14:textFill>
                  <w14:solidFill>
                    <w14:srgbClr w14:val="000000">
                      <w14:alpha w14:val="100000"/>
                    </w14:srgbClr>
                  </w14:solidFill>
                </w14:textFill>
              </w:rPr>
              <w:t>|||</w:t>
            </w:r>
            <w:r w:rsidR="00E11347" w:rsidRPr="00E11347">
              <w:rPr>
                <w:iCs/>
                <w:color w:val="000000"/>
                <w:spacing w:val="1"/>
                <w:shd w:val="solid" w:color="000000" w:fill="000000"/>
                <w:fitText w:val="330" w:id="-628963313"/>
                <w14:textFill>
                  <w14:solidFill>
                    <w14:srgbClr w14:val="000000">
                      <w14:alpha w14:val="100000"/>
                    </w14:srgbClr>
                  </w14:solidFill>
                </w14:textFill>
              </w:rPr>
              <w:t>|</w:t>
            </w:r>
            <w:r w:rsidR="00CC4804">
              <w:rPr>
                <w:iCs/>
                <w:vertAlign w:val="superscript"/>
              </w:rPr>
              <w:t>1</w:t>
            </w:r>
          </w:p>
        </w:tc>
        <w:tc>
          <w:tcPr>
            <w:tcW w:w="596" w:type="pct"/>
            <w:tcBorders>
              <w:top w:val="nil"/>
              <w:bottom w:val="single" w:sz="4" w:space="0" w:color="auto"/>
            </w:tcBorders>
            <w:vAlign w:val="top"/>
          </w:tcPr>
          <w:p w14:paraId="12BE4A77" w14:textId="41BAF4F0" w:rsidR="00EB6430" w:rsidRPr="008B02E0" w:rsidRDefault="00E11347" w:rsidP="00AE5B32">
            <w:pPr>
              <w:pStyle w:val="TableText0"/>
              <w:keepNext w:val="0"/>
              <w:jc w:val="center"/>
              <w:rPr>
                <w:iCs/>
              </w:rPr>
            </w:pPr>
            <w:r w:rsidRPr="00E11347">
              <w:rPr>
                <w:iCs/>
                <w:color w:val="000000"/>
                <w:spacing w:val="53"/>
                <w:shd w:val="solid" w:color="000000" w:fill="000000"/>
                <w:fitText w:val="330" w:id="-628963312"/>
                <w14:textFill>
                  <w14:solidFill>
                    <w14:srgbClr w14:val="000000">
                      <w14:alpha w14:val="100000"/>
                    </w14:srgbClr>
                  </w14:solidFill>
                </w14:textFill>
              </w:rPr>
              <w:t>|||</w:t>
            </w:r>
            <w:r w:rsidRPr="00E11347">
              <w:rPr>
                <w:iCs/>
                <w:color w:val="000000"/>
                <w:spacing w:val="1"/>
                <w:shd w:val="solid" w:color="000000" w:fill="000000"/>
                <w:fitText w:val="330" w:id="-628963312"/>
                <w14:textFill>
                  <w14:solidFill>
                    <w14:srgbClr w14:val="000000">
                      <w14:alpha w14:val="100000"/>
                    </w14:srgbClr>
                  </w14:solidFill>
                </w14:textFill>
              </w:rPr>
              <w:t>|</w:t>
            </w:r>
            <w:r w:rsidR="00EB6430" w:rsidRPr="008B02E0">
              <w:rPr>
                <w:iCs/>
              </w:rPr>
              <w:t>%</w:t>
            </w:r>
          </w:p>
        </w:tc>
      </w:tr>
    </w:tbl>
    <w:p w14:paraId="69A15A98" w14:textId="77777777" w:rsidR="00EB6430" w:rsidRPr="008B02E0" w:rsidRDefault="00EB6430" w:rsidP="00AE5B32">
      <w:pPr>
        <w:pStyle w:val="TableFigureFooter"/>
      </w:pPr>
      <w:r w:rsidRPr="008B02E0">
        <w:t xml:space="preserve">Italics indicate additional sensitivity analyses conducted during the evaluation. </w:t>
      </w:r>
    </w:p>
    <w:p w14:paraId="6E1D60FE" w14:textId="77777777" w:rsidR="00EB6430" w:rsidRPr="008B02E0" w:rsidRDefault="00EB6430" w:rsidP="00AE5B32">
      <w:pPr>
        <w:pStyle w:val="TableFigureFooter"/>
        <w:rPr>
          <w:iCs/>
        </w:rPr>
      </w:pPr>
      <w:r w:rsidRPr="008B02E0">
        <w:t xml:space="preserve">Source: Table 113 of the submission and </w:t>
      </w:r>
      <w:r w:rsidRPr="008B02E0">
        <w:rPr>
          <w:iCs/>
        </w:rPr>
        <w:t>compiled during the evaluation from ‘Excel workbook ‘Attachment 10 – Nivo+Ipi 1L mCRC Economic Evaluation.xlsm’</w:t>
      </w:r>
    </w:p>
    <w:p w14:paraId="781EE010" w14:textId="7FD93C0A" w:rsidR="00EB6430" w:rsidRPr="008B02E0" w:rsidRDefault="0099164B" w:rsidP="00AE5B32">
      <w:pPr>
        <w:pStyle w:val="TableFigureFooter"/>
      </w:pPr>
      <w:r w:rsidRPr="008B02E0">
        <w:t>HR=hazard ratio, ICER=incremental cost</w:t>
      </w:r>
      <w:r w:rsidR="009E5502">
        <w:noBreakHyphen/>
      </w:r>
      <w:r w:rsidRPr="008B02E0">
        <w:t xml:space="preserve">effectiveness ratio, IPI=ipilimumab, LY=life year, MAIC=matching adjusted indirect comparison, </w:t>
      </w:r>
      <w:r w:rsidR="00EB6430" w:rsidRPr="008B02E0">
        <w:t>NIVO=nivolumab</w:t>
      </w:r>
      <w:r w:rsidRPr="008B02E0">
        <w:t>,</w:t>
      </w:r>
      <w:r w:rsidR="00EB6430" w:rsidRPr="008B02E0">
        <w:t xml:space="preserve"> PD=progressed disease, PF=progression free, </w:t>
      </w:r>
      <w:r w:rsidRPr="008B02E0">
        <w:t xml:space="preserve">PFS=progression free survival, </w:t>
      </w:r>
      <w:r w:rsidR="00EB6430" w:rsidRPr="008B02E0">
        <w:t xml:space="preserve">QALY=quality adjusted life year, TTP=time to progression (PF to PD), TTD=time to treatment discontinuation </w:t>
      </w:r>
    </w:p>
    <w:p w14:paraId="5386C650" w14:textId="1D0D43BB" w:rsidR="00EB6430" w:rsidRPr="008B02E0" w:rsidRDefault="00EB6430" w:rsidP="00AE5B32">
      <w:pPr>
        <w:pStyle w:val="TableFigureFooter"/>
        <w:ind w:left="165" w:hanging="165"/>
        <w:rPr>
          <w:iCs/>
        </w:rPr>
      </w:pPr>
      <w:r w:rsidRPr="008B02E0">
        <w:rPr>
          <w:iCs/>
          <w:vertAlign w:val="superscript"/>
        </w:rPr>
        <w:t>a</w:t>
      </w:r>
      <w:r w:rsidRPr="008B02E0">
        <w:rPr>
          <w:iCs/>
          <w:vertAlign w:val="superscript"/>
        </w:rPr>
        <w:tab/>
      </w:r>
      <w:r w:rsidRPr="008B02E0">
        <w:rPr>
          <w:iCs/>
        </w:rPr>
        <w:t>only the mean value for the constant HR from the unanchored MAIC was presented as a scenario analysis in submission and appeared to be based on the PFS HR of nivolumab plus ipilimumab versus pembrolizumab presented in the submission, rather than a constant HR based on TTP of nivolumab plus ipilimumab versus PFS of pembrolizumab used to estimate the time</w:t>
      </w:r>
      <w:r w:rsidR="009E5502">
        <w:rPr>
          <w:iCs/>
        </w:rPr>
        <w:noBreakHyphen/>
      </w:r>
      <w:r w:rsidRPr="008B02E0">
        <w:rPr>
          <w:iCs/>
        </w:rPr>
        <w:t>varying HRs in the model base case.</w:t>
      </w:r>
    </w:p>
    <w:p w14:paraId="7472D8AE" w14:textId="73BDA6B3" w:rsidR="00EB6430" w:rsidRPr="008B02E0" w:rsidRDefault="00EB6430" w:rsidP="00AE5B32">
      <w:pPr>
        <w:pStyle w:val="TableFigureFooter"/>
        <w:ind w:left="165" w:hanging="165"/>
        <w:rPr>
          <w:iCs/>
        </w:rPr>
      </w:pPr>
      <w:r w:rsidRPr="008B02E0">
        <w:rPr>
          <w:iCs/>
          <w:vertAlign w:val="superscript"/>
        </w:rPr>
        <w:t>b</w:t>
      </w:r>
      <w:r w:rsidRPr="008B02E0">
        <w:rPr>
          <w:iCs/>
          <w:vertAlign w:val="superscript"/>
        </w:rPr>
        <w:tab/>
      </w:r>
      <w:r w:rsidRPr="008B02E0">
        <w:rPr>
          <w:iCs/>
        </w:rPr>
        <w:t>The model Sheet ‘Direct costs’ recommended setting resource use to treatment specific (rather than treatment agnostic) for this analysis, but this appeared to set resource use costs to $0 in PF. Resource use may be lower for pembrolizumab 6</w:t>
      </w:r>
      <w:r w:rsidR="009E5502">
        <w:rPr>
          <w:iCs/>
        </w:rPr>
        <w:noBreakHyphen/>
      </w:r>
      <w:r w:rsidRPr="008B02E0">
        <w:rPr>
          <w:iCs/>
        </w:rPr>
        <w:t>weekly regimen compared to 3</w:t>
      </w:r>
      <w:r w:rsidR="009E5502">
        <w:rPr>
          <w:iCs/>
        </w:rPr>
        <w:noBreakHyphen/>
      </w:r>
      <w:r w:rsidRPr="008B02E0">
        <w:rPr>
          <w:iCs/>
        </w:rPr>
        <w:t>weekly and therefore ICER may be slightly overestimated, but this was unlikely to be a significant increase.</w:t>
      </w:r>
    </w:p>
    <w:p w14:paraId="74EF8172" w14:textId="77777777" w:rsidR="00EB6430" w:rsidRPr="008B02E0" w:rsidRDefault="00EB6430" w:rsidP="00AE5B32">
      <w:pPr>
        <w:pStyle w:val="TableFigureFooter"/>
        <w:ind w:left="165" w:hanging="165"/>
        <w:rPr>
          <w:iCs/>
        </w:rPr>
      </w:pPr>
      <w:r w:rsidRPr="008B02E0">
        <w:rPr>
          <w:iCs/>
          <w:vertAlign w:val="superscript"/>
        </w:rPr>
        <w:t>c</w:t>
      </w:r>
      <w:r w:rsidRPr="008B02E0">
        <w:rPr>
          <w:iCs/>
        </w:rPr>
        <w:tab/>
        <w:t>The model appeared to round down the time on pembrolizumab to the nearest model cycle, as such when mean values were used, the costs were slightly underestimated. As these did not have a significant effect on the ICER they have not been corrected during the submission.</w:t>
      </w:r>
    </w:p>
    <w:p w14:paraId="2345E488" w14:textId="77777777" w:rsidR="00EB6430" w:rsidRPr="008B02E0" w:rsidRDefault="00EB6430" w:rsidP="00AE5B32">
      <w:pPr>
        <w:pStyle w:val="TableFigureFooter"/>
        <w:rPr>
          <w:iCs/>
        </w:rPr>
      </w:pPr>
      <w:r w:rsidRPr="008B02E0">
        <w:rPr>
          <w:iCs/>
          <w:vertAlign w:val="superscript"/>
        </w:rPr>
        <w:t>d</w:t>
      </w:r>
      <w:r w:rsidRPr="008B02E0">
        <w:rPr>
          <w:iCs/>
        </w:rPr>
        <w:tab/>
        <w:t>It was unclear what the submission meant by per protocol, as number of doses did not appear to be the maximum allowed</w:t>
      </w:r>
    </w:p>
    <w:p w14:paraId="4B5D0175" w14:textId="2C046178" w:rsidR="00EB6430" w:rsidRDefault="00EB6430" w:rsidP="00AE5B32">
      <w:pPr>
        <w:pStyle w:val="TableFigureFooter"/>
        <w:ind w:left="165" w:hanging="165"/>
        <w:rPr>
          <w:iCs/>
        </w:rPr>
      </w:pPr>
      <w:r w:rsidRPr="008B02E0">
        <w:rPr>
          <w:iCs/>
          <w:vertAlign w:val="superscript"/>
        </w:rPr>
        <w:t>e</w:t>
      </w:r>
      <w:r w:rsidRPr="008B02E0">
        <w:rPr>
          <w:iCs/>
        </w:rPr>
        <w:tab/>
        <w:t>This subgroup analysis included multiple model changes, including baseline patient characteristics, extrapolation of TTP from CM</w:t>
      </w:r>
      <w:r w:rsidR="009E5502">
        <w:rPr>
          <w:iCs/>
        </w:rPr>
        <w:noBreakHyphen/>
      </w:r>
      <w:r w:rsidRPr="008B02E0">
        <w:rPr>
          <w:iCs/>
        </w:rPr>
        <w:t>8HW 1L, extrapolation of post</w:t>
      </w:r>
      <w:r w:rsidR="009E5502">
        <w:rPr>
          <w:iCs/>
        </w:rPr>
        <w:noBreakHyphen/>
      </w:r>
      <w:r w:rsidRPr="008B02E0">
        <w:rPr>
          <w:iCs/>
        </w:rPr>
        <w:t>progression survival from CM</w:t>
      </w:r>
      <w:r w:rsidR="009E5502">
        <w:rPr>
          <w:iCs/>
        </w:rPr>
        <w:noBreakHyphen/>
      </w:r>
      <w:r w:rsidRPr="008B02E0">
        <w:rPr>
          <w:iCs/>
        </w:rPr>
        <w:t>152 Cohort 2. PF to PD time</w:t>
      </w:r>
      <w:r w:rsidR="009E5502">
        <w:rPr>
          <w:iCs/>
        </w:rPr>
        <w:noBreakHyphen/>
      </w:r>
      <w:r w:rsidRPr="008B02E0">
        <w:rPr>
          <w:iCs/>
        </w:rPr>
        <w:t xml:space="preserve">varying HRs, PF to death transitions, TTD for NIVO+IPI, utilities were unchanged from the base case. </w:t>
      </w:r>
    </w:p>
    <w:p w14:paraId="4A1A8898" w14:textId="1E6DFA8B" w:rsidR="001A2370" w:rsidRDefault="001A2370" w:rsidP="00AE5B32">
      <w:pPr>
        <w:pStyle w:val="TableFigureFooter"/>
        <w:ind w:left="165" w:hanging="165"/>
        <w:rPr>
          <w:i/>
        </w:rPr>
      </w:pPr>
      <w:r>
        <w:rPr>
          <w:i/>
        </w:rPr>
        <w:t>The redacted values correspond to the following ranges:</w:t>
      </w:r>
    </w:p>
    <w:p w14:paraId="5A315E6A" w14:textId="0F787034" w:rsidR="001A2370" w:rsidRDefault="001A2370" w:rsidP="00AE5B32">
      <w:pPr>
        <w:pStyle w:val="TableFigureFooter"/>
        <w:ind w:left="165" w:hanging="165"/>
        <w:rPr>
          <w:i/>
        </w:rPr>
      </w:pPr>
      <w:r>
        <w:rPr>
          <w:i/>
          <w:vertAlign w:val="superscript"/>
        </w:rPr>
        <w:t>1</w:t>
      </w:r>
      <w:r>
        <w:rPr>
          <w:i/>
        </w:rPr>
        <w:t xml:space="preserve"> $75,000 to &lt; $</w:t>
      </w:r>
      <w:r w:rsidR="00AD5B0E">
        <w:rPr>
          <w:i/>
        </w:rPr>
        <w:t>95,000</w:t>
      </w:r>
    </w:p>
    <w:p w14:paraId="7B67138E" w14:textId="6A109C3D" w:rsidR="00AD5B0E" w:rsidRDefault="00AD5B0E" w:rsidP="00AE5B32">
      <w:pPr>
        <w:pStyle w:val="TableFigureFooter"/>
        <w:ind w:left="165" w:hanging="165"/>
        <w:rPr>
          <w:i/>
        </w:rPr>
      </w:pPr>
      <w:r>
        <w:rPr>
          <w:i/>
          <w:vertAlign w:val="superscript"/>
        </w:rPr>
        <w:t xml:space="preserve">2 </w:t>
      </w:r>
      <w:r>
        <w:rPr>
          <w:i/>
        </w:rPr>
        <w:t>$</w:t>
      </w:r>
      <w:r w:rsidR="000C0FE2">
        <w:rPr>
          <w:i/>
        </w:rPr>
        <w:t>45,000 to &lt; $55,000</w:t>
      </w:r>
    </w:p>
    <w:p w14:paraId="5CC3B1B8" w14:textId="1B9F4E5C" w:rsidR="000C0FE2" w:rsidRDefault="000C0FE2" w:rsidP="00AE5B32">
      <w:pPr>
        <w:pStyle w:val="TableFigureFooter"/>
        <w:ind w:left="165" w:hanging="165"/>
        <w:rPr>
          <w:i/>
        </w:rPr>
      </w:pPr>
      <w:r>
        <w:rPr>
          <w:i/>
          <w:vertAlign w:val="superscript"/>
        </w:rPr>
        <w:t xml:space="preserve">3 </w:t>
      </w:r>
      <w:r>
        <w:rPr>
          <w:i/>
        </w:rPr>
        <w:t>$55,000 to &lt; $75,000</w:t>
      </w:r>
    </w:p>
    <w:p w14:paraId="108C7915" w14:textId="727B40DD" w:rsidR="00FF3C36" w:rsidRDefault="00FF3C36" w:rsidP="00AE5B32">
      <w:pPr>
        <w:pStyle w:val="TableFigureFooter"/>
        <w:ind w:left="165" w:hanging="165"/>
        <w:rPr>
          <w:i/>
        </w:rPr>
      </w:pPr>
      <w:r>
        <w:rPr>
          <w:i/>
          <w:vertAlign w:val="superscript"/>
        </w:rPr>
        <w:t>4</w:t>
      </w:r>
      <w:r w:rsidR="00B06447">
        <w:rPr>
          <w:i/>
        </w:rPr>
        <w:t xml:space="preserve"> $155,000 to &lt; $255,000</w:t>
      </w:r>
    </w:p>
    <w:p w14:paraId="2C5306A6" w14:textId="5C00AC63" w:rsidR="00B06447" w:rsidRDefault="00B06447" w:rsidP="00AE5B32">
      <w:pPr>
        <w:pStyle w:val="TableFigureFooter"/>
        <w:ind w:left="165" w:hanging="165"/>
        <w:rPr>
          <w:i/>
        </w:rPr>
      </w:pPr>
      <w:r>
        <w:rPr>
          <w:i/>
          <w:vertAlign w:val="superscript"/>
        </w:rPr>
        <w:lastRenderedPageBreak/>
        <w:t>5</w:t>
      </w:r>
      <w:r>
        <w:rPr>
          <w:i/>
        </w:rPr>
        <w:t xml:space="preserve"> $135,000 to &lt; $155,000</w:t>
      </w:r>
    </w:p>
    <w:p w14:paraId="1A899526" w14:textId="572D17C9" w:rsidR="00B06447" w:rsidRDefault="001D31CD" w:rsidP="00AE5B32">
      <w:pPr>
        <w:pStyle w:val="TableFigureFooter"/>
        <w:ind w:left="165" w:hanging="165"/>
        <w:rPr>
          <w:i/>
        </w:rPr>
      </w:pPr>
      <w:r w:rsidRPr="001D31CD">
        <w:rPr>
          <w:i/>
          <w:vertAlign w:val="superscript"/>
        </w:rPr>
        <w:t>6</w:t>
      </w:r>
      <w:r>
        <w:rPr>
          <w:i/>
        </w:rPr>
        <w:t xml:space="preserve"> $75,000 to &lt; $95,000</w:t>
      </w:r>
    </w:p>
    <w:p w14:paraId="5A9D4CD4" w14:textId="01B6E780" w:rsidR="001D31CD" w:rsidRDefault="001D31CD" w:rsidP="00AE5B32">
      <w:pPr>
        <w:pStyle w:val="TableFigureFooter"/>
        <w:ind w:left="165" w:hanging="165"/>
        <w:rPr>
          <w:i/>
        </w:rPr>
      </w:pPr>
      <w:r>
        <w:rPr>
          <w:i/>
          <w:vertAlign w:val="superscript"/>
        </w:rPr>
        <w:t>7</w:t>
      </w:r>
      <w:r>
        <w:rPr>
          <w:i/>
        </w:rPr>
        <w:t xml:space="preserve"> $</w:t>
      </w:r>
      <w:r w:rsidR="0026295E">
        <w:rPr>
          <w:i/>
        </w:rPr>
        <w:t>115,000 to &lt; $135,000</w:t>
      </w:r>
    </w:p>
    <w:p w14:paraId="1675E7CB" w14:textId="77ACAD11" w:rsidR="008E2529" w:rsidRDefault="008E2529" w:rsidP="00AE5B32">
      <w:pPr>
        <w:pStyle w:val="TableFigureFooter"/>
        <w:ind w:left="165" w:hanging="165"/>
        <w:rPr>
          <w:i/>
        </w:rPr>
      </w:pPr>
      <w:r>
        <w:rPr>
          <w:i/>
          <w:vertAlign w:val="superscript"/>
        </w:rPr>
        <w:t>8</w:t>
      </w:r>
      <w:r>
        <w:rPr>
          <w:i/>
        </w:rPr>
        <w:t xml:space="preserve"> $95,000 to &lt; $115,000</w:t>
      </w:r>
    </w:p>
    <w:p w14:paraId="0B0E370F" w14:textId="7C0F99E6" w:rsidR="008E2529" w:rsidRDefault="008E2529" w:rsidP="00AE5B32">
      <w:pPr>
        <w:pStyle w:val="TableFigureFooter"/>
        <w:ind w:left="165" w:hanging="165"/>
        <w:rPr>
          <w:i/>
        </w:rPr>
      </w:pPr>
      <w:r>
        <w:rPr>
          <w:i/>
          <w:vertAlign w:val="superscript"/>
        </w:rPr>
        <w:t xml:space="preserve">9 </w:t>
      </w:r>
      <w:r>
        <w:rPr>
          <w:i/>
        </w:rPr>
        <w:t>$</w:t>
      </w:r>
      <w:r w:rsidR="006C3C57">
        <w:rPr>
          <w:i/>
        </w:rPr>
        <w:t>355,000 to &lt; $455,000</w:t>
      </w:r>
    </w:p>
    <w:p w14:paraId="38F9BCAB" w14:textId="30D84C86" w:rsidR="0024163D" w:rsidRPr="008B02E0" w:rsidRDefault="00160552" w:rsidP="00AE5B32">
      <w:pPr>
        <w:pStyle w:val="3-BodyText"/>
      </w:pPr>
      <w:r w:rsidRPr="008B02E0">
        <w:t xml:space="preserve">The </w:t>
      </w:r>
      <w:r w:rsidR="00C613C9">
        <w:t xml:space="preserve">ESC considered the </w:t>
      </w:r>
      <w:r w:rsidRPr="008B02E0">
        <w:t>uncertainty of the clinical inputs, that were based on the unanchored MAIC</w:t>
      </w:r>
      <w:r w:rsidR="00E93DB6">
        <w:t>,</w:t>
      </w:r>
      <w:r w:rsidRPr="008B02E0">
        <w:t xml:space="preserve"> were compounded by the lack of transparency of the modelled results due to the model structure, meaning the modelled results were unreliable for decision making. The ESC considered that if a more transparent version of the semi</w:t>
      </w:r>
      <w:r w:rsidR="009E5502">
        <w:noBreakHyphen/>
      </w:r>
      <w:r w:rsidRPr="008B02E0">
        <w:t xml:space="preserve">Markov model could not be provided in a resubmission, then a simpler model structure with more transparent results would be more informative. </w:t>
      </w:r>
      <w:r w:rsidR="00AB27F6" w:rsidRPr="008B02E0">
        <w:t>With the aim to improve the transparency of the model, the</w:t>
      </w:r>
      <w:r w:rsidR="0024163D" w:rsidRPr="008B02E0">
        <w:t xml:space="preserve"> Pre</w:t>
      </w:r>
      <w:r w:rsidR="009E5502">
        <w:noBreakHyphen/>
      </w:r>
      <w:r w:rsidR="00087F63" w:rsidRPr="008B02E0">
        <w:t xml:space="preserve">PBAC Response provided a revised </w:t>
      </w:r>
      <w:r w:rsidR="00AB27F6" w:rsidRPr="008B02E0">
        <w:t>workbook</w:t>
      </w:r>
      <w:r w:rsidR="00087F63" w:rsidRPr="008B02E0">
        <w:t xml:space="preserve">, with </w:t>
      </w:r>
      <w:r w:rsidR="00FA1DC5" w:rsidRPr="008B02E0">
        <w:t>the transition probability matri</w:t>
      </w:r>
      <w:r w:rsidR="00642FE3" w:rsidRPr="008B02E0">
        <w:t>ces</w:t>
      </w:r>
      <w:r w:rsidR="00620055" w:rsidRPr="008B02E0">
        <w:t xml:space="preserve"> and patient distribution</w:t>
      </w:r>
      <w:r w:rsidR="00642FE3" w:rsidRPr="008B02E0">
        <w:t>s</w:t>
      </w:r>
      <w:r w:rsidR="00FA1DC5" w:rsidRPr="008B02E0">
        <w:t xml:space="preserve"> included for </w:t>
      </w:r>
      <w:r w:rsidR="00642FE3" w:rsidRPr="008B02E0">
        <w:t>both arms of the model</w:t>
      </w:r>
      <w:r w:rsidR="003257F3">
        <w:t xml:space="preserve">; however, </w:t>
      </w:r>
      <w:r w:rsidR="00320B21">
        <w:t xml:space="preserve">the </w:t>
      </w:r>
      <w:r w:rsidR="003257F3">
        <w:t>PBAC noted this was not evaluated</w:t>
      </w:r>
      <w:r w:rsidR="00BA30E8" w:rsidRPr="008B02E0">
        <w:t>.</w:t>
      </w:r>
    </w:p>
    <w:p w14:paraId="4A0DCD5B" w14:textId="77777777" w:rsidR="00EB6430" w:rsidRPr="008B02E0" w:rsidRDefault="00EB6430" w:rsidP="00AE5B32">
      <w:pPr>
        <w:pStyle w:val="4-SubsectionHeading"/>
      </w:pPr>
      <w:bookmarkStart w:id="94" w:name="_Toc22897646"/>
      <w:bookmarkStart w:id="95" w:name="_Toc197719845"/>
      <w:bookmarkStart w:id="96" w:name="_Toc198731749"/>
      <w:r w:rsidRPr="008B02E0">
        <w:t>Nivolumab plus ipilimumab cost/patient/</w:t>
      </w:r>
      <w:bookmarkEnd w:id="94"/>
      <w:r w:rsidRPr="008B02E0">
        <w:t>course</w:t>
      </w:r>
      <w:bookmarkEnd w:id="95"/>
      <w:bookmarkEnd w:id="96"/>
    </w:p>
    <w:p w14:paraId="0E8BEC76" w14:textId="75B7E754" w:rsidR="00EB6430" w:rsidRPr="008B02E0" w:rsidRDefault="00EB6430" w:rsidP="00AE5B32">
      <w:pPr>
        <w:pStyle w:val="Caption"/>
        <w:rPr>
          <w:rStyle w:val="CommentReference"/>
          <w:b/>
          <w:szCs w:val="24"/>
        </w:rPr>
      </w:pPr>
      <w:bookmarkStart w:id="97" w:name="_Ref104805102"/>
      <w:r w:rsidRPr="008B02E0">
        <w:t xml:space="preserve">Table </w:t>
      </w:r>
      <w:r w:rsidR="008258C7">
        <w:fldChar w:fldCharType="begin"/>
      </w:r>
      <w:r w:rsidR="008258C7">
        <w:instrText xml:space="preserve"> SEQ Table \* ARABIC </w:instrText>
      </w:r>
      <w:r w:rsidR="008258C7">
        <w:fldChar w:fldCharType="separate"/>
      </w:r>
      <w:r w:rsidR="00B542C9">
        <w:rPr>
          <w:noProof/>
        </w:rPr>
        <w:t>16</w:t>
      </w:r>
      <w:r w:rsidR="008258C7">
        <w:rPr>
          <w:noProof/>
        </w:rPr>
        <w:fldChar w:fldCharType="end"/>
      </w:r>
      <w:bookmarkEnd w:id="97"/>
      <w:r w:rsidRPr="008B02E0">
        <w:t>:</w:t>
      </w:r>
      <w:r w:rsidRPr="008B02E0">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w:tblPr>
      <w:tblGrid>
        <w:gridCol w:w="2123"/>
        <w:gridCol w:w="1417"/>
        <w:gridCol w:w="1417"/>
        <w:gridCol w:w="1416"/>
        <w:gridCol w:w="1558"/>
        <w:gridCol w:w="1086"/>
      </w:tblGrid>
      <w:tr w:rsidR="00DB4F99" w:rsidRPr="008B02E0" w14:paraId="4D1D98FA" w14:textId="77777777" w:rsidTr="00D17F3A">
        <w:trPr>
          <w:cantSplit/>
          <w:tblHeader/>
          <w:jc w:val="center"/>
        </w:trPr>
        <w:tc>
          <w:tcPr>
            <w:tcW w:w="1177" w:type="pct"/>
            <w:tcBorders>
              <w:bottom w:val="nil"/>
            </w:tcBorders>
            <w:vAlign w:val="center"/>
          </w:tcPr>
          <w:p w14:paraId="28FB1A86" w14:textId="77777777" w:rsidR="00EB6430" w:rsidRPr="008B02E0" w:rsidRDefault="00EB6430" w:rsidP="00AE5B32">
            <w:pPr>
              <w:pStyle w:val="In-tableHeading"/>
              <w:jc w:val="center"/>
              <w:rPr>
                <w:lang w:val="en-AU"/>
              </w:rPr>
            </w:pPr>
          </w:p>
        </w:tc>
        <w:tc>
          <w:tcPr>
            <w:tcW w:w="2357" w:type="pct"/>
            <w:gridSpan w:val="3"/>
            <w:vAlign w:val="center"/>
          </w:tcPr>
          <w:p w14:paraId="44354E3C" w14:textId="77777777" w:rsidR="00EB6430" w:rsidRPr="008B02E0" w:rsidRDefault="00EB6430" w:rsidP="00AE5B32">
            <w:pPr>
              <w:pStyle w:val="In-tableHeading"/>
              <w:jc w:val="center"/>
              <w:rPr>
                <w:lang w:val="en-AU"/>
              </w:rPr>
            </w:pPr>
            <w:r w:rsidRPr="008B02E0">
              <w:rPr>
                <w:lang w:val="en-AU"/>
              </w:rPr>
              <w:t>Nivolumab plus ipilimumab</w:t>
            </w:r>
          </w:p>
        </w:tc>
        <w:tc>
          <w:tcPr>
            <w:tcW w:w="1466" w:type="pct"/>
            <w:gridSpan w:val="2"/>
            <w:vAlign w:val="center"/>
          </w:tcPr>
          <w:p w14:paraId="4C073F8B" w14:textId="77777777" w:rsidR="00EB6430" w:rsidRPr="008B02E0" w:rsidRDefault="00EB6430" w:rsidP="00AE5B32">
            <w:pPr>
              <w:pStyle w:val="In-tableHeading"/>
              <w:jc w:val="center"/>
              <w:rPr>
                <w:lang w:val="en-AU"/>
              </w:rPr>
            </w:pPr>
            <w:r w:rsidRPr="008B02E0">
              <w:rPr>
                <w:lang w:val="en-AU"/>
              </w:rPr>
              <w:t>Pembrolizumab</w:t>
            </w:r>
          </w:p>
        </w:tc>
      </w:tr>
      <w:tr w:rsidR="00DB4F99" w:rsidRPr="008B02E0" w14:paraId="06302AC3" w14:textId="77777777" w:rsidTr="00D17F3A">
        <w:trPr>
          <w:cantSplit/>
          <w:tblHeader/>
          <w:jc w:val="center"/>
        </w:trPr>
        <w:tc>
          <w:tcPr>
            <w:tcW w:w="1177" w:type="pct"/>
            <w:tcBorders>
              <w:top w:val="nil"/>
            </w:tcBorders>
            <w:vAlign w:val="center"/>
          </w:tcPr>
          <w:p w14:paraId="038294BA" w14:textId="77777777" w:rsidR="00EB6430" w:rsidRPr="008B02E0" w:rsidRDefault="00EB6430" w:rsidP="00AE5B32">
            <w:pPr>
              <w:pStyle w:val="In-tableHeading"/>
              <w:jc w:val="center"/>
              <w:rPr>
                <w:lang w:val="en-AU"/>
              </w:rPr>
            </w:pPr>
          </w:p>
        </w:tc>
        <w:tc>
          <w:tcPr>
            <w:tcW w:w="786" w:type="pct"/>
            <w:vAlign w:val="center"/>
          </w:tcPr>
          <w:p w14:paraId="4390583F" w14:textId="17F05B44" w:rsidR="00EB6430" w:rsidRPr="008B02E0" w:rsidRDefault="00EB6430" w:rsidP="00AE5B32">
            <w:pPr>
              <w:pStyle w:val="In-tableHeading"/>
              <w:jc w:val="center"/>
              <w:rPr>
                <w:lang w:val="en-AU"/>
              </w:rPr>
            </w:pPr>
            <w:r w:rsidRPr="008B02E0">
              <w:rPr>
                <w:lang w:val="en-AU"/>
              </w:rPr>
              <w:t>CM</w:t>
            </w:r>
            <w:r w:rsidR="009E5502">
              <w:rPr>
                <w:lang w:val="en-AU"/>
              </w:rPr>
              <w:noBreakHyphen/>
            </w:r>
            <w:r w:rsidRPr="008B02E0">
              <w:rPr>
                <w:lang w:val="en-AU"/>
              </w:rPr>
              <w:t>8HW 1L+</w:t>
            </w:r>
          </w:p>
        </w:tc>
        <w:tc>
          <w:tcPr>
            <w:tcW w:w="786" w:type="pct"/>
            <w:vAlign w:val="center"/>
          </w:tcPr>
          <w:p w14:paraId="139636F7" w14:textId="7E78E27B" w:rsidR="00EB6430" w:rsidRPr="008B02E0" w:rsidRDefault="00EB6430" w:rsidP="00AE5B32">
            <w:pPr>
              <w:pStyle w:val="In-tableHeading"/>
              <w:jc w:val="center"/>
              <w:rPr>
                <w:lang w:val="en-AU"/>
              </w:rPr>
            </w:pPr>
            <w:r w:rsidRPr="008B02E0">
              <w:rPr>
                <w:lang w:val="en-AU"/>
              </w:rPr>
              <w:t>CM</w:t>
            </w:r>
            <w:r w:rsidR="009E5502">
              <w:rPr>
                <w:lang w:val="en-AU"/>
              </w:rPr>
              <w:noBreakHyphen/>
            </w:r>
            <w:r w:rsidRPr="008B02E0">
              <w:rPr>
                <w:lang w:val="en-AU"/>
              </w:rPr>
              <w:t xml:space="preserve">8HW 1L </w:t>
            </w:r>
          </w:p>
        </w:tc>
        <w:tc>
          <w:tcPr>
            <w:tcW w:w="785" w:type="pct"/>
            <w:vAlign w:val="center"/>
          </w:tcPr>
          <w:p w14:paraId="04C75F8D" w14:textId="77777777" w:rsidR="00EB6430" w:rsidRPr="008B02E0" w:rsidRDefault="00EB6430" w:rsidP="00AE5B32">
            <w:pPr>
              <w:pStyle w:val="In-tableHeading"/>
              <w:jc w:val="center"/>
              <w:rPr>
                <w:lang w:val="en-AU"/>
              </w:rPr>
            </w:pPr>
            <w:r w:rsidRPr="008B02E0">
              <w:rPr>
                <w:lang w:val="en-AU"/>
              </w:rPr>
              <w:t>Model</w:t>
            </w:r>
          </w:p>
        </w:tc>
        <w:tc>
          <w:tcPr>
            <w:tcW w:w="864" w:type="pct"/>
            <w:vAlign w:val="center"/>
          </w:tcPr>
          <w:p w14:paraId="6FA95214" w14:textId="47ABD57D" w:rsidR="00EB6430" w:rsidRPr="008B02E0" w:rsidRDefault="00EB6430" w:rsidP="00AE5B32">
            <w:pPr>
              <w:pStyle w:val="In-tableHeading"/>
              <w:jc w:val="center"/>
              <w:rPr>
                <w:lang w:val="en-AU"/>
              </w:rPr>
            </w:pPr>
            <w:r w:rsidRPr="008B02E0">
              <w:rPr>
                <w:lang w:val="en-AU"/>
              </w:rPr>
              <w:t>KN</w:t>
            </w:r>
            <w:r w:rsidR="009E5502">
              <w:rPr>
                <w:lang w:val="en-AU"/>
              </w:rPr>
              <w:noBreakHyphen/>
            </w:r>
            <w:r w:rsidRPr="008B02E0">
              <w:rPr>
                <w:lang w:val="en-AU"/>
              </w:rPr>
              <w:t>177</w:t>
            </w:r>
          </w:p>
          <w:p w14:paraId="4DBEA966" w14:textId="77777777" w:rsidR="00EB6430" w:rsidRPr="008B02E0" w:rsidRDefault="00EB6430" w:rsidP="00AE5B32">
            <w:pPr>
              <w:pStyle w:val="In-tableHeading"/>
              <w:jc w:val="center"/>
              <w:rPr>
                <w:lang w:val="en-AU"/>
              </w:rPr>
            </w:pPr>
            <w:r w:rsidRPr="008B02E0">
              <w:rPr>
                <w:lang w:val="en-AU"/>
              </w:rPr>
              <w:t>dose and duration</w:t>
            </w:r>
          </w:p>
        </w:tc>
        <w:tc>
          <w:tcPr>
            <w:tcW w:w="602" w:type="pct"/>
            <w:vAlign w:val="center"/>
          </w:tcPr>
          <w:p w14:paraId="267589B2" w14:textId="77777777" w:rsidR="00EB6430" w:rsidRPr="008B02E0" w:rsidRDefault="00EB6430" w:rsidP="00AE5B32">
            <w:pPr>
              <w:pStyle w:val="In-tableHeading"/>
              <w:jc w:val="center"/>
              <w:rPr>
                <w:lang w:val="en-AU"/>
              </w:rPr>
            </w:pPr>
            <w:r w:rsidRPr="008B02E0">
              <w:rPr>
                <w:lang w:val="en-AU"/>
              </w:rPr>
              <w:t>Model</w:t>
            </w:r>
          </w:p>
        </w:tc>
      </w:tr>
      <w:tr w:rsidR="00EB6430" w:rsidRPr="008B02E0" w14:paraId="649F1E00" w14:textId="77777777" w:rsidTr="00D17F3A">
        <w:trPr>
          <w:cantSplit/>
          <w:jc w:val="center"/>
        </w:trPr>
        <w:tc>
          <w:tcPr>
            <w:tcW w:w="1177" w:type="pct"/>
            <w:vAlign w:val="center"/>
          </w:tcPr>
          <w:p w14:paraId="00E53E0E" w14:textId="77777777" w:rsidR="00EB6430" w:rsidRPr="008B02E0" w:rsidRDefault="00EB6430" w:rsidP="00AE5B32">
            <w:pPr>
              <w:pStyle w:val="TableText0"/>
            </w:pPr>
            <w:r w:rsidRPr="008B02E0">
              <w:t>Mean cumulative dose</w:t>
            </w:r>
          </w:p>
        </w:tc>
        <w:tc>
          <w:tcPr>
            <w:tcW w:w="786" w:type="pct"/>
            <w:vAlign w:val="center"/>
          </w:tcPr>
          <w:p w14:paraId="758A4FF0" w14:textId="77777777" w:rsidR="00EB6430" w:rsidRPr="008B02E0" w:rsidRDefault="00EB6430" w:rsidP="00AE5B32">
            <w:pPr>
              <w:pStyle w:val="TableText0"/>
              <w:jc w:val="center"/>
            </w:pPr>
            <w:r w:rsidRPr="008B02E0">
              <w:t>NIVO: 7,586 mg</w:t>
            </w:r>
          </w:p>
          <w:p w14:paraId="56299483" w14:textId="77777777" w:rsidR="00EB6430" w:rsidRPr="008B02E0" w:rsidRDefault="00EB6430" w:rsidP="00AE5B32">
            <w:pPr>
              <w:pStyle w:val="TableText0"/>
              <w:jc w:val="center"/>
            </w:pPr>
            <w:r w:rsidRPr="008B02E0">
              <w:t>IPI: 3.67 mg/kg</w:t>
            </w:r>
          </w:p>
        </w:tc>
        <w:tc>
          <w:tcPr>
            <w:tcW w:w="786" w:type="pct"/>
            <w:vAlign w:val="center"/>
          </w:tcPr>
          <w:p w14:paraId="14334161" w14:textId="77777777" w:rsidR="00EB6430" w:rsidRPr="008B02E0" w:rsidRDefault="00EB6430" w:rsidP="00AE5B32">
            <w:pPr>
              <w:pStyle w:val="TableText0"/>
              <w:jc w:val="center"/>
            </w:pPr>
            <w:r w:rsidRPr="008B02E0">
              <w:t>NIVO: 6,569 mg</w:t>
            </w:r>
          </w:p>
          <w:p w14:paraId="0D5FED46" w14:textId="77777777" w:rsidR="00EB6430" w:rsidRPr="008B02E0" w:rsidRDefault="00EB6430" w:rsidP="00AE5B32">
            <w:pPr>
              <w:pStyle w:val="TableText0"/>
              <w:jc w:val="center"/>
            </w:pPr>
            <w:r w:rsidRPr="008B02E0">
              <w:t>IPI: 3.63 mg/kg</w:t>
            </w:r>
          </w:p>
        </w:tc>
        <w:tc>
          <w:tcPr>
            <w:tcW w:w="785" w:type="pct"/>
            <w:vAlign w:val="center"/>
          </w:tcPr>
          <w:p w14:paraId="341E5166" w14:textId="77777777" w:rsidR="00EB6430" w:rsidRPr="008B02E0" w:rsidRDefault="00EB6430" w:rsidP="00AE5B32">
            <w:pPr>
              <w:pStyle w:val="TableText0"/>
              <w:jc w:val="center"/>
              <w:rPr>
                <w:iCs/>
              </w:rPr>
            </w:pPr>
            <w:r w:rsidRPr="008B02E0">
              <w:rPr>
                <w:iCs/>
              </w:rPr>
              <w:t>NIVO: 7,504 mg</w:t>
            </w:r>
            <w:r w:rsidRPr="008B02E0">
              <w:rPr>
                <w:iCs/>
                <w:vertAlign w:val="superscript"/>
              </w:rPr>
              <w:t>a</w:t>
            </w:r>
          </w:p>
          <w:p w14:paraId="0A258E06" w14:textId="77777777" w:rsidR="00EB6430" w:rsidRPr="008B02E0" w:rsidRDefault="00EB6430" w:rsidP="00AE5B32">
            <w:pPr>
              <w:pStyle w:val="TableText0"/>
              <w:jc w:val="center"/>
            </w:pPr>
            <w:r w:rsidRPr="008B02E0">
              <w:rPr>
                <w:iCs/>
              </w:rPr>
              <w:t>IPI: 5.04 mg/kg</w:t>
            </w:r>
            <w:r w:rsidRPr="008B02E0">
              <w:rPr>
                <w:iCs/>
                <w:vertAlign w:val="superscript"/>
              </w:rPr>
              <w:t>b</w:t>
            </w:r>
          </w:p>
        </w:tc>
        <w:tc>
          <w:tcPr>
            <w:tcW w:w="864" w:type="pct"/>
            <w:vAlign w:val="center"/>
          </w:tcPr>
          <w:p w14:paraId="5DC63918" w14:textId="082F17D4" w:rsidR="00EB6430" w:rsidRPr="008B02E0" w:rsidRDefault="00EB6430" w:rsidP="00AE5B32">
            <w:pPr>
              <w:pStyle w:val="TableText0"/>
              <w:jc w:val="center"/>
            </w:pPr>
            <w:r w:rsidRPr="008B02E0">
              <w:t xml:space="preserve">NR (dose regimen </w:t>
            </w:r>
            <w:r w:rsidR="003E487B">
              <w:t>200 mg</w:t>
            </w:r>
            <w:r w:rsidRPr="008B02E0">
              <w:t xml:space="preserve"> Q3W)</w:t>
            </w:r>
          </w:p>
        </w:tc>
        <w:tc>
          <w:tcPr>
            <w:tcW w:w="602" w:type="pct"/>
            <w:vAlign w:val="center"/>
          </w:tcPr>
          <w:p w14:paraId="18894169" w14:textId="77777777" w:rsidR="00EB6430" w:rsidRPr="008B02E0" w:rsidRDefault="00EB6430" w:rsidP="00AE5B32">
            <w:pPr>
              <w:pStyle w:val="TableText0"/>
              <w:jc w:val="center"/>
              <w:rPr>
                <w:iCs/>
              </w:rPr>
            </w:pPr>
            <w:r w:rsidRPr="008B02E0">
              <w:rPr>
                <w:iCs/>
              </w:rPr>
              <w:t>4,095mg</w:t>
            </w:r>
            <w:r w:rsidRPr="008B02E0">
              <w:rPr>
                <w:iCs/>
                <w:vertAlign w:val="superscript"/>
              </w:rPr>
              <w:t>c</w:t>
            </w:r>
          </w:p>
        </w:tc>
      </w:tr>
      <w:tr w:rsidR="00EB6430" w:rsidRPr="008B02E0" w14:paraId="48CDEE59" w14:textId="77777777" w:rsidTr="00D17F3A">
        <w:trPr>
          <w:cantSplit/>
          <w:jc w:val="center"/>
        </w:trPr>
        <w:tc>
          <w:tcPr>
            <w:tcW w:w="1177" w:type="pct"/>
            <w:vAlign w:val="center"/>
          </w:tcPr>
          <w:p w14:paraId="474EE36E" w14:textId="77777777" w:rsidR="00EB6430" w:rsidRPr="008B02E0" w:rsidRDefault="00EB6430" w:rsidP="00AE5B32">
            <w:pPr>
              <w:pStyle w:val="TableText0"/>
            </w:pPr>
            <w:r w:rsidRPr="008B02E0">
              <w:t>Mean duration (no. doses)</w:t>
            </w:r>
          </w:p>
        </w:tc>
        <w:tc>
          <w:tcPr>
            <w:tcW w:w="786" w:type="pct"/>
            <w:vAlign w:val="center"/>
          </w:tcPr>
          <w:p w14:paraId="3877CF59" w14:textId="77777777" w:rsidR="00EB6430" w:rsidRPr="008B02E0" w:rsidRDefault="00EB6430" w:rsidP="00AE5B32">
            <w:pPr>
              <w:pStyle w:val="TableText0"/>
              <w:jc w:val="center"/>
            </w:pPr>
            <w:r w:rsidRPr="008B02E0">
              <w:t>NIVO: 17.7</w:t>
            </w:r>
          </w:p>
          <w:p w14:paraId="675A61BF" w14:textId="77777777" w:rsidR="00EB6430" w:rsidRPr="008B02E0" w:rsidRDefault="00EB6430" w:rsidP="00AE5B32">
            <w:pPr>
              <w:pStyle w:val="TableText0"/>
              <w:jc w:val="center"/>
            </w:pPr>
            <w:r w:rsidRPr="008B02E0">
              <w:t>IPI: 3.7</w:t>
            </w:r>
          </w:p>
        </w:tc>
        <w:tc>
          <w:tcPr>
            <w:tcW w:w="786" w:type="pct"/>
            <w:vAlign w:val="center"/>
          </w:tcPr>
          <w:p w14:paraId="1164C31E" w14:textId="77777777" w:rsidR="00EB6430" w:rsidRPr="008B02E0" w:rsidRDefault="00EB6430" w:rsidP="00AE5B32">
            <w:pPr>
              <w:pStyle w:val="TableText0"/>
              <w:jc w:val="center"/>
            </w:pPr>
            <w:r w:rsidRPr="008B02E0">
              <w:t>NIVO: 15.5</w:t>
            </w:r>
          </w:p>
          <w:p w14:paraId="619E0A7F" w14:textId="77777777" w:rsidR="00EB6430" w:rsidRPr="008B02E0" w:rsidRDefault="00EB6430" w:rsidP="00AE5B32">
            <w:pPr>
              <w:pStyle w:val="TableText0"/>
              <w:jc w:val="center"/>
            </w:pPr>
            <w:r w:rsidRPr="008B02E0">
              <w:t>IPI: 3.6</w:t>
            </w:r>
          </w:p>
        </w:tc>
        <w:tc>
          <w:tcPr>
            <w:tcW w:w="785" w:type="pct"/>
            <w:vAlign w:val="center"/>
          </w:tcPr>
          <w:p w14:paraId="0705979C" w14:textId="77777777" w:rsidR="00EB6430" w:rsidRPr="008B02E0" w:rsidRDefault="00EB6430" w:rsidP="00AE5B32">
            <w:pPr>
              <w:pStyle w:val="TableText0"/>
              <w:jc w:val="center"/>
            </w:pPr>
            <w:r w:rsidRPr="008B02E0">
              <w:t>NIVO: 17.4</w:t>
            </w:r>
          </w:p>
          <w:p w14:paraId="7C95FD9B" w14:textId="77777777" w:rsidR="00EB6430" w:rsidRPr="008B02E0" w:rsidRDefault="00EB6430" w:rsidP="00AE5B32">
            <w:pPr>
              <w:pStyle w:val="TableText0"/>
              <w:jc w:val="center"/>
            </w:pPr>
            <w:r w:rsidRPr="008B02E0">
              <w:t>IPI: 3.6</w:t>
            </w:r>
          </w:p>
        </w:tc>
        <w:tc>
          <w:tcPr>
            <w:tcW w:w="864" w:type="pct"/>
            <w:vAlign w:val="center"/>
          </w:tcPr>
          <w:p w14:paraId="212F1D85" w14:textId="77777777" w:rsidR="00EB6430" w:rsidRPr="008B02E0" w:rsidRDefault="00EB6430" w:rsidP="00AE5B32">
            <w:pPr>
              <w:pStyle w:val="TableText0"/>
              <w:jc w:val="center"/>
              <w:rPr>
                <w:iCs/>
              </w:rPr>
            </w:pPr>
            <w:r w:rsidRPr="008B02E0">
              <w:rPr>
                <w:iCs/>
              </w:rPr>
              <w:t>19.2</w:t>
            </w:r>
          </w:p>
        </w:tc>
        <w:tc>
          <w:tcPr>
            <w:tcW w:w="602" w:type="pct"/>
            <w:vAlign w:val="center"/>
          </w:tcPr>
          <w:p w14:paraId="278C34AF" w14:textId="77777777" w:rsidR="00EB6430" w:rsidRPr="008B02E0" w:rsidRDefault="00EB6430" w:rsidP="00AE5B32">
            <w:pPr>
              <w:pStyle w:val="TableText0"/>
              <w:jc w:val="center"/>
            </w:pPr>
            <w:r w:rsidRPr="008B02E0">
              <w:t>20.5</w:t>
            </w:r>
          </w:p>
        </w:tc>
      </w:tr>
      <w:tr w:rsidR="00EB6430" w:rsidRPr="008B02E0" w14:paraId="56C30906" w14:textId="77777777" w:rsidTr="00D17F3A">
        <w:trPr>
          <w:cantSplit/>
          <w:jc w:val="center"/>
        </w:trPr>
        <w:tc>
          <w:tcPr>
            <w:tcW w:w="1177" w:type="pct"/>
            <w:vAlign w:val="center"/>
          </w:tcPr>
          <w:p w14:paraId="1F3D9ED5" w14:textId="77777777" w:rsidR="00EB6430" w:rsidRPr="008B02E0" w:rsidRDefault="00EB6430" w:rsidP="00AE5B32">
            <w:pPr>
              <w:pStyle w:val="TableText0"/>
            </w:pPr>
            <w:r w:rsidRPr="008B02E0">
              <w:t>Mean duration (mths)</w:t>
            </w:r>
          </w:p>
        </w:tc>
        <w:tc>
          <w:tcPr>
            <w:tcW w:w="786" w:type="pct"/>
            <w:vAlign w:val="center"/>
          </w:tcPr>
          <w:p w14:paraId="1A030455" w14:textId="77777777" w:rsidR="00EB6430" w:rsidRPr="008B02E0" w:rsidRDefault="00EB6430" w:rsidP="00AE5B32">
            <w:pPr>
              <w:pStyle w:val="TableText0"/>
              <w:jc w:val="center"/>
            </w:pPr>
            <w:r w:rsidRPr="008B02E0">
              <w:t>NIVO: 15.2</w:t>
            </w:r>
          </w:p>
          <w:p w14:paraId="00C9F824" w14:textId="77777777" w:rsidR="00EB6430" w:rsidRPr="008B02E0" w:rsidRDefault="00EB6430" w:rsidP="00AE5B32">
            <w:pPr>
              <w:pStyle w:val="TableText0"/>
              <w:jc w:val="center"/>
            </w:pPr>
            <w:r w:rsidRPr="008B02E0">
              <w:t>IPI: 2.0</w:t>
            </w:r>
          </w:p>
        </w:tc>
        <w:tc>
          <w:tcPr>
            <w:tcW w:w="786" w:type="pct"/>
            <w:vAlign w:val="center"/>
          </w:tcPr>
          <w:p w14:paraId="5F412696" w14:textId="77777777" w:rsidR="00EB6430" w:rsidRPr="008B02E0" w:rsidRDefault="00EB6430" w:rsidP="00AE5B32">
            <w:pPr>
              <w:pStyle w:val="TableText0"/>
              <w:jc w:val="center"/>
            </w:pPr>
            <w:r w:rsidRPr="008B02E0">
              <w:t>NIVO: 13.3</w:t>
            </w:r>
          </w:p>
          <w:p w14:paraId="61723A75" w14:textId="77777777" w:rsidR="00EB6430" w:rsidRPr="008B02E0" w:rsidRDefault="00EB6430" w:rsidP="00AE5B32">
            <w:pPr>
              <w:pStyle w:val="TableText0"/>
              <w:jc w:val="center"/>
            </w:pPr>
            <w:r w:rsidRPr="008B02E0">
              <w:t>IPI: 2.0</w:t>
            </w:r>
          </w:p>
        </w:tc>
        <w:tc>
          <w:tcPr>
            <w:tcW w:w="785" w:type="pct"/>
            <w:vAlign w:val="center"/>
          </w:tcPr>
          <w:p w14:paraId="76398A5E" w14:textId="77777777" w:rsidR="00EB6430" w:rsidRPr="008B02E0" w:rsidRDefault="00EB6430" w:rsidP="00AE5B32">
            <w:pPr>
              <w:pStyle w:val="TableText0"/>
              <w:jc w:val="center"/>
            </w:pPr>
            <w:r w:rsidRPr="008B02E0">
              <w:t>NIVO: 14.5</w:t>
            </w:r>
          </w:p>
          <w:p w14:paraId="187E3F9F" w14:textId="77777777" w:rsidR="00EB6430" w:rsidRPr="008B02E0" w:rsidRDefault="00EB6430" w:rsidP="00AE5B32">
            <w:pPr>
              <w:pStyle w:val="TableText0"/>
              <w:jc w:val="center"/>
            </w:pPr>
            <w:r w:rsidRPr="008B02E0">
              <w:t>IPI: 1.8</w:t>
            </w:r>
          </w:p>
        </w:tc>
        <w:tc>
          <w:tcPr>
            <w:tcW w:w="864" w:type="pct"/>
            <w:vAlign w:val="center"/>
          </w:tcPr>
          <w:p w14:paraId="3E5B79D3" w14:textId="77777777" w:rsidR="00EB6430" w:rsidRPr="008B02E0" w:rsidRDefault="00EB6430" w:rsidP="00AE5B32">
            <w:pPr>
              <w:pStyle w:val="TableText0"/>
              <w:jc w:val="center"/>
              <w:rPr>
                <w:iCs/>
              </w:rPr>
            </w:pPr>
            <w:r w:rsidRPr="008B02E0">
              <w:rPr>
                <w:iCs/>
              </w:rPr>
              <w:t>13.3</w:t>
            </w:r>
          </w:p>
        </w:tc>
        <w:tc>
          <w:tcPr>
            <w:tcW w:w="602" w:type="pct"/>
            <w:vAlign w:val="center"/>
          </w:tcPr>
          <w:p w14:paraId="565D5CEE" w14:textId="77777777" w:rsidR="00EB6430" w:rsidRPr="008B02E0" w:rsidRDefault="00EB6430" w:rsidP="00AE5B32">
            <w:pPr>
              <w:pStyle w:val="TableText0"/>
              <w:jc w:val="center"/>
            </w:pPr>
            <w:r w:rsidRPr="008B02E0">
              <w:t>13.4</w:t>
            </w:r>
          </w:p>
        </w:tc>
      </w:tr>
      <w:tr w:rsidR="00EB6430" w:rsidRPr="008B02E0" w14:paraId="5DCA8F58" w14:textId="77777777" w:rsidTr="00D17F3A">
        <w:trPr>
          <w:cantSplit/>
          <w:jc w:val="center"/>
        </w:trPr>
        <w:tc>
          <w:tcPr>
            <w:tcW w:w="1177" w:type="pct"/>
            <w:vAlign w:val="center"/>
          </w:tcPr>
          <w:p w14:paraId="133E20F8" w14:textId="77777777" w:rsidR="00EB6430" w:rsidRPr="008B02E0" w:rsidRDefault="00EB6430" w:rsidP="00AE5B32">
            <w:pPr>
              <w:pStyle w:val="TableText0"/>
            </w:pPr>
            <w:r w:rsidRPr="008B02E0">
              <w:t>Cost/patient/course</w:t>
            </w:r>
          </w:p>
        </w:tc>
        <w:tc>
          <w:tcPr>
            <w:tcW w:w="786" w:type="pct"/>
            <w:vAlign w:val="center"/>
          </w:tcPr>
          <w:p w14:paraId="51839240" w14:textId="35C4254C" w:rsidR="00EB6430" w:rsidRPr="008B02E0" w:rsidRDefault="009E5502" w:rsidP="00AE5B32">
            <w:pPr>
              <w:pStyle w:val="TableText0"/>
              <w:jc w:val="center"/>
            </w:pPr>
            <w:r>
              <w:noBreakHyphen/>
            </w:r>
          </w:p>
        </w:tc>
        <w:tc>
          <w:tcPr>
            <w:tcW w:w="786" w:type="pct"/>
            <w:vAlign w:val="center"/>
          </w:tcPr>
          <w:p w14:paraId="3F8E7804" w14:textId="2DA27F92" w:rsidR="00EB6430" w:rsidRPr="008B02E0" w:rsidRDefault="009E5502" w:rsidP="00AE5B32">
            <w:pPr>
              <w:pStyle w:val="TableText0"/>
              <w:jc w:val="center"/>
            </w:pPr>
            <w:r>
              <w:noBreakHyphen/>
            </w:r>
          </w:p>
        </w:tc>
        <w:tc>
          <w:tcPr>
            <w:tcW w:w="785" w:type="pct"/>
            <w:vAlign w:val="center"/>
          </w:tcPr>
          <w:p w14:paraId="579F1854" w14:textId="30B964EF" w:rsidR="00EB6430" w:rsidRPr="008B02E0" w:rsidRDefault="00EB6430" w:rsidP="00AE5B32">
            <w:pPr>
              <w:pStyle w:val="TableText0"/>
              <w:jc w:val="center"/>
            </w:pPr>
            <w:r w:rsidRPr="008B02E0">
              <w:t>$</w:t>
            </w:r>
            <w:r w:rsidR="00E11347" w:rsidRPr="00E11347">
              <w:rPr>
                <w:color w:val="000000"/>
                <w:spacing w:val="53"/>
                <w:shd w:val="solid" w:color="000000" w:fill="000000"/>
                <w:fitText w:val="330" w:id="-628963328"/>
                <w14:textFill>
                  <w14:solidFill>
                    <w14:srgbClr w14:val="000000">
                      <w14:alpha w14:val="100000"/>
                    </w14:srgbClr>
                  </w14:solidFill>
                </w14:textFill>
              </w:rPr>
              <w:t>|||</w:t>
            </w:r>
            <w:r w:rsidR="00E11347" w:rsidRPr="00E11347">
              <w:rPr>
                <w:color w:val="000000"/>
                <w:spacing w:val="1"/>
                <w:shd w:val="solid" w:color="000000" w:fill="000000"/>
                <w:fitText w:val="330" w:id="-628963328"/>
                <w14:textFill>
                  <w14:solidFill>
                    <w14:srgbClr w14:val="000000">
                      <w14:alpha w14:val="100000"/>
                    </w14:srgbClr>
                  </w14:solidFill>
                </w14:textFill>
              </w:rPr>
              <w:t>|</w:t>
            </w:r>
            <w:r w:rsidRPr="008B02E0">
              <w:rPr>
                <w:vertAlign w:val="superscript"/>
              </w:rPr>
              <w:t>d</w:t>
            </w:r>
          </w:p>
        </w:tc>
        <w:tc>
          <w:tcPr>
            <w:tcW w:w="864" w:type="pct"/>
            <w:vAlign w:val="center"/>
          </w:tcPr>
          <w:p w14:paraId="0D75376B" w14:textId="2A67E1EE" w:rsidR="00EB6430" w:rsidRPr="008B02E0" w:rsidRDefault="009E5502" w:rsidP="00AE5B32">
            <w:pPr>
              <w:pStyle w:val="TableText0"/>
              <w:jc w:val="center"/>
            </w:pPr>
            <w:r>
              <w:noBreakHyphen/>
            </w:r>
          </w:p>
        </w:tc>
        <w:tc>
          <w:tcPr>
            <w:tcW w:w="602" w:type="pct"/>
            <w:vAlign w:val="center"/>
          </w:tcPr>
          <w:p w14:paraId="64DBC2BC" w14:textId="77777777" w:rsidR="00EB6430" w:rsidRPr="008B02E0" w:rsidRDefault="00EB6430" w:rsidP="00AE5B32">
            <w:pPr>
              <w:pStyle w:val="TableText0"/>
              <w:jc w:val="center"/>
            </w:pPr>
            <w:r w:rsidRPr="008B02E0">
              <w:t>$81,472</w:t>
            </w:r>
            <w:r w:rsidRPr="008B02E0">
              <w:rPr>
                <w:vertAlign w:val="superscript"/>
              </w:rPr>
              <w:t>e</w:t>
            </w:r>
          </w:p>
        </w:tc>
      </w:tr>
    </w:tbl>
    <w:p w14:paraId="3EEA1622" w14:textId="0A4AC0AB" w:rsidR="00EB6430" w:rsidRPr="008B02E0" w:rsidRDefault="00EB6430" w:rsidP="00AE5B32">
      <w:pPr>
        <w:pStyle w:val="TableFigureFooter"/>
      </w:pPr>
      <w:r w:rsidRPr="008B02E0">
        <w:t>Source: compiled during the evaluation from ‘Excel workbook ‘Attachment 10 – Nivo+Ipi 1L mCRC Economic Evaluation.xlsm’, CM</w:t>
      </w:r>
      <w:r w:rsidR="009E5502">
        <w:noBreakHyphen/>
      </w:r>
      <w:r w:rsidRPr="008B02E0">
        <w:t>8HW primary and interim CSR and Tables 13 and 14 of pembrolizumab PSD March 2021 PBAC Meeting</w:t>
      </w:r>
    </w:p>
    <w:p w14:paraId="355FF729" w14:textId="77777777" w:rsidR="00EB6430" w:rsidRPr="008B02E0" w:rsidRDefault="00EB6430" w:rsidP="00AE5B32">
      <w:pPr>
        <w:pStyle w:val="TableFigureFooter"/>
      </w:pPr>
      <w:r w:rsidRPr="008B02E0">
        <w:t>NIVO=nivolumab, IPI=ipilimumab, Q3W=every 3 weeks, no.=number</w:t>
      </w:r>
    </w:p>
    <w:p w14:paraId="3D99AD72" w14:textId="6FBA870B" w:rsidR="00EB6430" w:rsidRPr="008B02E0" w:rsidRDefault="00EB6430" w:rsidP="00AE5B32">
      <w:pPr>
        <w:pStyle w:val="TableFigureFooter"/>
        <w:rPr>
          <w:iCs/>
        </w:rPr>
      </w:pPr>
      <w:r w:rsidRPr="008B02E0">
        <w:rPr>
          <w:iCs/>
          <w:vertAlign w:val="superscript"/>
        </w:rPr>
        <w:t>a</w:t>
      </w:r>
      <w:r w:rsidRPr="008B02E0">
        <w:rPr>
          <w:iCs/>
        </w:rPr>
        <w:tab/>
        <w:t xml:space="preserve">Calculated as 3.56 doses of </w:t>
      </w:r>
      <w:r w:rsidR="00F261D6">
        <w:rPr>
          <w:iCs/>
        </w:rPr>
        <w:t>240 mg</w:t>
      </w:r>
      <w:r w:rsidRPr="008B02E0">
        <w:rPr>
          <w:iCs/>
        </w:rPr>
        <w:t xml:space="preserve"> followed by 13.85 doses of </w:t>
      </w:r>
      <w:r w:rsidR="00F261D6">
        <w:rPr>
          <w:iCs/>
        </w:rPr>
        <w:t>480 mg</w:t>
      </w:r>
      <w:r w:rsidRPr="008B02E0">
        <w:rPr>
          <w:iCs/>
        </w:rPr>
        <w:t xml:space="preserve"> nivolumab</w:t>
      </w:r>
    </w:p>
    <w:p w14:paraId="4B9FC82E" w14:textId="77777777" w:rsidR="00EB6430" w:rsidRPr="008B02E0" w:rsidRDefault="00EB6430" w:rsidP="00AE5B32">
      <w:pPr>
        <w:pStyle w:val="TableFigureFooter"/>
        <w:rPr>
          <w:iCs/>
        </w:rPr>
      </w:pPr>
      <w:r w:rsidRPr="008B02E0">
        <w:rPr>
          <w:iCs/>
          <w:vertAlign w:val="superscript"/>
        </w:rPr>
        <w:t>b</w:t>
      </w:r>
      <w:r w:rsidRPr="008B02E0">
        <w:rPr>
          <w:iCs/>
        </w:rPr>
        <w:tab/>
        <w:t>Calculated as 3.56 doses of 100mg ipilimumab divided by average weight of patient 70.5kg</w:t>
      </w:r>
    </w:p>
    <w:p w14:paraId="4BCF576A" w14:textId="61DBAC67" w:rsidR="00EB6430" w:rsidRPr="008B02E0" w:rsidRDefault="00EB6430" w:rsidP="00AE5B32">
      <w:pPr>
        <w:pStyle w:val="TableFigureFooter"/>
        <w:rPr>
          <w:iCs/>
        </w:rPr>
      </w:pPr>
      <w:r w:rsidRPr="008B02E0">
        <w:rPr>
          <w:iCs/>
          <w:vertAlign w:val="superscript"/>
        </w:rPr>
        <w:t>c</w:t>
      </w:r>
      <w:r w:rsidRPr="008B02E0">
        <w:rPr>
          <w:iCs/>
        </w:rPr>
        <w:tab/>
        <w:t xml:space="preserve">Calculated as 20.5 doses of </w:t>
      </w:r>
      <w:r w:rsidR="003E487B">
        <w:rPr>
          <w:iCs/>
        </w:rPr>
        <w:t>200 mg</w:t>
      </w:r>
      <w:r w:rsidRPr="008B02E0">
        <w:rPr>
          <w:iCs/>
        </w:rPr>
        <w:t xml:space="preserve"> pembrolizumab</w:t>
      </w:r>
    </w:p>
    <w:p w14:paraId="6C595B04" w14:textId="1037A26D" w:rsidR="00EB6430" w:rsidRPr="008B02E0" w:rsidRDefault="00EB6430" w:rsidP="00AE5B32">
      <w:pPr>
        <w:pStyle w:val="TableFigureFooter"/>
      </w:pPr>
      <w:r w:rsidRPr="008B02E0">
        <w:rPr>
          <w:vertAlign w:val="superscript"/>
        </w:rPr>
        <w:t>d</w:t>
      </w:r>
      <w:r w:rsidRPr="008B02E0">
        <w:tab/>
        <w:t>Initial doses: NIVO $</w:t>
      </w:r>
      <w:r w:rsidR="00E11347" w:rsidRPr="00E11347">
        <w:rPr>
          <w:color w:val="000000"/>
          <w:spacing w:val="35"/>
          <w:shd w:val="solid" w:color="000000" w:fill="000000"/>
          <w:fitText w:val="265" w:id="-628963327"/>
          <w14:textFill>
            <w14:solidFill>
              <w14:srgbClr w14:val="000000">
                <w14:alpha w14:val="100000"/>
              </w14:srgbClr>
            </w14:solidFill>
          </w14:textFill>
        </w:rPr>
        <w:t xml:space="preserve">|  </w:t>
      </w:r>
      <w:r w:rsidR="00E11347" w:rsidRPr="00E11347">
        <w:rPr>
          <w:color w:val="000000"/>
          <w:spacing w:val="2"/>
          <w:shd w:val="solid" w:color="000000" w:fill="000000"/>
          <w:fitText w:val="265" w:id="-628963327"/>
          <w14:textFill>
            <w14:solidFill>
              <w14:srgbClr w14:val="000000">
                <w14:alpha w14:val="100000"/>
              </w14:srgbClr>
            </w14:solidFill>
          </w14:textFill>
        </w:rPr>
        <w:t>|</w:t>
      </w:r>
      <w:r w:rsidRPr="008B02E0">
        <w:t xml:space="preserve"> + IPI $</w:t>
      </w:r>
      <w:r w:rsidR="00E11347" w:rsidRPr="00E11347">
        <w:rPr>
          <w:color w:val="000000"/>
          <w:spacing w:val="35"/>
          <w:shd w:val="solid" w:color="000000" w:fill="000000"/>
          <w:fitText w:val="265" w:id="-628963326"/>
          <w14:textFill>
            <w14:solidFill>
              <w14:srgbClr w14:val="000000">
                <w14:alpha w14:val="100000"/>
              </w14:srgbClr>
            </w14:solidFill>
          </w14:textFill>
        </w:rPr>
        <w:t xml:space="preserve">|  </w:t>
      </w:r>
      <w:r w:rsidR="00E11347" w:rsidRPr="00E11347">
        <w:rPr>
          <w:color w:val="000000"/>
          <w:spacing w:val="2"/>
          <w:shd w:val="solid" w:color="000000" w:fill="000000"/>
          <w:fitText w:val="265" w:id="-628963326"/>
          <w14:textFill>
            <w14:solidFill>
              <w14:srgbClr w14:val="000000">
                <w14:alpha w14:val="100000"/>
              </w14:srgbClr>
            </w14:solidFill>
          </w14:textFill>
        </w:rPr>
        <w:t>|</w:t>
      </w:r>
      <w:r w:rsidRPr="008B02E0">
        <w:t>, maintenance doses: NIVO $</w:t>
      </w:r>
      <w:r w:rsidR="00E11347" w:rsidRPr="00E11347">
        <w:rPr>
          <w:color w:val="000000"/>
          <w:spacing w:val="40"/>
          <w:shd w:val="solid" w:color="000000" w:fill="000000"/>
          <w:fitText w:val="280" w:id="-628963325"/>
          <w14:textFill>
            <w14:solidFill>
              <w14:srgbClr w14:val="000000">
                <w14:alpha w14:val="100000"/>
              </w14:srgbClr>
            </w14:solidFill>
          </w14:textFill>
        </w:rPr>
        <w:t xml:space="preserve">|  </w:t>
      </w:r>
      <w:r w:rsidR="00E11347" w:rsidRPr="00E11347">
        <w:rPr>
          <w:color w:val="000000"/>
          <w:spacing w:val="2"/>
          <w:shd w:val="solid" w:color="000000" w:fill="000000"/>
          <w:fitText w:val="280" w:id="-628963325"/>
          <w14:textFill>
            <w14:solidFill>
              <w14:srgbClr w14:val="000000">
                <w14:alpha w14:val="100000"/>
              </w14:srgbClr>
            </w14:solidFill>
          </w14:textFill>
        </w:rPr>
        <w:t>|</w:t>
      </w:r>
    </w:p>
    <w:p w14:paraId="3B059CAB" w14:textId="77777777" w:rsidR="00EB6430" w:rsidRPr="008B02E0" w:rsidRDefault="00EB6430" w:rsidP="00AE5B32">
      <w:pPr>
        <w:pStyle w:val="TableFigureFooter"/>
      </w:pPr>
      <w:r w:rsidRPr="008B02E0">
        <w:rPr>
          <w:vertAlign w:val="superscript"/>
        </w:rPr>
        <w:t>e</w:t>
      </w:r>
      <w:r w:rsidRPr="008B02E0">
        <w:tab/>
        <w:t>assumed 50% reduction in AEMP for pembrolizumab</w:t>
      </w:r>
    </w:p>
    <w:p w14:paraId="61581B78" w14:textId="741E01CC" w:rsidR="00EB6430" w:rsidRPr="008B02E0" w:rsidRDefault="00EB6430" w:rsidP="00AE5B32">
      <w:pPr>
        <w:pStyle w:val="3-BodyText"/>
      </w:pPr>
      <w:r w:rsidRPr="008B02E0">
        <w:t>Cost of a course of nivolumab plus ipilimumab was estimated to be $</w:t>
      </w:r>
      <w:r w:rsidR="00E11347" w:rsidRPr="00E11347">
        <w:rPr>
          <w:color w:val="000000"/>
          <w:w w:val="61"/>
          <w:shd w:val="solid" w:color="000000" w:fill="000000"/>
          <w:fitText w:val="475" w:id="-628963324"/>
          <w14:textFill>
            <w14:solidFill>
              <w14:srgbClr w14:val="000000">
                <w14:alpha w14:val="100000"/>
              </w14:srgbClr>
            </w14:solidFill>
          </w14:textFill>
        </w:rPr>
        <w:t>|||  ||</w:t>
      </w:r>
      <w:r w:rsidR="00E11347" w:rsidRPr="00E11347">
        <w:rPr>
          <w:color w:val="000000"/>
          <w:spacing w:val="5"/>
          <w:w w:val="61"/>
          <w:shd w:val="solid" w:color="000000" w:fill="000000"/>
          <w:fitText w:val="475" w:id="-628963324"/>
          <w14:textFill>
            <w14:solidFill>
              <w14:srgbClr w14:val="000000">
                <w14:alpha w14:val="100000"/>
              </w14:srgbClr>
            </w14:solidFill>
          </w14:textFill>
        </w:rPr>
        <w:t>|</w:t>
      </w:r>
      <w:r w:rsidRPr="008B02E0">
        <w:t xml:space="preserve"> in the submission compared to $81,472 for pembrolizumab. </w:t>
      </w:r>
      <w:r w:rsidRPr="008B02E0">
        <w:rPr>
          <w:iCs/>
        </w:rPr>
        <w:t xml:space="preserve">Financial estimates for </w:t>
      </w:r>
      <w:r w:rsidR="00904C0E" w:rsidRPr="008B02E0">
        <w:rPr>
          <w:iCs/>
        </w:rPr>
        <w:t>each treatment</w:t>
      </w:r>
      <w:r w:rsidRPr="008B02E0">
        <w:rPr>
          <w:iCs/>
        </w:rPr>
        <w:t xml:space="preserve"> could not be calculated as costs were based on a market share approach</w:t>
      </w:r>
      <w:r w:rsidRPr="008B02E0">
        <w:t>.</w:t>
      </w:r>
    </w:p>
    <w:p w14:paraId="0C22B226" w14:textId="6797C9DF" w:rsidR="00EB6430" w:rsidRPr="008B02E0" w:rsidRDefault="00EB6430" w:rsidP="00AE5B32">
      <w:pPr>
        <w:pStyle w:val="3-BodyText"/>
      </w:pPr>
      <w:r w:rsidRPr="008B02E0">
        <w:rPr>
          <w:iCs/>
        </w:rPr>
        <w:t>Modelled dose and duration of nivolumab was similar to CM</w:t>
      </w:r>
      <w:r w:rsidR="009E5502">
        <w:noBreakHyphen/>
      </w:r>
      <w:r w:rsidRPr="008B02E0">
        <w:rPr>
          <w:iCs/>
        </w:rPr>
        <w:t>8HW 1L+, with the slight underestimate resulting from capping nivolumab use at 2 years. Ipilimumab cumulative dose was overestimated as it was cost as a fixed 100</w:t>
      </w:r>
      <w:r w:rsidR="009B18AB" w:rsidRPr="008B02E0">
        <w:rPr>
          <w:iCs/>
        </w:rPr>
        <w:t xml:space="preserve"> </w:t>
      </w:r>
      <w:r w:rsidRPr="008B02E0">
        <w:rPr>
          <w:iCs/>
        </w:rPr>
        <w:t>mg dose (i.e., assumed full vial wastage) rather than weight</w:t>
      </w:r>
      <w:r w:rsidR="009E5502">
        <w:rPr>
          <w:iCs/>
        </w:rPr>
        <w:noBreakHyphen/>
      </w:r>
      <w:r w:rsidRPr="008B02E0">
        <w:rPr>
          <w:iCs/>
        </w:rPr>
        <w:t>based dosing at 1mg/kg.</w:t>
      </w:r>
    </w:p>
    <w:p w14:paraId="3DBFE151" w14:textId="372A1069" w:rsidR="00494207" w:rsidRPr="008B02E0" w:rsidRDefault="00EB6430" w:rsidP="00AE5B32">
      <w:pPr>
        <w:pStyle w:val="3-BodyText"/>
        <w:rPr>
          <w:snapToGrid/>
          <w:color w:val="0066FF"/>
        </w:rPr>
      </w:pPr>
      <w:r w:rsidRPr="008B02E0">
        <w:rPr>
          <w:iCs/>
        </w:rPr>
        <w:t>Number of doses of pembrolizumab was slightly overestimated compared to KN</w:t>
      </w:r>
      <w:r w:rsidR="009E5502">
        <w:rPr>
          <w:iCs/>
        </w:rPr>
        <w:noBreakHyphen/>
      </w:r>
      <w:r w:rsidRPr="008B02E0">
        <w:rPr>
          <w:iCs/>
        </w:rPr>
        <w:t>177.</w:t>
      </w:r>
    </w:p>
    <w:p w14:paraId="268768EF" w14:textId="3626F292" w:rsidR="00B60939" w:rsidRPr="008B02E0" w:rsidRDefault="00B60939" w:rsidP="00AE5B32">
      <w:pPr>
        <w:pStyle w:val="4-SubsectionHeading"/>
      </w:pPr>
      <w:bookmarkStart w:id="98" w:name="_Toc22897647"/>
      <w:bookmarkStart w:id="99" w:name="_Toc198731750"/>
      <w:bookmarkEnd w:id="22"/>
      <w:r w:rsidRPr="008B02E0">
        <w:t>Estimated PBS usage &amp; financial implications</w:t>
      </w:r>
      <w:bookmarkEnd w:id="98"/>
      <w:bookmarkEnd w:id="99"/>
    </w:p>
    <w:p w14:paraId="04B31D2D" w14:textId="65A30049" w:rsidR="0072416F" w:rsidRPr="008B02E0" w:rsidRDefault="008A55E6" w:rsidP="00AE5B32">
      <w:pPr>
        <w:pStyle w:val="3-BodyText"/>
      </w:pPr>
      <w:r w:rsidRPr="008B02E0">
        <w:t xml:space="preserve">This submission </w:t>
      </w:r>
      <w:r w:rsidR="00B313E1" w:rsidRPr="008B02E0">
        <w:t>was not</w:t>
      </w:r>
      <w:r w:rsidRPr="008B02E0">
        <w:t xml:space="preserve"> considered by DUSC. The submission stated that a market share approach was used to estimate the financial implications to the health budget for the proposed listing of nivolumab plus ipilimumab. </w:t>
      </w:r>
      <w:r w:rsidR="00241601" w:rsidRPr="008B02E0">
        <w:t xml:space="preserve">The effective price of </w:t>
      </w:r>
      <w:r w:rsidR="00241601" w:rsidRPr="008B02E0">
        <w:lastRenderedPageBreak/>
        <w:t xml:space="preserve">pembrolizumab </w:t>
      </w:r>
      <w:r w:rsidR="009175EF" w:rsidRPr="008B02E0">
        <w:t xml:space="preserve">was </w:t>
      </w:r>
      <w:r w:rsidR="00241601" w:rsidRPr="008B02E0">
        <w:t xml:space="preserve">assumed to be 50% of the published AEMP. </w:t>
      </w:r>
      <w:r w:rsidRPr="008B02E0">
        <w:fldChar w:fldCharType="begin"/>
      </w:r>
      <w:r w:rsidRPr="008B02E0">
        <w:instrText xml:space="preserve"> REF _Ref104805262 \h  \* MERGEFORMAT </w:instrText>
      </w:r>
      <w:r w:rsidRPr="008B02E0">
        <w:fldChar w:fldCharType="separate"/>
      </w:r>
      <w:r w:rsidR="00B542C9" w:rsidRPr="008B02E0">
        <w:t xml:space="preserve">Table </w:t>
      </w:r>
      <w:r w:rsidR="00B542C9">
        <w:t>17</w:t>
      </w:r>
      <w:r w:rsidRPr="008B02E0">
        <w:fldChar w:fldCharType="end"/>
      </w:r>
      <w:r w:rsidRPr="008B02E0">
        <w:t xml:space="preserve"> summarises the inputs used for the financial estimates</w:t>
      </w:r>
      <w:r w:rsidR="00AC553B" w:rsidRPr="008B02E0">
        <w:t>.</w:t>
      </w:r>
      <w:r w:rsidRPr="008B02E0">
        <w:t xml:space="preserve"> </w:t>
      </w:r>
    </w:p>
    <w:p w14:paraId="3393BCE7" w14:textId="2DEAECE8" w:rsidR="00E42F73" w:rsidRPr="008B02E0" w:rsidRDefault="00E16AD8" w:rsidP="00AE5B32">
      <w:pPr>
        <w:pStyle w:val="Caption"/>
        <w:rPr>
          <w:rStyle w:val="CommentReference"/>
          <w:b/>
          <w:szCs w:val="24"/>
        </w:rPr>
      </w:pPr>
      <w:bookmarkStart w:id="100" w:name="_Ref104805262"/>
      <w:r w:rsidRPr="008B02E0">
        <w:t xml:space="preserve">Table </w:t>
      </w:r>
      <w:r w:rsidR="008258C7">
        <w:fldChar w:fldCharType="begin"/>
      </w:r>
      <w:r w:rsidR="008258C7">
        <w:instrText xml:space="preserve"> SEQ Table \* ARABIC </w:instrText>
      </w:r>
      <w:r w:rsidR="008258C7">
        <w:fldChar w:fldCharType="separate"/>
      </w:r>
      <w:r w:rsidR="00B542C9">
        <w:rPr>
          <w:noProof/>
        </w:rPr>
        <w:t>17</w:t>
      </w:r>
      <w:r w:rsidR="008258C7">
        <w:rPr>
          <w:noProof/>
        </w:rPr>
        <w:fldChar w:fldCharType="end"/>
      </w:r>
      <w:bookmarkEnd w:id="100"/>
      <w:r w:rsidRPr="008B02E0">
        <w:t>:</w:t>
      </w:r>
      <w:r w:rsidR="00E42F73" w:rsidRPr="008B02E0">
        <w:rPr>
          <w:rStyle w:val="CommentReference"/>
          <w:b/>
          <w:szCs w:val="24"/>
        </w:rPr>
        <w:t xml:space="preserve"> Key inputs for financial estimates</w:t>
      </w:r>
    </w:p>
    <w:tbl>
      <w:tblPr>
        <w:tblStyle w:val="PBAClayout"/>
        <w:tblW w:w="9180" w:type="dxa"/>
        <w:tblLook w:val="04A0" w:firstRow="1" w:lastRow="0" w:firstColumn="1" w:lastColumn="0" w:noHBand="0" w:noVBand="1"/>
        <w:tblCaption w:val="Table 17: Key inputs for financial estimates"/>
      </w:tblPr>
      <w:tblGrid>
        <w:gridCol w:w="1526"/>
        <w:gridCol w:w="7654"/>
      </w:tblGrid>
      <w:tr w:rsidR="008A55E6" w:rsidRPr="008B02E0" w14:paraId="6E51E2E1" w14:textId="77777777" w:rsidTr="002D37ED">
        <w:trPr>
          <w:tblHeader/>
        </w:trPr>
        <w:tc>
          <w:tcPr>
            <w:tcW w:w="1526" w:type="dxa"/>
          </w:tcPr>
          <w:p w14:paraId="6357AD0C" w14:textId="77777777" w:rsidR="008A55E6" w:rsidRPr="008B02E0" w:rsidRDefault="008A55E6" w:rsidP="00AE5B32">
            <w:pPr>
              <w:pStyle w:val="In-tableHeading"/>
              <w:keepNext w:val="0"/>
              <w:jc w:val="center"/>
              <w:rPr>
                <w:lang w:val="en-AU"/>
              </w:rPr>
            </w:pPr>
            <w:r w:rsidRPr="008B02E0">
              <w:rPr>
                <w:lang w:val="en-AU"/>
              </w:rPr>
              <w:t>Data</w:t>
            </w:r>
          </w:p>
        </w:tc>
        <w:tc>
          <w:tcPr>
            <w:tcW w:w="7654" w:type="dxa"/>
          </w:tcPr>
          <w:p w14:paraId="35969EAB" w14:textId="77777777" w:rsidR="008A55E6" w:rsidRPr="008B02E0" w:rsidRDefault="008A55E6" w:rsidP="00AE5B32">
            <w:pPr>
              <w:pStyle w:val="In-tableHeading"/>
              <w:keepNext w:val="0"/>
              <w:jc w:val="center"/>
              <w:rPr>
                <w:lang w:val="en-AU"/>
              </w:rPr>
            </w:pPr>
            <w:r w:rsidRPr="008B02E0">
              <w:rPr>
                <w:lang w:val="en-AU"/>
              </w:rPr>
              <w:t>Value, Source, Comment</w:t>
            </w:r>
          </w:p>
        </w:tc>
      </w:tr>
      <w:tr w:rsidR="008A55E6" w:rsidRPr="008B02E0" w14:paraId="7D4CB370" w14:textId="77777777" w:rsidTr="00D17F3A">
        <w:tc>
          <w:tcPr>
            <w:tcW w:w="1526" w:type="dxa"/>
          </w:tcPr>
          <w:p w14:paraId="5679CCFF" w14:textId="77777777" w:rsidR="008A55E6" w:rsidRPr="008B02E0" w:rsidRDefault="008A55E6" w:rsidP="00AE5B32">
            <w:pPr>
              <w:pStyle w:val="TableText0"/>
              <w:keepNext w:val="0"/>
            </w:pPr>
            <w:r w:rsidRPr="008B02E0">
              <w:t>Current market, market growth, forecast market (without nivolumab plus ipilimumab) and market share</w:t>
            </w:r>
          </w:p>
        </w:tc>
        <w:tc>
          <w:tcPr>
            <w:tcW w:w="7654" w:type="dxa"/>
          </w:tcPr>
          <w:p w14:paraId="19BA24D6" w14:textId="486EEBE8" w:rsidR="008A55E6" w:rsidRPr="008B02E0" w:rsidRDefault="00F86FFE" w:rsidP="00AE5B32">
            <w:pPr>
              <w:pStyle w:val="TableText0"/>
              <w:keepNext w:val="0"/>
            </w:pPr>
            <w:r w:rsidRPr="008B02E0">
              <w:t>T</w:t>
            </w:r>
            <w:r w:rsidR="008A55E6" w:rsidRPr="008B02E0">
              <w:t xml:space="preserve">he submission estimated an annual growth rate by fitting a linear trend to monthly script data for pembrolizumab (PBS item numbers: 12605K and 12615Y) from Medicare Australia claims from Jan 2023 to Dec 2024 (2 years inclusive). The estimated growth rate was then applied to script data for pembrolizumab (Medicare Australia claims) accumulated in calendar year 2024 to establish the size of the market over the first six years of the proposed listing (2025 to 2030). </w:t>
            </w:r>
          </w:p>
          <w:p w14:paraId="1523E330" w14:textId="77777777" w:rsidR="008A55E6" w:rsidRPr="008B02E0" w:rsidRDefault="008A55E6" w:rsidP="00AE5B32">
            <w:pPr>
              <w:pStyle w:val="TableText0"/>
              <w:keepNext w:val="0"/>
              <w:rPr>
                <w:iCs/>
              </w:rPr>
            </w:pPr>
          </w:p>
          <w:p w14:paraId="1CCF59D1" w14:textId="1EA6FE51" w:rsidR="008A55E6" w:rsidRPr="008B02E0" w:rsidRDefault="008A55E6" w:rsidP="00AE5B32">
            <w:pPr>
              <w:pStyle w:val="TableText0"/>
              <w:keepNext w:val="0"/>
              <w:rPr>
                <w:iCs/>
              </w:rPr>
            </w:pPr>
            <w:r w:rsidRPr="008B02E0">
              <w:t>To predict the annual growth rate, the submission stated that the above two</w:t>
            </w:r>
            <w:r w:rsidR="009E5502">
              <w:noBreakHyphen/>
            </w:r>
            <w:r w:rsidRPr="008B02E0">
              <w:t xml:space="preserve">year timeframe was selected as it allowed the market to stabilise after the PBS listing of pembrolizumab in August 2021. </w:t>
            </w:r>
          </w:p>
          <w:p w14:paraId="59B5754D" w14:textId="77777777" w:rsidR="008A55E6" w:rsidRPr="008B02E0" w:rsidRDefault="008A55E6" w:rsidP="00AE5B32">
            <w:pPr>
              <w:pStyle w:val="TableText0"/>
              <w:keepNext w:val="0"/>
            </w:pPr>
          </w:p>
          <w:p w14:paraId="48B09342" w14:textId="6024EAAD" w:rsidR="008A55E6" w:rsidRPr="008B02E0" w:rsidRDefault="008A55E6" w:rsidP="00AE5B32">
            <w:pPr>
              <w:pStyle w:val="TableText0"/>
              <w:keepNext w:val="0"/>
              <w:rPr>
                <w:iCs/>
              </w:rPr>
            </w:pPr>
            <w:r w:rsidRPr="008B02E0">
              <w:t>The submission assumed pembrolizumab has 100% market share</w:t>
            </w:r>
            <w:r w:rsidR="00265D0D" w:rsidRPr="008B02E0">
              <w:t>.</w:t>
            </w:r>
            <w:r w:rsidRPr="008B02E0">
              <w:rPr>
                <w:iCs/>
              </w:rPr>
              <w:t xml:space="preserve"> </w:t>
            </w:r>
          </w:p>
          <w:p w14:paraId="390E1DC6" w14:textId="2E57337E" w:rsidR="008A55E6" w:rsidRPr="008B02E0" w:rsidRDefault="008A55E6" w:rsidP="00AE5B32">
            <w:pPr>
              <w:pStyle w:val="TableText0"/>
              <w:keepNext w:val="0"/>
              <w:rPr>
                <w:b/>
                <w:bCs w:val="0"/>
                <w:noProof/>
              </w:rPr>
            </w:pPr>
            <w:r w:rsidRPr="008B02E0">
              <w:rPr>
                <w:b/>
                <w:bCs w:val="0"/>
                <w:noProof/>
              </w:rPr>
              <w:t xml:space="preserve">Forecast market without </w:t>
            </w:r>
            <w:r w:rsidRPr="008B02E0">
              <w:rPr>
                <w:b/>
                <w:bCs w:val="0"/>
              </w:rPr>
              <w:t>nivolumab plus ipilimumab</w:t>
            </w:r>
          </w:p>
          <w:tbl>
            <w:tblPr>
              <w:tblStyle w:val="TableGrid"/>
              <w:tblW w:w="0" w:type="auto"/>
              <w:jc w:val="center"/>
              <w:tblLook w:val="04A0" w:firstRow="1" w:lastRow="0" w:firstColumn="1" w:lastColumn="0" w:noHBand="0" w:noVBand="1"/>
            </w:tblPr>
            <w:tblGrid>
              <w:gridCol w:w="2583"/>
              <w:gridCol w:w="621"/>
              <w:gridCol w:w="714"/>
              <w:gridCol w:w="714"/>
              <w:gridCol w:w="714"/>
              <w:gridCol w:w="714"/>
              <w:gridCol w:w="714"/>
              <w:gridCol w:w="714"/>
            </w:tblGrid>
            <w:tr w:rsidR="008A55E6" w:rsidRPr="008B02E0" w14:paraId="0BB1393B" w14:textId="77777777" w:rsidTr="00D17F3A">
              <w:trPr>
                <w:trHeight w:val="102"/>
                <w:jc w:val="center"/>
              </w:trPr>
              <w:tc>
                <w:tcPr>
                  <w:tcW w:w="2583" w:type="dxa"/>
                  <w:vAlign w:val="center"/>
                </w:tcPr>
                <w:p w14:paraId="6D9903C0" w14:textId="77777777" w:rsidR="008A55E6" w:rsidRPr="008B02E0" w:rsidRDefault="008A55E6" w:rsidP="00AE5B32">
                  <w:pPr>
                    <w:rPr>
                      <w:rFonts w:ascii="Arial Narrow" w:hAnsi="Arial Narrow"/>
                      <w:sz w:val="18"/>
                      <w:szCs w:val="18"/>
                    </w:rPr>
                  </w:pPr>
                </w:p>
              </w:tc>
              <w:tc>
                <w:tcPr>
                  <w:tcW w:w="621" w:type="dxa"/>
                  <w:vAlign w:val="center"/>
                </w:tcPr>
                <w:p w14:paraId="2231E040"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2024 (Yr0)</w:t>
                  </w:r>
                </w:p>
              </w:tc>
              <w:tc>
                <w:tcPr>
                  <w:tcW w:w="714" w:type="dxa"/>
                  <w:vAlign w:val="center"/>
                </w:tcPr>
                <w:p w14:paraId="6E74C8B2"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2025 (Yr1)</w:t>
                  </w:r>
                </w:p>
              </w:tc>
              <w:tc>
                <w:tcPr>
                  <w:tcW w:w="714" w:type="dxa"/>
                  <w:vAlign w:val="center"/>
                </w:tcPr>
                <w:p w14:paraId="11443F84"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2026 (Yr2)</w:t>
                  </w:r>
                </w:p>
              </w:tc>
              <w:tc>
                <w:tcPr>
                  <w:tcW w:w="714" w:type="dxa"/>
                  <w:vAlign w:val="center"/>
                </w:tcPr>
                <w:p w14:paraId="02455F55"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2027 (Yr3)</w:t>
                  </w:r>
                </w:p>
              </w:tc>
              <w:tc>
                <w:tcPr>
                  <w:tcW w:w="714" w:type="dxa"/>
                  <w:vAlign w:val="center"/>
                </w:tcPr>
                <w:p w14:paraId="3A66F215"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2028 (Yr4)</w:t>
                  </w:r>
                </w:p>
              </w:tc>
              <w:tc>
                <w:tcPr>
                  <w:tcW w:w="714" w:type="dxa"/>
                  <w:vAlign w:val="center"/>
                </w:tcPr>
                <w:p w14:paraId="1A61DDEF"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2029 (Yr5)</w:t>
                  </w:r>
                </w:p>
              </w:tc>
              <w:tc>
                <w:tcPr>
                  <w:tcW w:w="714" w:type="dxa"/>
                  <w:vAlign w:val="center"/>
                </w:tcPr>
                <w:p w14:paraId="378BDD30" w14:textId="77777777" w:rsidR="008A55E6" w:rsidRPr="008B02E0" w:rsidRDefault="008A55E6" w:rsidP="00AE5B32">
                  <w:pPr>
                    <w:jc w:val="center"/>
                    <w:rPr>
                      <w:rFonts w:ascii="Arial Narrow" w:hAnsi="Arial Narrow"/>
                      <w:b/>
                      <w:bCs/>
                      <w:sz w:val="18"/>
                      <w:szCs w:val="18"/>
                    </w:rPr>
                  </w:pPr>
                  <w:r w:rsidRPr="008B02E0">
                    <w:rPr>
                      <w:rFonts w:ascii="Arial Narrow" w:hAnsi="Arial Narrow"/>
                      <w:b/>
                      <w:bCs/>
                      <w:sz w:val="18"/>
                      <w:szCs w:val="18"/>
                    </w:rPr>
                    <w:t>2030 (Yr6)</w:t>
                  </w:r>
                </w:p>
              </w:tc>
            </w:tr>
            <w:tr w:rsidR="008A55E6" w:rsidRPr="008B02E0" w14:paraId="5F50C9F0" w14:textId="77777777" w:rsidTr="00D17F3A">
              <w:trPr>
                <w:trHeight w:val="293"/>
                <w:jc w:val="center"/>
              </w:trPr>
              <w:tc>
                <w:tcPr>
                  <w:tcW w:w="2583" w:type="dxa"/>
                  <w:vAlign w:val="center"/>
                </w:tcPr>
                <w:p w14:paraId="28ED4827" w14:textId="77777777" w:rsidR="008A55E6" w:rsidRPr="008B02E0" w:rsidRDefault="008A55E6" w:rsidP="00AE5B32">
                  <w:pPr>
                    <w:rPr>
                      <w:rFonts w:ascii="Arial Narrow" w:hAnsi="Arial Narrow"/>
                      <w:sz w:val="18"/>
                      <w:szCs w:val="18"/>
                    </w:rPr>
                  </w:pPr>
                  <w:r w:rsidRPr="008B02E0">
                    <w:rPr>
                      <w:rFonts w:ascii="Arial Narrow" w:hAnsi="Arial Narrow"/>
                      <w:sz w:val="18"/>
                      <w:szCs w:val="18"/>
                    </w:rPr>
                    <w:t>Scripts</w:t>
                  </w:r>
                </w:p>
              </w:tc>
              <w:tc>
                <w:tcPr>
                  <w:tcW w:w="621" w:type="dxa"/>
                  <w:vAlign w:val="center"/>
                </w:tcPr>
                <w:p w14:paraId="31F5D117"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4368</w:t>
                  </w:r>
                </w:p>
              </w:tc>
              <w:tc>
                <w:tcPr>
                  <w:tcW w:w="714" w:type="dxa"/>
                  <w:vAlign w:val="center"/>
                </w:tcPr>
                <w:p w14:paraId="3E633FCA"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4759</w:t>
                  </w:r>
                </w:p>
              </w:tc>
              <w:tc>
                <w:tcPr>
                  <w:tcW w:w="714" w:type="dxa"/>
                  <w:vAlign w:val="center"/>
                </w:tcPr>
                <w:p w14:paraId="0092F976"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5162</w:t>
                  </w:r>
                </w:p>
              </w:tc>
              <w:tc>
                <w:tcPr>
                  <w:tcW w:w="714" w:type="dxa"/>
                  <w:vAlign w:val="center"/>
                </w:tcPr>
                <w:p w14:paraId="2178C583"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5565</w:t>
                  </w:r>
                </w:p>
              </w:tc>
              <w:tc>
                <w:tcPr>
                  <w:tcW w:w="714" w:type="dxa"/>
                  <w:vAlign w:val="center"/>
                </w:tcPr>
                <w:p w14:paraId="313DFB6C"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5968</w:t>
                  </w:r>
                </w:p>
              </w:tc>
              <w:tc>
                <w:tcPr>
                  <w:tcW w:w="714" w:type="dxa"/>
                  <w:vAlign w:val="center"/>
                </w:tcPr>
                <w:p w14:paraId="31E3327E"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6370</w:t>
                  </w:r>
                </w:p>
              </w:tc>
              <w:tc>
                <w:tcPr>
                  <w:tcW w:w="714" w:type="dxa"/>
                  <w:vAlign w:val="center"/>
                </w:tcPr>
                <w:p w14:paraId="7414DC35"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6773</w:t>
                  </w:r>
                </w:p>
              </w:tc>
            </w:tr>
            <w:tr w:rsidR="008A55E6" w:rsidRPr="008B02E0" w14:paraId="59826465" w14:textId="77777777" w:rsidTr="00D17F3A">
              <w:trPr>
                <w:trHeight w:val="141"/>
                <w:jc w:val="center"/>
              </w:trPr>
              <w:tc>
                <w:tcPr>
                  <w:tcW w:w="2583" w:type="dxa"/>
                  <w:vAlign w:val="center"/>
                </w:tcPr>
                <w:p w14:paraId="395FD4FA" w14:textId="77777777" w:rsidR="008A55E6" w:rsidRPr="008B02E0" w:rsidRDefault="008A55E6" w:rsidP="00AE5B32">
                  <w:pPr>
                    <w:jc w:val="left"/>
                    <w:rPr>
                      <w:rFonts w:ascii="Arial Narrow" w:hAnsi="Arial Narrow"/>
                      <w:sz w:val="18"/>
                      <w:szCs w:val="18"/>
                    </w:rPr>
                  </w:pPr>
                  <w:r w:rsidRPr="008B02E0">
                    <w:rPr>
                      <w:rFonts w:ascii="Arial Narrow" w:hAnsi="Arial Narrow"/>
                      <w:sz w:val="18"/>
                      <w:szCs w:val="18"/>
                    </w:rPr>
                    <w:t>% change (linear prediction)</w:t>
                  </w:r>
                </w:p>
              </w:tc>
              <w:tc>
                <w:tcPr>
                  <w:tcW w:w="621" w:type="dxa"/>
                  <w:vAlign w:val="center"/>
                </w:tcPr>
                <w:p w14:paraId="2C7A5E07" w14:textId="5009BDA9" w:rsidR="008A55E6" w:rsidRPr="008B02E0" w:rsidRDefault="009E5502" w:rsidP="00AE5B32">
                  <w:pPr>
                    <w:jc w:val="center"/>
                    <w:rPr>
                      <w:rFonts w:ascii="Arial Narrow" w:hAnsi="Arial Narrow"/>
                      <w:sz w:val="18"/>
                      <w:szCs w:val="18"/>
                    </w:rPr>
                  </w:pPr>
                  <w:r>
                    <w:rPr>
                      <w:rFonts w:ascii="Arial Narrow" w:hAnsi="Arial Narrow"/>
                      <w:sz w:val="18"/>
                      <w:szCs w:val="18"/>
                    </w:rPr>
                    <w:noBreakHyphen/>
                  </w:r>
                  <w:r>
                    <w:rPr>
                      <w:rFonts w:ascii="Arial Narrow" w:hAnsi="Arial Narrow"/>
                      <w:sz w:val="18"/>
                      <w:szCs w:val="18"/>
                    </w:rPr>
                    <w:noBreakHyphen/>
                  </w:r>
                </w:p>
              </w:tc>
              <w:tc>
                <w:tcPr>
                  <w:tcW w:w="714" w:type="dxa"/>
                  <w:vAlign w:val="center"/>
                </w:tcPr>
                <w:p w14:paraId="6D75F8E6"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8.95%</w:t>
                  </w:r>
                </w:p>
              </w:tc>
              <w:tc>
                <w:tcPr>
                  <w:tcW w:w="714" w:type="dxa"/>
                  <w:vAlign w:val="center"/>
                </w:tcPr>
                <w:p w14:paraId="61DA7EE5"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8.47%</w:t>
                  </w:r>
                </w:p>
              </w:tc>
              <w:tc>
                <w:tcPr>
                  <w:tcW w:w="714" w:type="dxa"/>
                  <w:vAlign w:val="center"/>
                </w:tcPr>
                <w:p w14:paraId="16431466"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7.81%</w:t>
                  </w:r>
                </w:p>
              </w:tc>
              <w:tc>
                <w:tcPr>
                  <w:tcW w:w="714" w:type="dxa"/>
                  <w:vAlign w:val="center"/>
                </w:tcPr>
                <w:p w14:paraId="2672548A"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7.24%</w:t>
                  </w:r>
                </w:p>
              </w:tc>
              <w:tc>
                <w:tcPr>
                  <w:tcW w:w="714" w:type="dxa"/>
                  <w:vAlign w:val="center"/>
                </w:tcPr>
                <w:p w14:paraId="0B21F08D"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6.75%</w:t>
                  </w:r>
                </w:p>
              </w:tc>
              <w:tc>
                <w:tcPr>
                  <w:tcW w:w="714" w:type="dxa"/>
                  <w:vAlign w:val="center"/>
                </w:tcPr>
                <w:p w14:paraId="30161077" w14:textId="77777777" w:rsidR="008A55E6" w:rsidRPr="008B02E0" w:rsidRDefault="008A55E6" w:rsidP="00AE5B32">
                  <w:pPr>
                    <w:jc w:val="center"/>
                    <w:rPr>
                      <w:rFonts w:ascii="Arial Narrow" w:hAnsi="Arial Narrow"/>
                      <w:sz w:val="18"/>
                      <w:szCs w:val="18"/>
                    </w:rPr>
                  </w:pPr>
                  <w:r w:rsidRPr="008B02E0">
                    <w:rPr>
                      <w:rFonts w:ascii="Arial Narrow" w:hAnsi="Arial Narrow"/>
                      <w:sz w:val="18"/>
                      <w:szCs w:val="18"/>
                    </w:rPr>
                    <w:t>6.32%</w:t>
                  </w:r>
                </w:p>
              </w:tc>
            </w:tr>
          </w:tbl>
          <w:p w14:paraId="4931245C" w14:textId="77777777" w:rsidR="008A55E6" w:rsidRPr="008B02E0" w:rsidRDefault="008A55E6" w:rsidP="00AE5B32">
            <w:pPr>
              <w:pStyle w:val="TableText0"/>
              <w:keepNext w:val="0"/>
            </w:pPr>
          </w:p>
        </w:tc>
      </w:tr>
      <w:tr w:rsidR="00AC0F5F" w:rsidRPr="008B02E0" w14:paraId="1E11921A" w14:textId="77777777" w:rsidTr="00D17F3A">
        <w:tc>
          <w:tcPr>
            <w:tcW w:w="1526" w:type="dxa"/>
          </w:tcPr>
          <w:p w14:paraId="71637AA8" w14:textId="7C063197" w:rsidR="00AC0F5F" w:rsidRPr="008B02E0" w:rsidDel="00E57C98" w:rsidRDefault="00AC0F5F" w:rsidP="00AE5B32">
            <w:pPr>
              <w:pStyle w:val="TableText0"/>
              <w:keepNext w:val="0"/>
              <w:rPr>
                <w:iCs/>
              </w:rPr>
            </w:pPr>
            <w:r w:rsidRPr="008B02E0">
              <w:rPr>
                <w:iCs/>
              </w:rPr>
              <w:t>Treatment duration</w:t>
            </w:r>
          </w:p>
        </w:tc>
        <w:tc>
          <w:tcPr>
            <w:tcW w:w="7654" w:type="dxa"/>
          </w:tcPr>
          <w:p w14:paraId="455594F2" w14:textId="11371D19" w:rsidR="00E62339" w:rsidRPr="008B02E0" w:rsidRDefault="00E62339" w:rsidP="00AE5B32">
            <w:pPr>
              <w:pStyle w:val="TableText0"/>
              <w:keepNext w:val="0"/>
              <w:rPr>
                <w:iCs/>
                <w:u w:val="single"/>
              </w:rPr>
            </w:pPr>
            <w:r w:rsidRPr="008B02E0">
              <w:rPr>
                <w:iCs/>
                <w:u w:val="single"/>
              </w:rPr>
              <w:t>Initiation</w:t>
            </w:r>
          </w:p>
          <w:p w14:paraId="022AFC60" w14:textId="2FECF528" w:rsidR="00AC0F5F" w:rsidRPr="008B02E0" w:rsidRDefault="00E62339" w:rsidP="00AE5B32">
            <w:pPr>
              <w:pStyle w:val="TableText0"/>
              <w:keepNext w:val="0"/>
              <w:rPr>
                <w:iCs/>
              </w:rPr>
            </w:pPr>
            <w:r w:rsidRPr="008B02E0">
              <w:rPr>
                <w:iCs/>
              </w:rPr>
              <w:t>Nivolumab</w:t>
            </w:r>
            <w:r w:rsidR="00427443" w:rsidRPr="008B02E0">
              <w:rPr>
                <w:iCs/>
              </w:rPr>
              <w:t xml:space="preserve"> + ipilimumab = 3.75 doses (CM</w:t>
            </w:r>
            <w:r w:rsidR="009E5502">
              <w:rPr>
                <w:iCs/>
              </w:rPr>
              <w:noBreakHyphen/>
            </w:r>
            <w:r w:rsidR="00427443" w:rsidRPr="008B02E0">
              <w:rPr>
                <w:iCs/>
              </w:rPr>
              <w:t>8HW)</w:t>
            </w:r>
          </w:p>
          <w:p w14:paraId="7B6223D9" w14:textId="77777777" w:rsidR="006E60A5" w:rsidRPr="008B02E0" w:rsidRDefault="006E60A5" w:rsidP="00AE5B32">
            <w:pPr>
              <w:pStyle w:val="TableText0"/>
              <w:keepNext w:val="0"/>
              <w:rPr>
                <w:iCs/>
                <w:u w:val="single"/>
              </w:rPr>
            </w:pPr>
            <w:r w:rsidRPr="008B02E0">
              <w:rPr>
                <w:iCs/>
                <w:u w:val="single"/>
              </w:rPr>
              <w:t>Continuation</w:t>
            </w:r>
          </w:p>
          <w:p w14:paraId="44BA1B6B" w14:textId="18C030E5" w:rsidR="006E60A5" w:rsidRPr="008B02E0" w:rsidRDefault="006E60A5" w:rsidP="00AE5B32">
            <w:pPr>
              <w:pStyle w:val="TableText0"/>
              <w:keepNext w:val="0"/>
              <w:rPr>
                <w:iCs/>
              </w:rPr>
            </w:pPr>
            <w:r w:rsidRPr="008B02E0">
              <w:rPr>
                <w:iCs/>
              </w:rPr>
              <w:t>Nivolumab = 14.99 doses (CM</w:t>
            </w:r>
            <w:r w:rsidR="009E5502">
              <w:rPr>
                <w:iCs/>
              </w:rPr>
              <w:noBreakHyphen/>
            </w:r>
            <w:r w:rsidRPr="008B02E0">
              <w:rPr>
                <w:iCs/>
              </w:rPr>
              <w:t>8HW)</w:t>
            </w:r>
          </w:p>
          <w:p w14:paraId="10D5C7D2" w14:textId="77777777" w:rsidR="006E60A5" w:rsidRPr="008B02E0" w:rsidRDefault="006E60A5" w:rsidP="00AE5B32">
            <w:pPr>
              <w:pStyle w:val="TableText0"/>
              <w:keepNext w:val="0"/>
              <w:rPr>
                <w:iCs/>
              </w:rPr>
            </w:pPr>
          </w:p>
          <w:p w14:paraId="1BEAE810" w14:textId="77777777" w:rsidR="006E60A5" w:rsidRPr="008B02E0" w:rsidRDefault="006E60A5" w:rsidP="00AE5B32">
            <w:pPr>
              <w:pStyle w:val="TableText0"/>
              <w:keepNext w:val="0"/>
              <w:rPr>
                <w:iCs/>
              </w:rPr>
            </w:pPr>
            <w:r w:rsidRPr="008B02E0">
              <w:rPr>
                <w:iCs/>
              </w:rPr>
              <w:t xml:space="preserve">Pembrolizumab = </w:t>
            </w:r>
            <w:r w:rsidR="00081B07" w:rsidRPr="008B02E0">
              <w:rPr>
                <w:iCs/>
              </w:rPr>
              <w:t>16.09 doses (Andre et al, 2020)</w:t>
            </w:r>
          </w:p>
          <w:p w14:paraId="1E2D439E" w14:textId="77777777" w:rsidR="00081B07" w:rsidRPr="008B02E0" w:rsidRDefault="00081B07" w:rsidP="00AE5B32">
            <w:pPr>
              <w:pStyle w:val="TableText0"/>
              <w:keepNext w:val="0"/>
              <w:rPr>
                <w:iCs/>
              </w:rPr>
            </w:pPr>
          </w:p>
          <w:p w14:paraId="10656CF4" w14:textId="16FBB27B" w:rsidR="00081B07" w:rsidRPr="008B02E0" w:rsidRDefault="00081B07" w:rsidP="00AE5B32">
            <w:pPr>
              <w:pStyle w:val="TableText0"/>
              <w:keepNext w:val="0"/>
              <w:rPr>
                <w:iCs/>
              </w:rPr>
            </w:pPr>
            <w:r w:rsidRPr="008B02E0">
              <w:rPr>
                <w:iCs/>
              </w:rPr>
              <w:t xml:space="preserve">The treatment doses assumed for nivolumab + </w:t>
            </w:r>
            <w:r w:rsidR="00517530" w:rsidRPr="008B02E0">
              <w:rPr>
                <w:iCs/>
              </w:rPr>
              <w:t>ipilimumab</w:t>
            </w:r>
            <w:r w:rsidRPr="008B02E0">
              <w:rPr>
                <w:iCs/>
              </w:rPr>
              <w:t xml:space="preserve"> could not be verified during the evaluation. </w:t>
            </w:r>
            <w:r w:rsidR="008F4CFD" w:rsidRPr="008B02E0">
              <w:rPr>
                <w:iCs/>
              </w:rPr>
              <w:t>The PSCR provided updated financial estimates with the mean duration of treatment amended to align with the economic model (3.7 doses for initiation; 13.6 doses for continuing therapy).</w:t>
            </w:r>
          </w:p>
        </w:tc>
      </w:tr>
      <w:tr w:rsidR="008A55E6" w:rsidRPr="008B02E0" w14:paraId="3FE10D71" w14:textId="77777777" w:rsidTr="00D17F3A">
        <w:tc>
          <w:tcPr>
            <w:tcW w:w="1526" w:type="dxa"/>
          </w:tcPr>
          <w:p w14:paraId="028CBD9D" w14:textId="49D425C5" w:rsidR="008A55E6" w:rsidRPr="008B02E0" w:rsidRDefault="00221ABC" w:rsidP="00AE5B32">
            <w:pPr>
              <w:pStyle w:val="TableText0"/>
              <w:keepNext w:val="0"/>
            </w:pPr>
            <w:r w:rsidRPr="008B02E0">
              <w:t>Substitution</w:t>
            </w:r>
          </w:p>
        </w:tc>
        <w:tc>
          <w:tcPr>
            <w:tcW w:w="7654" w:type="dxa"/>
          </w:tcPr>
          <w:p w14:paraId="6C52CF21" w14:textId="3846A7DF" w:rsidR="008A55E6" w:rsidRPr="008B02E0" w:rsidRDefault="008A55E6" w:rsidP="00AE5B32">
            <w:pPr>
              <w:pStyle w:val="TableText0"/>
              <w:keepNext w:val="0"/>
              <w:rPr>
                <w:i/>
                <w:iCs/>
              </w:rPr>
            </w:pPr>
            <w:r w:rsidRPr="008B02E0">
              <w:t xml:space="preserve">The submission assumed </w:t>
            </w:r>
            <w:r w:rsidR="00E11347" w:rsidRPr="00E11347">
              <w:rPr>
                <w:color w:val="000000"/>
                <w:spacing w:val="53"/>
                <w:shd w:val="solid" w:color="000000" w:fill="000000"/>
                <w:fitText w:val="330" w:id="-628963323"/>
                <w14:textFill>
                  <w14:solidFill>
                    <w14:srgbClr w14:val="000000">
                      <w14:alpha w14:val="100000"/>
                    </w14:srgbClr>
                  </w14:solidFill>
                </w14:textFill>
              </w:rPr>
              <w:t>|||</w:t>
            </w:r>
            <w:r w:rsidR="00E11347" w:rsidRPr="00E11347">
              <w:rPr>
                <w:color w:val="000000"/>
                <w:spacing w:val="1"/>
                <w:shd w:val="solid" w:color="000000" w:fill="000000"/>
                <w:fitText w:val="330" w:id="-628963323"/>
                <w14:textFill>
                  <w14:solidFill>
                    <w14:srgbClr w14:val="000000">
                      <w14:alpha w14:val="100000"/>
                    </w14:srgbClr>
                  </w14:solidFill>
                </w14:textFill>
              </w:rPr>
              <w:t>|</w:t>
            </w:r>
            <w:r w:rsidRPr="008B02E0">
              <w:t>% of pembrolizumab scripts will be substituted for nivolumab plus ipilimumab scripts. This was based on predicted market share responses from eight Australian oncologists who comprised an Advisory</w:t>
            </w:r>
            <w:r w:rsidR="00356A3A" w:rsidRPr="008B02E0">
              <w:t>.</w:t>
            </w:r>
            <w:r w:rsidR="002A59D1" w:rsidRPr="008B02E0">
              <w:t xml:space="preserve"> </w:t>
            </w:r>
            <w:r w:rsidR="002A59D1" w:rsidRPr="008B02E0">
              <w:rPr>
                <w:iCs/>
              </w:rPr>
              <w:t xml:space="preserve">The ESC considered </w:t>
            </w:r>
            <w:r w:rsidR="00CF206C" w:rsidRPr="008B02E0">
              <w:rPr>
                <w:iCs/>
              </w:rPr>
              <w:t xml:space="preserve">that </w:t>
            </w:r>
            <w:r w:rsidR="00E11347" w:rsidRPr="00E11347">
              <w:rPr>
                <w:iCs/>
                <w:color w:val="000000"/>
                <w:spacing w:val="53"/>
                <w:shd w:val="solid" w:color="000000" w:fill="000000"/>
                <w:fitText w:val="330" w:id="-628963322"/>
                <w14:textFill>
                  <w14:solidFill>
                    <w14:srgbClr w14:val="000000">
                      <w14:alpha w14:val="100000"/>
                    </w14:srgbClr>
                  </w14:solidFill>
                </w14:textFill>
              </w:rPr>
              <w:t>|||</w:t>
            </w:r>
            <w:r w:rsidR="00E11347" w:rsidRPr="00E11347">
              <w:rPr>
                <w:iCs/>
                <w:color w:val="000000"/>
                <w:spacing w:val="1"/>
                <w:shd w:val="solid" w:color="000000" w:fill="000000"/>
                <w:fitText w:val="330" w:id="-628963322"/>
                <w14:textFill>
                  <w14:solidFill>
                    <w14:srgbClr w14:val="000000">
                      <w14:alpha w14:val="100000"/>
                    </w14:srgbClr>
                  </w14:solidFill>
                </w14:textFill>
              </w:rPr>
              <w:t>|</w:t>
            </w:r>
            <w:r w:rsidR="00CF206C" w:rsidRPr="00FC2E92">
              <w:rPr>
                <w:iCs/>
              </w:rPr>
              <w:t>−</w:t>
            </w:r>
            <w:r w:rsidR="00E11347" w:rsidRPr="00E11347">
              <w:rPr>
                <w:iCs/>
                <w:color w:val="000000"/>
                <w:spacing w:val="53"/>
                <w:shd w:val="solid" w:color="000000" w:fill="000000"/>
                <w:fitText w:val="330" w:id="-628963321"/>
                <w14:textFill>
                  <w14:solidFill>
                    <w14:srgbClr w14:val="000000">
                      <w14:alpha w14:val="100000"/>
                    </w14:srgbClr>
                  </w14:solidFill>
                </w14:textFill>
              </w:rPr>
              <w:t>|||</w:t>
            </w:r>
            <w:r w:rsidR="00E11347" w:rsidRPr="00E11347">
              <w:rPr>
                <w:iCs/>
                <w:color w:val="000000"/>
                <w:spacing w:val="1"/>
                <w:shd w:val="solid" w:color="000000" w:fill="000000"/>
                <w:fitText w:val="330" w:id="-628963321"/>
                <w14:textFill>
                  <w14:solidFill>
                    <w14:srgbClr w14:val="000000">
                      <w14:alpha w14:val="100000"/>
                    </w14:srgbClr>
                  </w14:solidFill>
                </w14:textFill>
              </w:rPr>
              <w:t>|</w:t>
            </w:r>
            <w:r w:rsidR="00CF206C" w:rsidRPr="00FC2E92">
              <w:rPr>
                <w:iCs/>
              </w:rPr>
              <w:t xml:space="preserve">% </w:t>
            </w:r>
            <w:r w:rsidR="00CF206C" w:rsidRPr="008B02E0">
              <w:rPr>
                <w:iCs/>
              </w:rPr>
              <w:t>may be more reasonable.</w:t>
            </w:r>
            <w:r w:rsidRPr="008B02E0">
              <w:t xml:space="preserve"> </w:t>
            </w:r>
          </w:p>
        </w:tc>
      </w:tr>
      <w:tr w:rsidR="008A55E6" w:rsidRPr="008B02E0" w14:paraId="4679B076" w14:textId="77777777" w:rsidTr="00853A2A">
        <w:trPr>
          <w:trHeight w:val="2455"/>
        </w:trPr>
        <w:tc>
          <w:tcPr>
            <w:tcW w:w="1526" w:type="dxa"/>
          </w:tcPr>
          <w:p w14:paraId="37CD7A8C" w14:textId="1829E114" w:rsidR="008A55E6" w:rsidRPr="008B02E0" w:rsidRDefault="008A55E6" w:rsidP="00AE5B32">
            <w:pPr>
              <w:pStyle w:val="TableText0"/>
              <w:keepNext w:val="0"/>
            </w:pPr>
            <w:r w:rsidRPr="008B02E0">
              <w:t xml:space="preserve">Script equivalence </w:t>
            </w:r>
          </w:p>
        </w:tc>
        <w:tc>
          <w:tcPr>
            <w:tcW w:w="7654" w:type="dxa"/>
          </w:tcPr>
          <w:p w14:paraId="60E3262C" w14:textId="30A6F0C9" w:rsidR="008A55E6" w:rsidRPr="008B02E0" w:rsidRDefault="008A55E6" w:rsidP="00AE5B32">
            <w:pPr>
              <w:pStyle w:val="TableText0"/>
              <w:keepNext w:val="0"/>
            </w:pPr>
            <w:r w:rsidRPr="008B02E0">
              <w:t>To estimate the number of nivolumab plus ipilimumab scripts, the submission first estimated the reduction in pembrolizumab scripts using the calculated substitution rate (</w:t>
            </w:r>
            <w:r w:rsidR="00E11347" w:rsidRPr="00E11347">
              <w:rPr>
                <w:color w:val="000000"/>
                <w:spacing w:val="53"/>
                <w:shd w:val="solid" w:color="000000" w:fill="000000"/>
                <w:fitText w:val="330" w:id="-628963320"/>
                <w14:textFill>
                  <w14:solidFill>
                    <w14:srgbClr w14:val="000000">
                      <w14:alpha w14:val="100000"/>
                    </w14:srgbClr>
                  </w14:solidFill>
                </w14:textFill>
              </w:rPr>
              <w:t>|||</w:t>
            </w:r>
            <w:r w:rsidR="00E11347" w:rsidRPr="00E11347">
              <w:rPr>
                <w:color w:val="000000"/>
                <w:spacing w:val="1"/>
                <w:shd w:val="solid" w:color="000000" w:fill="000000"/>
                <w:fitText w:val="330" w:id="-628963320"/>
                <w14:textFill>
                  <w14:solidFill>
                    <w14:srgbClr w14:val="000000">
                      <w14:alpha w14:val="100000"/>
                    </w14:srgbClr>
                  </w14:solidFill>
                </w14:textFill>
              </w:rPr>
              <w:t>|</w:t>
            </w:r>
            <w:r w:rsidRPr="008B02E0">
              <w:t xml:space="preserve">%) </w:t>
            </w:r>
            <w:r w:rsidRPr="008B02E0">
              <w:rPr>
                <w:szCs w:val="20"/>
              </w:rPr>
              <w:t xml:space="preserve">then estimated the corresponding number of </w:t>
            </w:r>
            <w:r w:rsidRPr="008B02E0">
              <w:t>nivolumab and ipilimumab</w:t>
            </w:r>
            <w:r w:rsidRPr="008B02E0">
              <w:rPr>
                <w:szCs w:val="20"/>
              </w:rPr>
              <w:t xml:space="preserve"> scripts based on script equivalence between </w:t>
            </w:r>
            <w:r w:rsidRPr="008B02E0">
              <w:t>nivolumab plus ipilimumab</w:t>
            </w:r>
            <w:r w:rsidRPr="008B02E0">
              <w:rPr>
                <w:szCs w:val="20"/>
              </w:rPr>
              <w:t xml:space="preserve"> and </w:t>
            </w:r>
            <w:r w:rsidRPr="008B02E0">
              <w:t xml:space="preserve">pembrolizumab during a </w:t>
            </w:r>
            <w:r w:rsidRPr="008B02E0">
              <w:rPr>
                <w:u w:val="single"/>
              </w:rPr>
              <w:t>one</w:t>
            </w:r>
            <w:r w:rsidR="009E5502">
              <w:rPr>
                <w:u w:val="single"/>
              </w:rPr>
              <w:noBreakHyphen/>
            </w:r>
            <w:r w:rsidRPr="008B02E0">
              <w:rPr>
                <w:u w:val="single"/>
              </w:rPr>
              <w:t>year timeframe</w:t>
            </w:r>
            <w:r w:rsidRPr="008B02E0">
              <w:t>.</w:t>
            </w:r>
            <w:r w:rsidRPr="008B02E0">
              <w:rPr>
                <w:u w:val="single"/>
              </w:rPr>
              <w:t xml:space="preserve"> </w:t>
            </w:r>
          </w:p>
          <w:p w14:paraId="053C539C" w14:textId="5513D704" w:rsidR="008A55E6" w:rsidRPr="008B02E0" w:rsidRDefault="008A55E6" w:rsidP="00AE5B32">
            <w:pPr>
              <w:pStyle w:val="TableText0"/>
              <w:keepNext w:val="0"/>
              <w:rPr>
                <w:iCs/>
                <w:highlight w:val="magenta"/>
              </w:rPr>
            </w:pPr>
          </w:p>
          <w:tbl>
            <w:tblPr>
              <w:tblStyle w:val="TableGrid"/>
              <w:tblpPr w:leftFromText="180" w:rightFromText="180" w:vertAnchor="text" w:horzAnchor="margin" w:tblpY="-52"/>
              <w:tblOverlap w:val="never"/>
              <w:tblW w:w="0" w:type="auto"/>
              <w:tblLook w:val="04A0" w:firstRow="1" w:lastRow="0" w:firstColumn="1" w:lastColumn="0" w:noHBand="0" w:noVBand="1"/>
            </w:tblPr>
            <w:tblGrid>
              <w:gridCol w:w="1517"/>
              <w:gridCol w:w="1517"/>
              <w:gridCol w:w="1518"/>
              <w:gridCol w:w="1518"/>
              <w:gridCol w:w="1518"/>
            </w:tblGrid>
            <w:tr w:rsidR="008A55E6" w:rsidRPr="008B02E0" w14:paraId="5FE22CD4" w14:textId="446957EC" w:rsidTr="00D17F3A">
              <w:tc>
                <w:tcPr>
                  <w:tcW w:w="1517" w:type="dxa"/>
                </w:tcPr>
                <w:p w14:paraId="7660312E" w14:textId="48DD2A9C" w:rsidR="008A55E6" w:rsidRPr="008B02E0" w:rsidRDefault="008A55E6" w:rsidP="00AE5B32">
                  <w:pPr>
                    <w:pStyle w:val="TableText0"/>
                    <w:keepNext w:val="0"/>
                    <w:jc w:val="center"/>
                    <w:rPr>
                      <w:b/>
                      <w:bCs w:val="0"/>
                    </w:rPr>
                  </w:pPr>
                  <w:r w:rsidRPr="008B02E0">
                    <w:rPr>
                      <w:b/>
                      <w:bCs w:val="0"/>
                    </w:rPr>
                    <w:t>Treatment phase</w:t>
                  </w:r>
                </w:p>
              </w:tc>
              <w:tc>
                <w:tcPr>
                  <w:tcW w:w="1517" w:type="dxa"/>
                </w:tcPr>
                <w:p w14:paraId="634BA3AD" w14:textId="29EF91E3" w:rsidR="008A55E6" w:rsidRPr="008B02E0" w:rsidRDefault="008A55E6" w:rsidP="00AE5B32">
                  <w:pPr>
                    <w:pStyle w:val="TableText0"/>
                    <w:keepNext w:val="0"/>
                    <w:jc w:val="center"/>
                    <w:rPr>
                      <w:b/>
                      <w:bCs w:val="0"/>
                    </w:rPr>
                  </w:pPr>
                  <w:r w:rsidRPr="008B02E0">
                    <w:rPr>
                      <w:b/>
                      <w:bCs w:val="0"/>
                    </w:rPr>
                    <w:t>Pembrolizumab</w:t>
                  </w:r>
                </w:p>
              </w:tc>
              <w:tc>
                <w:tcPr>
                  <w:tcW w:w="1518" w:type="dxa"/>
                </w:tcPr>
                <w:p w14:paraId="67D30853" w14:textId="6719E4F5" w:rsidR="008A55E6" w:rsidRPr="008B02E0" w:rsidRDefault="008A55E6" w:rsidP="00AE5B32">
                  <w:pPr>
                    <w:pStyle w:val="TableText0"/>
                    <w:keepNext w:val="0"/>
                    <w:jc w:val="center"/>
                    <w:rPr>
                      <w:b/>
                      <w:bCs w:val="0"/>
                    </w:rPr>
                  </w:pPr>
                  <w:r w:rsidRPr="008B02E0">
                    <w:rPr>
                      <w:b/>
                      <w:bCs w:val="0"/>
                    </w:rPr>
                    <w:t>Nivolumab</w:t>
                  </w:r>
                </w:p>
              </w:tc>
              <w:tc>
                <w:tcPr>
                  <w:tcW w:w="1518" w:type="dxa"/>
                </w:tcPr>
                <w:p w14:paraId="25F3483F" w14:textId="091BCBC2" w:rsidR="008A55E6" w:rsidRPr="008B02E0" w:rsidRDefault="008A55E6" w:rsidP="00AE5B32">
                  <w:pPr>
                    <w:pStyle w:val="TableText0"/>
                    <w:keepNext w:val="0"/>
                    <w:jc w:val="center"/>
                    <w:rPr>
                      <w:b/>
                      <w:bCs w:val="0"/>
                    </w:rPr>
                  </w:pPr>
                  <w:r w:rsidRPr="008B02E0">
                    <w:rPr>
                      <w:b/>
                      <w:bCs w:val="0"/>
                    </w:rPr>
                    <w:t>Ipilimumab</w:t>
                  </w:r>
                </w:p>
              </w:tc>
              <w:tc>
                <w:tcPr>
                  <w:tcW w:w="1518" w:type="dxa"/>
                </w:tcPr>
                <w:p w14:paraId="0127688A" w14:textId="4E2D8C39" w:rsidR="008A55E6" w:rsidRPr="008B02E0" w:rsidRDefault="008A55E6" w:rsidP="00AE5B32">
                  <w:pPr>
                    <w:pStyle w:val="TableText0"/>
                    <w:keepNext w:val="0"/>
                    <w:jc w:val="center"/>
                    <w:rPr>
                      <w:b/>
                      <w:bCs w:val="0"/>
                    </w:rPr>
                  </w:pPr>
                  <w:r w:rsidRPr="008B02E0">
                    <w:rPr>
                      <w:b/>
                      <w:bCs w:val="0"/>
                    </w:rPr>
                    <w:t>Script equivalence</w:t>
                  </w:r>
                </w:p>
              </w:tc>
            </w:tr>
            <w:tr w:rsidR="008A55E6" w:rsidRPr="008B02E0" w14:paraId="19D1D304" w14:textId="5D416128" w:rsidTr="00D17F3A">
              <w:tc>
                <w:tcPr>
                  <w:tcW w:w="1517" w:type="dxa"/>
                </w:tcPr>
                <w:p w14:paraId="02DEB1CA" w14:textId="0B64A4B0" w:rsidR="008A55E6" w:rsidRPr="008B02E0" w:rsidRDefault="008A55E6" w:rsidP="00AE5B32">
                  <w:pPr>
                    <w:pStyle w:val="TableText0"/>
                    <w:keepNext w:val="0"/>
                  </w:pPr>
                  <w:r w:rsidRPr="008B02E0">
                    <w:t>Initiating</w:t>
                  </w:r>
                </w:p>
              </w:tc>
              <w:tc>
                <w:tcPr>
                  <w:tcW w:w="1517" w:type="dxa"/>
                </w:tcPr>
                <w:p w14:paraId="3457391F" w14:textId="25FD116D" w:rsidR="008A55E6" w:rsidRPr="008B02E0" w:rsidRDefault="008A55E6" w:rsidP="00AE5B32">
                  <w:pPr>
                    <w:pStyle w:val="TableText0"/>
                    <w:keepNext w:val="0"/>
                  </w:pPr>
                  <w:r w:rsidRPr="008B02E0">
                    <w:t>Every 3 weeks</w:t>
                  </w:r>
                </w:p>
              </w:tc>
              <w:tc>
                <w:tcPr>
                  <w:tcW w:w="1518" w:type="dxa"/>
                </w:tcPr>
                <w:p w14:paraId="11373096" w14:textId="1E986CE7" w:rsidR="008A55E6" w:rsidRPr="008B02E0" w:rsidRDefault="008A55E6" w:rsidP="00AE5B32">
                  <w:pPr>
                    <w:pStyle w:val="TableText0"/>
                    <w:keepNext w:val="0"/>
                  </w:pPr>
                  <w:r w:rsidRPr="008B02E0">
                    <w:t>Every 3 weeks</w:t>
                  </w:r>
                </w:p>
              </w:tc>
              <w:tc>
                <w:tcPr>
                  <w:tcW w:w="1518" w:type="dxa"/>
                </w:tcPr>
                <w:p w14:paraId="0D4F9834" w14:textId="22BB2D5E" w:rsidR="008A55E6" w:rsidRPr="008B02E0" w:rsidRDefault="008A55E6" w:rsidP="00AE5B32">
                  <w:pPr>
                    <w:pStyle w:val="TableText0"/>
                    <w:keepNext w:val="0"/>
                  </w:pPr>
                  <w:r w:rsidRPr="008B02E0">
                    <w:t>Every 3 weeks</w:t>
                  </w:r>
                </w:p>
              </w:tc>
              <w:tc>
                <w:tcPr>
                  <w:tcW w:w="1518" w:type="dxa"/>
                </w:tcPr>
                <w:p w14:paraId="418EAEB9" w14:textId="75D3E692" w:rsidR="008A55E6" w:rsidRPr="008B02E0" w:rsidRDefault="008A55E6" w:rsidP="00AE5B32">
                  <w:pPr>
                    <w:pStyle w:val="TableText0"/>
                    <w:keepNext w:val="0"/>
                    <w:jc w:val="center"/>
                  </w:pPr>
                  <w:r w:rsidRPr="008B02E0">
                    <w:t xml:space="preserve">1 : 1 </w:t>
                  </w:r>
                </w:p>
              </w:tc>
            </w:tr>
            <w:tr w:rsidR="008A55E6" w:rsidRPr="008B02E0" w14:paraId="19AD3EF7" w14:textId="1B36A68E" w:rsidTr="00D17F3A">
              <w:tc>
                <w:tcPr>
                  <w:tcW w:w="1517" w:type="dxa"/>
                </w:tcPr>
                <w:p w14:paraId="2198F1D5" w14:textId="1A545F69" w:rsidR="008A55E6" w:rsidRPr="008B02E0" w:rsidRDefault="008A55E6" w:rsidP="00AE5B32">
                  <w:pPr>
                    <w:pStyle w:val="TableText0"/>
                    <w:keepNext w:val="0"/>
                  </w:pPr>
                  <w:r w:rsidRPr="008B02E0">
                    <w:t>Continuing</w:t>
                  </w:r>
                </w:p>
              </w:tc>
              <w:tc>
                <w:tcPr>
                  <w:tcW w:w="1517" w:type="dxa"/>
                </w:tcPr>
                <w:p w14:paraId="038246C2" w14:textId="03A81732" w:rsidR="008A55E6" w:rsidRPr="008B02E0" w:rsidRDefault="008A55E6" w:rsidP="00AE5B32">
                  <w:pPr>
                    <w:pStyle w:val="TableText0"/>
                    <w:keepNext w:val="0"/>
                  </w:pPr>
                  <w:r w:rsidRPr="008B02E0">
                    <w:t>Every 3 weeks</w:t>
                  </w:r>
                </w:p>
              </w:tc>
              <w:tc>
                <w:tcPr>
                  <w:tcW w:w="1518" w:type="dxa"/>
                </w:tcPr>
                <w:p w14:paraId="37E133CE" w14:textId="1434648B" w:rsidR="008A55E6" w:rsidRPr="008B02E0" w:rsidRDefault="008A55E6" w:rsidP="00AE5B32">
                  <w:pPr>
                    <w:pStyle w:val="TableText0"/>
                    <w:keepNext w:val="0"/>
                  </w:pPr>
                  <w:r w:rsidRPr="008B02E0">
                    <w:t>Every 2 weeks</w:t>
                  </w:r>
                </w:p>
              </w:tc>
              <w:tc>
                <w:tcPr>
                  <w:tcW w:w="1518" w:type="dxa"/>
                </w:tcPr>
                <w:p w14:paraId="558D2992" w14:textId="7501B96C" w:rsidR="008A55E6" w:rsidRPr="008B02E0" w:rsidRDefault="009E5502" w:rsidP="00AE5B32">
                  <w:pPr>
                    <w:pStyle w:val="TableText0"/>
                    <w:keepNext w:val="0"/>
                  </w:pPr>
                  <w:r>
                    <w:noBreakHyphen/>
                  </w:r>
                  <w:r>
                    <w:noBreakHyphen/>
                  </w:r>
                </w:p>
              </w:tc>
              <w:tc>
                <w:tcPr>
                  <w:tcW w:w="1518" w:type="dxa"/>
                </w:tcPr>
                <w:p w14:paraId="2380A7AC" w14:textId="4EC29E10" w:rsidR="008A55E6" w:rsidRPr="008B02E0" w:rsidRDefault="008A55E6" w:rsidP="00AE5B32">
                  <w:pPr>
                    <w:pStyle w:val="TableText0"/>
                    <w:keepNext w:val="0"/>
                    <w:jc w:val="center"/>
                  </w:pPr>
                  <w:r w:rsidRPr="008B02E0">
                    <w:t>1 : 1.5</w:t>
                  </w:r>
                </w:p>
              </w:tc>
            </w:tr>
            <w:tr w:rsidR="008A55E6" w:rsidRPr="008B02E0" w14:paraId="6CB1F9DD" w14:textId="24D2894C" w:rsidTr="00D17F3A">
              <w:tc>
                <w:tcPr>
                  <w:tcW w:w="1517" w:type="dxa"/>
                </w:tcPr>
                <w:p w14:paraId="2655362A" w14:textId="11EEDEB0" w:rsidR="008A55E6" w:rsidRPr="008B02E0" w:rsidRDefault="008A55E6" w:rsidP="00AE5B32">
                  <w:pPr>
                    <w:pStyle w:val="TableText0"/>
                    <w:keepNext w:val="0"/>
                  </w:pPr>
                  <w:r w:rsidRPr="008B02E0">
                    <w:t>Continuing</w:t>
                  </w:r>
                </w:p>
              </w:tc>
              <w:tc>
                <w:tcPr>
                  <w:tcW w:w="1517" w:type="dxa"/>
                </w:tcPr>
                <w:p w14:paraId="2E0BB815" w14:textId="5481D577" w:rsidR="008A55E6" w:rsidRPr="008B02E0" w:rsidRDefault="008A55E6" w:rsidP="00AE5B32">
                  <w:pPr>
                    <w:pStyle w:val="TableText0"/>
                    <w:keepNext w:val="0"/>
                  </w:pPr>
                  <w:r w:rsidRPr="008B02E0">
                    <w:t>Every 6 weeks</w:t>
                  </w:r>
                </w:p>
              </w:tc>
              <w:tc>
                <w:tcPr>
                  <w:tcW w:w="1518" w:type="dxa"/>
                </w:tcPr>
                <w:p w14:paraId="12A1DAC5" w14:textId="237CE769" w:rsidR="008A55E6" w:rsidRPr="008B02E0" w:rsidRDefault="008A55E6" w:rsidP="00AE5B32">
                  <w:pPr>
                    <w:pStyle w:val="TableText0"/>
                    <w:keepNext w:val="0"/>
                  </w:pPr>
                  <w:r w:rsidRPr="008B02E0">
                    <w:t>Every 4 weeks</w:t>
                  </w:r>
                </w:p>
              </w:tc>
              <w:tc>
                <w:tcPr>
                  <w:tcW w:w="1518" w:type="dxa"/>
                </w:tcPr>
                <w:p w14:paraId="66526293" w14:textId="01DCDAC1" w:rsidR="008A55E6" w:rsidRPr="008B02E0" w:rsidRDefault="009E5502" w:rsidP="00AE5B32">
                  <w:pPr>
                    <w:pStyle w:val="TableText0"/>
                    <w:keepNext w:val="0"/>
                  </w:pPr>
                  <w:r>
                    <w:noBreakHyphen/>
                  </w:r>
                  <w:r>
                    <w:noBreakHyphen/>
                  </w:r>
                </w:p>
              </w:tc>
              <w:tc>
                <w:tcPr>
                  <w:tcW w:w="1518" w:type="dxa"/>
                </w:tcPr>
                <w:p w14:paraId="019C8549" w14:textId="77DAED67" w:rsidR="008A55E6" w:rsidRPr="008B02E0" w:rsidRDefault="008A55E6" w:rsidP="00AE5B32">
                  <w:pPr>
                    <w:pStyle w:val="TableText0"/>
                    <w:keepNext w:val="0"/>
                    <w:jc w:val="center"/>
                  </w:pPr>
                  <w:r w:rsidRPr="008B02E0">
                    <w:t>1 : 1.5</w:t>
                  </w:r>
                </w:p>
              </w:tc>
            </w:tr>
          </w:tbl>
          <w:p w14:paraId="725F20C9" w14:textId="39A2F9F7" w:rsidR="008A55E6" w:rsidRPr="008B02E0" w:rsidRDefault="008A55E6" w:rsidP="00AE5B32">
            <w:pPr>
              <w:pStyle w:val="TableText0"/>
              <w:keepNext w:val="0"/>
            </w:pPr>
          </w:p>
        </w:tc>
      </w:tr>
      <w:tr w:rsidR="00075863" w:rsidRPr="008B02E0" w14:paraId="0D8E7AE1" w14:textId="77777777" w:rsidTr="00853A2A">
        <w:trPr>
          <w:trHeight w:val="50"/>
        </w:trPr>
        <w:tc>
          <w:tcPr>
            <w:tcW w:w="1526" w:type="dxa"/>
          </w:tcPr>
          <w:p w14:paraId="7C1103C8" w14:textId="44BB8B8D" w:rsidR="00075863" w:rsidRPr="008B02E0" w:rsidRDefault="001A4902" w:rsidP="00AE5B32">
            <w:pPr>
              <w:pStyle w:val="TableText0"/>
              <w:keepNext w:val="0"/>
              <w:rPr>
                <w:iCs/>
              </w:rPr>
            </w:pPr>
            <w:r w:rsidRPr="008B02E0">
              <w:rPr>
                <w:iCs/>
              </w:rPr>
              <w:t>Final s</w:t>
            </w:r>
            <w:r w:rsidR="00F00C4D" w:rsidRPr="008B02E0">
              <w:rPr>
                <w:iCs/>
              </w:rPr>
              <w:t>ubstitution rate</w:t>
            </w:r>
            <w:r w:rsidRPr="008B02E0">
              <w:rPr>
                <w:iCs/>
              </w:rPr>
              <w:t>s</w:t>
            </w:r>
          </w:p>
        </w:tc>
        <w:tc>
          <w:tcPr>
            <w:tcW w:w="7654" w:type="dxa"/>
          </w:tcPr>
          <w:p w14:paraId="430CC27C" w14:textId="49C190B7" w:rsidR="001B4EEE" w:rsidRPr="008B02E0" w:rsidRDefault="00B816B0" w:rsidP="00AE5B32">
            <w:pPr>
              <w:pStyle w:val="Tabletext"/>
              <w:rPr>
                <w:iCs/>
              </w:rPr>
            </w:pPr>
            <w:r w:rsidRPr="008B02E0">
              <w:rPr>
                <w:iCs/>
              </w:rPr>
              <w:t xml:space="preserve">Nivolumab </w:t>
            </w:r>
            <w:r w:rsidR="00F261D6">
              <w:rPr>
                <w:iCs/>
              </w:rPr>
              <w:t>240 mg</w:t>
            </w:r>
            <w:r w:rsidR="001B4EEE" w:rsidRPr="008B02E0">
              <w:rPr>
                <w:iCs/>
              </w:rPr>
              <w:t xml:space="preserve"> Q3W + </w:t>
            </w:r>
            <w:r w:rsidRPr="008B02E0">
              <w:rPr>
                <w:iCs/>
              </w:rPr>
              <w:t xml:space="preserve">ipilimumab </w:t>
            </w:r>
            <w:r w:rsidR="001B4EEE" w:rsidRPr="008B02E0">
              <w:rPr>
                <w:iCs/>
              </w:rPr>
              <w:t>1mg/kg Q3W: 20.01%</w:t>
            </w:r>
          </w:p>
          <w:p w14:paraId="218ACC83" w14:textId="21D98AA2" w:rsidR="00075863" w:rsidRPr="008B02E0" w:rsidRDefault="00B816B0" w:rsidP="00AE5B32">
            <w:pPr>
              <w:pStyle w:val="TableText0"/>
              <w:keepNext w:val="0"/>
              <w:rPr>
                <w:iCs/>
              </w:rPr>
            </w:pPr>
            <w:r w:rsidRPr="008B02E0">
              <w:rPr>
                <w:iCs/>
              </w:rPr>
              <w:t xml:space="preserve">Nivolumab </w:t>
            </w:r>
            <w:r w:rsidR="00F261D6">
              <w:rPr>
                <w:iCs/>
              </w:rPr>
              <w:t>480 mg</w:t>
            </w:r>
            <w:r w:rsidR="001B4EEE" w:rsidRPr="008B02E0">
              <w:rPr>
                <w:iCs/>
              </w:rPr>
              <w:t xml:space="preserve"> Q4W: 79.99%</w:t>
            </w:r>
          </w:p>
          <w:p w14:paraId="747598DE" w14:textId="517FF0A8" w:rsidR="001B4EEE" w:rsidRPr="008B02E0" w:rsidRDefault="00853A2A" w:rsidP="00AE5B32">
            <w:pPr>
              <w:pStyle w:val="TableText0"/>
              <w:keepNext w:val="0"/>
              <w:rPr>
                <w:iCs/>
              </w:rPr>
            </w:pPr>
            <w:r w:rsidRPr="008B02E0">
              <w:rPr>
                <w:iCs/>
              </w:rPr>
              <w:t>Calculation based on the proportion of the initiating and continuing CM</w:t>
            </w:r>
            <w:r w:rsidR="009E5502">
              <w:rPr>
                <w:iCs/>
              </w:rPr>
              <w:noBreakHyphen/>
            </w:r>
            <w:r w:rsidRPr="008B02E0">
              <w:rPr>
                <w:iCs/>
              </w:rPr>
              <w:t>8HW regimen respectively</w:t>
            </w:r>
          </w:p>
          <w:p w14:paraId="5951E5D8" w14:textId="77777777" w:rsidR="008002E7" w:rsidRPr="008B02E0" w:rsidRDefault="008002E7" w:rsidP="00AE5B32">
            <w:pPr>
              <w:pStyle w:val="TableText0"/>
              <w:keepNext w:val="0"/>
              <w:rPr>
                <w:iCs/>
              </w:rPr>
            </w:pPr>
          </w:p>
          <w:p w14:paraId="09E40B64" w14:textId="77777777" w:rsidR="009A410E" w:rsidRPr="008B02E0" w:rsidRDefault="009A410E" w:rsidP="00AE5B32">
            <w:pPr>
              <w:pStyle w:val="Tabletext"/>
              <w:rPr>
                <w:iCs/>
              </w:rPr>
            </w:pPr>
            <w:r w:rsidRPr="008B02E0">
              <w:rPr>
                <w:iCs/>
              </w:rPr>
              <w:t xml:space="preserve">Split use: </w:t>
            </w:r>
          </w:p>
          <w:p w14:paraId="67D43861" w14:textId="1DCBC7C1" w:rsidR="009A410E" w:rsidRPr="008B02E0" w:rsidRDefault="009A410E" w:rsidP="00AE5B32">
            <w:pPr>
              <w:pStyle w:val="Tabletext"/>
              <w:rPr>
                <w:iCs/>
              </w:rPr>
            </w:pPr>
            <w:r w:rsidRPr="008B02E0">
              <w:rPr>
                <w:iCs/>
              </w:rPr>
              <w:t>nivolumab Q2W 10% : nivolumab Q4W 90%</w:t>
            </w:r>
          </w:p>
          <w:p w14:paraId="0C5B2378" w14:textId="77777777" w:rsidR="008002E7" w:rsidRPr="008B02E0" w:rsidRDefault="009A410E" w:rsidP="00AE5B32">
            <w:pPr>
              <w:pStyle w:val="Tabletext"/>
              <w:rPr>
                <w:iCs/>
              </w:rPr>
            </w:pPr>
            <w:r w:rsidRPr="008B02E0">
              <w:rPr>
                <w:iCs/>
              </w:rPr>
              <w:t>pembrolizumab Q3W 10% : pembrolizumab Q6W 90%</w:t>
            </w:r>
          </w:p>
          <w:p w14:paraId="6EF5D32C" w14:textId="50553C49" w:rsidR="00C320D2" w:rsidRPr="008B02E0" w:rsidRDefault="00C320D2" w:rsidP="00AE5B32">
            <w:pPr>
              <w:pStyle w:val="Tabletext"/>
              <w:rPr>
                <w:iCs/>
              </w:rPr>
            </w:pPr>
            <w:r w:rsidRPr="008B02E0">
              <w:rPr>
                <w:iCs/>
              </w:rPr>
              <w:t xml:space="preserve">To ensure consistency with existing PBS listings for </w:t>
            </w:r>
            <w:r w:rsidR="00B816B0" w:rsidRPr="008B02E0">
              <w:rPr>
                <w:iCs/>
              </w:rPr>
              <w:t xml:space="preserve">nivolumab </w:t>
            </w:r>
            <w:r w:rsidRPr="008B02E0">
              <w:rPr>
                <w:iCs/>
              </w:rPr>
              <w:t xml:space="preserve">and </w:t>
            </w:r>
            <w:r w:rsidR="00B816B0" w:rsidRPr="008B02E0">
              <w:rPr>
                <w:iCs/>
              </w:rPr>
              <w:t xml:space="preserve">pembrolizumab </w:t>
            </w:r>
            <w:r w:rsidRPr="008B02E0">
              <w:rPr>
                <w:iCs/>
              </w:rPr>
              <w:t>and in line with previous PBAC decisions.</w:t>
            </w:r>
          </w:p>
          <w:p w14:paraId="43544492" w14:textId="77777777" w:rsidR="00D033A4" w:rsidRPr="008B02E0" w:rsidRDefault="00D033A4" w:rsidP="00AE5B32">
            <w:pPr>
              <w:pStyle w:val="Tabletext"/>
              <w:rPr>
                <w:iCs/>
              </w:rPr>
            </w:pPr>
            <w:r w:rsidRPr="008B02E0">
              <w:rPr>
                <w:iCs/>
              </w:rPr>
              <w:t xml:space="preserve"> </w:t>
            </w:r>
          </w:p>
          <w:p w14:paraId="4D815C28" w14:textId="77777777" w:rsidR="00B816B0" w:rsidRPr="008B02E0" w:rsidRDefault="00D033A4" w:rsidP="00AE5B32">
            <w:pPr>
              <w:pStyle w:val="Tabletext"/>
              <w:rPr>
                <w:iCs/>
              </w:rPr>
            </w:pPr>
            <w:r w:rsidRPr="008B02E0">
              <w:rPr>
                <w:iCs/>
              </w:rPr>
              <w:lastRenderedPageBreak/>
              <w:t>Final substitution rates:</w:t>
            </w:r>
            <w:r w:rsidR="00B816B0" w:rsidRPr="008B02E0">
              <w:rPr>
                <w:iCs/>
              </w:rPr>
              <w:t xml:space="preserve"> </w:t>
            </w:r>
          </w:p>
          <w:p w14:paraId="40E1E2CF" w14:textId="7B2C5416" w:rsidR="00B816B0" w:rsidRPr="008B02E0" w:rsidRDefault="00B816B0" w:rsidP="00AE5B32">
            <w:pPr>
              <w:pStyle w:val="Tabletext"/>
              <w:rPr>
                <w:iCs/>
              </w:rPr>
            </w:pPr>
            <w:r w:rsidRPr="008B02E0">
              <w:rPr>
                <w:iCs/>
              </w:rPr>
              <w:t>Initiating: nivolumab + ipilimumab Q3W substitutes for pembrolizumab Q3W</w:t>
            </w:r>
          </w:p>
          <w:p w14:paraId="05094B4E" w14:textId="4BFDF8B4" w:rsidR="00D033A4" w:rsidRPr="008B02E0" w:rsidRDefault="00B816B0" w:rsidP="00AE5B32">
            <w:pPr>
              <w:pStyle w:val="Tabletext"/>
              <w:rPr>
                <w:iCs/>
              </w:rPr>
            </w:pPr>
            <w:r w:rsidRPr="008B02E0">
              <w:rPr>
                <w:iCs/>
              </w:rPr>
              <w:t>Continuing: Split of use applied such that nivolumab Q2W substitutes for pembrolizumab Q3W and nivolumab Q4W substitutes for pembrolizumab Q6W.</w:t>
            </w:r>
          </w:p>
          <w:tbl>
            <w:tblPr>
              <w:tblStyle w:val="TableGrid"/>
              <w:tblW w:w="6232" w:type="dxa"/>
              <w:tblLook w:val="04A0" w:firstRow="1" w:lastRow="0" w:firstColumn="1" w:lastColumn="0" w:noHBand="0" w:noVBand="1"/>
            </w:tblPr>
            <w:tblGrid>
              <w:gridCol w:w="2362"/>
              <w:gridCol w:w="1885"/>
              <w:gridCol w:w="1985"/>
            </w:tblGrid>
            <w:tr w:rsidR="00D033A4" w:rsidRPr="008B02E0" w14:paraId="2007FB07" w14:textId="77777777" w:rsidTr="00D033A4">
              <w:trPr>
                <w:trHeight w:val="234"/>
              </w:trPr>
              <w:tc>
                <w:tcPr>
                  <w:tcW w:w="2362" w:type="dxa"/>
                  <w:shd w:val="clear" w:color="auto" w:fill="FFFFFF"/>
                  <w:vAlign w:val="center"/>
                </w:tcPr>
                <w:p w14:paraId="12D77866" w14:textId="77777777" w:rsidR="00D033A4" w:rsidRPr="008B02E0" w:rsidRDefault="00D033A4" w:rsidP="00AE5B32">
                  <w:pPr>
                    <w:pStyle w:val="Tabletext"/>
                    <w:rPr>
                      <w:iCs/>
                    </w:rPr>
                  </w:pPr>
                </w:p>
              </w:tc>
              <w:tc>
                <w:tcPr>
                  <w:tcW w:w="1885" w:type="dxa"/>
                  <w:shd w:val="clear" w:color="auto" w:fill="FFFFFF"/>
                  <w:vAlign w:val="center"/>
                </w:tcPr>
                <w:p w14:paraId="6F328EFC" w14:textId="37953643" w:rsidR="00D033A4" w:rsidRPr="008B02E0" w:rsidRDefault="00D033A4" w:rsidP="00AE5B32">
                  <w:pPr>
                    <w:pStyle w:val="Tabletext"/>
                    <w:rPr>
                      <w:iCs/>
                    </w:rPr>
                  </w:pPr>
                  <w:r w:rsidRPr="008B02E0">
                    <w:rPr>
                      <w:iCs/>
                    </w:rPr>
                    <w:t>pembrolizumab Q3W</w:t>
                  </w:r>
                </w:p>
              </w:tc>
              <w:tc>
                <w:tcPr>
                  <w:tcW w:w="1985" w:type="dxa"/>
                  <w:shd w:val="clear" w:color="auto" w:fill="FFFFFF"/>
                  <w:vAlign w:val="center"/>
                </w:tcPr>
                <w:p w14:paraId="01A440A7" w14:textId="36CBF216" w:rsidR="00D033A4" w:rsidRPr="008B02E0" w:rsidRDefault="00D033A4" w:rsidP="00AE5B32">
                  <w:pPr>
                    <w:pStyle w:val="Tabletext"/>
                    <w:rPr>
                      <w:iCs/>
                    </w:rPr>
                  </w:pPr>
                  <w:r w:rsidRPr="008B02E0">
                    <w:rPr>
                      <w:iCs/>
                    </w:rPr>
                    <w:t>pembrolizumab Q6W</w:t>
                  </w:r>
                </w:p>
              </w:tc>
            </w:tr>
            <w:tr w:rsidR="00D033A4" w:rsidRPr="008B02E0" w14:paraId="57C51D1D" w14:textId="77777777" w:rsidTr="00D033A4">
              <w:trPr>
                <w:trHeight w:val="366"/>
              </w:trPr>
              <w:tc>
                <w:tcPr>
                  <w:tcW w:w="2362" w:type="dxa"/>
                  <w:shd w:val="clear" w:color="auto" w:fill="FFFFFF"/>
                  <w:vAlign w:val="center"/>
                </w:tcPr>
                <w:p w14:paraId="5E3D3340" w14:textId="0DD25133" w:rsidR="00D033A4" w:rsidRPr="008B02E0" w:rsidRDefault="00D033A4" w:rsidP="00AE5B32">
                  <w:pPr>
                    <w:pStyle w:val="Tabletext"/>
                    <w:rPr>
                      <w:iCs/>
                    </w:rPr>
                  </w:pPr>
                  <w:r w:rsidRPr="008B02E0">
                    <w:rPr>
                      <w:iCs/>
                    </w:rPr>
                    <w:t>nivolumab + ipilimumab Q3W</w:t>
                  </w:r>
                </w:p>
              </w:tc>
              <w:tc>
                <w:tcPr>
                  <w:tcW w:w="1885" w:type="dxa"/>
                  <w:shd w:val="clear" w:color="auto" w:fill="FFFFFF"/>
                  <w:vAlign w:val="center"/>
                </w:tcPr>
                <w:p w14:paraId="6CE413EC" w14:textId="77777777" w:rsidR="00D033A4" w:rsidRPr="008B02E0" w:rsidRDefault="00D033A4" w:rsidP="00AE5B32">
                  <w:pPr>
                    <w:pStyle w:val="Tabletext"/>
                    <w:rPr>
                      <w:iCs/>
                    </w:rPr>
                  </w:pPr>
                  <w:r w:rsidRPr="008B02E0">
                    <w:rPr>
                      <w:iCs/>
                    </w:rPr>
                    <w:t>20.01%</w:t>
                  </w:r>
                </w:p>
              </w:tc>
              <w:tc>
                <w:tcPr>
                  <w:tcW w:w="1985" w:type="dxa"/>
                  <w:shd w:val="clear" w:color="auto" w:fill="FFFFFF"/>
                  <w:vAlign w:val="center"/>
                </w:tcPr>
                <w:p w14:paraId="04DD3C06" w14:textId="77777777" w:rsidR="00D033A4" w:rsidRPr="008B02E0" w:rsidRDefault="00D033A4" w:rsidP="00AE5B32">
                  <w:pPr>
                    <w:pStyle w:val="Tabletext"/>
                    <w:rPr>
                      <w:iCs/>
                    </w:rPr>
                  </w:pPr>
                  <w:r w:rsidRPr="008B02E0">
                    <w:rPr>
                      <w:iCs/>
                    </w:rPr>
                    <w:t>NA</w:t>
                  </w:r>
                </w:p>
              </w:tc>
            </w:tr>
            <w:tr w:rsidR="00D033A4" w:rsidRPr="008B02E0" w14:paraId="1EC69033" w14:textId="77777777" w:rsidTr="00D033A4">
              <w:trPr>
                <w:trHeight w:val="413"/>
              </w:trPr>
              <w:tc>
                <w:tcPr>
                  <w:tcW w:w="2362" w:type="dxa"/>
                  <w:shd w:val="clear" w:color="auto" w:fill="FFFFFF"/>
                  <w:vAlign w:val="center"/>
                </w:tcPr>
                <w:p w14:paraId="5FC9A452" w14:textId="5043126A" w:rsidR="00D033A4" w:rsidRPr="008B02E0" w:rsidRDefault="00D033A4" w:rsidP="00AE5B32">
                  <w:pPr>
                    <w:pStyle w:val="Tabletext"/>
                    <w:rPr>
                      <w:iCs/>
                    </w:rPr>
                  </w:pPr>
                  <w:r w:rsidRPr="008B02E0">
                    <w:rPr>
                      <w:iCs/>
                    </w:rPr>
                    <w:t>nivolumab Q2W</w:t>
                  </w:r>
                </w:p>
              </w:tc>
              <w:tc>
                <w:tcPr>
                  <w:tcW w:w="1885" w:type="dxa"/>
                  <w:shd w:val="clear" w:color="auto" w:fill="FFFFFF"/>
                  <w:vAlign w:val="center"/>
                </w:tcPr>
                <w:p w14:paraId="55B1CC28" w14:textId="77777777" w:rsidR="00D033A4" w:rsidRPr="008B02E0" w:rsidRDefault="00D033A4" w:rsidP="00AE5B32">
                  <w:pPr>
                    <w:pStyle w:val="Tabletext"/>
                    <w:rPr>
                      <w:iCs/>
                    </w:rPr>
                  </w:pPr>
                  <w:r w:rsidRPr="008B02E0">
                    <w:rPr>
                      <w:iCs/>
                    </w:rPr>
                    <w:t>8.00%</w:t>
                  </w:r>
                </w:p>
              </w:tc>
              <w:tc>
                <w:tcPr>
                  <w:tcW w:w="1985" w:type="dxa"/>
                  <w:shd w:val="clear" w:color="auto" w:fill="FFFFFF"/>
                  <w:vAlign w:val="center"/>
                </w:tcPr>
                <w:p w14:paraId="20F209BA" w14:textId="77777777" w:rsidR="00D033A4" w:rsidRPr="008B02E0" w:rsidRDefault="00D033A4" w:rsidP="00AE5B32">
                  <w:pPr>
                    <w:pStyle w:val="Tabletext"/>
                    <w:rPr>
                      <w:iCs/>
                    </w:rPr>
                  </w:pPr>
                  <w:r w:rsidRPr="008B02E0">
                    <w:rPr>
                      <w:iCs/>
                    </w:rPr>
                    <w:t>NA</w:t>
                  </w:r>
                </w:p>
              </w:tc>
            </w:tr>
            <w:tr w:rsidR="00D033A4" w:rsidRPr="008B02E0" w14:paraId="37349FF9" w14:textId="77777777" w:rsidTr="00D033A4">
              <w:trPr>
                <w:trHeight w:val="232"/>
              </w:trPr>
              <w:tc>
                <w:tcPr>
                  <w:tcW w:w="2362" w:type="dxa"/>
                  <w:shd w:val="clear" w:color="auto" w:fill="FFFFFF"/>
                  <w:vAlign w:val="center"/>
                </w:tcPr>
                <w:p w14:paraId="477C714D" w14:textId="1C155C1C" w:rsidR="00D033A4" w:rsidRPr="008B02E0" w:rsidRDefault="00D033A4" w:rsidP="00AE5B32">
                  <w:pPr>
                    <w:pStyle w:val="Tabletext"/>
                    <w:rPr>
                      <w:iCs/>
                    </w:rPr>
                  </w:pPr>
                  <w:r w:rsidRPr="008B02E0">
                    <w:rPr>
                      <w:iCs/>
                    </w:rPr>
                    <w:t>nivolumab Q4W</w:t>
                  </w:r>
                </w:p>
              </w:tc>
              <w:tc>
                <w:tcPr>
                  <w:tcW w:w="1885" w:type="dxa"/>
                  <w:shd w:val="clear" w:color="auto" w:fill="FFFFFF"/>
                  <w:vAlign w:val="center"/>
                </w:tcPr>
                <w:p w14:paraId="0C138340" w14:textId="77777777" w:rsidR="00D033A4" w:rsidRPr="008B02E0" w:rsidRDefault="00D033A4" w:rsidP="00AE5B32">
                  <w:pPr>
                    <w:pStyle w:val="Tabletext"/>
                    <w:rPr>
                      <w:iCs/>
                    </w:rPr>
                  </w:pPr>
                  <w:r w:rsidRPr="008B02E0">
                    <w:rPr>
                      <w:iCs/>
                    </w:rPr>
                    <w:t>NA</w:t>
                  </w:r>
                </w:p>
              </w:tc>
              <w:tc>
                <w:tcPr>
                  <w:tcW w:w="1985" w:type="dxa"/>
                  <w:shd w:val="clear" w:color="auto" w:fill="FFFFFF"/>
                  <w:vAlign w:val="center"/>
                </w:tcPr>
                <w:p w14:paraId="639ED8E2" w14:textId="77777777" w:rsidR="00D033A4" w:rsidRPr="008B02E0" w:rsidRDefault="00D033A4" w:rsidP="00AE5B32">
                  <w:pPr>
                    <w:pStyle w:val="Tabletext"/>
                    <w:rPr>
                      <w:iCs/>
                    </w:rPr>
                  </w:pPr>
                  <w:r w:rsidRPr="008B02E0">
                    <w:rPr>
                      <w:iCs/>
                    </w:rPr>
                    <w:t>71.99%</w:t>
                  </w:r>
                </w:p>
              </w:tc>
            </w:tr>
          </w:tbl>
          <w:p w14:paraId="33CAFE67" w14:textId="529BF28B" w:rsidR="00D033A4" w:rsidRPr="008B02E0" w:rsidRDefault="00D033A4" w:rsidP="00AE5B32">
            <w:pPr>
              <w:pStyle w:val="Tabletext"/>
              <w:rPr>
                <w:iCs/>
              </w:rPr>
            </w:pPr>
          </w:p>
        </w:tc>
      </w:tr>
      <w:tr w:rsidR="008A55E6" w:rsidRPr="008B02E0" w14:paraId="05CFF609" w14:textId="77777777" w:rsidTr="00D17F3A">
        <w:tc>
          <w:tcPr>
            <w:tcW w:w="1526" w:type="dxa"/>
          </w:tcPr>
          <w:p w14:paraId="45737902" w14:textId="77777777" w:rsidR="008A55E6" w:rsidRPr="008B02E0" w:rsidRDefault="008A55E6" w:rsidP="00AE5B32">
            <w:pPr>
              <w:pStyle w:val="TableText0"/>
              <w:keepNext w:val="0"/>
            </w:pPr>
            <w:r w:rsidRPr="008B02E0">
              <w:lastRenderedPageBreak/>
              <w:t>Nivolumab plus ipilimumab</w:t>
            </w:r>
          </w:p>
        </w:tc>
        <w:tc>
          <w:tcPr>
            <w:tcW w:w="7654" w:type="dxa"/>
          </w:tcPr>
          <w:p w14:paraId="79F608E8" w14:textId="77777777" w:rsidR="008A55E6" w:rsidRPr="008B02E0" w:rsidRDefault="008A55E6" w:rsidP="00AE5B32">
            <w:pPr>
              <w:pStyle w:val="TableText0"/>
              <w:keepNext w:val="0"/>
            </w:pPr>
            <w:r w:rsidRPr="008B02E0">
              <w:t xml:space="preserve">To estimate the net cost to the PBS/RPBS, the submission used the following weighted (public/private) costs: </w:t>
            </w:r>
          </w:p>
          <w:p w14:paraId="6EC09B8C" w14:textId="3C8C074C" w:rsidR="008A55E6" w:rsidRPr="008B02E0" w:rsidRDefault="008A55E6" w:rsidP="00AE5B32">
            <w:pPr>
              <w:pStyle w:val="TableText0"/>
              <w:keepNext w:val="0"/>
            </w:pPr>
            <w:r w:rsidRPr="008B02E0">
              <w:t xml:space="preserve">Nivolumab </w:t>
            </w:r>
            <w:r w:rsidR="00F261D6">
              <w:t>240 mg</w:t>
            </w:r>
            <w:r w:rsidRPr="008B02E0">
              <w:t>: $</w:t>
            </w:r>
            <w:r w:rsidR="00E11347" w:rsidRPr="00E11347">
              <w:rPr>
                <w:color w:val="000000"/>
                <w:spacing w:val="48"/>
                <w:shd w:val="solid" w:color="000000" w:fill="000000"/>
                <w:fitText w:val="315" w:id="-628963319"/>
                <w14:textFill>
                  <w14:solidFill>
                    <w14:srgbClr w14:val="000000">
                      <w14:alpha w14:val="100000"/>
                    </w14:srgbClr>
                  </w14:solidFill>
                </w14:textFill>
              </w:rPr>
              <w:t>|||</w:t>
            </w:r>
            <w:r w:rsidR="00E11347" w:rsidRPr="00E11347">
              <w:rPr>
                <w:color w:val="000000"/>
                <w:spacing w:val="1"/>
                <w:shd w:val="solid" w:color="000000" w:fill="000000"/>
                <w:fitText w:val="315" w:id="-628963319"/>
                <w14:textFill>
                  <w14:solidFill>
                    <w14:srgbClr w14:val="000000">
                      <w14:alpha w14:val="100000"/>
                    </w14:srgbClr>
                  </w14:solidFill>
                </w14:textFill>
              </w:rPr>
              <w:t>|</w:t>
            </w:r>
          </w:p>
          <w:p w14:paraId="6E1C4005" w14:textId="73ED2A01" w:rsidR="008A55E6" w:rsidRPr="008B02E0" w:rsidRDefault="008A55E6" w:rsidP="00AE5B32">
            <w:pPr>
              <w:pStyle w:val="TableText0"/>
              <w:keepNext w:val="0"/>
            </w:pPr>
            <w:r w:rsidRPr="008B02E0">
              <w:t xml:space="preserve">Nivolumab </w:t>
            </w:r>
            <w:r w:rsidR="00F261D6">
              <w:t>480 mg</w:t>
            </w:r>
            <w:r w:rsidRPr="008B02E0">
              <w:t>: $</w:t>
            </w:r>
            <w:r w:rsidR="00E11347" w:rsidRPr="00E11347">
              <w:rPr>
                <w:color w:val="000000"/>
                <w:spacing w:val="48"/>
                <w:shd w:val="solid" w:color="000000" w:fill="000000"/>
                <w:fitText w:val="315" w:id="-628963318"/>
                <w14:textFill>
                  <w14:solidFill>
                    <w14:srgbClr w14:val="000000">
                      <w14:alpha w14:val="100000"/>
                    </w14:srgbClr>
                  </w14:solidFill>
                </w14:textFill>
              </w:rPr>
              <w:t>|||</w:t>
            </w:r>
            <w:r w:rsidR="00E11347" w:rsidRPr="00E11347">
              <w:rPr>
                <w:color w:val="000000"/>
                <w:spacing w:val="1"/>
                <w:shd w:val="solid" w:color="000000" w:fill="000000"/>
                <w:fitText w:val="315" w:id="-628963318"/>
                <w14:textFill>
                  <w14:solidFill>
                    <w14:srgbClr w14:val="000000">
                      <w14:alpha w14:val="100000"/>
                    </w14:srgbClr>
                  </w14:solidFill>
                </w14:textFill>
              </w:rPr>
              <w:t>|</w:t>
            </w:r>
          </w:p>
          <w:p w14:paraId="4CD0EAE3" w14:textId="09984A92" w:rsidR="008A55E6" w:rsidRPr="008B02E0" w:rsidRDefault="008A55E6" w:rsidP="00AE5B32">
            <w:pPr>
              <w:pStyle w:val="TableText0"/>
              <w:keepNext w:val="0"/>
            </w:pPr>
            <w:r w:rsidRPr="008B02E0">
              <w:t>Ipilimumab 100</w:t>
            </w:r>
            <w:r w:rsidR="00747A58">
              <w:t xml:space="preserve"> </w:t>
            </w:r>
            <w:r w:rsidRPr="008B02E0">
              <w:t>mg: $</w:t>
            </w:r>
            <w:r w:rsidR="00E11347" w:rsidRPr="00E11347">
              <w:rPr>
                <w:color w:val="000000"/>
                <w:spacing w:val="53"/>
                <w:shd w:val="solid" w:color="000000" w:fill="000000"/>
                <w:fitText w:val="330" w:id="-628963317"/>
                <w14:textFill>
                  <w14:solidFill>
                    <w14:srgbClr w14:val="000000">
                      <w14:alpha w14:val="100000"/>
                    </w14:srgbClr>
                  </w14:solidFill>
                </w14:textFill>
              </w:rPr>
              <w:t>|||</w:t>
            </w:r>
            <w:r w:rsidR="00E11347" w:rsidRPr="00E11347">
              <w:rPr>
                <w:color w:val="000000"/>
                <w:spacing w:val="1"/>
                <w:shd w:val="solid" w:color="000000" w:fill="000000"/>
                <w:fitText w:val="330" w:id="-628963317"/>
                <w14:textFill>
                  <w14:solidFill>
                    <w14:srgbClr w14:val="000000">
                      <w14:alpha w14:val="100000"/>
                    </w14:srgbClr>
                  </w14:solidFill>
                </w14:textFill>
              </w:rPr>
              <w:t>|</w:t>
            </w:r>
          </w:p>
        </w:tc>
      </w:tr>
      <w:tr w:rsidR="008A55E6" w:rsidRPr="008B02E0" w14:paraId="1F3667EE" w14:textId="77777777" w:rsidTr="00D17F3A">
        <w:tc>
          <w:tcPr>
            <w:tcW w:w="1526" w:type="dxa"/>
          </w:tcPr>
          <w:p w14:paraId="161E7C82" w14:textId="77777777" w:rsidR="008A55E6" w:rsidRPr="008B02E0" w:rsidRDefault="008A55E6" w:rsidP="00AE5B32">
            <w:pPr>
              <w:pStyle w:val="TableText0"/>
              <w:keepNext w:val="0"/>
            </w:pPr>
            <w:r w:rsidRPr="008B02E0">
              <w:t>Pembrolizumab</w:t>
            </w:r>
          </w:p>
        </w:tc>
        <w:tc>
          <w:tcPr>
            <w:tcW w:w="7654" w:type="dxa"/>
          </w:tcPr>
          <w:p w14:paraId="2A9B3469" w14:textId="37F25B92" w:rsidR="008A55E6" w:rsidRPr="008B02E0" w:rsidRDefault="008A55E6" w:rsidP="00AE5B32">
            <w:pPr>
              <w:pStyle w:val="TableText0"/>
              <w:keepNext w:val="0"/>
            </w:pPr>
            <w:r w:rsidRPr="008B02E0">
              <w:t xml:space="preserve">Weighted (public/private) cost of $3,979.48 for </w:t>
            </w:r>
            <w:r w:rsidR="003E487B">
              <w:t>200 mg</w:t>
            </w:r>
            <w:r w:rsidRPr="008B02E0">
              <w:t>. This was based on the published price with an assumed 50%</w:t>
            </w:r>
            <w:r w:rsidR="00F86BE4">
              <w:t xml:space="preserve"> rebate</w:t>
            </w:r>
            <w:r w:rsidRPr="008B02E0">
              <w:t xml:space="preserve">. </w:t>
            </w:r>
          </w:p>
        </w:tc>
      </w:tr>
      <w:tr w:rsidR="008A55E6" w:rsidRPr="008B02E0" w14:paraId="4166FCA8" w14:textId="77777777" w:rsidTr="00D17F3A">
        <w:tc>
          <w:tcPr>
            <w:tcW w:w="1526" w:type="dxa"/>
          </w:tcPr>
          <w:p w14:paraId="053DC964" w14:textId="77777777" w:rsidR="008A55E6" w:rsidRPr="008B02E0" w:rsidRDefault="008A55E6" w:rsidP="00AE5B32">
            <w:pPr>
              <w:pStyle w:val="TableText0"/>
              <w:keepNext w:val="0"/>
            </w:pPr>
            <w:r w:rsidRPr="008B02E0">
              <w:t>Patient copayment</w:t>
            </w:r>
          </w:p>
        </w:tc>
        <w:tc>
          <w:tcPr>
            <w:tcW w:w="7654" w:type="dxa"/>
          </w:tcPr>
          <w:p w14:paraId="2E63B016" w14:textId="1CE0F734" w:rsidR="008A55E6" w:rsidRPr="008B02E0" w:rsidRDefault="008A55E6" w:rsidP="00AE5B32">
            <w:pPr>
              <w:pStyle w:val="TableText0"/>
              <w:keepNext w:val="0"/>
            </w:pPr>
            <w:r w:rsidRPr="008B02E0">
              <w:t xml:space="preserve">Copayment PBS: $16.02; RPBS: $7.59, calculated using copayment values in the Excel workbook template and pembrolizumab scripts dispensed in 2024 for unresectable or metastatic deficient mismatch repair colorectal cancer on the PBS (98.33%) and RPBS (1.67%) by patient category. </w:t>
            </w:r>
            <w:r w:rsidR="00034C74" w:rsidRPr="008B02E0">
              <w:t>The evaluation considered this</w:t>
            </w:r>
            <w:r w:rsidR="00034C74" w:rsidRPr="008B02E0">
              <w:rPr>
                <w:iCs/>
              </w:rPr>
              <w:t xml:space="preserve"> </w:t>
            </w:r>
            <w:r w:rsidRPr="008B02E0">
              <w:rPr>
                <w:iCs/>
              </w:rPr>
              <w:t>was reasonable.</w:t>
            </w:r>
          </w:p>
        </w:tc>
      </w:tr>
      <w:tr w:rsidR="008A55E6" w:rsidRPr="008B02E0" w14:paraId="4CA4CCA1" w14:textId="77777777" w:rsidTr="00D17F3A">
        <w:tc>
          <w:tcPr>
            <w:tcW w:w="1526" w:type="dxa"/>
          </w:tcPr>
          <w:p w14:paraId="26F78982" w14:textId="77777777" w:rsidR="008A55E6" w:rsidRPr="008B02E0" w:rsidRDefault="008A55E6" w:rsidP="00AE5B32">
            <w:pPr>
              <w:pStyle w:val="TableText0"/>
              <w:keepNext w:val="0"/>
            </w:pPr>
            <w:r w:rsidRPr="008B02E0">
              <w:t>MBS costs</w:t>
            </w:r>
          </w:p>
        </w:tc>
        <w:tc>
          <w:tcPr>
            <w:tcW w:w="7654" w:type="dxa"/>
          </w:tcPr>
          <w:p w14:paraId="0162F6DA" w14:textId="5D9B9183" w:rsidR="008A55E6" w:rsidRPr="008B02E0" w:rsidRDefault="008A55E6" w:rsidP="00AE5B32">
            <w:pPr>
              <w:pStyle w:val="TableText0"/>
              <w:keepNext w:val="0"/>
            </w:pPr>
            <w:r w:rsidRPr="008B02E0">
              <w:t>The submission indicated that nivolumab and ipilimumab requires one MBS</w:t>
            </w:r>
            <w:r w:rsidR="009E5502">
              <w:noBreakHyphen/>
            </w:r>
            <w:r w:rsidRPr="008B02E0">
              <w:t xml:space="preserve">funded administration per infusion and costed these services using MBS item 13950 for parenteral administration, at 80% benefit ($98.44). It appears that the combination of nivolumab plus ipilimumab (for the first 4 cycles) can be administered under this MBS item number and only incur one cost to deliver both drugs. The MBS administration cost was applied at a rate of 1.5 times the rate used to cost pembrolizumab for the maintenance period, where treatment with </w:t>
            </w:r>
            <w:r w:rsidR="00F261D6">
              <w:t>240 mg</w:t>
            </w:r>
            <w:r w:rsidRPr="008B02E0">
              <w:t xml:space="preserve"> nivolumab Q2W replaced </w:t>
            </w:r>
            <w:r w:rsidR="003E487B">
              <w:t>200 mg</w:t>
            </w:r>
            <w:r w:rsidRPr="008B02E0">
              <w:t xml:space="preserve"> pembrolizumab Q3W; and 480</w:t>
            </w:r>
            <w:r w:rsidR="00F261D6">
              <w:t xml:space="preserve"> </w:t>
            </w:r>
            <w:r w:rsidRPr="008B02E0">
              <w:t>mg nivolumab Q4W replaced 400</w:t>
            </w:r>
            <w:r w:rsidR="00F261D6">
              <w:t xml:space="preserve"> </w:t>
            </w:r>
            <w:r w:rsidRPr="008B02E0">
              <w:t>mg pembrolizumab Q6W.</w:t>
            </w:r>
          </w:p>
        </w:tc>
      </w:tr>
    </w:tbl>
    <w:p w14:paraId="74779E6C" w14:textId="3F9BE23A" w:rsidR="008A55E6" w:rsidRPr="008B02E0" w:rsidRDefault="008A55E6" w:rsidP="00AE5B32">
      <w:pPr>
        <w:pStyle w:val="FooterTableFigure"/>
      </w:pPr>
      <w:r w:rsidRPr="008B02E0">
        <w:t>Source: Tables 114</w:t>
      </w:r>
      <w:r w:rsidR="009E5502">
        <w:noBreakHyphen/>
      </w:r>
      <w:r w:rsidRPr="008B02E0">
        <w:t>117 pp168</w:t>
      </w:r>
      <w:r w:rsidR="009E5502">
        <w:noBreakHyphen/>
      </w:r>
      <w:r w:rsidRPr="008B02E0">
        <w:t xml:space="preserve">170 of the submission and text from throughout Section 4. </w:t>
      </w:r>
    </w:p>
    <w:p w14:paraId="2C058507" w14:textId="77777777" w:rsidR="008A55E6" w:rsidRPr="008B02E0" w:rsidRDefault="008A55E6" w:rsidP="00AE5B32">
      <w:pPr>
        <w:pStyle w:val="FooterTableFigure"/>
      </w:pPr>
      <w:r w:rsidRPr="008B02E0">
        <w:t>BICR = blinded independent central review; MBS=Medical Benefits Schedule; R/PBS = Repatriation / Pharmaceutical Benefits Schedule; Q2W = every two weeks; Q3W = every three weeks; Q4W = every four weeks; Q6W = every six weeks.</w:t>
      </w:r>
    </w:p>
    <w:p w14:paraId="1A7990FA" w14:textId="2C160CB9" w:rsidR="00F86FFE" w:rsidRPr="008B02E0" w:rsidRDefault="00F86FFE" w:rsidP="00AE5B32">
      <w:pPr>
        <w:pStyle w:val="3-BodyText"/>
      </w:pPr>
      <w:r w:rsidRPr="008B02E0">
        <w:t>To estimate the size of the current market over the first six years of the proposed listing, the submission first estimated an annual growth rate by fitting a linear trend to monthly script data for pembrolizumab (PBS item numbers: 12605K and 12615Y) from Medicare Australia claims from Jan 2023 to Dec 2024 (2 years inclusive). The estimated growth rate was then applied to script data for pembrolizumab (Medicare Australia claims) accumulated in calendar year 2024 to establish the size of the market over the first six years of the proposed listing (2025 to 2030). To predict the annual growth rate, the submission stated that the above two</w:t>
      </w:r>
      <w:r w:rsidR="009E5502">
        <w:noBreakHyphen/>
      </w:r>
      <w:r w:rsidRPr="008B02E0">
        <w:t xml:space="preserve">year timeframe was selected as it allowed the market to stabilise after the PBS listing of pembrolizumab in </w:t>
      </w:r>
      <w:r w:rsidR="00AE5B32">
        <w:br/>
      </w:r>
      <w:r w:rsidRPr="008B02E0">
        <w:t xml:space="preserve">August 2021. </w:t>
      </w:r>
    </w:p>
    <w:p w14:paraId="375C8137" w14:textId="269D7589" w:rsidR="00442558" w:rsidRPr="008B02E0" w:rsidRDefault="00986100" w:rsidP="00AE5B32">
      <w:pPr>
        <w:pStyle w:val="3-BodyText"/>
      </w:pPr>
      <w:r w:rsidRPr="008B02E0">
        <w:t xml:space="preserve">The submission assumed a 1:1 script equivalence in the initiating phase. </w:t>
      </w:r>
      <w:r w:rsidR="00155A05" w:rsidRPr="008B02E0">
        <w:t xml:space="preserve">It was assumed that the nivolumab </w:t>
      </w:r>
      <w:r w:rsidR="00F261D6">
        <w:t>240 mg</w:t>
      </w:r>
      <w:r w:rsidR="00155A05" w:rsidRPr="008B02E0">
        <w:t xml:space="preserve"> Q2W dose would be used in place of the pembrolizumab </w:t>
      </w:r>
      <w:r w:rsidR="003E487B">
        <w:t>200 mg</w:t>
      </w:r>
      <w:r w:rsidR="00155A05" w:rsidRPr="008B02E0">
        <w:t xml:space="preserve"> Q3W dose and that the </w:t>
      </w:r>
      <w:r w:rsidR="0076007F" w:rsidRPr="008B02E0">
        <w:t>nivolumab</w:t>
      </w:r>
      <w:r w:rsidR="00155A05" w:rsidRPr="008B02E0">
        <w:t xml:space="preserve"> </w:t>
      </w:r>
      <w:r w:rsidR="00F261D6">
        <w:t>480 mg</w:t>
      </w:r>
      <w:r w:rsidR="00155A05" w:rsidRPr="008B02E0">
        <w:t xml:space="preserve"> Q4W dose would be used in place of the </w:t>
      </w:r>
      <w:r w:rsidR="0076007F" w:rsidRPr="008B02E0">
        <w:t>pembrolizumab</w:t>
      </w:r>
      <w:r w:rsidR="00155A05" w:rsidRPr="008B02E0">
        <w:t xml:space="preserve"> 400</w:t>
      </w:r>
      <w:r w:rsidR="00F261D6">
        <w:t xml:space="preserve"> </w:t>
      </w:r>
      <w:r w:rsidR="00155A05" w:rsidRPr="008B02E0">
        <w:t>mg Q6W</w:t>
      </w:r>
      <w:r w:rsidR="0076007F" w:rsidRPr="008B02E0">
        <w:t>.</w:t>
      </w:r>
      <w:r w:rsidR="00557625" w:rsidRPr="008B02E0">
        <w:t xml:space="preserve"> It was assumed in the continuing phase that 1.5 nivolumab scripts would be required to account for the longer duration of the pembrolizumab scripts across both of the nivolumab Q2W and Q4W regimens.</w:t>
      </w:r>
    </w:p>
    <w:p w14:paraId="3269D9BE" w14:textId="7C1F7EFF" w:rsidR="00F86FFE" w:rsidRPr="008B02E0" w:rsidRDefault="00FF5C0A" w:rsidP="00AE5B32">
      <w:pPr>
        <w:pStyle w:val="3-BodyText"/>
      </w:pPr>
      <w:r w:rsidRPr="008B02E0">
        <w:t xml:space="preserve">The submission assumed </w:t>
      </w:r>
      <w:r w:rsidR="00E11347" w:rsidRPr="00E11347">
        <w:rPr>
          <w:color w:val="000000"/>
          <w:w w:val="61"/>
          <w:shd w:val="solid" w:color="000000" w:fill="000000"/>
          <w:fitText w:val="475" w:id="-628963316"/>
          <w14:textFill>
            <w14:solidFill>
              <w14:srgbClr w14:val="000000">
                <w14:alpha w14:val="100000"/>
              </w14:srgbClr>
            </w14:solidFill>
          </w14:textFill>
        </w:rPr>
        <w:t>|||  ||</w:t>
      </w:r>
      <w:r w:rsidR="00E11347" w:rsidRPr="00E11347">
        <w:rPr>
          <w:color w:val="000000"/>
          <w:spacing w:val="5"/>
          <w:w w:val="61"/>
          <w:shd w:val="solid" w:color="000000" w:fill="000000"/>
          <w:fitText w:val="475" w:id="-628963316"/>
          <w14:textFill>
            <w14:solidFill>
              <w14:srgbClr w14:val="000000">
                <w14:alpha w14:val="100000"/>
              </w14:srgbClr>
            </w14:solidFill>
          </w14:textFill>
        </w:rPr>
        <w:t>|</w:t>
      </w:r>
      <w:r w:rsidRPr="008B02E0">
        <w:t xml:space="preserve">% of pembrolizumab scripts </w:t>
      </w:r>
      <w:r w:rsidR="00C60FF6" w:rsidRPr="008B02E0">
        <w:t>would</w:t>
      </w:r>
      <w:r w:rsidRPr="008B02E0">
        <w:t xml:space="preserve"> be substituted for nivolumab plus ipilimumab scripts. This was based on predicted market share </w:t>
      </w:r>
      <w:r w:rsidRPr="008B02E0">
        <w:lastRenderedPageBreak/>
        <w:t>responses from eight Australian oncologists who comprised an Advisory board assembled by the Sponsor</w:t>
      </w:r>
      <w:r w:rsidR="00C60FF6" w:rsidRPr="008B02E0">
        <w:t>.</w:t>
      </w:r>
      <w:r w:rsidRPr="008B02E0">
        <w:t xml:space="preserve"> The oncologists were asked ‘what proportion of patients would be treated with nivolumab plus ipilimumab instead of pembrolizumab?’ The substitution rate was calculated by taking the mean of their responses (</w:t>
      </w:r>
      <w:r w:rsidR="00E11347" w:rsidRPr="00E11347">
        <w:rPr>
          <w:color w:val="000000"/>
          <w:w w:val="59"/>
          <w:shd w:val="solid" w:color="000000" w:fill="000000"/>
          <w:fitText w:val="460" w:id="-628963315"/>
          <w14:textFill>
            <w14:solidFill>
              <w14:srgbClr w14:val="000000">
                <w14:alpha w14:val="100000"/>
              </w14:srgbClr>
            </w14:solidFill>
          </w14:textFill>
        </w:rPr>
        <w:t>|||  ||</w:t>
      </w:r>
      <w:r w:rsidR="00E11347" w:rsidRPr="00E11347">
        <w:rPr>
          <w:color w:val="000000"/>
          <w:spacing w:val="5"/>
          <w:w w:val="59"/>
          <w:shd w:val="solid" w:color="000000" w:fill="000000"/>
          <w:fitText w:val="460" w:id="-628963315"/>
          <w14:textFill>
            <w14:solidFill>
              <w14:srgbClr w14:val="000000">
                <w14:alpha w14:val="100000"/>
              </w14:srgbClr>
            </w14:solidFill>
          </w14:textFill>
        </w:rPr>
        <w:t>|</w:t>
      </w:r>
      <w:r w:rsidRPr="008B02E0">
        <w:t>%). Oncologists were aware of the headline hazard ratio (0.62) from the CM</w:t>
      </w:r>
      <w:r w:rsidR="009E5502">
        <w:noBreakHyphen/>
      </w:r>
      <w:r w:rsidRPr="008B02E0">
        <w:t>8HW trial (NIVO+IPI vs NIVO in the CM</w:t>
      </w:r>
      <w:r w:rsidR="009E5502">
        <w:noBreakHyphen/>
      </w:r>
      <w:r w:rsidRPr="008B02E0">
        <w:t xml:space="preserve">8HW IL+ population, centrally confirmed and BICR) when considering their responses. Overall, it was assumed the market share for nivolumab plus ipilimumab would remain constant over the first six years of proposed listing. The </w:t>
      </w:r>
      <w:r w:rsidR="00C523F5" w:rsidRPr="008B02E0">
        <w:t>evaluation considered that</w:t>
      </w:r>
      <w:r w:rsidR="00A203FF">
        <w:t xml:space="preserve"> while</w:t>
      </w:r>
      <w:r w:rsidR="00C523F5" w:rsidRPr="008B02E0">
        <w:t xml:space="preserve"> the</w:t>
      </w:r>
      <w:r w:rsidRPr="008B02E0">
        <w:rPr>
          <w:iCs/>
        </w:rPr>
        <w:t xml:space="preserve"> substitution rate appear</w:t>
      </w:r>
      <w:r w:rsidR="00C523F5" w:rsidRPr="008B02E0">
        <w:rPr>
          <w:iCs/>
        </w:rPr>
        <w:t>ed</w:t>
      </w:r>
      <w:r w:rsidRPr="008B02E0">
        <w:rPr>
          <w:iCs/>
        </w:rPr>
        <w:t xml:space="preserve"> high, the real substitution rate is unknown particularly as OS data from CM</w:t>
      </w:r>
      <w:r w:rsidR="009E5502">
        <w:rPr>
          <w:iCs/>
        </w:rPr>
        <w:noBreakHyphen/>
      </w:r>
      <w:r w:rsidRPr="008B02E0">
        <w:rPr>
          <w:iCs/>
        </w:rPr>
        <w:t xml:space="preserve">8HW is yet to be reported. The submission conducted a sensitivity analysis by reducing the </w:t>
      </w:r>
      <w:r w:rsidR="007C0D4A" w:rsidRPr="008B02E0">
        <w:rPr>
          <w:iCs/>
        </w:rPr>
        <w:t xml:space="preserve">substitution rate to </w:t>
      </w:r>
      <w:r w:rsidR="00E11347" w:rsidRPr="00E11347">
        <w:rPr>
          <w:iCs/>
          <w:color w:val="000000"/>
          <w:w w:val="61"/>
          <w:shd w:val="solid" w:color="000000" w:fill="000000"/>
          <w:fitText w:val="475" w:id="-628963314"/>
          <w14:textFill>
            <w14:solidFill>
              <w14:srgbClr w14:val="000000">
                <w14:alpha w14:val="100000"/>
              </w14:srgbClr>
            </w14:solidFill>
          </w14:textFill>
        </w:rPr>
        <w:t>|||  ||</w:t>
      </w:r>
      <w:r w:rsidR="00E11347" w:rsidRPr="00E11347">
        <w:rPr>
          <w:iCs/>
          <w:color w:val="000000"/>
          <w:spacing w:val="5"/>
          <w:w w:val="61"/>
          <w:shd w:val="solid" w:color="000000" w:fill="000000"/>
          <w:fitText w:val="475" w:id="-628963314"/>
          <w14:textFill>
            <w14:solidFill>
              <w14:srgbClr w14:val="000000">
                <w14:alpha w14:val="100000"/>
              </w14:srgbClr>
            </w14:solidFill>
          </w14:textFill>
        </w:rPr>
        <w:t>|</w:t>
      </w:r>
      <w:r w:rsidR="007C0D4A" w:rsidRPr="008B02E0">
        <w:rPr>
          <w:iCs/>
        </w:rPr>
        <w:t xml:space="preserve">% </w:t>
      </w:r>
      <w:r w:rsidRPr="008B02E0">
        <w:rPr>
          <w:iCs/>
        </w:rPr>
        <w:t xml:space="preserve">which reduced the overall net impact to the health budget over the first six years of listing </w:t>
      </w:r>
      <w:r w:rsidRPr="000D7C59">
        <w:rPr>
          <w:iCs/>
        </w:rPr>
        <w:t>by $</w:t>
      </w:r>
      <w:r w:rsidR="000E5EBC" w:rsidRPr="000E5EBC">
        <w:rPr>
          <w:iCs/>
        </w:rPr>
        <w:t>100 million to &lt; $200 million</w:t>
      </w:r>
      <w:r w:rsidRPr="008B02E0">
        <w:rPr>
          <w:iCs/>
        </w:rPr>
        <w:t xml:space="preserve"> (</w:t>
      </w:r>
      <w:r w:rsidR="009E5502">
        <w:rPr>
          <w:iCs/>
        </w:rPr>
        <w:noBreakHyphen/>
      </w:r>
      <w:r w:rsidR="00E11347" w:rsidRPr="00E11347">
        <w:rPr>
          <w:iCs/>
          <w:color w:val="000000"/>
          <w:w w:val="61"/>
          <w:shd w:val="solid" w:color="000000" w:fill="000000"/>
          <w:fitText w:val="475" w:id="-628963313"/>
          <w14:textFill>
            <w14:solidFill>
              <w14:srgbClr w14:val="000000">
                <w14:alpha w14:val="100000"/>
              </w14:srgbClr>
            </w14:solidFill>
          </w14:textFill>
        </w:rPr>
        <w:t>|||  ||</w:t>
      </w:r>
      <w:r w:rsidR="00E11347" w:rsidRPr="00E11347">
        <w:rPr>
          <w:iCs/>
          <w:color w:val="000000"/>
          <w:spacing w:val="5"/>
          <w:w w:val="61"/>
          <w:shd w:val="solid" w:color="000000" w:fill="000000"/>
          <w:fitText w:val="475" w:id="-628963313"/>
          <w14:textFill>
            <w14:solidFill>
              <w14:srgbClr w14:val="000000">
                <w14:alpha w14:val="100000"/>
              </w14:srgbClr>
            </w14:solidFill>
          </w14:textFill>
        </w:rPr>
        <w:t>|</w:t>
      </w:r>
      <w:r w:rsidRPr="008B02E0">
        <w:rPr>
          <w:iCs/>
        </w:rPr>
        <w:t>%). While the reported HR was not for the first</w:t>
      </w:r>
      <w:r w:rsidR="009E5502">
        <w:rPr>
          <w:iCs/>
        </w:rPr>
        <w:noBreakHyphen/>
      </w:r>
      <w:r w:rsidRPr="008B02E0">
        <w:rPr>
          <w:iCs/>
        </w:rPr>
        <w:t>line population nor a comparison with pembrolizumab, the HR was similar to those estimated for nivolumab plus ipilimumab vs pembrolizumab via indirect comparison. The Advisory board did not appear to be informed of the time</w:t>
      </w:r>
      <w:r w:rsidR="009E5502">
        <w:rPr>
          <w:iCs/>
        </w:rPr>
        <w:noBreakHyphen/>
      </w:r>
      <w:r w:rsidRPr="008B02E0">
        <w:rPr>
          <w:iCs/>
        </w:rPr>
        <w:t>varying HRs which converge over time</w:t>
      </w:r>
      <w:r w:rsidR="00F867CE" w:rsidRPr="008B02E0">
        <w:rPr>
          <w:iCs/>
        </w:rPr>
        <w:t>.</w:t>
      </w:r>
      <w:r w:rsidR="00CF206C" w:rsidRPr="008B02E0">
        <w:rPr>
          <w:iCs/>
        </w:rPr>
        <w:t xml:space="preserve"> </w:t>
      </w:r>
      <w:r w:rsidR="001A1C19" w:rsidRPr="008B02E0">
        <w:t xml:space="preserve">The ESC considered </w:t>
      </w:r>
      <w:r w:rsidR="00C423F6" w:rsidRPr="008B02E0">
        <w:t xml:space="preserve">a lower substitution rate than </w:t>
      </w:r>
      <w:r w:rsidR="009B2DEB" w:rsidRPr="008B02E0">
        <w:t xml:space="preserve">that </w:t>
      </w:r>
      <w:r w:rsidR="00C423F6" w:rsidRPr="008B02E0">
        <w:t xml:space="preserve">considered in the base case was appropriate, noting the increased toxicity associated with </w:t>
      </w:r>
      <w:r w:rsidR="009B2DEB" w:rsidRPr="008B02E0">
        <w:t xml:space="preserve">nivolumab plus ipilimumab, however considered a substitution rate of </w:t>
      </w:r>
      <w:r w:rsidR="00E11347" w:rsidRPr="00E11347">
        <w:rPr>
          <w:color w:val="000000"/>
          <w:w w:val="59"/>
          <w:shd w:val="solid" w:color="000000" w:fill="000000"/>
          <w:fitText w:val="460" w:id="-628963312"/>
          <w14:textFill>
            <w14:solidFill>
              <w14:srgbClr w14:val="000000">
                <w14:alpha w14:val="100000"/>
              </w14:srgbClr>
            </w14:solidFill>
          </w14:textFill>
        </w:rPr>
        <w:t>|||  ||</w:t>
      </w:r>
      <w:r w:rsidR="00E11347" w:rsidRPr="00E11347">
        <w:rPr>
          <w:color w:val="000000"/>
          <w:spacing w:val="5"/>
          <w:w w:val="59"/>
          <w:shd w:val="solid" w:color="000000" w:fill="000000"/>
          <w:fitText w:val="460" w:id="-628963312"/>
          <w14:textFill>
            <w14:solidFill>
              <w14:srgbClr w14:val="000000">
                <w14:alpha w14:val="100000"/>
              </w14:srgbClr>
            </w14:solidFill>
          </w14:textFill>
        </w:rPr>
        <w:t>|</w:t>
      </w:r>
      <w:r w:rsidR="009B2DEB" w:rsidRPr="008B02E0">
        <w:t xml:space="preserve">% was likely too low. The ESC considered that </w:t>
      </w:r>
      <w:r w:rsidR="00E11347" w:rsidRPr="00E11347">
        <w:rPr>
          <w:color w:val="000000"/>
          <w:w w:val="59"/>
          <w:shd w:val="solid" w:color="000000" w:fill="000000"/>
          <w:fitText w:val="460" w:id="-628963328"/>
          <w14:textFill>
            <w14:solidFill>
              <w14:srgbClr w14:val="000000">
                <w14:alpha w14:val="100000"/>
              </w14:srgbClr>
            </w14:solidFill>
          </w14:textFill>
        </w:rPr>
        <w:t>|||  ||</w:t>
      </w:r>
      <w:r w:rsidR="00E11347" w:rsidRPr="00E11347">
        <w:rPr>
          <w:color w:val="000000"/>
          <w:spacing w:val="5"/>
          <w:w w:val="59"/>
          <w:shd w:val="solid" w:color="000000" w:fill="000000"/>
          <w:fitText w:val="460" w:id="-628963328"/>
          <w14:textFill>
            <w14:solidFill>
              <w14:srgbClr w14:val="000000">
                <w14:alpha w14:val="100000"/>
              </w14:srgbClr>
            </w14:solidFill>
          </w14:textFill>
        </w:rPr>
        <w:t>|</w:t>
      </w:r>
      <w:r w:rsidR="009B2DEB" w:rsidRPr="008B02E0">
        <w:t>% may be more appropriate.</w:t>
      </w:r>
    </w:p>
    <w:p w14:paraId="3695B75C" w14:textId="64396034" w:rsidR="00FF5C0A" w:rsidRPr="008B02E0" w:rsidRDefault="00FF5C0A" w:rsidP="00AE5B32">
      <w:pPr>
        <w:pStyle w:val="3-BodyText"/>
      </w:pPr>
      <w:r w:rsidRPr="008B02E0">
        <w:t>To estimate the number of nivolumab plus ipilimumab scripts, the submission first estimated the reduction in pembrolizumab scripts using the calculated substitution rate (</w:t>
      </w:r>
      <w:r w:rsidR="00E11347" w:rsidRPr="00E11347">
        <w:rPr>
          <w:color w:val="000000"/>
          <w:w w:val="59"/>
          <w:shd w:val="solid" w:color="000000" w:fill="000000"/>
          <w:fitText w:val="460" w:id="-628963327"/>
          <w14:textFill>
            <w14:solidFill>
              <w14:srgbClr w14:val="000000">
                <w14:alpha w14:val="100000"/>
              </w14:srgbClr>
            </w14:solidFill>
          </w14:textFill>
        </w:rPr>
        <w:t>|||  ||</w:t>
      </w:r>
      <w:r w:rsidR="00E11347" w:rsidRPr="00E11347">
        <w:rPr>
          <w:color w:val="000000"/>
          <w:spacing w:val="5"/>
          <w:w w:val="59"/>
          <w:shd w:val="solid" w:color="000000" w:fill="000000"/>
          <w:fitText w:val="460" w:id="-628963327"/>
          <w14:textFill>
            <w14:solidFill>
              <w14:srgbClr w14:val="000000">
                <w14:alpha w14:val="100000"/>
              </w14:srgbClr>
            </w14:solidFill>
          </w14:textFill>
        </w:rPr>
        <w:t>|</w:t>
      </w:r>
      <w:r w:rsidRPr="008B02E0">
        <w:t xml:space="preserve">%) </w:t>
      </w:r>
      <w:r w:rsidRPr="008B02E0">
        <w:rPr>
          <w:szCs w:val="20"/>
        </w:rPr>
        <w:t xml:space="preserve">then estimated the corresponding number of </w:t>
      </w:r>
      <w:r w:rsidRPr="008B02E0">
        <w:t>nivolumab and ipilimumab</w:t>
      </w:r>
      <w:r w:rsidRPr="008B02E0">
        <w:rPr>
          <w:szCs w:val="20"/>
        </w:rPr>
        <w:t xml:space="preserve"> scripts based on script equivalence between </w:t>
      </w:r>
      <w:r w:rsidRPr="008B02E0">
        <w:t>nivolumab plus ipilimumab</w:t>
      </w:r>
      <w:r w:rsidRPr="008B02E0">
        <w:rPr>
          <w:szCs w:val="20"/>
        </w:rPr>
        <w:t xml:space="preserve"> and </w:t>
      </w:r>
      <w:r w:rsidRPr="008C59D5">
        <w:t>pembrolizumab during a one</w:t>
      </w:r>
      <w:r w:rsidR="009E5502">
        <w:noBreakHyphen/>
      </w:r>
      <w:r w:rsidRPr="008C59D5">
        <w:t>year timeframe.</w:t>
      </w:r>
      <w:r w:rsidR="00B7537E" w:rsidRPr="008C59D5">
        <w:t xml:space="preserve"> </w:t>
      </w:r>
      <w:r w:rsidRPr="008C59D5">
        <w:t>The</w:t>
      </w:r>
      <w:r w:rsidRPr="008B02E0">
        <w:t xml:space="preserve"> following steps were then undertaken to ‘convert’ pembrolizumab scripts to nivolumab plus ipilimumab scripts:</w:t>
      </w:r>
    </w:p>
    <w:p w14:paraId="1B5220E5" w14:textId="06964F69" w:rsidR="00350CF3" w:rsidRPr="008B02E0" w:rsidRDefault="00FF5C0A" w:rsidP="00AE5B32">
      <w:pPr>
        <w:pStyle w:val="3-BodyText"/>
        <w:numPr>
          <w:ilvl w:val="0"/>
          <w:numId w:val="16"/>
        </w:numPr>
        <w:ind w:left="1134"/>
      </w:pPr>
      <w:r w:rsidRPr="008B02E0">
        <w:t xml:space="preserve">The split of </w:t>
      </w:r>
      <w:r w:rsidR="00F261D6">
        <w:t>240 mg</w:t>
      </w:r>
      <w:r w:rsidRPr="008B02E0">
        <w:t xml:space="preserve"> </w:t>
      </w:r>
      <w:r w:rsidRPr="0036317B">
        <w:t xml:space="preserve">and </w:t>
      </w:r>
      <w:r w:rsidR="00F261D6">
        <w:t>480 mg</w:t>
      </w:r>
      <w:r w:rsidRPr="0036317B">
        <w:t xml:space="preserve"> nivolumab scripts were estimated at 20.01% and 79.99% respectively, by dividing 3.75 mean doses of nivolumab </w:t>
      </w:r>
      <w:r w:rsidR="00F261D6">
        <w:t>240 mg</w:t>
      </w:r>
      <w:r w:rsidRPr="0036317B">
        <w:t xml:space="preserve"> by the total</w:t>
      </w:r>
      <w:r w:rsidRPr="008B02E0">
        <w:t xml:space="preserve"> mean doses of both nivolumab strengths for initial and continuing treatment phases (3.75 doses of </w:t>
      </w:r>
      <w:r w:rsidR="00F261D6">
        <w:t>240 mg</w:t>
      </w:r>
      <w:r w:rsidRPr="008B02E0">
        <w:t xml:space="preserve"> plus 14.99 doses of </w:t>
      </w:r>
      <w:r w:rsidR="00F261D6">
        <w:t>480 mg</w:t>
      </w:r>
      <w:r w:rsidRPr="008B02E0">
        <w:t xml:space="preserve">). </w:t>
      </w:r>
      <w:r w:rsidR="001F15CC" w:rsidRPr="008B02E0">
        <w:rPr>
          <w:iCs/>
        </w:rPr>
        <w:t>The evaluation considered that it</w:t>
      </w:r>
      <w:r w:rsidRPr="008B02E0">
        <w:rPr>
          <w:iCs/>
        </w:rPr>
        <w:t xml:space="preserve"> was unclear why the submission used 3.75 and 14.99 doses for this calculation </w:t>
      </w:r>
      <w:r w:rsidR="0030002C" w:rsidRPr="008B02E0">
        <w:rPr>
          <w:iCs/>
        </w:rPr>
        <w:t>as</w:t>
      </w:r>
      <w:r w:rsidRPr="008B02E0">
        <w:rPr>
          <w:iCs/>
        </w:rPr>
        <w:t xml:space="preserve"> the interim and primary trial analyses cited different mean doses</w:t>
      </w:r>
      <w:r w:rsidR="0030002C" w:rsidRPr="008B02E0">
        <w:rPr>
          <w:iCs/>
        </w:rPr>
        <w:t>,</w:t>
      </w:r>
      <w:r w:rsidRPr="008B02E0">
        <w:rPr>
          <w:iCs/>
        </w:rPr>
        <w:t xml:space="preserve"> hence the evaluation could not verify the reference for these numbers.</w:t>
      </w:r>
      <w:r w:rsidRPr="008B02E0">
        <w:t xml:space="preserve"> </w:t>
      </w:r>
      <w:r w:rsidR="00350CF3" w:rsidRPr="008B02E0">
        <w:rPr>
          <w:iCs/>
        </w:rPr>
        <w:t xml:space="preserve">The PSCR provided updated financial estimates with the mean duration of treatment amended to align with the economic model (3.7 doses for initiation; 13.6 doses for continuing therapy). </w:t>
      </w:r>
    </w:p>
    <w:p w14:paraId="5136C932" w14:textId="7E28CF88" w:rsidR="00FF5C0A" w:rsidRPr="008B02E0" w:rsidRDefault="00FF5C0A" w:rsidP="00AE5B32">
      <w:pPr>
        <w:pStyle w:val="3-BodyText"/>
        <w:numPr>
          <w:ilvl w:val="0"/>
          <w:numId w:val="16"/>
        </w:numPr>
        <w:ind w:left="1134"/>
      </w:pPr>
      <w:r w:rsidRPr="008B02E0">
        <w:t xml:space="preserve">For </w:t>
      </w:r>
      <w:r w:rsidRPr="007655BE">
        <w:t>the 79.99% of continuing</w:t>
      </w:r>
      <w:r w:rsidRPr="008B02E0">
        <w:t xml:space="preserve"> scripts attributed nivolumab </w:t>
      </w:r>
      <w:r w:rsidR="00F261D6">
        <w:t>480 mg</w:t>
      </w:r>
      <w:r w:rsidRPr="008B02E0">
        <w:t xml:space="preserve"> from the above calculation, the submission further split this into </w:t>
      </w:r>
      <w:r w:rsidR="00F261D6">
        <w:t>240 mg</w:t>
      </w:r>
      <w:r w:rsidRPr="008B02E0">
        <w:t xml:space="preserve"> and </w:t>
      </w:r>
      <w:r w:rsidR="00F261D6">
        <w:t>480 mg</w:t>
      </w:r>
      <w:r w:rsidRPr="008B02E0">
        <w:t xml:space="preserve"> continuing doses (i.e.: Q2W vs Q4W dosing) at a rate of 10% and 90%, respectively, to provide a proxy for the number of pembrolizumab scripts at 3</w:t>
      </w:r>
      <w:r w:rsidR="009E5502">
        <w:noBreakHyphen/>
      </w:r>
      <w:r w:rsidRPr="008B02E0">
        <w:t>weekly vs 6</w:t>
      </w:r>
      <w:r w:rsidR="009E5502">
        <w:noBreakHyphen/>
      </w:r>
      <w:r w:rsidRPr="008B02E0">
        <w:t xml:space="preserve">weekly dosing intervals, resulting in the substitution rates outlined in the table </w:t>
      </w:r>
      <w:r w:rsidR="00114EAA" w:rsidRPr="008B02E0">
        <w:t>above</w:t>
      </w:r>
      <w:r w:rsidRPr="008B02E0">
        <w:t>.</w:t>
      </w:r>
    </w:p>
    <w:p w14:paraId="0C8AAF62" w14:textId="7EAE8BB0" w:rsidR="00864922" w:rsidRPr="008B02E0" w:rsidRDefault="00FF5C0A" w:rsidP="00AE5B32">
      <w:pPr>
        <w:pStyle w:val="3-BodyText"/>
        <w:numPr>
          <w:ilvl w:val="0"/>
          <w:numId w:val="16"/>
        </w:numPr>
        <w:ind w:left="1134"/>
      </w:pPr>
      <w:r w:rsidRPr="008B02E0">
        <w:rPr>
          <w:iCs/>
        </w:rPr>
        <w:lastRenderedPageBreak/>
        <w:t xml:space="preserve">The cost offsets for pembrolizumab appeared to have only costed </w:t>
      </w:r>
      <w:r w:rsidR="003E487B">
        <w:rPr>
          <w:iCs/>
        </w:rPr>
        <w:t>200 mg</w:t>
      </w:r>
      <w:r w:rsidRPr="008B02E0">
        <w:rPr>
          <w:iCs/>
        </w:rPr>
        <w:t xml:space="preserve"> scripts, excluding the 400</w:t>
      </w:r>
      <w:r w:rsidR="00F261D6">
        <w:rPr>
          <w:iCs/>
        </w:rPr>
        <w:t xml:space="preserve"> </w:t>
      </w:r>
      <w:r w:rsidRPr="008B02E0">
        <w:rPr>
          <w:iCs/>
        </w:rPr>
        <w:t>mg scripts. As such, the cost of pembrolizumab was likely underestimated in the financial estimates.</w:t>
      </w:r>
    </w:p>
    <w:p w14:paraId="42BA8C26" w14:textId="6605A961" w:rsidR="006A490A" w:rsidRPr="008B02E0" w:rsidRDefault="003A70B3" w:rsidP="00AE5B32">
      <w:pPr>
        <w:pStyle w:val="3-BodyText"/>
        <w:rPr>
          <w:color w:val="0066FF"/>
        </w:rPr>
      </w:pPr>
      <w:r w:rsidRPr="008B02E0">
        <w:t>The estimated script numbers and costs for the PBS listing of nivolumab plus ipilimumab for the treatment of first</w:t>
      </w:r>
      <w:r w:rsidR="009E5502">
        <w:noBreakHyphen/>
      </w:r>
      <w:r w:rsidRPr="008B02E0">
        <w:t xml:space="preserve">line mCRC are provided in </w:t>
      </w:r>
      <w:r w:rsidR="00E16AD8" w:rsidRPr="008B02E0">
        <w:fldChar w:fldCharType="begin"/>
      </w:r>
      <w:r w:rsidR="00E16AD8" w:rsidRPr="008B02E0">
        <w:instrText xml:space="preserve"> REF _Ref104805295 \h  \* MERGEFORMAT </w:instrText>
      </w:r>
      <w:r w:rsidR="00E16AD8" w:rsidRPr="008B02E0">
        <w:fldChar w:fldCharType="separate"/>
      </w:r>
      <w:r w:rsidR="00B542C9" w:rsidRPr="008B02E0">
        <w:t xml:space="preserve">Table </w:t>
      </w:r>
      <w:r w:rsidR="00B542C9">
        <w:rPr>
          <w:noProof/>
        </w:rPr>
        <w:t>18</w:t>
      </w:r>
      <w:r w:rsidR="00E16AD8" w:rsidRPr="008B02E0">
        <w:fldChar w:fldCharType="end"/>
      </w:r>
      <w:r w:rsidRPr="008B02E0">
        <w:t>.</w:t>
      </w:r>
      <w:r w:rsidR="006A490A" w:rsidRPr="008B02E0">
        <w:rPr>
          <w:rFonts w:cstheme="minorHAnsi"/>
        </w:rPr>
        <w:t xml:space="preserve"> </w:t>
      </w:r>
    </w:p>
    <w:p w14:paraId="26FB6670" w14:textId="33583A9B" w:rsidR="00B505C8" w:rsidRPr="00DF7DFA" w:rsidRDefault="006A490A" w:rsidP="00AE5B32">
      <w:pPr>
        <w:pStyle w:val="3-BodyText"/>
        <w:rPr>
          <w:color w:val="0066FF"/>
        </w:rPr>
      </w:pPr>
      <w:r w:rsidRPr="008B02E0">
        <w:rPr>
          <w:rFonts w:cstheme="minorHAnsi"/>
        </w:rPr>
        <w:t xml:space="preserve">The PSCR provided an updated model with the mean duration of treatment amended to align with the economic model (3.7 doses for initiation; 13.6 doses for continuing therapy). The change in </w:t>
      </w:r>
      <w:r w:rsidRPr="00DF7DFA">
        <w:rPr>
          <w:rFonts w:cstheme="minorHAnsi"/>
        </w:rPr>
        <w:t>mean time on treatment altered the proportional split of nivolumab and ipilimumab scripts each year (nivolumab 240 mg initial = 21.39%; nivolumab 240 mg continuing = 7.86%; nivolumab 480 mg continuing = 70.75%; ipilimumab 100 mg initial = 21.39%).</w:t>
      </w:r>
    </w:p>
    <w:p w14:paraId="38EC053C" w14:textId="0E30726B" w:rsidR="00C25D9C" w:rsidRPr="008B02E0" w:rsidRDefault="00E16AD8" w:rsidP="00AE5B32">
      <w:pPr>
        <w:pStyle w:val="Caption"/>
        <w:rPr>
          <w:rStyle w:val="CommentReference"/>
          <w:b/>
          <w:szCs w:val="24"/>
        </w:rPr>
      </w:pPr>
      <w:bookmarkStart w:id="101" w:name="_Ref104805295"/>
      <w:r w:rsidRPr="008B02E0">
        <w:lastRenderedPageBreak/>
        <w:t xml:space="preserve">Table </w:t>
      </w:r>
      <w:r w:rsidR="008258C7">
        <w:fldChar w:fldCharType="begin"/>
      </w:r>
      <w:r w:rsidR="008258C7">
        <w:instrText xml:space="preserve"> SEQ Table \* ARABIC </w:instrText>
      </w:r>
      <w:r w:rsidR="008258C7">
        <w:fldChar w:fldCharType="separate"/>
      </w:r>
      <w:r w:rsidR="00B542C9">
        <w:rPr>
          <w:noProof/>
        </w:rPr>
        <w:t>18</w:t>
      </w:r>
      <w:r w:rsidR="008258C7">
        <w:rPr>
          <w:noProof/>
        </w:rPr>
        <w:fldChar w:fldCharType="end"/>
      </w:r>
      <w:bookmarkEnd w:id="101"/>
      <w:r w:rsidRPr="008B02E0">
        <w:t>:</w:t>
      </w:r>
      <w:r w:rsidR="002A2F50" w:rsidRPr="008B02E0">
        <w:rPr>
          <w:rStyle w:val="CommentReference"/>
          <w:b/>
          <w:szCs w:val="24"/>
        </w:rPr>
        <w:t xml:space="preserve"> Estimated use and financial implications</w:t>
      </w:r>
    </w:p>
    <w:tbl>
      <w:tblPr>
        <w:tblStyle w:val="TableGrid"/>
        <w:tblW w:w="0" w:type="auto"/>
        <w:tblCellMar>
          <w:left w:w="28" w:type="dxa"/>
          <w:right w:w="28" w:type="dxa"/>
        </w:tblCellMar>
        <w:tblLook w:val="04A0" w:firstRow="1" w:lastRow="0" w:firstColumn="1" w:lastColumn="0" w:noHBand="0" w:noVBand="1"/>
        <w:tblCaption w:val="Table 18: Estimated use and financial implications"/>
      </w:tblPr>
      <w:tblGrid>
        <w:gridCol w:w="1450"/>
        <w:gridCol w:w="1258"/>
        <w:gridCol w:w="1258"/>
        <w:gridCol w:w="1258"/>
        <w:gridCol w:w="1258"/>
        <w:gridCol w:w="1258"/>
        <w:gridCol w:w="1277"/>
      </w:tblGrid>
      <w:tr w:rsidR="003A70B3" w:rsidRPr="008B02E0" w14:paraId="42A6613E" w14:textId="77777777" w:rsidTr="00A01135">
        <w:tc>
          <w:tcPr>
            <w:tcW w:w="1450" w:type="dxa"/>
            <w:tcBorders>
              <w:top w:val="single" w:sz="4" w:space="0" w:color="auto"/>
              <w:left w:val="single" w:sz="4" w:space="0" w:color="auto"/>
              <w:bottom w:val="single" w:sz="4" w:space="0" w:color="auto"/>
              <w:right w:val="single" w:sz="4" w:space="0" w:color="auto"/>
            </w:tcBorders>
          </w:tcPr>
          <w:p w14:paraId="2AB28CD8" w14:textId="77777777" w:rsidR="003A70B3" w:rsidRPr="008B02E0" w:rsidRDefault="003A70B3" w:rsidP="00AE5B32">
            <w:pPr>
              <w:keepNext/>
              <w:keepLines/>
              <w:jc w:val="left"/>
              <w:rPr>
                <w:rFonts w:ascii="Arial Narrow" w:hAnsi="Arial Narrow"/>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hideMark/>
          </w:tcPr>
          <w:p w14:paraId="1ED1FB82"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1</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8AA772D"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2</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EAAE818"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D96A62E"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4</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771F4CC"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9C917E4" w14:textId="77777777" w:rsidR="003A70B3" w:rsidRPr="008B02E0" w:rsidRDefault="003A70B3" w:rsidP="00AE5B32">
            <w:pPr>
              <w:keepNext/>
              <w:keepLines/>
              <w:jc w:val="center"/>
              <w:rPr>
                <w:rFonts w:ascii="Arial Narrow" w:hAnsi="Arial Narrow"/>
                <w:b/>
                <w:bCs/>
                <w:sz w:val="20"/>
                <w:szCs w:val="20"/>
              </w:rPr>
            </w:pPr>
            <w:r w:rsidRPr="008B02E0">
              <w:rPr>
                <w:rFonts w:ascii="Arial Narrow" w:hAnsi="Arial Narrow"/>
                <w:b/>
                <w:bCs/>
                <w:sz w:val="20"/>
                <w:szCs w:val="20"/>
              </w:rPr>
              <w:t>Year 6</w:t>
            </w:r>
          </w:p>
        </w:tc>
      </w:tr>
      <w:tr w:rsidR="003A70B3" w:rsidRPr="008B02E0" w14:paraId="427298D7" w14:textId="77777777" w:rsidTr="00D17F3A">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03ED5215" w14:textId="77777777" w:rsidR="003A70B3" w:rsidRPr="008B02E0" w:rsidRDefault="003A70B3" w:rsidP="00AE5B32">
            <w:pPr>
              <w:keepNext/>
              <w:keepLines/>
              <w:jc w:val="left"/>
              <w:rPr>
                <w:rFonts w:ascii="Arial Narrow" w:hAnsi="Arial Narrow"/>
                <w:sz w:val="20"/>
                <w:szCs w:val="20"/>
              </w:rPr>
            </w:pPr>
            <w:r w:rsidRPr="008B02E0">
              <w:rPr>
                <w:rFonts w:ascii="Arial Narrow" w:hAnsi="Arial Narrow"/>
                <w:b/>
                <w:bCs/>
                <w:sz w:val="20"/>
                <w:szCs w:val="20"/>
              </w:rPr>
              <w:t>Estimation of the use and financial impact of nivolumab plus ipilimumab</w:t>
            </w:r>
          </w:p>
        </w:tc>
      </w:tr>
      <w:tr w:rsidR="003A70B3" w:rsidRPr="008B02E0" w14:paraId="4FB48FFE" w14:textId="77777777" w:rsidTr="00A01135">
        <w:tc>
          <w:tcPr>
            <w:tcW w:w="1450" w:type="dxa"/>
            <w:tcBorders>
              <w:top w:val="single" w:sz="4" w:space="0" w:color="auto"/>
              <w:left w:val="single" w:sz="4" w:space="0" w:color="auto"/>
              <w:bottom w:val="nil"/>
              <w:right w:val="single" w:sz="4" w:space="0" w:color="auto"/>
            </w:tcBorders>
            <w:hideMark/>
          </w:tcPr>
          <w:p w14:paraId="415E4633" w14:textId="77777777" w:rsidR="003A70B3" w:rsidRPr="008B02E0" w:rsidRDefault="003A70B3" w:rsidP="00AE5B32">
            <w:pPr>
              <w:keepNext/>
              <w:keepLines/>
              <w:jc w:val="left"/>
              <w:rPr>
                <w:rFonts w:ascii="Arial Narrow" w:hAnsi="Arial Narrow"/>
                <w:sz w:val="20"/>
                <w:szCs w:val="20"/>
              </w:rPr>
            </w:pPr>
            <w:r w:rsidRPr="008B02E0">
              <w:rPr>
                <w:rFonts w:ascii="Arial Narrow" w:hAnsi="Arial Narrow"/>
                <w:sz w:val="20"/>
                <w:szCs w:val="20"/>
              </w:rPr>
              <w:t>Nivolumab plus ipilimumab, scripts</w:t>
            </w:r>
          </w:p>
        </w:tc>
        <w:tc>
          <w:tcPr>
            <w:tcW w:w="1258" w:type="dxa"/>
            <w:tcBorders>
              <w:top w:val="single" w:sz="4" w:space="0" w:color="auto"/>
              <w:left w:val="single" w:sz="4" w:space="0" w:color="auto"/>
              <w:bottom w:val="nil"/>
              <w:right w:val="single" w:sz="4" w:space="0" w:color="auto"/>
            </w:tcBorders>
            <w:vAlign w:val="center"/>
          </w:tcPr>
          <w:p w14:paraId="58B7E10D"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2141975A"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6C581330"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09E4FAD2"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307710CC" w14:textId="77777777" w:rsidR="003A70B3" w:rsidRPr="008B02E0" w:rsidRDefault="003A70B3" w:rsidP="00AE5B32">
            <w:pPr>
              <w:keepNext/>
              <w:keepLines/>
              <w:jc w:val="center"/>
              <w:rPr>
                <w:rFonts w:ascii="Arial Narrow" w:hAnsi="Arial Narrow"/>
                <w:sz w:val="20"/>
                <w:szCs w:val="20"/>
              </w:rPr>
            </w:pPr>
          </w:p>
        </w:tc>
        <w:tc>
          <w:tcPr>
            <w:tcW w:w="1277" w:type="dxa"/>
            <w:tcBorders>
              <w:top w:val="single" w:sz="4" w:space="0" w:color="auto"/>
              <w:left w:val="single" w:sz="4" w:space="0" w:color="auto"/>
              <w:bottom w:val="nil"/>
              <w:right w:val="single" w:sz="4" w:space="0" w:color="auto"/>
            </w:tcBorders>
            <w:vAlign w:val="center"/>
          </w:tcPr>
          <w:p w14:paraId="62CC3906" w14:textId="77777777" w:rsidR="003A70B3" w:rsidRPr="008B02E0" w:rsidRDefault="003A70B3" w:rsidP="00AE5B32">
            <w:pPr>
              <w:keepNext/>
              <w:keepLines/>
              <w:jc w:val="center"/>
              <w:rPr>
                <w:rFonts w:ascii="Arial Narrow" w:hAnsi="Arial Narrow"/>
                <w:sz w:val="20"/>
                <w:szCs w:val="20"/>
              </w:rPr>
            </w:pPr>
          </w:p>
        </w:tc>
      </w:tr>
      <w:tr w:rsidR="003A70B3" w:rsidRPr="008B02E0" w14:paraId="5DA4BBC9" w14:textId="77777777" w:rsidTr="00A01135">
        <w:tc>
          <w:tcPr>
            <w:tcW w:w="1450" w:type="dxa"/>
            <w:tcBorders>
              <w:top w:val="nil"/>
              <w:left w:val="single" w:sz="4" w:space="0" w:color="auto"/>
              <w:bottom w:val="nil"/>
              <w:right w:val="single" w:sz="4" w:space="0" w:color="auto"/>
            </w:tcBorders>
          </w:tcPr>
          <w:p w14:paraId="5D04E3EE" w14:textId="77777777"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Nivolumab, initial</w:t>
            </w:r>
          </w:p>
        </w:tc>
        <w:tc>
          <w:tcPr>
            <w:tcW w:w="1258" w:type="dxa"/>
            <w:tcBorders>
              <w:top w:val="nil"/>
              <w:left w:val="single" w:sz="4" w:space="0" w:color="auto"/>
              <w:bottom w:val="nil"/>
              <w:right w:val="single" w:sz="4" w:space="0" w:color="auto"/>
            </w:tcBorders>
          </w:tcPr>
          <w:p w14:paraId="1FA90771" w14:textId="16D0068D" w:rsidR="003A70B3" w:rsidRPr="00F551A0" w:rsidRDefault="00E11347" w:rsidP="00AE5B32">
            <w:pPr>
              <w:keepNext/>
              <w:keepLines/>
              <w:jc w:val="center"/>
              <w:rPr>
                <w:rFonts w:ascii="Arial Narrow" w:hAnsi="Arial Narrow"/>
                <w:sz w:val="20"/>
                <w:szCs w:val="20"/>
                <w:highlight w:val="darkGray"/>
                <w:vertAlign w:val="superscript"/>
              </w:rPr>
            </w:pPr>
            <w:r w:rsidRPr="00E11347">
              <w:rPr>
                <w:rFonts w:ascii="Arial Narrow" w:hAnsi="Arial Narrow"/>
                <w:color w:val="000000"/>
                <w:spacing w:val="53"/>
                <w:sz w:val="20"/>
                <w:szCs w:val="20"/>
                <w:shd w:val="solid" w:color="000000" w:fill="000000"/>
                <w:fitText w:val="330" w:id="-628963326"/>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6"/>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328F35B2" w14:textId="57DFA938"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3B0BB79E" w14:textId="51AE1F56"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4"/>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4"/>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4B900CF4" w14:textId="4211340E"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3"/>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3"/>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704DBD56" w14:textId="1E3CF4B9"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2"/>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2"/>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77" w:type="dxa"/>
            <w:tcBorders>
              <w:top w:val="nil"/>
              <w:left w:val="single" w:sz="4" w:space="0" w:color="auto"/>
              <w:bottom w:val="nil"/>
              <w:right w:val="single" w:sz="4" w:space="0" w:color="auto"/>
            </w:tcBorders>
          </w:tcPr>
          <w:p w14:paraId="71657E21" w14:textId="30F68E03"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1"/>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1"/>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r>
      <w:tr w:rsidR="003A70B3" w:rsidRPr="008B02E0" w14:paraId="6100B2E4" w14:textId="77777777" w:rsidTr="00A01135">
        <w:tc>
          <w:tcPr>
            <w:tcW w:w="1450" w:type="dxa"/>
            <w:tcBorders>
              <w:top w:val="nil"/>
              <w:left w:val="single" w:sz="4" w:space="0" w:color="auto"/>
              <w:bottom w:val="nil"/>
              <w:right w:val="single" w:sz="4" w:space="0" w:color="auto"/>
            </w:tcBorders>
          </w:tcPr>
          <w:p w14:paraId="13C4FB58" w14:textId="77777777"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Ipilimumab, initial</w:t>
            </w:r>
          </w:p>
        </w:tc>
        <w:tc>
          <w:tcPr>
            <w:tcW w:w="1258" w:type="dxa"/>
            <w:tcBorders>
              <w:top w:val="nil"/>
              <w:left w:val="single" w:sz="4" w:space="0" w:color="auto"/>
              <w:bottom w:val="nil"/>
              <w:right w:val="single" w:sz="4" w:space="0" w:color="auto"/>
            </w:tcBorders>
          </w:tcPr>
          <w:p w14:paraId="06EB12F9" w14:textId="68E9DF3B"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0"/>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0"/>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0343902F" w14:textId="16B1A40C"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9"/>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9"/>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51FF179E" w14:textId="4FD62BE4"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8"/>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8"/>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4239D940" w14:textId="2337E857"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7"/>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7"/>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4050365B" w14:textId="677108A7"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6"/>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6"/>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77" w:type="dxa"/>
            <w:tcBorders>
              <w:top w:val="nil"/>
              <w:left w:val="single" w:sz="4" w:space="0" w:color="auto"/>
              <w:bottom w:val="nil"/>
              <w:right w:val="single" w:sz="4" w:space="0" w:color="auto"/>
            </w:tcBorders>
          </w:tcPr>
          <w:p w14:paraId="60420D2F" w14:textId="73DD4CB6"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5"/>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5"/>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r>
      <w:tr w:rsidR="003A70B3" w:rsidRPr="008B02E0" w14:paraId="2FD29993" w14:textId="77777777" w:rsidTr="00A01135">
        <w:tc>
          <w:tcPr>
            <w:tcW w:w="1450" w:type="dxa"/>
            <w:tcBorders>
              <w:top w:val="nil"/>
              <w:left w:val="single" w:sz="4" w:space="0" w:color="auto"/>
              <w:bottom w:val="nil"/>
              <w:right w:val="single" w:sz="4" w:space="0" w:color="auto"/>
            </w:tcBorders>
          </w:tcPr>
          <w:p w14:paraId="72DBC777" w14:textId="77777777"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 xml:space="preserve">Nivolumab, continuing </w:t>
            </w:r>
          </w:p>
          <w:p w14:paraId="74801CFC" w14:textId="0931E5BD"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w:t>
            </w:r>
            <w:r w:rsidR="00F261D6">
              <w:rPr>
                <w:rFonts w:ascii="Arial Narrow" w:hAnsi="Arial Narrow"/>
                <w:sz w:val="20"/>
                <w:szCs w:val="20"/>
              </w:rPr>
              <w:t>240 mg</w:t>
            </w:r>
            <w:r w:rsidRPr="008B02E0">
              <w:rPr>
                <w:rFonts w:ascii="Arial Narrow" w:hAnsi="Arial Narrow"/>
                <w:sz w:val="20"/>
                <w:szCs w:val="20"/>
              </w:rPr>
              <w:t xml:space="preserve"> Q2W)</w:t>
            </w:r>
          </w:p>
        </w:tc>
        <w:tc>
          <w:tcPr>
            <w:tcW w:w="1258" w:type="dxa"/>
            <w:tcBorders>
              <w:top w:val="nil"/>
              <w:left w:val="single" w:sz="4" w:space="0" w:color="auto"/>
              <w:bottom w:val="nil"/>
              <w:right w:val="single" w:sz="4" w:space="0" w:color="auto"/>
            </w:tcBorders>
          </w:tcPr>
          <w:p w14:paraId="71E4DA04" w14:textId="41FBC56B"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4"/>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4"/>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738CD000" w14:textId="264208AE"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3"/>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3"/>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7C147646" w14:textId="5701A059"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2"/>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2"/>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380A5963" w14:textId="5B4023A4"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8"/>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8"/>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0013EB7B" w14:textId="11CD05F0"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7"/>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7"/>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77" w:type="dxa"/>
            <w:tcBorders>
              <w:top w:val="nil"/>
              <w:left w:val="single" w:sz="4" w:space="0" w:color="auto"/>
              <w:bottom w:val="nil"/>
              <w:right w:val="single" w:sz="4" w:space="0" w:color="auto"/>
            </w:tcBorders>
          </w:tcPr>
          <w:p w14:paraId="173D9039" w14:textId="3CCD46BE"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6"/>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6"/>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r>
      <w:tr w:rsidR="003A70B3" w:rsidRPr="008B02E0" w14:paraId="35CB0F84" w14:textId="77777777" w:rsidTr="00A01135">
        <w:tc>
          <w:tcPr>
            <w:tcW w:w="1450" w:type="dxa"/>
            <w:tcBorders>
              <w:top w:val="nil"/>
              <w:left w:val="single" w:sz="4" w:space="0" w:color="auto"/>
              <w:bottom w:val="nil"/>
              <w:right w:val="single" w:sz="4" w:space="0" w:color="auto"/>
            </w:tcBorders>
          </w:tcPr>
          <w:p w14:paraId="3D5A6CBF" w14:textId="77777777"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 xml:space="preserve">Nivolumab, continuing </w:t>
            </w:r>
          </w:p>
          <w:p w14:paraId="510AA291" w14:textId="5A472E71"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w:t>
            </w:r>
            <w:r w:rsidR="00F261D6">
              <w:rPr>
                <w:rFonts w:ascii="Arial Narrow" w:hAnsi="Arial Narrow"/>
                <w:sz w:val="20"/>
                <w:szCs w:val="20"/>
              </w:rPr>
              <w:t>480 mg</w:t>
            </w:r>
            <w:r w:rsidRPr="008B02E0">
              <w:rPr>
                <w:rFonts w:ascii="Arial Narrow" w:hAnsi="Arial Narrow"/>
                <w:sz w:val="20"/>
                <w:szCs w:val="20"/>
              </w:rPr>
              <w:t xml:space="preserve"> Q2W)</w:t>
            </w:r>
          </w:p>
        </w:tc>
        <w:tc>
          <w:tcPr>
            <w:tcW w:w="1258" w:type="dxa"/>
            <w:tcBorders>
              <w:top w:val="nil"/>
              <w:left w:val="single" w:sz="4" w:space="0" w:color="auto"/>
              <w:bottom w:val="nil"/>
              <w:right w:val="single" w:sz="4" w:space="0" w:color="auto"/>
            </w:tcBorders>
          </w:tcPr>
          <w:p w14:paraId="200B83F2" w14:textId="2BA4339F"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74D1AAA3" w14:textId="6814B77F"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4"/>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4"/>
                <w14:textFill>
                  <w14:solidFill>
                    <w14:srgbClr w14:val="000000">
                      <w14:alpha w14:val="100000"/>
                    </w14:srgbClr>
                  </w14:solidFill>
                </w14:textFill>
              </w:rPr>
              <w:t>|</w:t>
            </w:r>
            <w:r w:rsidR="00F551A0"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tcPr>
          <w:p w14:paraId="2A8C133F" w14:textId="7FE57914" w:rsidR="003A70B3" w:rsidRPr="00F551A0" w:rsidRDefault="00E11347" w:rsidP="00AE5B32">
            <w:pPr>
              <w:keepNext/>
              <w:keepLines/>
              <w:jc w:val="center"/>
              <w:rPr>
                <w:rFonts w:ascii="Arial Narrow" w:hAnsi="Arial Narrow"/>
                <w:sz w:val="20"/>
                <w:szCs w:val="20"/>
                <w:highlight w:val="darkGray"/>
                <w:vertAlign w:val="superscript"/>
              </w:rPr>
            </w:pPr>
            <w:r w:rsidRPr="00E11347">
              <w:rPr>
                <w:rFonts w:ascii="Arial Narrow" w:hAnsi="Arial Narrow"/>
                <w:color w:val="000000"/>
                <w:spacing w:val="53"/>
                <w:sz w:val="20"/>
                <w:szCs w:val="20"/>
                <w:shd w:val="solid" w:color="000000" w:fill="000000"/>
                <w:fitText w:val="330" w:id="-628963323"/>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3"/>
                <w14:textFill>
                  <w14:solidFill>
                    <w14:srgbClr w14:val="000000">
                      <w14:alpha w14:val="100000"/>
                    </w14:srgbClr>
                  </w14:solidFill>
                </w14:textFill>
              </w:rPr>
              <w:t>|</w:t>
            </w:r>
            <w:r w:rsidR="00F551A0" w:rsidRPr="00F551A0">
              <w:rPr>
                <w:rFonts w:ascii="Arial Narrow" w:hAnsi="Arial Narrow"/>
                <w:sz w:val="20"/>
                <w:szCs w:val="20"/>
                <w:vertAlign w:val="superscript"/>
              </w:rPr>
              <w:t>2</w:t>
            </w:r>
          </w:p>
        </w:tc>
        <w:tc>
          <w:tcPr>
            <w:tcW w:w="1258" w:type="dxa"/>
            <w:tcBorders>
              <w:top w:val="nil"/>
              <w:left w:val="single" w:sz="4" w:space="0" w:color="auto"/>
              <w:bottom w:val="nil"/>
              <w:right w:val="single" w:sz="4" w:space="0" w:color="auto"/>
            </w:tcBorders>
          </w:tcPr>
          <w:p w14:paraId="5ACB1E3E" w14:textId="09CCFA2F"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2"/>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2"/>
                <w14:textFill>
                  <w14:solidFill>
                    <w14:srgbClr w14:val="000000">
                      <w14:alpha w14:val="100000"/>
                    </w14:srgbClr>
                  </w14:solidFill>
                </w14:textFill>
              </w:rPr>
              <w:t>|</w:t>
            </w:r>
            <w:r w:rsidR="00F551A0" w:rsidRPr="00F551A0">
              <w:rPr>
                <w:rFonts w:ascii="Arial Narrow" w:hAnsi="Arial Narrow"/>
                <w:sz w:val="20"/>
                <w:szCs w:val="20"/>
                <w:vertAlign w:val="superscript"/>
              </w:rPr>
              <w:t>2</w:t>
            </w:r>
          </w:p>
        </w:tc>
        <w:tc>
          <w:tcPr>
            <w:tcW w:w="1258" w:type="dxa"/>
            <w:tcBorders>
              <w:top w:val="nil"/>
              <w:left w:val="single" w:sz="4" w:space="0" w:color="auto"/>
              <w:bottom w:val="nil"/>
              <w:right w:val="single" w:sz="4" w:space="0" w:color="auto"/>
            </w:tcBorders>
          </w:tcPr>
          <w:p w14:paraId="3D541FDE" w14:textId="612F623F"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1"/>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1"/>
                <w14:textFill>
                  <w14:solidFill>
                    <w14:srgbClr w14:val="000000">
                      <w14:alpha w14:val="100000"/>
                    </w14:srgbClr>
                  </w14:solidFill>
                </w14:textFill>
              </w:rPr>
              <w:t>|</w:t>
            </w:r>
            <w:r w:rsidR="00F551A0" w:rsidRPr="00F551A0">
              <w:rPr>
                <w:rFonts w:ascii="Arial Narrow" w:hAnsi="Arial Narrow"/>
                <w:sz w:val="20"/>
                <w:szCs w:val="20"/>
                <w:vertAlign w:val="superscript"/>
              </w:rPr>
              <w:t>2</w:t>
            </w:r>
          </w:p>
        </w:tc>
        <w:tc>
          <w:tcPr>
            <w:tcW w:w="1277" w:type="dxa"/>
            <w:tcBorders>
              <w:top w:val="nil"/>
              <w:left w:val="single" w:sz="4" w:space="0" w:color="auto"/>
              <w:bottom w:val="nil"/>
              <w:right w:val="single" w:sz="4" w:space="0" w:color="auto"/>
            </w:tcBorders>
          </w:tcPr>
          <w:p w14:paraId="5F575E57" w14:textId="35E40149"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0"/>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0"/>
                <w14:textFill>
                  <w14:solidFill>
                    <w14:srgbClr w14:val="000000">
                      <w14:alpha w14:val="100000"/>
                    </w14:srgbClr>
                  </w14:solidFill>
                </w14:textFill>
              </w:rPr>
              <w:t>|</w:t>
            </w:r>
            <w:r w:rsidR="00FB2569" w:rsidRPr="00F551A0">
              <w:rPr>
                <w:rFonts w:ascii="Arial Narrow" w:hAnsi="Arial Narrow"/>
                <w:sz w:val="20"/>
                <w:szCs w:val="20"/>
                <w:vertAlign w:val="superscript"/>
              </w:rPr>
              <w:t>2</w:t>
            </w:r>
          </w:p>
        </w:tc>
      </w:tr>
      <w:tr w:rsidR="00357BA6" w:rsidRPr="008B02E0" w14:paraId="4D0104A2" w14:textId="77777777" w:rsidTr="00A01135">
        <w:tc>
          <w:tcPr>
            <w:tcW w:w="1450" w:type="dxa"/>
            <w:tcBorders>
              <w:top w:val="nil"/>
              <w:left w:val="single" w:sz="4" w:space="0" w:color="auto"/>
              <w:bottom w:val="single" w:sz="4" w:space="0" w:color="auto"/>
              <w:right w:val="single" w:sz="4" w:space="0" w:color="auto"/>
            </w:tcBorders>
            <w:hideMark/>
          </w:tcPr>
          <w:p w14:paraId="4A1F019C" w14:textId="2A703552" w:rsidR="00357BA6" w:rsidRPr="008B02E0" w:rsidRDefault="00357BA6" w:rsidP="00AE5B32">
            <w:pPr>
              <w:keepNext/>
              <w:keepLines/>
              <w:jc w:val="left"/>
              <w:rPr>
                <w:rFonts w:ascii="Arial Narrow" w:hAnsi="Arial Narrow"/>
                <w:b/>
                <w:bCs/>
                <w:sz w:val="20"/>
                <w:szCs w:val="20"/>
              </w:rPr>
            </w:pPr>
            <w:r w:rsidRPr="008B02E0">
              <w:rPr>
                <w:rFonts w:ascii="Arial Narrow" w:hAnsi="Arial Narrow"/>
                <w:b/>
                <w:bCs/>
                <w:sz w:val="20"/>
                <w:szCs w:val="20"/>
              </w:rPr>
              <w:t>NIVO</w:t>
            </w:r>
            <w:r w:rsidR="009E5502">
              <w:rPr>
                <w:rFonts w:ascii="Arial Narrow" w:hAnsi="Arial Narrow"/>
                <w:b/>
                <w:bCs/>
                <w:sz w:val="20"/>
                <w:szCs w:val="20"/>
              </w:rPr>
              <w:noBreakHyphen/>
            </w:r>
            <w:r w:rsidRPr="008B02E0">
              <w:rPr>
                <w:rFonts w:ascii="Arial Narrow" w:hAnsi="Arial Narrow"/>
                <w:b/>
                <w:bCs/>
                <w:sz w:val="20"/>
                <w:szCs w:val="20"/>
              </w:rPr>
              <w:t>IPI, net cost to PBS/RPBS</w:t>
            </w:r>
          </w:p>
        </w:tc>
        <w:tc>
          <w:tcPr>
            <w:tcW w:w="1258" w:type="dxa"/>
            <w:tcBorders>
              <w:top w:val="nil"/>
              <w:left w:val="single" w:sz="4" w:space="0" w:color="auto"/>
              <w:bottom w:val="single" w:sz="4" w:space="0" w:color="auto"/>
              <w:right w:val="single" w:sz="4" w:space="0" w:color="auto"/>
            </w:tcBorders>
            <w:vAlign w:val="center"/>
          </w:tcPr>
          <w:p w14:paraId="228DA287" w14:textId="17943BDE"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9"/>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9"/>
                <w14:textFill>
                  <w14:solidFill>
                    <w14:srgbClr w14:val="000000">
                      <w14:alpha w14:val="100000"/>
                    </w14:srgbClr>
                  </w14:solidFill>
                </w14:textFill>
              </w:rPr>
              <w:t>|</w:t>
            </w:r>
            <w:r w:rsidR="00140514">
              <w:rPr>
                <w:rFonts w:ascii="Arial Narrow" w:hAnsi="Arial Narrow"/>
                <w:iCs/>
                <w:sz w:val="20"/>
                <w:szCs w:val="20"/>
                <w:vertAlign w:val="superscript"/>
              </w:rPr>
              <w:t>3</w:t>
            </w:r>
          </w:p>
        </w:tc>
        <w:tc>
          <w:tcPr>
            <w:tcW w:w="1258" w:type="dxa"/>
            <w:tcBorders>
              <w:top w:val="nil"/>
              <w:left w:val="single" w:sz="4" w:space="0" w:color="auto"/>
              <w:bottom w:val="single" w:sz="4" w:space="0" w:color="auto"/>
              <w:right w:val="single" w:sz="4" w:space="0" w:color="auto"/>
            </w:tcBorders>
            <w:vAlign w:val="center"/>
          </w:tcPr>
          <w:p w14:paraId="2EA0DB41" w14:textId="5672ED65"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8"/>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8"/>
                <w14:textFill>
                  <w14:solidFill>
                    <w14:srgbClr w14:val="000000">
                      <w14:alpha w14:val="100000"/>
                    </w14:srgbClr>
                  </w14:solidFill>
                </w14:textFill>
              </w:rPr>
              <w:t>|</w:t>
            </w:r>
            <w:r w:rsidR="00140514">
              <w:rPr>
                <w:rFonts w:ascii="Arial Narrow" w:hAnsi="Arial Narrow"/>
                <w:iCs/>
                <w:sz w:val="20"/>
                <w:szCs w:val="20"/>
                <w:vertAlign w:val="superscript"/>
              </w:rPr>
              <w:t>4</w:t>
            </w:r>
          </w:p>
        </w:tc>
        <w:tc>
          <w:tcPr>
            <w:tcW w:w="1258" w:type="dxa"/>
            <w:tcBorders>
              <w:top w:val="nil"/>
              <w:left w:val="single" w:sz="4" w:space="0" w:color="auto"/>
              <w:bottom w:val="single" w:sz="4" w:space="0" w:color="auto"/>
              <w:right w:val="single" w:sz="4" w:space="0" w:color="auto"/>
            </w:tcBorders>
            <w:vAlign w:val="center"/>
          </w:tcPr>
          <w:p w14:paraId="6C0807A8" w14:textId="460294B5"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7"/>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7"/>
                <w14:textFill>
                  <w14:solidFill>
                    <w14:srgbClr w14:val="000000">
                      <w14:alpha w14:val="100000"/>
                    </w14:srgbClr>
                  </w14:solidFill>
                </w14:textFill>
              </w:rPr>
              <w:t>|</w:t>
            </w:r>
            <w:r w:rsidR="00140514">
              <w:rPr>
                <w:rFonts w:ascii="Arial Narrow" w:hAnsi="Arial Narrow"/>
                <w:iCs/>
                <w:sz w:val="20"/>
                <w:szCs w:val="20"/>
                <w:vertAlign w:val="superscript"/>
              </w:rPr>
              <w:t>4</w:t>
            </w:r>
          </w:p>
        </w:tc>
        <w:tc>
          <w:tcPr>
            <w:tcW w:w="1258" w:type="dxa"/>
            <w:tcBorders>
              <w:top w:val="nil"/>
              <w:left w:val="single" w:sz="4" w:space="0" w:color="auto"/>
              <w:bottom w:val="single" w:sz="4" w:space="0" w:color="auto"/>
              <w:right w:val="single" w:sz="4" w:space="0" w:color="auto"/>
            </w:tcBorders>
            <w:vAlign w:val="center"/>
          </w:tcPr>
          <w:p w14:paraId="0B1A96F8" w14:textId="58654EB0"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6"/>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6"/>
                <w14:textFill>
                  <w14:solidFill>
                    <w14:srgbClr w14:val="000000">
                      <w14:alpha w14:val="100000"/>
                    </w14:srgbClr>
                  </w14:solidFill>
                </w14:textFill>
              </w:rPr>
              <w:t>|</w:t>
            </w:r>
            <w:r w:rsidR="00140514">
              <w:rPr>
                <w:rFonts w:ascii="Arial Narrow" w:hAnsi="Arial Narrow"/>
                <w:iCs/>
                <w:sz w:val="20"/>
                <w:szCs w:val="20"/>
                <w:vertAlign w:val="superscript"/>
              </w:rPr>
              <w:t>5</w:t>
            </w:r>
          </w:p>
        </w:tc>
        <w:tc>
          <w:tcPr>
            <w:tcW w:w="1258" w:type="dxa"/>
            <w:tcBorders>
              <w:top w:val="nil"/>
              <w:left w:val="single" w:sz="4" w:space="0" w:color="auto"/>
              <w:bottom w:val="single" w:sz="4" w:space="0" w:color="auto"/>
              <w:right w:val="single" w:sz="4" w:space="0" w:color="auto"/>
            </w:tcBorders>
            <w:vAlign w:val="center"/>
          </w:tcPr>
          <w:p w14:paraId="161E60F8" w14:textId="1A7D27FD"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5"/>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5"/>
                <w14:textFill>
                  <w14:solidFill>
                    <w14:srgbClr w14:val="000000">
                      <w14:alpha w14:val="100000"/>
                    </w14:srgbClr>
                  </w14:solidFill>
                </w14:textFill>
              </w:rPr>
              <w:t>|</w:t>
            </w:r>
            <w:r w:rsidR="00140514">
              <w:rPr>
                <w:rFonts w:ascii="Arial Narrow" w:hAnsi="Arial Narrow"/>
                <w:iCs/>
                <w:sz w:val="20"/>
                <w:szCs w:val="20"/>
                <w:vertAlign w:val="superscript"/>
              </w:rPr>
              <w:t>5</w:t>
            </w:r>
          </w:p>
        </w:tc>
        <w:tc>
          <w:tcPr>
            <w:tcW w:w="1277" w:type="dxa"/>
            <w:tcBorders>
              <w:top w:val="nil"/>
              <w:left w:val="single" w:sz="4" w:space="0" w:color="auto"/>
              <w:bottom w:val="single" w:sz="4" w:space="0" w:color="auto"/>
              <w:right w:val="single" w:sz="4" w:space="0" w:color="auto"/>
            </w:tcBorders>
            <w:vAlign w:val="center"/>
          </w:tcPr>
          <w:p w14:paraId="267AB867" w14:textId="206146C2" w:rsidR="00357BA6" w:rsidRPr="00140514" w:rsidRDefault="00357BA6" w:rsidP="00AE5B32">
            <w:pPr>
              <w:keepNext/>
              <w:keepLines/>
              <w:jc w:val="center"/>
              <w:rPr>
                <w:rFonts w:ascii="Arial Narrow" w:hAnsi="Arial Narrow"/>
                <w:iCs/>
                <w:sz w:val="20"/>
                <w:szCs w:val="20"/>
                <w:vertAlign w:val="superscript"/>
              </w:rPr>
            </w:pPr>
            <w:r w:rsidRPr="00357BA6">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4"/>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4"/>
                <w14:textFill>
                  <w14:solidFill>
                    <w14:srgbClr w14:val="000000">
                      <w14:alpha w14:val="100000"/>
                    </w14:srgbClr>
                  </w14:solidFill>
                </w14:textFill>
              </w:rPr>
              <w:t>|</w:t>
            </w:r>
            <w:r w:rsidR="00140514">
              <w:rPr>
                <w:rFonts w:ascii="Arial Narrow" w:hAnsi="Arial Narrow"/>
                <w:iCs/>
                <w:sz w:val="20"/>
                <w:szCs w:val="20"/>
                <w:vertAlign w:val="superscript"/>
              </w:rPr>
              <w:t>6</w:t>
            </w:r>
          </w:p>
        </w:tc>
      </w:tr>
      <w:tr w:rsidR="003A70B3" w:rsidRPr="008B02E0" w14:paraId="2E716176" w14:textId="77777777" w:rsidTr="00D17F3A">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3B1BA40D" w14:textId="3488E8E1" w:rsidR="003A70B3" w:rsidRPr="008B02E0" w:rsidRDefault="003A70B3" w:rsidP="00AE5B32">
            <w:pPr>
              <w:keepNext/>
              <w:keepLines/>
              <w:jc w:val="left"/>
              <w:rPr>
                <w:rFonts w:ascii="Arial Narrow" w:hAnsi="Arial Narrow"/>
                <w:sz w:val="20"/>
                <w:szCs w:val="20"/>
              </w:rPr>
            </w:pPr>
            <w:r w:rsidRPr="008B02E0">
              <w:rPr>
                <w:rFonts w:ascii="Arial Narrow" w:hAnsi="Arial Narrow"/>
                <w:b/>
                <w:bCs/>
                <w:sz w:val="20"/>
                <w:szCs w:val="20"/>
              </w:rPr>
              <w:t xml:space="preserve">Estimation of changes in use and financial impact of </w:t>
            </w:r>
            <w:r w:rsidR="00D527C2">
              <w:rPr>
                <w:rFonts w:ascii="Arial Narrow" w:hAnsi="Arial Narrow"/>
                <w:b/>
                <w:bCs/>
                <w:sz w:val="20"/>
                <w:szCs w:val="20"/>
              </w:rPr>
              <w:t>affected medicines</w:t>
            </w:r>
          </w:p>
        </w:tc>
      </w:tr>
      <w:tr w:rsidR="003A70B3" w:rsidRPr="008B02E0" w14:paraId="733CC48F" w14:textId="77777777" w:rsidTr="00A01135">
        <w:tc>
          <w:tcPr>
            <w:tcW w:w="1450" w:type="dxa"/>
            <w:tcBorders>
              <w:top w:val="single" w:sz="4" w:space="0" w:color="auto"/>
              <w:left w:val="single" w:sz="4" w:space="0" w:color="auto"/>
              <w:bottom w:val="nil"/>
              <w:right w:val="single" w:sz="4" w:space="0" w:color="auto"/>
            </w:tcBorders>
            <w:hideMark/>
          </w:tcPr>
          <w:p w14:paraId="4EB4C46F" w14:textId="70011131" w:rsidR="003A70B3" w:rsidRPr="008B02E0" w:rsidRDefault="00D527C2" w:rsidP="00AE5B32">
            <w:pPr>
              <w:keepNext/>
              <w:keepLines/>
              <w:jc w:val="left"/>
              <w:rPr>
                <w:rFonts w:ascii="Arial Narrow" w:hAnsi="Arial Narrow"/>
                <w:b/>
                <w:bCs/>
                <w:sz w:val="20"/>
                <w:szCs w:val="20"/>
              </w:rPr>
            </w:pPr>
            <w:r>
              <w:rPr>
                <w:rFonts w:ascii="Arial Narrow" w:hAnsi="Arial Narrow"/>
                <w:b/>
                <w:bCs/>
                <w:sz w:val="20"/>
                <w:szCs w:val="20"/>
              </w:rPr>
              <w:t>S</w:t>
            </w:r>
            <w:r w:rsidR="003A70B3" w:rsidRPr="008B02E0">
              <w:rPr>
                <w:rFonts w:ascii="Arial Narrow" w:hAnsi="Arial Narrow"/>
                <w:b/>
                <w:bCs/>
                <w:sz w:val="20"/>
                <w:szCs w:val="20"/>
              </w:rPr>
              <w:t>cripts</w:t>
            </w:r>
          </w:p>
        </w:tc>
        <w:tc>
          <w:tcPr>
            <w:tcW w:w="1258" w:type="dxa"/>
            <w:tcBorders>
              <w:top w:val="single" w:sz="4" w:space="0" w:color="auto"/>
              <w:left w:val="single" w:sz="4" w:space="0" w:color="auto"/>
              <w:bottom w:val="nil"/>
              <w:right w:val="single" w:sz="4" w:space="0" w:color="auto"/>
            </w:tcBorders>
            <w:vAlign w:val="center"/>
          </w:tcPr>
          <w:p w14:paraId="07E0A4A1"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501860D8"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52482CB0"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35E73D32" w14:textId="77777777" w:rsidR="003A70B3" w:rsidRPr="008B02E0" w:rsidRDefault="003A70B3" w:rsidP="00AE5B32">
            <w:pPr>
              <w:keepNext/>
              <w:keepLines/>
              <w:jc w:val="center"/>
              <w:rPr>
                <w:rFonts w:ascii="Arial Narrow" w:hAnsi="Arial Narrow"/>
                <w:sz w:val="20"/>
                <w:szCs w:val="20"/>
              </w:rPr>
            </w:pPr>
          </w:p>
        </w:tc>
        <w:tc>
          <w:tcPr>
            <w:tcW w:w="1258" w:type="dxa"/>
            <w:tcBorders>
              <w:top w:val="single" w:sz="4" w:space="0" w:color="auto"/>
              <w:left w:val="single" w:sz="4" w:space="0" w:color="auto"/>
              <w:bottom w:val="nil"/>
              <w:right w:val="single" w:sz="4" w:space="0" w:color="auto"/>
            </w:tcBorders>
            <w:vAlign w:val="center"/>
          </w:tcPr>
          <w:p w14:paraId="0323782A" w14:textId="77777777" w:rsidR="003A70B3" w:rsidRPr="008B02E0" w:rsidRDefault="003A70B3" w:rsidP="00AE5B32">
            <w:pPr>
              <w:keepNext/>
              <w:keepLines/>
              <w:jc w:val="center"/>
              <w:rPr>
                <w:rFonts w:ascii="Arial Narrow" w:hAnsi="Arial Narrow"/>
                <w:sz w:val="20"/>
                <w:szCs w:val="20"/>
              </w:rPr>
            </w:pPr>
          </w:p>
        </w:tc>
        <w:tc>
          <w:tcPr>
            <w:tcW w:w="1277" w:type="dxa"/>
            <w:tcBorders>
              <w:top w:val="single" w:sz="4" w:space="0" w:color="auto"/>
              <w:left w:val="single" w:sz="4" w:space="0" w:color="auto"/>
              <w:bottom w:val="nil"/>
              <w:right w:val="single" w:sz="4" w:space="0" w:color="auto"/>
            </w:tcBorders>
            <w:vAlign w:val="center"/>
          </w:tcPr>
          <w:p w14:paraId="02C5A44D" w14:textId="77777777" w:rsidR="003A70B3" w:rsidRPr="008B02E0" w:rsidRDefault="003A70B3" w:rsidP="00AE5B32">
            <w:pPr>
              <w:keepNext/>
              <w:keepLines/>
              <w:jc w:val="center"/>
              <w:rPr>
                <w:rFonts w:ascii="Arial Narrow" w:hAnsi="Arial Narrow"/>
                <w:sz w:val="20"/>
                <w:szCs w:val="20"/>
              </w:rPr>
            </w:pPr>
          </w:p>
        </w:tc>
      </w:tr>
      <w:tr w:rsidR="003A70B3" w:rsidRPr="008B02E0" w14:paraId="2B16A424" w14:textId="77777777" w:rsidTr="00A01135">
        <w:tc>
          <w:tcPr>
            <w:tcW w:w="1450" w:type="dxa"/>
            <w:tcBorders>
              <w:top w:val="nil"/>
              <w:left w:val="single" w:sz="4" w:space="0" w:color="auto"/>
              <w:bottom w:val="nil"/>
              <w:right w:val="single" w:sz="4" w:space="0" w:color="auto"/>
            </w:tcBorders>
            <w:hideMark/>
          </w:tcPr>
          <w:p w14:paraId="7D4DA7B0" w14:textId="77777777" w:rsidR="003A70B3" w:rsidRPr="008B02E0" w:rsidRDefault="003A70B3" w:rsidP="00AE5B32">
            <w:pPr>
              <w:keepNext/>
              <w:keepLines/>
              <w:ind w:left="107"/>
              <w:jc w:val="left"/>
              <w:rPr>
                <w:rFonts w:ascii="Arial Narrow" w:hAnsi="Arial Narrow"/>
                <w:sz w:val="20"/>
                <w:szCs w:val="20"/>
              </w:rPr>
            </w:pPr>
            <w:r w:rsidRPr="008B02E0">
              <w:rPr>
                <w:rFonts w:ascii="Arial Narrow" w:hAnsi="Arial Narrow"/>
                <w:sz w:val="20"/>
                <w:szCs w:val="20"/>
              </w:rPr>
              <w:t>Pembrolizumab</w:t>
            </w:r>
          </w:p>
        </w:tc>
        <w:tc>
          <w:tcPr>
            <w:tcW w:w="1258" w:type="dxa"/>
            <w:tcBorders>
              <w:top w:val="nil"/>
              <w:left w:val="single" w:sz="4" w:space="0" w:color="auto"/>
              <w:bottom w:val="nil"/>
              <w:right w:val="single" w:sz="4" w:space="0" w:color="auto"/>
            </w:tcBorders>
            <w:vAlign w:val="center"/>
          </w:tcPr>
          <w:p w14:paraId="27270C57" w14:textId="373A8B7F"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48"/>
                <w:sz w:val="20"/>
                <w:szCs w:val="20"/>
                <w:shd w:val="solid" w:color="000000" w:fill="000000"/>
                <w:fitText w:val="315" w:id="-628963313"/>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15" w:id="-628963313"/>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vAlign w:val="center"/>
          </w:tcPr>
          <w:p w14:paraId="201133C2" w14:textId="226284AE"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48"/>
                <w:sz w:val="20"/>
                <w:szCs w:val="20"/>
                <w:shd w:val="solid" w:color="000000" w:fill="000000"/>
                <w:fitText w:val="315" w:id="-62896331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15" w:id="-628963312"/>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vAlign w:val="center"/>
          </w:tcPr>
          <w:p w14:paraId="4EFB5E43" w14:textId="6817693F"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48"/>
                <w:sz w:val="20"/>
                <w:szCs w:val="20"/>
                <w:shd w:val="solid" w:color="000000" w:fill="000000"/>
                <w:fitText w:val="315" w:id="-628963328"/>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15" w:id="-628963328"/>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nil"/>
              <w:left w:val="single" w:sz="4" w:space="0" w:color="auto"/>
              <w:bottom w:val="nil"/>
              <w:right w:val="single" w:sz="4" w:space="0" w:color="auto"/>
            </w:tcBorders>
            <w:vAlign w:val="center"/>
          </w:tcPr>
          <w:p w14:paraId="1C5C0071" w14:textId="62125340"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48"/>
                <w:sz w:val="20"/>
                <w:szCs w:val="20"/>
                <w:shd w:val="solid" w:color="000000" w:fill="000000"/>
                <w:fitText w:val="315" w:id="-62896332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15" w:id="-628963327"/>
                <w14:textFill>
                  <w14:solidFill>
                    <w14:srgbClr w14:val="000000">
                      <w14:alpha w14:val="100000"/>
                    </w14:srgbClr>
                  </w14:solidFill>
                </w14:textFill>
              </w:rPr>
              <w:t>|</w:t>
            </w:r>
            <w:r w:rsidR="008867D8" w:rsidRPr="00F551A0">
              <w:rPr>
                <w:rFonts w:ascii="Arial Narrow" w:hAnsi="Arial Narrow"/>
                <w:sz w:val="20"/>
                <w:szCs w:val="20"/>
                <w:vertAlign w:val="superscript"/>
              </w:rPr>
              <w:t>2</w:t>
            </w:r>
          </w:p>
        </w:tc>
        <w:tc>
          <w:tcPr>
            <w:tcW w:w="1258" w:type="dxa"/>
            <w:tcBorders>
              <w:top w:val="nil"/>
              <w:left w:val="single" w:sz="4" w:space="0" w:color="auto"/>
              <w:bottom w:val="nil"/>
              <w:right w:val="single" w:sz="4" w:space="0" w:color="auto"/>
            </w:tcBorders>
            <w:vAlign w:val="center"/>
          </w:tcPr>
          <w:p w14:paraId="1089A933" w14:textId="16A6A781"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48"/>
                <w:sz w:val="20"/>
                <w:szCs w:val="20"/>
                <w:shd w:val="solid" w:color="000000" w:fill="000000"/>
                <w:fitText w:val="315" w:id="-628963326"/>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15" w:id="-628963326"/>
                <w14:textFill>
                  <w14:solidFill>
                    <w14:srgbClr w14:val="000000">
                      <w14:alpha w14:val="100000"/>
                    </w14:srgbClr>
                  </w14:solidFill>
                </w14:textFill>
              </w:rPr>
              <w:t>|</w:t>
            </w:r>
            <w:r w:rsidR="008867D8" w:rsidRPr="00F551A0">
              <w:rPr>
                <w:rFonts w:ascii="Arial Narrow" w:hAnsi="Arial Narrow"/>
                <w:sz w:val="20"/>
                <w:szCs w:val="20"/>
                <w:vertAlign w:val="superscript"/>
              </w:rPr>
              <w:t>2</w:t>
            </w:r>
          </w:p>
        </w:tc>
        <w:tc>
          <w:tcPr>
            <w:tcW w:w="1277" w:type="dxa"/>
            <w:tcBorders>
              <w:top w:val="nil"/>
              <w:left w:val="single" w:sz="4" w:space="0" w:color="auto"/>
              <w:bottom w:val="nil"/>
              <w:right w:val="single" w:sz="4" w:space="0" w:color="auto"/>
            </w:tcBorders>
            <w:vAlign w:val="center"/>
          </w:tcPr>
          <w:p w14:paraId="0C2CBB35" w14:textId="0D82F168" w:rsidR="003A70B3" w:rsidRPr="00F551A0" w:rsidRDefault="009E5502" w:rsidP="00AE5B32">
            <w:pPr>
              <w:keepNext/>
              <w:keepLines/>
              <w:jc w:val="center"/>
              <w:rPr>
                <w:rFonts w:ascii="Arial Narrow" w:hAnsi="Arial Narrow"/>
                <w:sz w:val="20"/>
                <w:szCs w:val="20"/>
                <w:highlight w:val="darkGray"/>
              </w:rPr>
            </w:pPr>
            <w:r w:rsidRPr="00FB2569">
              <w:rPr>
                <w:rFonts w:ascii="Arial Narrow" w:hAnsi="Arial Narrow"/>
                <w:sz w:val="20"/>
                <w:szCs w:val="20"/>
              </w:rPr>
              <w:noBreakHyphen/>
            </w:r>
            <w:r w:rsidR="00E11347"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8867D8" w:rsidRPr="00F551A0">
              <w:rPr>
                <w:rFonts w:ascii="Arial Narrow" w:hAnsi="Arial Narrow"/>
                <w:sz w:val="20"/>
                <w:szCs w:val="20"/>
                <w:vertAlign w:val="superscript"/>
              </w:rPr>
              <w:t>2</w:t>
            </w:r>
          </w:p>
        </w:tc>
      </w:tr>
      <w:tr w:rsidR="003A70B3" w:rsidRPr="008B02E0" w14:paraId="5AA574A5" w14:textId="77777777" w:rsidTr="00A01135">
        <w:tc>
          <w:tcPr>
            <w:tcW w:w="1450" w:type="dxa"/>
            <w:tcBorders>
              <w:top w:val="nil"/>
              <w:left w:val="single" w:sz="4" w:space="0" w:color="auto"/>
              <w:bottom w:val="nil"/>
              <w:right w:val="single" w:sz="4" w:space="0" w:color="auto"/>
            </w:tcBorders>
            <w:hideMark/>
          </w:tcPr>
          <w:p w14:paraId="1EA3C249" w14:textId="0E474144" w:rsidR="003A70B3" w:rsidRPr="008B02E0" w:rsidRDefault="00D527C2" w:rsidP="00AE5B32">
            <w:pPr>
              <w:keepNext/>
              <w:keepLines/>
              <w:jc w:val="left"/>
              <w:rPr>
                <w:rFonts w:ascii="Arial Narrow" w:hAnsi="Arial Narrow"/>
                <w:b/>
                <w:bCs/>
                <w:sz w:val="20"/>
                <w:szCs w:val="20"/>
              </w:rPr>
            </w:pPr>
            <w:r>
              <w:rPr>
                <w:rFonts w:ascii="Arial Narrow" w:hAnsi="Arial Narrow"/>
                <w:b/>
                <w:bCs/>
                <w:sz w:val="20"/>
                <w:szCs w:val="20"/>
              </w:rPr>
              <w:t>Net</w:t>
            </w:r>
            <w:r w:rsidR="003A70B3" w:rsidRPr="008B02E0">
              <w:rPr>
                <w:rFonts w:ascii="Arial Narrow" w:hAnsi="Arial Narrow"/>
                <w:b/>
                <w:bCs/>
                <w:sz w:val="20"/>
                <w:szCs w:val="20"/>
              </w:rPr>
              <w:t xml:space="preserve"> cost to PBS/RPBS</w:t>
            </w:r>
          </w:p>
        </w:tc>
        <w:tc>
          <w:tcPr>
            <w:tcW w:w="1258" w:type="dxa"/>
            <w:tcBorders>
              <w:top w:val="nil"/>
              <w:left w:val="single" w:sz="4" w:space="0" w:color="auto"/>
              <w:bottom w:val="nil"/>
              <w:right w:val="single" w:sz="4" w:space="0" w:color="auto"/>
            </w:tcBorders>
            <w:vAlign w:val="center"/>
          </w:tcPr>
          <w:p w14:paraId="0B612FC2" w14:textId="77777777" w:rsidR="003A70B3" w:rsidRPr="008B02E0" w:rsidRDefault="003A70B3" w:rsidP="00AE5B32">
            <w:pPr>
              <w:keepNext/>
              <w:keepLines/>
              <w:jc w:val="center"/>
              <w:rPr>
                <w:rFonts w:ascii="Arial Narrow" w:hAnsi="Arial Narrow"/>
                <w:sz w:val="20"/>
                <w:szCs w:val="20"/>
              </w:rPr>
            </w:pPr>
          </w:p>
        </w:tc>
        <w:tc>
          <w:tcPr>
            <w:tcW w:w="1258" w:type="dxa"/>
            <w:tcBorders>
              <w:top w:val="nil"/>
              <w:left w:val="single" w:sz="4" w:space="0" w:color="auto"/>
              <w:bottom w:val="nil"/>
              <w:right w:val="single" w:sz="4" w:space="0" w:color="auto"/>
            </w:tcBorders>
            <w:vAlign w:val="center"/>
          </w:tcPr>
          <w:p w14:paraId="2A71D2A9" w14:textId="77777777" w:rsidR="003A70B3" w:rsidRPr="008B02E0" w:rsidRDefault="003A70B3" w:rsidP="00AE5B32">
            <w:pPr>
              <w:keepNext/>
              <w:keepLines/>
              <w:jc w:val="center"/>
              <w:rPr>
                <w:rFonts w:ascii="Arial Narrow" w:hAnsi="Arial Narrow"/>
                <w:sz w:val="20"/>
                <w:szCs w:val="20"/>
              </w:rPr>
            </w:pPr>
          </w:p>
        </w:tc>
        <w:tc>
          <w:tcPr>
            <w:tcW w:w="1258" w:type="dxa"/>
            <w:tcBorders>
              <w:top w:val="nil"/>
              <w:left w:val="single" w:sz="4" w:space="0" w:color="auto"/>
              <w:bottom w:val="nil"/>
              <w:right w:val="single" w:sz="4" w:space="0" w:color="auto"/>
            </w:tcBorders>
            <w:vAlign w:val="center"/>
          </w:tcPr>
          <w:p w14:paraId="6BAB652C" w14:textId="77777777" w:rsidR="003A70B3" w:rsidRPr="008B02E0" w:rsidRDefault="003A70B3" w:rsidP="00AE5B32">
            <w:pPr>
              <w:keepNext/>
              <w:keepLines/>
              <w:jc w:val="center"/>
              <w:rPr>
                <w:rFonts w:ascii="Arial Narrow" w:hAnsi="Arial Narrow"/>
                <w:sz w:val="20"/>
                <w:szCs w:val="20"/>
              </w:rPr>
            </w:pPr>
          </w:p>
        </w:tc>
        <w:tc>
          <w:tcPr>
            <w:tcW w:w="1258" w:type="dxa"/>
            <w:tcBorders>
              <w:top w:val="nil"/>
              <w:left w:val="single" w:sz="4" w:space="0" w:color="auto"/>
              <w:bottom w:val="nil"/>
              <w:right w:val="single" w:sz="4" w:space="0" w:color="auto"/>
            </w:tcBorders>
            <w:vAlign w:val="center"/>
          </w:tcPr>
          <w:p w14:paraId="295549A3" w14:textId="77777777" w:rsidR="003A70B3" w:rsidRPr="008B02E0" w:rsidRDefault="003A70B3" w:rsidP="00AE5B32">
            <w:pPr>
              <w:keepNext/>
              <w:keepLines/>
              <w:jc w:val="center"/>
              <w:rPr>
                <w:rFonts w:ascii="Arial Narrow" w:hAnsi="Arial Narrow"/>
                <w:sz w:val="20"/>
                <w:szCs w:val="20"/>
              </w:rPr>
            </w:pPr>
          </w:p>
        </w:tc>
        <w:tc>
          <w:tcPr>
            <w:tcW w:w="1258" w:type="dxa"/>
            <w:tcBorders>
              <w:top w:val="nil"/>
              <w:left w:val="single" w:sz="4" w:space="0" w:color="auto"/>
              <w:bottom w:val="nil"/>
              <w:right w:val="single" w:sz="4" w:space="0" w:color="auto"/>
            </w:tcBorders>
            <w:vAlign w:val="center"/>
          </w:tcPr>
          <w:p w14:paraId="47F6C768" w14:textId="77777777" w:rsidR="003A70B3" w:rsidRPr="008B02E0" w:rsidRDefault="003A70B3" w:rsidP="00AE5B32">
            <w:pPr>
              <w:keepNext/>
              <w:keepLines/>
              <w:jc w:val="center"/>
              <w:rPr>
                <w:rFonts w:ascii="Arial Narrow" w:hAnsi="Arial Narrow"/>
                <w:sz w:val="20"/>
                <w:szCs w:val="20"/>
              </w:rPr>
            </w:pPr>
          </w:p>
        </w:tc>
        <w:tc>
          <w:tcPr>
            <w:tcW w:w="1277" w:type="dxa"/>
            <w:tcBorders>
              <w:top w:val="nil"/>
              <w:left w:val="single" w:sz="4" w:space="0" w:color="auto"/>
              <w:bottom w:val="nil"/>
              <w:right w:val="single" w:sz="4" w:space="0" w:color="auto"/>
            </w:tcBorders>
            <w:vAlign w:val="center"/>
          </w:tcPr>
          <w:p w14:paraId="614CCEC6" w14:textId="77777777" w:rsidR="003A70B3" w:rsidRPr="008B02E0" w:rsidRDefault="003A70B3" w:rsidP="00AE5B32">
            <w:pPr>
              <w:keepNext/>
              <w:keepLines/>
              <w:jc w:val="center"/>
              <w:rPr>
                <w:rFonts w:ascii="Arial Narrow" w:hAnsi="Arial Narrow"/>
                <w:sz w:val="20"/>
                <w:szCs w:val="20"/>
              </w:rPr>
            </w:pPr>
          </w:p>
        </w:tc>
      </w:tr>
      <w:tr w:rsidR="003A70B3" w:rsidRPr="008B02E0" w14:paraId="53BB13E7" w14:textId="77777777" w:rsidTr="00A01135">
        <w:tc>
          <w:tcPr>
            <w:tcW w:w="1450" w:type="dxa"/>
            <w:tcBorders>
              <w:top w:val="nil"/>
              <w:left w:val="single" w:sz="4" w:space="0" w:color="auto"/>
              <w:bottom w:val="nil"/>
              <w:right w:val="single" w:sz="4" w:space="0" w:color="auto"/>
            </w:tcBorders>
            <w:hideMark/>
          </w:tcPr>
          <w:p w14:paraId="1878BB4E" w14:textId="3CE2B3A4" w:rsidR="003A70B3" w:rsidRPr="008B02E0" w:rsidRDefault="003A70B3" w:rsidP="00AE5B32">
            <w:pPr>
              <w:keepNext/>
              <w:keepLines/>
              <w:ind w:left="112"/>
              <w:jc w:val="left"/>
              <w:rPr>
                <w:rFonts w:ascii="Arial Narrow" w:hAnsi="Arial Narrow"/>
                <w:sz w:val="20"/>
                <w:szCs w:val="20"/>
              </w:rPr>
            </w:pPr>
            <w:r w:rsidRPr="008B02E0">
              <w:rPr>
                <w:rFonts w:ascii="Arial Narrow" w:hAnsi="Arial Narrow"/>
                <w:sz w:val="20"/>
                <w:szCs w:val="20"/>
              </w:rPr>
              <w:t>Pembrolizumab, net cost to PBS/RPBS</w:t>
            </w:r>
            <w:r w:rsidR="007D3D9F">
              <w:rPr>
                <w:rFonts w:ascii="Arial Narrow" w:hAnsi="Arial Narrow"/>
                <w:sz w:val="20"/>
                <w:szCs w:val="20"/>
              </w:rPr>
              <w:t xml:space="preserve"> </w:t>
            </w:r>
          </w:p>
        </w:tc>
        <w:tc>
          <w:tcPr>
            <w:tcW w:w="1258" w:type="dxa"/>
            <w:tcBorders>
              <w:top w:val="nil"/>
              <w:left w:val="single" w:sz="4" w:space="0" w:color="auto"/>
              <w:bottom w:val="nil"/>
              <w:right w:val="single" w:sz="4" w:space="0" w:color="auto"/>
            </w:tcBorders>
          </w:tcPr>
          <w:p w14:paraId="6AB65F3F" w14:textId="6723AE08" w:rsidR="003A70B3" w:rsidRPr="00377B8F" w:rsidRDefault="009E5502" w:rsidP="00AE5B32">
            <w:pPr>
              <w:keepNext/>
              <w:keepLines/>
              <w:jc w:val="center"/>
              <w:rPr>
                <w:rFonts w:ascii="Arial Narrow" w:hAnsi="Arial Narrow"/>
                <w:iCs/>
                <w:color w:val="000000"/>
                <w:sz w:val="20"/>
                <w:szCs w:val="20"/>
                <w:vertAlign w:val="superscript"/>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24"/>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24"/>
                <w14:textFill>
                  <w14:solidFill>
                    <w14:srgbClr w14:val="000000">
                      <w14:alpha w14:val="100000"/>
                    </w14:srgbClr>
                  </w14:solidFill>
                </w14:textFill>
              </w:rPr>
              <w:t>|</w:t>
            </w:r>
            <w:r w:rsidR="00377B8F">
              <w:rPr>
                <w:rFonts w:ascii="Arial Narrow" w:hAnsi="Arial Narrow"/>
                <w:iCs/>
                <w:sz w:val="20"/>
                <w:szCs w:val="20"/>
                <w:vertAlign w:val="superscript"/>
              </w:rPr>
              <w:t>7</w:t>
            </w:r>
          </w:p>
        </w:tc>
        <w:tc>
          <w:tcPr>
            <w:tcW w:w="1258" w:type="dxa"/>
            <w:tcBorders>
              <w:top w:val="nil"/>
              <w:left w:val="single" w:sz="4" w:space="0" w:color="auto"/>
              <w:bottom w:val="nil"/>
              <w:right w:val="single" w:sz="4" w:space="0" w:color="auto"/>
            </w:tcBorders>
          </w:tcPr>
          <w:p w14:paraId="7170F1C3" w14:textId="3946BD60" w:rsidR="003A70B3" w:rsidRPr="008B02E0" w:rsidRDefault="009E5502" w:rsidP="00AE5B32">
            <w:pPr>
              <w:keepNext/>
              <w:keepLines/>
              <w:jc w:val="center"/>
              <w:rPr>
                <w:rFonts w:ascii="Arial Narrow" w:hAnsi="Arial Narrow"/>
                <w:iCs/>
                <w:color w:val="000000"/>
                <w:sz w:val="20"/>
                <w:szCs w:val="20"/>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23"/>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23"/>
                <w14:textFill>
                  <w14:solidFill>
                    <w14:srgbClr w14:val="000000">
                      <w14:alpha w14:val="100000"/>
                    </w14:srgbClr>
                  </w14:solidFill>
                </w14:textFill>
              </w:rPr>
              <w:t>|</w:t>
            </w:r>
            <w:r w:rsidR="00377B8F">
              <w:rPr>
                <w:rFonts w:ascii="Arial Narrow" w:hAnsi="Arial Narrow"/>
                <w:iCs/>
                <w:sz w:val="20"/>
                <w:szCs w:val="20"/>
                <w:vertAlign w:val="superscript"/>
              </w:rPr>
              <w:t>7</w:t>
            </w:r>
          </w:p>
        </w:tc>
        <w:tc>
          <w:tcPr>
            <w:tcW w:w="1258" w:type="dxa"/>
            <w:tcBorders>
              <w:top w:val="nil"/>
              <w:left w:val="single" w:sz="4" w:space="0" w:color="auto"/>
              <w:bottom w:val="nil"/>
              <w:right w:val="single" w:sz="4" w:space="0" w:color="auto"/>
            </w:tcBorders>
          </w:tcPr>
          <w:p w14:paraId="14F7CC0A" w14:textId="500AF22D" w:rsidR="003A70B3" w:rsidRPr="008B02E0" w:rsidRDefault="009E5502" w:rsidP="00AE5B32">
            <w:pPr>
              <w:keepNext/>
              <w:keepLines/>
              <w:jc w:val="center"/>
              <w:rPr>
                <w:rFonts w:ascii="Arial Narrow" w:hAnsi="Arial Narrow"/>
                <w:iCs/>
                <w:color w:val="000000"/>
                <w:sz w:val="20"/>
                <w:szCs w:val="20"/>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22"/>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22"/>
                <w14:textFill>
                  <w14:solidFill>
                    <w14:srgbClr w14:val="000000">
                      <w14:alpha w14:val="100000"/>
                    </w14:srgbClr>
                  </w14:solidFill>
                </w14:textFill>
              </w:rPr>
              <w:t>|</w:t>
            </w:r>
            <w:r w:rsidR="00377B8F">
              <w:rPr>
                <w:rFonts w:ascii="Arial Narrow" w:hAnsi="Arial Narrow"/>
                <w:iCs/>
                <w:sz w:val="20"/>
                <w:szCs w:val="20"/>
                <w:vertAlign w:val="superscript"/>
              </w:rPr>
              <w:t>7</w:t>
            </w:r>
          </w:p>
        </w:tc>
        <w:tc>
          <w:tcPr>
            <w:tcW w:w="1258" w:type="dxa"/>
            <w:tcBorders>
              <w:top w:val="nil"/>
              <w:left w:val="single" w:sz="4" w:space="0" w:color="auto"/>
              <w:bottom w:val="nil"/>
              <w:right w:val="single" w:sz="4" w:space="0" w:color="auto"/>
            </w:tcBorders>
          </w:tcPr>
          <w:p w14:paraId="015B5B67" w14:textId="2366CD00" w:rsidR="003A70B3" w:rsidRPr="008B02E0" w:rsidRDefault="009E5502" w:rsidP="00AE5B32">
            <w:pPr>
              <w:keepNext/>
              <w:keepLines/>
              <w:jc w:val="center"/>
              <w:rPr>
                <w:rFonts w:ascii="Arial Narrow" w:hAnsi="Arial Narrow"/>
                <w:iCs/>
                <w:color w:val="000000"/>
                <w:sz w:val="20"/>
                <w:szCs w:val="20"/>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21"/>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21"/>
                <w14:textFill>
                  <w14:solidFill>
                    <w14:srgbClr w14:val="000000">
                      <w14:alpha w14:val="100000"/>
                    </w14:srgbClr>
                  </w14:solidFill>
                </w14:textFill>
              </w:rPr>
              <w:t>|</w:t>
            </w:r>
            <w:r w:rsidR="00377B8F" w:rsidRPr="00377B8F">
              <w:rPr>
                <w:rFonts w:ascii="Arial Narrow" w:hAnsi="Arial Narrow"/>
                <w:iCs/>
                <w:sz w:val="20"/>
                <w:szCs w:val="20"/>
                <w:vertAlign w:val="superscript"/>
              </w:rPr>
              <w:t>8</w:t>
            </w:r>
          </w:p>
        </w:tc>
        <w:tc>
          <w:tcPr>
            <w:tcW w:w="1258" w:type="dxa"/>
            <w:tcBorders>
              <w:top w:val="nil"/>
              <w:left w:val="single" w:sz="4" w:space="0" w:color="auto"/>
              <w:bottom w:val="nil"/>
              <w:right w:val="single" w:sz="4" w:space="0" w:color="auto"/>
            </w:tcBorders>
          </w:tcPr>
          <w:p w14:paraId="28CE21A3" w14:textId="20D40C20" w:rsidR="003A70B3" w:rsidRPr="008B02E0" w:rsidRDefault="009E5502" w:rsidP="00AE5B32">
            <w:pPr>
              <w:keepNext/>
              <w:keepLines/>
              <w:jc w:val="center"/>
              <w:rPr>
                <w:rFonts w:ascii="Arial Narrow" w:hAnsi="Arial Narrow"/>
                <w:iCs/>
                <w:color w:val="000000"/>
                <w:sz w:val="20"/>
                <w:szCs w:val="20"/>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20"/>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20"/>
                <w14:textFill>
                  <w14:solidFill>
                    <w14:srgbClr w14:val="000000">
                      <w14:alpha w14:val="100000"/>
                    </w14:srgbClr>
                  </w14:solidFill>
                </w14:textFill>
              </w:rPr>
              <w:t>|</w:t>
            </w:r>
            <w:r w:rsidR="00377B8F" w:rsidRPr="00377B8F">
              <w:rPr>
                <w:rFonts w:ascii="Arial Narrow" w:hAnsi="Arial Narrow"/>
                <w:iCs/>
                <w:sz w:val="20"/>
                <w:szCs w:val="20"/>
                <w:vertAlign w:val="superscript"/>
              </w:rPr>
              <w:t>8</w:t>
            </w:r>
          </w:p>
        </w:tc>
        <w:tc>
          <w:tcPr>
            <w:tcW w:w="1277" w:type="dxa"/>
            <w:tcBorders>
              <w:top w:val="nil"/>
              <w:left w:val="single" w:sz="4" w:space="0" w:color="auto"/>
              <w:bottom w:val="nil"/>
              <w:right w:val="single" w:sz="4" w:space="0" w:color="auto"/>
            </w:tcBorders>
          </w:tcPr>
          <w:p w14:paraId="06ED2BEF" w14:textId="2594AE42" w:rsidR="003A70B3" w:rsidRPr="008B02E0" w:rsidRDefault="009E5502" w:rsidP="00AE5B32">
            <w:pPr>
              <w:keepNext/>
              <w:keepLines/>
              <w:jc w:val="center"/>
              <w:rPr>
                <w:rFonts w:ascii="Arial Narrow" w:hAnsi="Arial Narrow"/>
                <w:iCs/>
                <w:color w:val="000000"/>
                <w:sz w:val="20"/>
                <w:szCs w:val="20"/>
              </w:rPr>
            </w:pPr>
            <w:r>
              <w:rPr>
                <w:rFonts w:ascii="Arial Narrow" w:hAnsi="Arial Narrow"/>
                <w:iCs/>
                <w:sz w:val="20"/>
                <w:szCs w:val="20"/>
              </w:rPr>
              <w:noBreakHyphen/>
            </w:r>
            <w:r w:rsidR="003A70B3" w:rsidRPr="008B02E0">
              <w:rPr>
                <w:rFonts w:ascii="Arial Narrow" w:hAnsi="Arial Narrow"/>
                <w:iCs/>
                <w:sz w:val="20"/>
                <w:szCs w:val="20"/>
              </w:rPr>
              <w:t>$</w:t>
            </w:r>
            <w:r w:rsidR="00E11347" w:rsidRPr="00E11347">
              <w:rPr>
                <w:rFonts w:ascii="Arial Narrow" w:hAnsi="Arial Narrow"/>
                <w:iCs/>
                <w:color w:val="000000"/>
                <w:spacing w:val="53"/>
                <w:sz w:val="20"/>
                <w:szCs w:val="20"/>
                <w:shd w:val="solid" w:color="000000" w:fill="000000"/>
                <w:fitText w:val="330" w:id="-628963319"/>
                <w14:textFill>
                  <w14:solidFill>
                    <w14:srgbClr w14:val="000000">
                      <w14:alpha w14:val="100000"/>
                    </w14:srgbClr>
                  </w14:solidFill>
                </w14:textFill>
              </w:rPr>
              <w:t>|||</w:t>
            </w:r>
            <w:r w:rsidR="00E11347" w:rsidRPr="00E11347">
              <w:rPr>
                <w:rFonts w:ascii="Arial Narrow" w:hAnsi="Arial Narrow"/>
                <w:iCs/>
                <w:color w:val="000000"/>
                <w:spacing w:val="1"/>
                <w:sz w:val="20"/>
                <w:szCs w:val="20"/>
                <w:shd w:val="solid" w:color="000000" w:fill="000000"/>
                <w:fitText w:val="330" w:id="-628963319"/>
                <w14:textFill>
                  <w14:solidFill>
                    <w14:srgbClr w14:val="000000">
                      <w14:alpha w14:val="100000"/>
                    </w14:srgbClr>
                  </w14:solidFill>
                </w14:textFill>
              </w:rPr>
              <w:t>|</w:t>
            </w:r>
            <w:r w:rsidR="00377B8F" w:rsidRPr="00377B8F">
              <w:rPr>
                <w:rFonts w:ascii="Arial Narrow" w:hAnsi="Arial Narrow"/>
                <w:iCs/>
                <w:sz w:val="20"/>
                <w:szCs w:val="20"/>
                <w:vertAlign w:val="superscript"/>
              </w:rPr>
              <w:t>8</w:t>
            </w:r>
          </w:p>
        </w:tc>
      </w:tr>
      <w:tr w:rsidR="003A70B3" w:rsidRPr="008B02E0" w14:paraId="0EC01CD7" w14:textId="77777777" w:rsidTr="00D17F3A">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4AF75D38" w14:textId="77777777" w:rsidR="003A70B3" w:rsidRPr="008B02E0" w:rsidRDefault="003A70B3" w:rsidP="00AE5B32">
            <w:pPr>
              <w:keepNext/>
              <w:keepLines/>
              <w:jc w:val="left"/>
              <w:rPr>
                <w:rFonts w:ascii="Arial Narrow" w:hAnsi="Arial Narrow"/>
                <w:sz w:val="20"/>
                <w:szCs w:val="20"/>
              </w:rPr>
            </w:pPr>
            <w:r w:rsidRPr="008B02E0">
              <w:rPr>
                <w:rFonts w:ascii="Arial Narrow" w:hAnsi="Arial Narrow"/>
                <w:b/>
                <w:bCs/>
                <w:sz w:val="20"/>
                <w:szCs w:val="20"/>
              </w:rPr>
              <w:t>Estimated financial implications for the PBS/RPBS and the health budget</w:t>
            </w:r>
          </w:p>
        </w:tc>
      </w:tr>
      <w:tr w:rsidR="003A70B3" w:rsidRPr="008B02E0" w14:paraId="06D4C9AF" w14:textId="77777777" w:rsidTr="00A01135">
        <w:tc>
          <w:tcPr>
            <w:tcW w:w="1450" w:type="dxa"/>
            <w:tcBorders>
              <w:top w:val="single" w:sz="4" w:space="0" w:color="auto"/>
              <w:left w:val="single" w:sz="4" w:space="0" w:color="auto"/>
              <w:bottom w:val="nil"/>
              <w:right w:val="single" w:sz="4" w:space="0" w:color="auto"/>
            </w:tcBorders>
            <w:vAlign w:val="center"/>
            <w:hideMark/>
          </w:tcPr>
          <w:p w14:paraId="7B1F225E" w14:textId="77777777" w:rsidR="003A70B3" w:rsidRPr="008B02E0" w:rsidRDefault="003A70B3" w:rsidP="00AE5B32">
            <w:pPr>
              <w:keepNext/>
              <w:keepLines/>
              <w:jc w:val="left"/>
              <w:rPr>
                <w:rFonts w:ascii="Arial Narrow" w:hAnsi="Arial Narrow"/>
                <w:sz w:val="20"/>
                <w:szCs w:val="20"/>
              </w:rPr>
            </w:pPr>
            <w:r w:rsidRPr="008B02E0">
              <w:rPr>
                <w:rFonts w:ascii="Arial Narrow" w:hAnsi="Arial Narrow"/>
                <w:sz w:val="20"/>
                <w:szCs w:val="20"/>
              </w:rPr>
              <w:t>Net change in scripts</w:t>
            </w:r>
          </w:p>
        </w:tc>
        <w:tc>
          <w:tcPr>
            <w:tcW w:w="1258" w:type="dxa"/>
            <w:tcBorders>
              <w:top w:val="single" w:sz="4" w:space="0" w:color="auto"/>
              <w:left w:val="single" w:sz="4" w:space="0" w:color="auto"/>
              <w:bottom w:val="nil"/>
              <w:right w:val="single" w:sz="4" w:space="0" w:color="auto"/>
            </w:tcBorders>
            <w:vAlign w:val="center"/>
          </w:tcPr>
          <w:p w14:paraId="74766E2D" w14:textId="0FFDF54C"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8"/>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8"/>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single" w:sz="4" w:space="0" w:color="auto"/>
              <w:left w:val="single" w:sz="4" w:space="0" w:color="auto"/>
              <w:bottom w:val="nil"/>
              <w:right w:val="single" w:sz="4" w:space="0" w:color="auto"/>
            </w:tcBorders>
            <w:vAlign w:val="center"/>
          </w:tcPr>
          <w:p w14:paraId="7E6DA244" w14:textId="3A6351E3"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7"/>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7"/>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single" w:sz="4" w:space="0" w:color="auto"/>
              <w:left w:val="single" w:sz="4" w:space="0" w:color="auto"/>
              <w:bottom w:val="nil"/>
              <w:right w:val="single" w:sz="4" w:space="0" w:color="auto"/>
            </w:tcBorders>
            <w:vAlign w:val="center"/>
          </w:tcPr>
          <w:p w14:paraId="4EF6F686" w14:textId="56EDB9A7"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6"/>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6"/>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single" w:sz="4" w:space="0" w:color="auto"/>
              <w:left w:val="single" w:sz="4" w:space="0" w:color="auto"/>
              <w:bottom w:val="nil"/>
              <w:right w:val="single" w:sz="4" w:space="0" w:color="auto"/>
            </w:tcBorders>
            <w:vAlign w:val="center"/>
          </w:tcPr>
          <w:p w14:paraId="735C5B34" w14:textId="4725D5CE"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5"/>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5"/>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single" w:sz="4" w:space="0" w:color="auto"/>
              <w:left w:val="single" w:sz="4" w:space="0" w:color="auto"/>
              <w:bottom w:val="nil"/>
              <w:right w:val="single" w:sz="4" w:space="0" w:color="auto"/>
            </w:tcBorders>
            <w:vAlign w:val="center"/>
          </w:tcPr>
          <w:p w14:paraId="3923C2A4" w14:textId="214E3FE3" w:rsidR="003A70B3" w:rsidRPr="00F551A0"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4"/>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4"/>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77" w:type="dxa"/>
            <w:tcBorders>
              <w:top w:val="single" w:sz="4" w:space="0" w:color="auto"/>
              <w:left w:val="single" w:sz="4" w:space="0" w:color="auto"/>
              <w:bottom w:val="nil"/>
              <w:right w:val="single" w:sz="4" w:space="0" w:color="auto"/>
            </w:tcBorders>
            <w:vAlign w:val="center"/>
          </w:tcPr>
          <w:p w14:paraId="2BEEE505" w14:textId="07565590" w:rsidR="003A70B3" w:rsidRPr="008B02E0" w:rsidRDefault="00E11347" w:rsidP="00AE5B32">
            <w:pPr>
              <w:keepNext/>
              <w:keepLines/>
              <w:jc w:val="center"/>
              <w:rPr>
                <w:rFonts w:ascii="Arial Narrow" w:hAnsi="Arial Narrow"/>
                <w:sz w:val="20"/>
                <w:szCs w:val="20"/>
              </w:rPr>
            </w:pPr>
            <w:r w:rsidRPr="00E11347">
              <w:rPr>
                <w:rFonts w:ascii="Arial Narrow" w:hAnsi="Arial Narrow"/>
                <w:color w:val="000000"/>
                <w:spacing w:val="53"/>
                <w:sz w:val="20"/>
                <w:szCs w:val="20"/>
                <w:shd w:val="solid" w:color="000000" w:fill="000000"/>
                <w:fitText w:val="330" w:id="-628963313"/>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3"/>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r>
      <w:tr w:rsidR="003A70B3" w:rsidRPr="008B02E0" w14:paraId="042B2622" w14:textId="77777777" w:rsidTr="00A01135">
        <w:tc>
          <w:tcPr>
            <w:tcW w:w="1450" w:type="dxa"/>
            <w:tcBorders>
              <w:top w:val="single" w:sz="4" w:space="0" w:color="auto"/>
              <w:left w:val="single" w:sz="4" w:space="0" w:color="auto"/>
              <w:bottom w:val="nil"/>
              <w:right w:val="single" w:sz="4" w:space="0" w:color="auto"/>
            </w:tcBorders>
            <w:hideMark/>
          </w:tcPr>
          <w:p w14:paraId="32A95544" w14:textId="77777777" w:rsidR="003A70B3" w:rsidRPr="008B02E0" w:rsidRDefault="003A70B3" w:rsidP="00AE5B32">
            <w:pPr>
              <w:keepNext/>
              <w:keepLines/>
              <w:jc w:val="left"/>
              <w:rPr>
                <w:rFonts w:ascii="Arial Narrow" w:hAnsi="Arial Narrow"/>
                <w:b/>
                <w:bCs/>
                <w:sz w:val="20"/>
                <w:szCs w:val="20"/>
              </w:rPr>
            </w:pPr>
            <w:r w:rsidRPr="008B02E0">
              <w:rPr>
                <w:rFonts w:ascii="Arial Narrow" w:hAnsi="Arial Narrow"/>
                <w:b/>
                <w:bCs/>
                <w:sz w:val="20"/>
                <w:szCs w:val="20"/>
              </w:rPr>
              <w:t>Net cost to MBS</w:t>
            </w:r>
          </w:p>
        </w:tc>
        <w:tc>
          <w:tcPr>
            <w:tcW w:w="1258" w:type="dxa"/>
            <w:tcBorders>
              <w:top w:val="single" w:sz="4" w:space="0" w:color="auto"/>
              <w:left w:val="single" w:sz="4" w:space="0" w:color="auto"/>
              <w:bottom w:val="nil"/>
              <w:right w:val="single" w:sz="4" w:space="0" w:color="auto"/>
            </w:tcBorders>
            <w:vAlign w:val="center"/>
          </w:tcPr>
          <w:p w14:paraId="2538E27A" w14:textId="25D4FF7C" w:rsidR="003A70B3" w:rsidRPr="00462223" w:rsidRDefault="003A70B3" w:rsidP="00AE5B32">
            <w:pPr>
              <w:keepNext/>
              <w:keepLines/>
              <w:jc w:val="center"/>
              <w:rPr>
                <w:rFonts w:ascii="Arial Narrow" w:hAnsi="Arial Narrow"/>
                <w:sz w:val="20"/>
                <w:szCs w:val="20"/>
                <w:vertAlign w:val="superscript"/>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2"/>
                <w14:textFill>
                  <w14:solidFill>
                    <w14:srgbClr w14:val="000000">
                      <w14:alpha w14:val="100000"/>
                    </w14:srgbClr>
                  </w14:solidFill>
                </w14:textFill>
              </w:rPr>
              <w:t>|</w:t>
            </w:r>
            <w:r w:rsidR="00462223">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125534D2" w14:textId="233422D8"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8"/>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8"/>
                <w14:textFill>
                  <w14:solidFill>
                    <w14:srgbClr w14:val="000000">
                      <w14:alpha w14:val="100000"/>
                    </w14:srgbClr>
                  </w14:solidFill>
                </w14:textFill>
              </w:rPr>
              <w:t>|</w:t>
            </w:r>
            <w:r w:rsidR="00462223">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69D80F3D" w14:textId="5EE7729C"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7"/>
                <w14:textFill>
                  <w14:solidFill>
                    <w14:srgbClr w14:val="000000">
                      <w14:alpha w14:val="100000"/>
                    </w14:srgbClr>
                  </w14:solidFill>
                </w14:textFill>
              </w:rPr>
              <w:t>|</w:t>
            </w:r>
            <w:r w:rsidR="00462223">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20CD84C8" w14:textId="4FEF29AA"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6"/>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6"/>
                <w14:textFill>
                  <w14:solidFill>
                    <w14:srgbClr w14:val="000000">
                      <w14:alpha w14:val="100000"/>
                    </w14:srgbClr>
                  </w14:solidFill>
                </w14:textFill>
              </w:rPr>
              <w:t>|</w:t>
            </w:r>
            <w:r w:rsidR="00462223">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076BBC89" w14:textId="70062AAC"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462223">
              <w:rPr>
                <w:rFonts w:ascii="Arial Narrow" w:hAnsi="Arial Narrow"/>
                <w:sz w:val="20"/>
                <w:szCs w:val="20"/>
                <w:vertAlign w:val="superscript"/>
              </w:rPr>
              <w:t>9</w:t>
            </w:r>
          </w:p>
        </w:tc>
        <w:tc>
          <w:tcPr>
            <w:tcW w:w="1277" w:type="dxa"/>
            <w:tcBorders>
              <w:top w:val="single" w:sz="4" w:space="0" w:color="auto"/>
              <w:left w:val="single" w:sz="4" w:space="0" w:color="auto"/>
              <w:bottom w:val="nil"/>
              <w:right w:val="single" w:sz="4" w:space="0" w:color="auto"/>
            </w:tcBorders>
            <w:vAlign w:val="center"/>
          </w:tcPr>
          <w:p w14:paraId="4B2C7902" w14:textId="7D4E4C71"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4"/>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4"/>
                <w14:textFill>
                  <w14:solidFill>
                    <w14:srgbClr w14:val="000000">
                      <w14:alpha w14:val="100000"/>
                    </w14:srgbClr>
                  </w14:solidFill>
                </w14:textFill>
              </w:rPr>
              <w:t>|</w:t>
            </w:r>
            <w:r w:rsidR="00462223">
              <w:rPr>
                <w:rFonts w:ascii="Arial Narrow" w:hAnsi="Arial Narrow"/>
                <w:sz w:val="20"/>
                <w:szCs w:val="20"/>
                <w:vertAlign w:val="superscript"/>
              </w:rPr>
              <w:t>9</w:t>
            </w:r>
          </w:p>
        </w:tc>
      </w:tr>
      <w:tr w:rsidR="003A70B3" w:rsidRPr="008B02E0" w14:paraId="7BFD041B" w14:textId="77777777" w:rsidTr="00A01135">
        <w:tc>
          <w:tcPr>
            <w:tcW w:w="1450" w:type="dxa"/>
            <w:tcBorders>
              <w:top w:val="nil"/>
              <w:left w:val="single" w:sz="4" w:space="0" w:color="auto"/>
              <w:bottom w:val="nil"/>
              <w:right w:val="single" w:sz="4" w:space="0" w:color="auto"/>
            </w:tcBorders>
            <w:hideMark/>
          </w:tcPr>
          <w:p w14:paraId="0662A91E" w14:textId="0487B0F1" w:rsidR="003A70B3" w:rsidRPr="008B02E0" w:rsidRDefault="003A70B3" w:rsidP="00AE5B32">
            <w:pPr>
              <w:keepNext/>
              <w:keepLines/>
              <w:jc w:val="left"/>
              <w:rPr>
                <w:rFonts w:ascii="Arial Narrow" w:hAnsi="Arial Narrow"/>
                <w:b/>
                <w:bCs/>
                <w:sz w:val="20"/>
                <w:szCs w:val="20"/>
              </w:rPr>
            </w:pPr>
            <w:r w:rsidRPr="008B02E0">
              <w:rPr>
                <w:rFonts w:ascii="Arial Narrow" w:hAnsi="Arial Narrow"/>
                <w:b/>
                <w:bCs/>
                <w:sz w:val="20"/>
                <w:szCs w:val="20"/>
              </w:rPr>
              <w:t>Net cost to PBS/RPBS</w:t>
            </w:r>
            <w:r w:rsidR="0089176F">
              <w:rPr>
                <w:rFonts w:ascii="Arial Narrow" w:hAnsi="Arial Narrow"/>
                <w:b/>
                <w:bCs/>
                <w:sz w:val="20"/>
                <w:szCs w:val="20"/>
              </w:rPr>
              <w:t xml:space="preserve"> (at the effective price)</w:t>
            </w:r>
          </w:p>
        </w:tc>
        <w:tc>
          <w:tcPr>
            <w:tcW w:w="1258" w:type="dxa"/>
            <w:tcBorders>
              <w:top w:val="nil"/>
              <w:left w:val="single" w:sz="4" w:space="0" w:color="auto"/>
              <w:bottom w:val="nil"/>
              <w:right w:val="single" w:sz="4" w:space="0" w:color="auto"/>
            </w:tcBorders>
            <w:vAlign w:val="center"/>
          </w:tcPr>
          <w:p w14:paraId="11FE914F" w14:textId="084DBFA9" w:rsidR="003A70B3" w:rsidRPr="00462223" w:rsidRDefault="003A70B3" w:rsidP="00AE5B32">
            <w:pPr>
              <w:keepNext/>
              <w:keepLines/>
              <w:jc w:val="center"/>
              <w:rPr>
                <w:rFonts w:ascii="Arial Narrow" w:hAnsi="Arial Narrow"/>
                <w:sz w:val="20"/>
                <w:szCs w:val="20"/>
                <w:vertAlign w:val="superscript"/>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3"/>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3"/>
                <w14:textFill>
                  <w14:solidFill>
                    <w14:srgbClr w14:val="000000">
                      <w14:alpha w14:val="100000"/>
                    </w14:srgbClr>
                  </w14:solidFill>
                </w14:textFill>
              </w:rPr>
              <w:t>|</w:t>
            </w:r>
            <w:r w:rsidR="00462223">
              <w:rPr>
                <w:rFonts w:ascii="Arial Narrow" w:hAnsi="Arial Narrow"/>
                <w:sz w:val="20"/>
                <w:szCs w:val="20"/>
                <w:vertAlign w:val="superscript"/>
              </w:rPr>
              <w:t>10</w:t>
            </w:r>
          </w:p>
        </w:tc>
        <w:tc>
          <w:tcPr>
            <w:tcW w:w="1258" w:type="dxa"/>
            <w:tcBorders>
              <w:top w:val="nil"/>
              <w:left w:val="single" w:sz="4" w:space="0" w:color="auto"/>
              <w:bottom w:val="nil"/>
              <w:right w:val="single" w:sz="4" w:space="0" w:color="auto"/>
            </w:tcBorders>
            <w:vAlign w:val="center"/>
          </w:tcPr>
          <w:p w14:paraId="6E193A05" w14:textId="5CE5193A"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2"/>
                <w14:textFill>
                  <w14:solidFill>
                    <w14:srgbClr w14:val="000000">
                      <w14:alpha w14:val="100000"/>
                    </w14:srgbClr>
                  </w14:solidFill>
                </w14:textFill>
              </w:rPr>
              <w:t>|</w:t>
            </w:r>
            <w:r w:rsidR="00462223" w:rsidRPr="00462223">
              <w:rPr>
                <w:rFonts w:ascii="Arial Narrow" w:hAnsi="Arial Narrow"/>
                <w:sz w:val="20"/>
                <w:szCs w:val="20"/>
                <w:vertAlign w:val="superscript"/>
              </w:rPr>
              <w:t>11</w:t>
            </w:r>
          </w:p>
        </w:tc>
        <w:tc>
          <w:tcPr>
            <w:tcW w:w="1258" w:type="dxa"/>
            <w:tcBorders>
              <w:top w:val="nil"/>
              <w:left w:val="single" w:sz="4" w:space="0" w:color="auto"/>
              <w:bottom w:val="nil"/>
              <w:right w:val="single" w:sz="4" w:space="0" w:color="auto"/>
            </w:tcBorders>
            <w:vAlign w:val="center"/>
          </w:tcPr>
          <w:p w14:paraId="58D3C61B" w14:textId="3AC96280"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1"/>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1"/>
                <w14:textFill>
                  <w14:solidFill>
                    <w14:srgbClr w14:val="000000">
                      <w14:alpha w14:val="100000"/>
                    </w14:srgbClr>
                  </w14:solidFill>
                </w14:textFill>
              </w:rPr>
              <w:t>|</w:t>
            </w:r>
            <w:r w:rsidR="00462223" w:rsidRPr="00462223">
              <w:rPr>
                <w:rFonts w:ascii="Arial Narrow" w:hAnsi="Arial Narrow"/>
                <w:sz w:val="20"/>
                <w:szCs w:val="20"/>
                <w:vertAlign w:val="superscript"/>
              </w:rPr>
              <w:t>11</w:t>
            </w:r>
          </w:p>
        </w:tc>
        <w:tc>
          <w:tcPr>
            <w:tcW w:w="1258" w:type="dxa"/>
            <w:tcBorders>
              <w:top w:val="nil"/>
              <w:left w:val="single" w:sz="4" w:space="0" w:color="auto"/>
              <w:bottom w:val="nil"/>
              <w:right w:val="single" w:sz="4" w:space="0" w:color="auto"/>
            </w:tcBorders>
            <w:vAlign w:val="center"/>
          </w:tcPr>
          <w:p w14:paraId="4F63D00D" w14:textId="44B9E943" w:rsidR="003A70B3" w:rsidRPr="00462223" w:rsidRDefault="003A70B3" w:rsidP="00AE5B32">
            <w:pPr>
              <w:keepNext/>
              <w:keepLines/>
              <w:jc w:val="center"/>
              <w:rPr>
                <w:rFonts w:ascii="Arial Narrow" w:hAnsi="Arial Narrow"/>
                <w:sz w:val="20"/>
                <w:szCs w:val="20"/>
                <w:vertAlign w:val="superscript"/>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0"/>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0"/>
                <w14:textFill>
                  <w14:solidFill>
                    <w14:srgbClr w14:val="000000">
                      <w14:alpha w14:val="100000"/>
                    </w14:srgbClr>
                  </w14:solidFill>
                </w14:textFill>
              </w:rPr>
              <w:t>|</w:t>
            </w:r>
            <w:r w:rsidR="00462223" w:rsidRPr="00462223">
              <w:rPr>
                <w:rFonts w:ascii="Arial Narrow" w:hAnsi="Arial Narrow"/>
                <w:sz w:val="20"/>
                <w:szCs w:val="20"/>
                <w:vertAlign w:val="superscript"/>
              </w:rPr>
              <w:t>3</w:t>
            </w:r>
          </w:p>
        </w:tc>
        <w:tc>
          <w:tcPr>
            <w:tcW w:w="1258" w:type="dxa"/>
            <w:tcBorders>
              <w:top w:val="nil"/>
              <w:left w:val="single" w:sz="4" w:space="0" w:color="auto"/>
              <w:bottom w:val="nil"/>
              <w:right w:val="single" w:sz="4" w:space="0" w:color="auto"/>
            </w:tcBorders>
            <w:vAlign w:val="center"/>
          </w:tcPr>
          <w:p w14:paraId="43315F2F" w14:textId="4E8D8899"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9"/>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9"/>
                <w14:textFill>
                  <w14:solidFill>
                    <w14:srgbClr w14:val="000000">
                      <w14:alpha w14:val="100000"/>
                    </w14:srgbClr>
                  </w14:solidFill>
                </w14:textFill>
              </w:rPr>
              <w:t>|</w:t>
            </w:r>
            <w:r w:rsidR="00601B13" w:rsidRPr="00462223">
              <w:rPr>
                <w:rFonts w:ascii="Arial Narrow" w:hAnsi="Arial Narrow"/>
                <w:sz w:val="20"/>
                <w:szCs w:val="20"/>
                <w:vertAlign w:val="superscript"/>
              </w:rPr>
              <w:t>3</w:t>
            </w:r>
          </w:p>
        </w:tc>
        <w:tc>
          <w:tcPr>
            <w:tcW w:w="1277" w:type="dxa"/>
            <w:tcBorders>
              <w:top w:val="nil"/>
              <w:left w:val="single" w:sz="4" w:space="0" w:color="auto"/>
              <w:bottom w:val="nil"/>
              <w:right w:val="single" w:sz="4" w:space="0" w:color="auto"/>
            </w:tcBorders>
            <w:vAlign w:val="center"/>
          </w:tcPr>
          <w:p w14:paraId="581D6D75" w14:textId="76C03A25"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8"/>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8"/>
                <w14:textFill>
                  <w14:solidFill>
                    <w14:srgbClr w14:val="000000">
                      <w14:alpha w14:val="100000"/>
                    </w14:srgbClr>
                  </w14:solidFill>
                </w14:textFill>
              </w:rPr>
              <w:t>|</w:t>
            </w:r>
            <w:r w:rsidR="00601B13" w:rsidRPr="00462223">
              <w:rPr>
                <w:rFonts w:ascii="Arial Narrow" w:hAnsi="Arial Narrow"/>
                <w:sz w:val="20"/>
                <w:szCs w:val="20"/>
                <w:vertAlign w:val="superscript"/>
              </w:rPr>
              <w:t>3</w:t>
            </w:r>
          </w:p>
        </w:tc>
      </w:tr>
      <w:tr w:rsidR="003A70B3" w:rsidRPr="008B02E0" w14:paraId="0358DD46" w14:textId="77777777" w:rsidTr="00A01135">
        <w:tc>
          <w:tcPr>
            <w:tcW w:w="1450" w:type="dxa"/>
            <w:tcBorders>
              <w:top w:val="nil"/>
              <w:left w:val="single" w:sz="4" w:space="0" w:color="auto"/>
              <w:bottom w:val="single" w:sz="4" w:space="0" w:color="auto"/>
              <w:right w:val="single" w:sz="4" w:space="0" w:color="auto"/>
            </w:tcBorders>
            <w:hideMark/>
          </w:tcPr>
          <w:p w14:paraId="34938183" w14:textId="77777777" w:rsidR="003A70B3" w:rsidRPr="008B02E0" w:rsidRDefault="003A70B3" w:rsidP="00AE5B32">
            <w:pPr>
              <w:keepNext/>
              <w:keepLines/>
              <w:jc w:val="left"/>
              <w:rPr>
                <w:rFonts w:ascii="Arial Narrow" w:hAnsi="Arial Narrow"/>
                <w:b/>
                <w:bCs/>
                <w:sz w:val="20"/>
                <w:szCs w:val="20"/>
              </w:rPr>
            </w:pPr>
            <w:r w:rsidRPr="008B02E0">
              <w:rPr>
                <w:rFonts w:ascii="Arial Narrow" w:hAnsi="Arial Narrow"/>
                <w:b/>
                <w:bCs/>
                <w:sz w:val="20"/>
                <w:szCs w:val="20"/>
              </w:rPr>
              <w:t>Net cost to health budget</w:t>
            </w:r>
          </w:p>
        </w:tc>
        <w:tc>
          <w:tcPr>
            <w:tcW w:w="1258" w:type="dxa"/>
            <w:tcBorders>
              <w:top w:val="nil"/>
              <w:left w:val="single" w:sz="4" w:space="0" w:color="auto"/>
              <w:bottom w:val="single" w:sz="4" w:space="0" w:color="auto"/>
              <w:right w:val="single" w:sz="4" w:space="0" w:color="auto"/>
            </w:tcBorders>
            <w:vAlign w:val="center"/>
          </w:tcPr>
          <w:p w14:paraId="19DC4241" w14:textId="7BBB5C69"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7"/>
                <w14:textFill>
                  <w14:solidFill>
                    <w14:srgbClr w14:val="000000">
                      <w14:alpha w14:val="100000"/>
                    </w14:srgbClr>
                  </w14:solidFill>
                </w14:textFill>
              </w:rPr>
              <w:t>|</w:t>
            </w:r>
            <w:r w:rsidR="00601B13" w:rsidRPr="00601B13">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31E66BEA" w14:textId="1B008EF0"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6"/>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6"/>
                <w14:textFill>
                  <w14:solidFill>
                    <w14:srgbClr w14:val="000000">
                      <w14:alpha w14:val="100000"/>
                    </w14:srgbClr>
                  </w14:solidFill>
                </w14:textFill>
              </w:rPr>
              <w:t>|</w:t>
            </w:r>
            <w:r w:rsidR="00601B13" w:rsidRPr="00601B13">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6FC6C19A" w14:textId="6E5F89B8"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5"/>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5"/>
                <w14:textFill>
                  <w14:solidFill>
                    <w14:srgbClr w14:val="000000">
                      <w14:alpha w14:val="100000"/>
                    </w14:srgbClr>
                  </w14:solidFill>
                </w14:textFill>
              </w:rPr>
              <w:t>|</w:t>
            </w:r>
            <w:r w:rsidR="00601B13" w:rsidRPr="00601B13">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36FE29BB" w14:textId="71DE2EB6"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4"/>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4"/>
                <w14:textFill>
                  <w14:solidFill>
                    <w14:srgbClr w14:val="000000">
                      <w14:alpha w14:val="100000"/>
                    </w14:srgbClr>
                  </w14:solidFill>
                </w14:textFill>
              </w:rPr>
              <w:t>|</w:t>
            </w:r>
            <w:r w:rsidR="00601B13" w:rsidRPr="00601B13">
              <w:rPr>
                <w:rFonts w:ascii="Arial Narrow" w:hAnsi="Arial Narrow"/>
                <w:sz w:val="20"/>
                <w:szCs w:val="20"/>
                <w:vertAlign w:val="superscript"/>
              </w:rPr>
              <w:t>3</w:t>
            </w:r>
          </w:p>
        </w:tc>
        <w:tc>
          <w:tcPr>
            <w:tcW w:w="1258" w:type="dxa"/>
            <w:tcBorders>
              <w:top w:val="nil"/>
              <w:left w:val="single" w:sz="4" w:space="0" w:color="auto"/>
              <w:bottom w:val="single" w:sz="4" w:space="0" w:color="auto"/>
              <w:right w:val="single" w:sz="4" w:space="0" w:color="auto"/>
            </w:tcBorders>
            <w:vAlign w:val="center"/>
          </w:tcPr>
          <w:p w14:paraId="4F93BD47" w14:textId="1A4D66B7" w:rsidR="003A70B3" w:rsidRPr="008B02E0" w:rsidRDefault="003A70B3"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3"/>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3"/>
                <w14:textFill>
                  <w14:solidFill>
                    <w14:srgbClr w14:val="000000">
                      <w14:alpha w14:val="100000"/>
                    </w14:srgbClr>
                  </w14:solidFill>
                </w14:textFill>
              </w:rPr>
              <w:t>|</w:t>
            </w:r>
            <w:r w:rsidR="00601B13" w:rsidRPr="00601B13">
              <w:rPr>
                <w:rFonts w:ascii="Arial Narrow" w:hAnsi="Arial Narrow"/>
                <w:sz w:val="20"/>
                <w:szCs w:val="20"/>
                <w:vertAlign w:val="superscript"/>
              </w:rPr>
              <w:t>3</w:t>
            </w:r>
          </w:p>
        </w:tc>
        <w:tc>
          <w:tcPr>
            <w:tcW w:w="1277" w:type="dxa"/>
            <w:tcBorders>
              <w:top w:val="nil"/>
              <w:left w:val="single" w:sz="4" w:space="0" w:color="auto"/>
              <w:bottom w:val="single" w:sz="4" w:space="0" w:color="auto"/>
              <w:right w:val="single" w:sz="4" w:space="0" w:color="auto"/>
            </w:tcBorders>
            <w:vAlign w:val="center"/>
          </w:tcPr>
          <w:p w14:paraId="71D13E88" w14:textId="2E912CFF" w:rsidR="003A70B3" w:rsidRPr="00601B13" w:rsidRDefault="003A70B3" w:rsidP="00AE5B32">
            <w:pPr>
              <w:keepNext/>
              <w:keepLines/>
              <w:jc w:val="center"/>
              <w:rPr>
                <w:rFonts w:ascii="Arial Narrow" w:hAnsi="Arial Narrow"/>
                <w:sz w:val="20"/>
                <w:szCs w:val="20"/>
                <w:vertAlign w:val="superscript"/>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2"/>
                <w14:textFill>
                  <w14:solidFill>
                    <w14:srgbClr w14:val="000000">
                      <w14:alpha w14:val="100000"/>
                    </w14:srgbClr>
                  </w14:solidFill>
                </w14:textFill>
              </w:rPr>
              <w:t>|</w:t>
            </w:r>
            <w:r w:rsidR="00150F6C">
              <w:rPr>
                <w:rFonts w:ascii="Arial Narrow" w:hAnsi="Arial Narrow"/>
                <w:sz w:val="20"/>
                <w:szCs w:val="20"/>
                <w:vertAlign w:val="superscript"/>
              </w:rPr>
              <w:t>4</w:t>
            </w:r>
          </w:p>
        </w:tc>
      </w:tr>
      <w:tr w:rsidR="00B541F2" w:rsidRPr="008B02E0" w14:paraId="7A4454CF" w14:textId="77777777" w:rsidTr="00B541F2">
        <w:tc>
          <w:tcPr>
            <w:tcW w:w="9017" w:type="dxa"/>
            <w:gridSpan w:val="7"/>
            <w:tcBorders>
              <w:top w:val="single" w:sz="4" w:space="0" w:color="auto"/>
              <w:left w:val="single" w:sz="4" w:space="0" w:color="auto"/>
              <w:bottom w:val="single" w:sz="4" w:space="0" w:color="auto"/>
              <w:right w:val="single" w:sz="4" w:space="0" w:color="auto"/>
            </w:tcBorders>
          </w:tcPr>
          <w:p w14:paraId="23D695FA" w14:textId="2D535AC3" w:rsidR="00B541F2" w:rsidRPr="008B02E0" w:rsidRDefault="00B541F2" w:rsidP="00AE5B32">
            <w:pPr>
              <w:keepNext/>
              <w:keepLines/>
              <w:rPr>
                <w:rFonts w:ascii="Arial Narrow" w:hAnsi="Arial Narrow"/>
                <w:sz w:val="20"/>
                <w:szCs w:val="20"/>
              </w:rPr>
            </w:pPr>
            <w:r w:rsidRPr="008B02E0">
              <w:rPr>
                <w:rFonts w:ascii="Arial Narrow" w:hAnsi="Arial Narrow"/>
                <w:b/>
                <w:bCs/>
                <w:sz w:val="20"/>
                <w:szCs w:val="20"/>
              </w:rPr>
              <w:t>Estimated financial implications for the PBS/RPBS and the health budget (PSCR)</w:t>
            </w:r>
          </w:p>
        </w:tc>
      </w:tr>
      <w:tr w:rsidR="00665B58" w:rsidRPr="008B02E0" w14:paraId="651CFFB3" w14:textId="77777777" w:rsidTr="00A01135">
        <w:tc>
          <w:tcPr>
            <w:tcW w:w="1450" w:type="dxa"/>
            <w:tcBorders>
              <w:top w:val="single" w:sz="4" w:space="0" w:color="auto"/>
              <w:left w:val="single" w:sz="4" w:space="0" w:color="auto"/>
              <w:bottom w:val="nil"/>
              <w:right w:val="single" w:sz="4" w:space="0" w:color="auto"/>
            </w:tcBorders>
            <w:vAlign w:val="center"/>
          </w:tcPr>
          <w:p w14:paraId="2A7683DC" w14:textId="05DE198C" w:rsidR="00665B58" w:rsidRPr="008B02E0" w:rsidRDefault="00665B58" w:rsidP="00AE5B32">
            <w:pPr>
              <w:keepNext/>
              <w:keepLines/>
              <w:jc w:val="left"/>
              <w:rPr>
                <w:rFonts w:ascii="Arial Narrow" w:hAnsi="Arial Narrow"/>
                <w:b/>
                <w:bCs/>
                <w:sz w:val="20"/>
                <w:szCs w:val="20"/>
              </w:rPr>
            </w:pPr>
            <w:r w:rsidRPr="008B02E0">
              <w:rPr>
                <w:rFonts w:ascii="Arial Narrow" w:hAnsi="Arial Narrow"/>
                <w:sz w:val="20"/>
                <w:szCs w:val="20"/>
              </w:rPr>
              <w:t>Net change in scripts</w:t>
            </w:r>
          </w:p>
        </w:tc>
        <w:tc>
          <w:tcPr>
            <w:tcW w:w="1258" w:type="dxa"/>
            <w:tcBorders>
              <w:top w:val="single" w:sz="4" w:space="0" w:color="auto"/>
              <w:left w:val="single" w:sz="4" w:space="0" w:color="auto"/>
              <w:bottom w:val="nil"/>
              <w:right w:val="single" w:sz="4" w:space="0" w:color="auto"/>
            </w:tcBorders>
          </w:tcPr>
          <w:p w14:paraId="1FAD4FBD" w14:textId="211F8C02"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8"/>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8"/>
                <w14:textFill>
                  <w14:solidFill>
                    <w14:srgbClr w14:val="000000">
                      <w14:alpha w14:val="100000"/>
                    </w14:srgbClr>
                  </w14:solidFill>
                </w14:textFill>
              </w:rPr>
              <w:t>|</w:t>
            </w:r>
            <w:r w:rsidR="008867D8" w:rsidRPr="00F551A0">
              <w:rPr>
                <w:rFonts w:ascii="Arial Narrow" w:hAnsi="Arial Narrow"/>
                <w:sz w:val="20"/>
                <w:szCs w:val="20"/>
                <w:vertAlign w:val="superscript"/>
              </w:rPr>
              <w:t>1</w:t>
            </w:r>
            <w:r w:rsidRPr="00E11347">
              <w:rPr>
                <w:rFonts w:ascii="Arial Narrow" w:hAnsi="Arial Narrow"/>
                <w:color w:val="000000"/>
                <w:spacing w:val="53"/>
                <w:sz w:val="20"/>
                <w:szCs w:val="20"/>
                <w:shd w:val="solid" w:color="000000" w:fill="000000"/>
                <w:fitText w:val="330" w:id="-628963327"/>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7"/>
                <w14:textFill>
                  <w14:solidFill>
                    <w14:srgbClr w14:val="000000">
                      <w14:alpha w14:val="100000"/>
                    </w14:srgbClr>
                  </w14:solidFill>
                </w14:textFill>
              </w:rPr>
              <w:t>|</w:t>
            </w:r>
          </w:p>
        </w:tc>
        <w:tc>
          <w:tcPr>
            <w:tcW w:w="1258" w:type="dxa"/>
            <w:tcBorders>
              <w:top w:val="single" w:sz="4" w:space="0" w:color="auto"/>
              <w:left w:val="single" w:sz="4" w:space="0" w:color="auto"/>
              <w:bottom w:val="nil"/>
              <w:right w:val="single" w:sz="4" w:space="0" w:color="auto"/>
            </w:tcBorders>
          </w:tcPr>
          <w:p w14:paraId="56D8BDB5" w14:textId="3E4A4BAA"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6"/>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6"/>
                <w14:textFill>
                  <w14:solidFill>
                    <w14:srgbClr w14:val="000000">
                      <w14:alpha w14:val="100000"/>
                    </w14:srgbClr>
                  </w14:solidFill>
                </w14:textFill>
              </w:rPr>
              <w:t>|</w:t>
            </w:r>
            <w:r w:rsidR="008867D8" w:rsidRPr="00F551A0">
              <w:rPr>
                <w:rFonts w:ascii="Arial Narrow" w:hAnsi="Arial Narrow"/>
                <w:sz w:val="20"/>
                <w:szCs w:val="20"/>
                <w:vertAlign w:val="superscript"/>
              </w:rPr>
              <w:t>1</w:t>
            </w:r>
          </w:p>
        </w:tc>
        <w:tc>
          <w:tcPr>
            <w:tcW w:w="1258" w:type="dxa"/>
            <w:tcBorders>
              <w:top w:val="single" w:sz="4" w:space="0" w:color="auto"/>
              <w:left w:val="single" w:sz="4" w:space="0" w:color="auto"/>
              <w:bottom w:val="nil"/>
              <w:right w:val="single" w:sz="4" w:space="0" w:color="auto"/>
            </w:tcBorders>
          </w:tcPr>
          <w:p w14:paraId="53F29D7F" w14:textId="2E6FEA17"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F85F60" w:rsidRPr="00F551A0">
              <w:rPr>
                <w:rFonts w:ascii="Arial Narrow" w:hAnsi="Arial Narrow"/>
                <w:sz w:val="20"/>
                <w:szCs w:val="20"/>
                <w:vertAlign w:val="superscript"/>
              </w:rPr>
              <w:t>1</w:t>
            </w:r>
            <w:r w:rsidRPr="00E11347">
              <w:rPr>
                <w:rFonts w:ascii="Arial Narrow" w:hAnsi="Arial Narrow"/>
                <w:color w:val="000000"/>
                <w:spacing w:val="53"/>
                <w:sz w:val="20"/>
                <w:szCs w:val="20"/>
                <w:shd w:val="solid" w:color="000000" w:fill="000000"/>
                <w:fitText w:val="330" w:id="-628963324"/>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4"/>
                <w14:textFill>
                  <w14:solidFill>
                    <w14:srgbClr w14:val="000000">
                      <w14:alpha w14:val="100000"/>
                    </w14:srgbClr>
                  </w14:solidFill>
                </w14:textFill>
              </w:rPr>
              <w:t>|</w:t>
            </w:r>
          </w:p>
        </w:tc>
        <w:tc>
          <w:tcPr>
            <w:tcW w:w="1258" w:type="dxa"/>
            <w:tcBorders>
              <w:top w:val="single" w:sz="4" w:space="0" w:color="auto"/>
              <w:left w:val="single" w:sz="4" w:space="0" w:color="auto"/>
              <w:bottom w:val="nil"/>
              <w:right w:val="single" w:sz="4" w:space="0" w:color="auto"/>
            </w:tcBorders>
          </w:tcPr>
          <w:p w14:paraId="1D90FBB0" w14:textId="1A9A6303"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3"/>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3"/>
                <w14:textFill>
                  <w14:solidFill>
                    <w14:srgbClr w14:val="000000">
                      <w14:alpha w14:val="100000"/>
                    </w14:srgbClr>
                  </w14:solidFill>
                </w14:textFill>
              </w:rPr>
              <w:t>|</w:t>
            </w:r>
            <w:r w:rsidR="00F85F60" w:rsidRPr="00F551A0">
              <w:rPr>
                <w:rFonts w:ascii="Arial Narrow" w:hAnsi="Arial Narrow"/>
                <w:sz w:val="20"/>
                <w:szCs w:val="20"/>
                <w:vertAlign w:val="superscript"/>
              </w:rPr>
              <w:t>1</w:t>
            </w:r>
            <w:r w:rsidRPr="00E11347">
              <w:rPr>
                <w:rFonts w:ascii="Arial Narrow" w:hAnsi="Arial Narrow"/>
                <w:color w:val="000000"/>
                <w:spacing w:val="53"/>
                <w:sz w:val="20"/>
                <w:szCs w:val="20"/>
                <w:shd w:val="solid" w:color="000000" w:fill="000000"/>
                <w:fitText w:val="330" w:id="-628963322"/>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2"/>
                <w14:textFill>
                  <w14:solidFill>
                    <w14:srgbClr w14:val="000000">
                      <w14:alpha w14:val="100000"/>
                    </w14:srgbClr>
                  </w14:solidFill>
                </w14:textFill>
              </w:rPr>
              <w:t>|</w:t>
            </w:r>
          </w:p>
        </w:tc>
        <w:tc>
          <w:tcPr>
            <w:tcW w:w="1258" w:type="dxa"/>
            <w:tcBorders>
              <w:top w:val="single" w:sz="4" w:space="0" w:color="auto"/>
              <w:left w:val="single" w:sz="4" w:space="0" w:color="auto"/>
              <w:bottom w:val="nil"/>
              <w:right w:val="single" w:sz="4" w:space="0" w:color="auto"/>
            </w:tcBorders>
          </w:tcPr>
          <w:p w14:paraId="5E144DA7" w14:textId="0B9115DE"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21"/>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1"/>
                <w14:textFill>
                  <w14:solidFill>
                    <w14:srgbClr w14:val="000000">
                      <w14:alpha w14:val="100000"/>
                    </w14:srgbClr>
                  </w14:solidFill>
                </w14:textFill>
              </w:rPr>
              <w:t>|</w:t>
            </w:r>
            <w:r w:rsidR="00F85F60" w:rsidRPr="00F551A0">
              <w:rPr>
                <w:rFonts w:ascii="Arial Narrow" w:hAnsi="Arial Narrow"/>
                <w:sz w:val="20"/>
                <w:szCs w:val="20"/>
                <w:vertAlign w:val="superscript"/>
              </w:rPr>
              <w:t>1</w:t>
            </w:r>
            <w:r w:rsidRPr="00E11347">
              <w:rPr>
                <w:rFonts w:ascii="Arial Narrow" w:hAnsi="Arial Narrow"/>
                <w:color w:val="000000"/>
                <w:spacing w:val="53"/>
                <w:sz w:val="20"/>
                <w:szCs w:val="20"/>
                <w:shd w:val="solid" w:color="000000" w:fill="000000"/>
                <w:fitText w:val="330" w:id="-628963320"/>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20"/>
                <w14:textFill>
                  <w14:solidFill>
                    <w14:srgbClr w14:val="000000">
                      <w14:alpha w14:val="100000"/>
                    </w14:srgbClr>
                  </w14:solidFill>
                </w14:textFill>
              </w:rPr>
              <w:t>|</w:t>
            </w:r>
          </w:p>
        </w:tc>
        <w:tc>
          <w:tcPr>
            <w:tcW w:w="1277" w:type="dxa"/>
            <w:tcBorders>
              <w:top w:val="single" w:sz="4" w:space="0" w:color="auto"/>
              <w:left w:val="single" w:sz="4" w:space="0" w:color="auto"/>
              <w:bottom w:val="nil"/>
              <w:right w:val="single" w:sz="4" w:space="0" w:color="auto"/>
            </w:tcBorders>
          </w:tcPr>
          <w:p w14:paraId="4BF3DAC8" w14:textId="26F5F56B" w:rsidR="00665B58" w:rsidRPr="008867D8" w:rsidRDefault="00E11347" w:rsidP="00AE5B32">
            <w:pPr>
              <w:keepNext/>
              <w:keepLines/>
              <w:jc w:val="center"/>
              <w:rPr>
                <w:rFonts w:ascii="Arial Narrow" w:hAnsi="Arial Narrow"/>
                <w:sz w:val="20"/>
                <w:szCs w:val="20"/>
                <w:highlight w:val="darkGray"/>
              </w:rPr>
            </w:pPr>
            <w:r w:rsidRPr="00E11347">
              <w:rPr>
                <w:rFonts w:ascii="Arial Narrow" w:hAnsi="Arial Narrow"/>
                <w:color w:val="000000"/>
                <w:spacing w:val="53"/>
                <w:sz w:val="20"/>
                <w:szCs w:val="20"/>
                <w:shd w:val="solid" w:color="000000" w:fill="000000"/>
                <w:fitText w:val="330" w:id="-628963319"/>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9"/>
                <w14:textFill>
                  <w14:solidFill>
                    <w14:srgbClr w14:val="000000">
                      <w14:alpha w14:val="100000"/>
                    </w14:srgbClr>
                  </w14:solidFill>
                </w14:textFill>
              </w:rPr>
              <w:t>|</w:t>
            </w:r>
            <w:r w:rsidR="00F85F60" w:rsidRPr="00F551A0">
              <w:rPr>
                <w:rFonts w:ascii="Arial Narrow" w:hAnsi="Arial Narrow"/>
                <w:sz w:val="20"/>
                <w:szCs w:val="20"/>
                <w:vertAlign w:val="superscript"/>
              </w:rPr>
              <w:t>1</w:t>
            </w:r>
            <w:r w:rsidRPr="00E11347">
              <w:rPr>
                <w:rFonts w:ascii="Arial Narrow" w:hAnsi="Arial Narrow"/>
                <w:color w:val="000000"/>
                <w:spacing w:val="53"/>
                <w:sz w:val="20"/>
                <w:szCs w:val="20"/>
                <w:shd w:val="solid" w:color="000000" w:fill="000000"/>
                <w:fitText w:val="330" w:id="-628963318"/>
                <w14:textFill>
                  <w14:solidFill>
                    <w14:srgbClr w14:val="000000">
                      <w14:alpha w14:val="100000"/>
                    </w14:srgbClr>
                  </w14:solidFill>
                </w14:textFill>
              </w:rPr>
              <w:t>|||</w:t>
            </w:r>
            <w:r w:rsidRPr="00E11347">
              <w:rPr>
                <w:rFonts w:ascii="Arial Narrow" w:hAnsi="Arial Narrow"/>
                <w:color w:val="000000"/>
                <w:spacing w:val="1"/>
                <w:sz w:val="20"/>
                <w:szCs w:val="20"/>
                <w:shd w:val="solid" w:color="000000" w:fill="000000"/>
                <w:fitText w:val="330" w:id="-628963318"/>
                <w14:textFill>
                  <w14:solidFill>
                    <w14:srgbClr w14:val="000000">
                      <w14:alpha w14:val="100000"/>
                    </w14:srgbClr>
                  </w14:solidFill>
                </w14:textFill>
              </w:rPr>
              <w:t>|</w:t>
            </w:r>
          </w:p>
        </w:tc>
      </w:tr>
      <w:tr w:rsidR="00A01135" w:rsidRPr="008B02E0" w14:paraId="3464C361" w14:textId="77777777" w:rsidTr="00A01135">
        <w:tc>
          <w:tcPr>
            <w:tcW w:w="1450" w:type="dxa"/>
            <w:tcBorders>
              <w:top w:val="single" w:sz="4" w:space="0" w:color="auto"/>
              <w:left w:val="single" w:sz="4" w:space="0" w:color="auto"/>
              <w:bottom w:val="nil"/>
              <w:right w:val="single" w:sz="4" w:space="0" w:color="auto"/>
            </w:tcBorders>
          </w:tcPr>
          <w:p w14:paraId="16FD3A28" w14:textId="3156C809" w:rsidR="00A01135" w:rsidRPr="008B02E0" w:rsidRDefault="00A01135" w:rsidP="00AE5B32">
            <w:pPr>
              <w:keepNext/>
              <w:keepLines/>
              <w:jc w:val="left"/>
              <w:rPr>
                <w:rFonts w:ascii="Arial Narrow" w:hAnsi="Arial Narrow"/>
                <w:b/>
                <w:bCs/>
                <w:sz w:val="20"/>
                <w:szCs w:val="20"/>
              </w:rPr>
            </w:pPr>
            <w:r w:rsidRPr="008B02E0">
              <w:rPr>
                <w:rFonts w:ascii="Arial Narrow" w:hAnsi="Arial Narrow"/>
                <w:b/>
                <w:bCs/>
                <w:sz w:val="20"/>
                <w:szCs w:val="20"/>
              </w:rPr>
              <w:t>Net cost to MBS</w:t>
            </w:r>
          </w:p>
        </w:tc>
        <w:tc>
          <w:tcPr>
            <w:tcW w:w="1258" w:type="dxa"/>
            <w:tcBorders>
              <w:top w:val="single" w:sz="4" w:space="0" w:color="auto"/>
              <w:left w:val="single" w:sz="4" w:space="0" w:color="auto"/>
              <w:bottom w:val="nil"/>
              <w:right w:val="single" w:sz="4" w:space="0" w:color="auto"/>
            </w:tcBorders>
            <w:vAlign w:val="center"/>
          </w:tcPr>
          <w:p w14:paraId="0BACBFBD" w14:textId="5447FB8E"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7"/>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7D4479C4" w14:textId="466C506C"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6"/>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6"/>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470058AD" w14:textId="3E252AFD"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5"/>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5"/>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7356C414" w14:textId="430DE549"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4"/>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4"/>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c>
          <w:tcPr>
            <w:tcW w:w="1258" w:type="dxa"/>
            <w:tcBorders>
              <w:top w:val="single" w:sz="4" w:space="0" w:color="auto"/>
              <w:left w:val="single" w:sz="4" w:space="0" w:color="auto"/>
              <w:bottom w:val="nil"/>
              <w:right w:val="single" w:sz="4" w:space="0" w:color="auto"/>
            </w:tcBorders>
            <w:vAlign w:val="center"/>
          </w:tcPr>
          <w:p w14:paraId="62AD2E4C" w14:textId="70EBAD6E"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3"/>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3"/>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c>
          <w:tcPr>
            <w:tcW w:w="1277" w:type="dxa"/>
            <w:tcBorders>
              <w:top w:val="single" w:sz="4" w:space="0" w:color="auto"/>
              <w:left w:val="single" w:sz="4" w:space="0" w:color="auto"/>
              <w:bottom w:val="nil"/>
              <w:right w:val="single" w:sz="4" w:space="0" w:color="auto"/>
            </w:tcBorders>
            <w:vAlign w:val="center"/>
          </w:tcPr>
          <w:p w14:paraId="28D5FD57" w14:textId="6490A793"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2"/>
                <w14:textFill>
                  <w14:solidFill>
                    <w14:srgbClr w14:val="000000">
                      <w14:alpha w14:val="100000"/>
                    </w14:srgbClr>
                  </w14:solidFill>
                </w14:textFill>
              </w:rPr>
              <w:t>|</w:t>
            </w:r>
            <w:r w:rsidR="00A76C3F" w:rsidRPr="00A76C3F">
              <w:rPr>
                <w:rFonts w:ascii="Arial Narrow" w:hAnsi="Arial Narrow"/>
                <w:sz w:val="20"/>
                <w:szCs w:val="20"/>
                <w:vertAlign w:val="superscript"/>
              </w:rPr>
              <w:t>9</w:t>
            </w:r>
          </w:p>
        </w:tc>
      </w:tr>
      <w:tr w:rsidR="00A01135" w:rsidRPr="008B02E0" w14:paraId="4BA8EA95" w14:textId="77777777" w:rsidTr="00A01135">
        <w:tc>
          <w:tcPr>
            <w:tcW w:w="1450" w:type="dxa"/>
            <w:tcBorders>
              <w:top w:val="nil"/>
              <w:left w:val="single" w:sz="4" w:space="0" w:color="auto"/>
              <w:bottom w:val="nil"/>
              <w:right w:val="single" w:sz="4" w:space="0" w:color="auto"/>
            </w:tcBorders>
          </w:tcPr>
          <w:p w14:paraId="18A832BD" w14:textId="6944D21D" w:rsidR="00A01135" w:rsidRPr="008B02E0" w:rsidRDefault="00A01135" w:rsidP="00AE5B32">
            <w:pPr>
              <w:keepNext/>
              <w:keepLines/>
              <w:jc w:val="left"/>
              <w:rPr>
                <w:rFonts w:ascii="Arial Narrow" w:hAnsi="Arial Narrow"/>
                <w:b/>
                <w:bCs/>
                <w:sz w:val="20"/>
                <w:szCs w:val="20"/>
              </w:rPr>
            </w:pPr>
            <w:r w:rsidRPr="008B02E0">
              <w:rPr>
                <w:rFonts w:ascii="Arial Narrow" w:hAnsi="Arial Narrow"/>
                <w:b/>
                <w:bCs/>
                <w:sz w:val="20"/>
                <w:szCs w:val="20"/>
              </w:rPr>
              <w:t>Net cost to PBS/RPBS</w:t>
            </w:r>
          </w:p>
        </w:tc>
        <w:tc>
          <w:tcPr>
            <w:tcW w:w="1258" w:type="dxa"/>
            <w:tcBorders>
              <w:top w:val="nil"/>
              <w:left w:val="single" w:sz="4" w:space="0" w:color="auto"/>
              <w:bottom w:val="nil"/>
              <w:right w:val="single" w:sz="4" w:space="0" w:color="auto"/>
            </w:tcBorders>
            <w:vAlign w:val="center"/>
          </w:tcPr>
          <w:p w14:paraId="07AF2F9D" w14:textId="20C06290"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8"/>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8"/>
                <w14:textFill>
                  <w14:solidFill>
                    <w14:srgbClr w14:val="000000">
                      <w14:alpha w14:val="100000"/>
                    </w14:srgbClr>
                  </w14:solidFill>
                </w14:textFill>
              </w:rPr>
              <w:t>|</w:t>
            </w:r>
            <w:r w:rsidR="00150F6C">
              <w:rPr>
                <w:rFonts w:ascii="Arial Narrow" w:hAnsi="Arial Narrow"/>
                <w:sz w:val="20"/>
                <w:szCs w:val="20"/>
                <w:vertAlign w:val="superscript"/>
              </w:rPr>
              <w:t>10</w:t>
            </w:r>
          </w:p>
        </w:tc>
        <w:tc>
          <w:tcPr>
            <w:tcW w:w="1258" w:type="dxa"/>
            <w:tcBorders>
              <w:top w:val="nil"/>
              <w:left w:val="single" w:sz="4" w:space="0" w:color="auto"/>
              <w:bottom w:val="nil"/>
              <w:right w:val="single" w:sz="4" w:space="0" w:color="auto"/>
            </w:tcBorders>
            <w:vAlign w:val="center"/>
          </w:tcPr>
          <w:p w14:paraId="66C2614A" w14:textId="6F2B61A9"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7"/>
                <w14:textFill>
                  <w14:solidFill>
                    <w14:srgbClr w14:val="000000">
                      <w14:alpha w14:val="100000"/>
                    </w14:srgbClr>
                  </w14:solidFill>
                </w14:textFill>
              </w:rPr>
              <w:t>|</w:t>
            </w:r>
            <w:r w:rsidR="00150F6C">
              <w:rPr>
                <w:rFonts w:ascii="Arial Narrow" w:hAnsi="Arial Narrow"/>
                <w:sz w:val="20"/>
                <w:szCs w:val="20"/>
                <w:vertAlign w:val="superscript"/>
              </w:rPr>
              <w:t>11</w:t>
            </w:r>
          </w:p>
        </w:tc>
        <w:tc>
          <w:tcPr>
            <w:tcW w:w="1258" w:type="dxa"/>
            <w:tcBorders>
              <w:top w:val="nil"/>
              <w:left w:val="single" w:sz="4" w:space="0" w:color="auto"/>
              <w:bottom w:val="nil"/>
              <w:right w:val="single" w:sz="4" w:space="0" w:color="auto"/>
            </w:tcBorders>
            <w:vAlign w:val="center"/>
          </w:tcPr>
          <w:p w14:paraId="4A1B4A1F" w14:textId="690C820D"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6"/>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6"/>
                <w14:textFill>
                  <w14:solidFill>
                    <w14:srgbClr w14:val="000000">
                      <w14:alpha w14:val="100000"/>
                    </w14:srgbClr>
                  </w14:solidFill>
                </w14:textFill>
              </w:rPr>
              <w:t>|</w:t>
            </w:r>
            <w:r w:rsidR="00150F6C">
              <w:rPr>
                <w:rFonts w:ascii="Arial Narrow" w:hAnsi="Arial Narrow"/>
                <w:sz w:val="20"/>
                <w:szCs w:val="20"/>
                <w:vertAlign w:val="superscript"/>
              </w:rPr>
              <w:t>11</w:t>
            </w:r>
          </w:p>
        </w:tc>
        <w:tc>
          <w:tcPr>
            <w:tcW w:w="1258" w:type="dxa"/>
            <w:tcBorders>
              <w:top w:val="nil"/>
              <w:left w:val="single" w:sz="4" w:space="0" w:color="auto"/>
              <w:bottom w:val="nil"/>
              <w:right w:val="single" w:sz="4" w:space="0" w:color="auto"/>
            </w:tcBorders>
            <w:vAlign w:val="center"/>
          </w:tcPr>
          <w:p w14:paraId="13F752DE" w14:textId="560B2870"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5"/>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5"/>
                <w14:textFill>
                  <w14:solidFill>
                    <w14:srgbClr w14:val="000000">
                      <w14:alpha w14:val="100000"/>
                    </w14:srgbClr>
                  </w14:solidFill>
                </w14:textFill>
              </w:rPr>
              <w:t>|</w:t>
            </w:r>
            <w:r w:rsidR="00150F6C" w:rsidRPr="00462223">
              <w:rPr>
                <w:rFonts w:ascii="Arial Narrow" w:hAnsi="Arial Narrow"/>
                <w:sz w:val="20"/>
                <w:szCs w:val="20"/>
                <w:vertAlign w:val="superscript"/>
              </w:rPr>
              <w:t>3</w:t>
            </w:r>
          </w:p>
        </w:tc>
        <w:tc>
          <w:tcPr>
            <w:tcW w:w="1258" w:type="dxa"/>
            <w:tcBorders>
              <w:top w:val="nil"/>
              <w:left w:val="single" w:sz="4" w:space="0" w:color="auto"/>
              <w:bottom w:val="nil"/>
              <w:right w:val="single" w:sz="4" w:space="0" w:color="auto"/>
            </w:tcBorders>
            <w:vAlign w:val="center"/>
          </w:tcPr>
          <w:p w14:paraId="1232CCB1" w14:textId="379166B0"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4"/>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4"/>
                <w14:textFill>
                  <w14:solidFill>
                    <w14:srgbClr w14:val="000000">
                      <w14:alpha w14:val="100000"/>
                    </w14:srgbClr>
                  </w14:solidFill>
                </w14:textFill>
              </w:rPr>
              <w:t>|</w:t>
            </w:r>
            <w:r w:rsidR="00150F6C" w:rsidRPr="00462223">
              <w:rPr>
                <w:rFonts w:ascii="Arial Narrow" w:hAnsi="Arial Narrow"/>
                <w:sz w:val="20"/>
                <w:szCs w:val="20"/>
                <w:vertAlign w:val="superscript"/>
              </w:rPr>
              <w:t>3</w:t>
            </w:r>
          </w:p>
        </w:tc>
        <w:tc>
          <w:tcPr>
            <w:tcW w:w="1277" w:type="dxa"/>
            <w:tcBorders>
              <w:top w:val="nil"/>
              <w:left w:val="single" w:sz="4" w:space="0" w:color="auto"/>
              <w:bottom w:val="nil"/>
              <w:right w:val="single" w:sz="4" w:space="0" w:color="auto"/>
            </w:tcBorders>
            <w:vAlign w:val="center"/>
          </w:tcPr>
          <w:p w14:paraId="41E36510" w14:textId="0C968C01" w:rsidR="00A01135" w:rsidRPr="008B02E0" w:rsidRDefault="00A01135"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3"/>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3"/>
                <w14:textFill>
                  <w14:solidFill>
                    <w14:srgbClr w14:val="000000">
                      <w14:alpha w14:val="100000"/>
                    </w14:srgbClr>
                  </w14:solidFill>
                </w14:textFill>
              </w:rPr>
              <w:t>|</w:t>
            </w:r>
            <w:r w:rsidR="00150F6C" w:rsidRPr="00462223">
              <w:rPr>
                <w:rFonts w:ascii="Arial Narrow" w:hAnsi="Arial Narrow"/>
                <w:sz w:val="20"/>
                <w:szCs w:val="20"/>
                <w:vertAlign w:val="superscript"/>
              </w:rPr>
              <w:t>3</w:t>
            </w:r>
          </w:p>
        </w:tc>
      </w:tr>
      <w:tr w:rsidR="003E620A" w:rsidRPr="008B02E0" w14:paraId="34383A3F" w14:textId="77777777" w:rsidTr="00A01135">
        <w:tc>
          <w:tcPr>
            <w:tcW w:w="1450" w:type="dxa"/>
            <w:tcBorders>
              <w:top w:val="nil"/>
              <w:left w:val="single" w:sz="4" w:space="0" w:color="auto"/>
              <w:bottom w:val="single" w:sz="4" w:space="0" w:color="auto"/>
              <w:right w:val="single" w:sz="4" w:space="0" w:color="auto"/>
            </w:tcBorders>
          </w:tcPr>
          <w:p w14:paraId="17A87550" w14:textId="103DA25E" w:rsidR="003E620A" w:rsidRPr="008B02E0" w:rsidRDefault="003E620A" w:rsidP="00AE5B32">
            <w:pPr>
              <w:keepNext/>
              <w:keepLines/>
              <w:jc w:val="left"/>
              <w:rPr>
                <w:rFonts w:ascii="Arial Narrow" w:hAnsi="Arial Narrow"/>
                <w:b/>
                <w:bCs/>
                <w:sz w:val="20"/>
                <w:szCs w:val="20"/>
              </w:rPr>
            </w:pPr>
            <w:r w:rsidRPr="008B02E0">
              <w:rPr>
                <w:rFonts w:ascii="Arial Narrow" w:hAnsi="Arial Narrow"/>
                <w:b/>
                <w:bCs/>
                <w:sz w:val="20"/>
                <w:szCs w:val="20"/>
              </w:rPr>
              <w:t>Net cost to health budget</w:t>
            </w:r>
          </w:p>
        </w:tc>
        <w:tc>
          <w:tcPr>
            <w:tcW w:w="1258" w:type="dxa"/>
            <w:tcBorders>
              <w:top w:val="nil"/>
              <w:left w:val="single" w:sz="4" w:space="0" w:color="auto"/>
              <w:bottom w:val="single" w:sz="4" w:space="0" w:color="auto"/>
              <w:right w:val="single" w:sz="4" w:space="0" w:color="auto"/>
            </w:tcBorders>
            <w:vAlign w:val="center"/>
          </w:tcPr>
          <w:p w14:paraId="34A94A68" w14:textId="5A159306" w:rsidR="003E620A" w:rsidRPr="00A76C3F" w:rsidRDefault="003E620A" w:rsidP="00AE5B32">
            <w:pPr>
              <w:keepNext/>
              <w:keepLines/>
              <w:jc w:val="center"/>
              <w:rPr>
                <w:rFonts w:ascii="Arial Narrow" w:hAnsi="Arial Narrow"/>
                <w:sz w:val="20"/>
                <w:szCs w:val="20"/>
                <w:vertAlign w:val="superscript"/>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2"/>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2"/>
                <w14:textFill>
                  <w14:solidFill>
                    <w14:srgbClr w14:val="000000">
                      <w14:alpha w14:val="100000"/>
                    </w14:srgbClr>
                  </w14:solidFill>
                </w14:textFill>
              </w:rPr>
              <w:t>|</w:t>
            </w:r>
            <w:r w:rsidR="00A76C3F">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5D9845E4" w14:textId="701705C3" w:rsidR="003E620A" w:rsidRPr="008B02E0" w:rsidRDefault="003E620A"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1"/>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1"/>
                <w14:textFill>
                  <w14:solidFill>
                    <w14:srgbClr w14:val="000000">
                      <w14:alpha w14:val="100000"/>
                    </w14:srgbClr>
                  </w14:solidFill>
                </w14:textFill>
              </w:rPr>
              <w:t>|</w:t>
            </w:r>
            <w:r w:rsidR="00A76C3F">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35BE36AD" w14:textId="61E4441E" w:rsidR="003E620A" w:rsidRPr="008B02E0" w:rsidRDefault="003E620A"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20"/>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20"/>
                <w14:textFill>
                  <w14:solidFill>
                    <w14:srgbClr w14:val="000000">
                      <w14:alpha w14:val="100000"/>
                    </w14:srgbClr>
                  </w14:solidFill>
                </w14:textFill>
              </w:rPr>
              <w:t>|</w:t>
            </w:r>
            <w:r w:rsidR="00A76C3F">
              <w:rPr>
                <w:rFonts w:ascii="Arial Narrow" w:hAnsi="Arial Narrow"/>
                <w:sz w:val="20"/>
                <w:szCs w:val="20"/>
                <w:vertAlign w:val="superscript"/>
              </w:rPr>
              <w:t>11</w:t>
            </w:r>
          </w:p>
        </w:tc>
        <w:tc>
          <w:tcPr>
            <w:tcW w:w="1258" w:type="dxa"/>
            <w:tcBorders>
              <w:top w:val="nil"/>
              <w:left w:val="single" w:sz="4" w:space="0" w:color="auto"/>
              <w:bottom w:val="single" w:sz="4" w:space="0" w:color="auto"/>
              <w:right w:val="single" w:sz="4" w:space="0" w:color="auto"/>
            </w:tcBorders>
            <w:vAlign w:val="center"/>
          </w:tcPr>
          <w:p w14:paraId="5D4449C9" w14:textId="2A28D67F" w:rsidR="003E620A" w:rsidRPr="008B02E0" w:rsidRDefault="003E620A"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9"/>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9"/>
                <w14:textFill>
                  <w14:solidFill>
                    <w14:srgbClr w14:val="000000">
                      <w14:alpha w14:val="100000"/>
                    </w14:srgbClr>
                  </w14:solidFill>
                </w14:textFill>
              </w:rPr>
              <w:t>|</w:t>
            </w:r>
            <w:r w:rsidR="00A76C3F" w:rsidRPr="00462223">
              <w:rPr>
                <w:rFonts w:ascii="Arial Narrow" w:hAnsi="Arial Narrow"/>
                <w:sz w:val="20"/>
                <w:szCs w:val="20"/>
                <w:vertAlign w:val="superscript"/>
              </w:rPr>
              <w:t>3</w:t>
            </w:r>
          </w:p>
        </w:tc>
        <w:tc>
          <w:tcPr>
            <w:tcW w:w="1258" w:type="dxa"/>
            <w:tcBorders>
              <w:top w:val="nil"/>
              <w:left w:val="single" w:sz="4" w:space="0" w:color="auto"/>
              <w:bottom w:val="single" w:sz="4" w:space="0" w:color="auto"/>
              <w:right w:val="single" w:sz="4" w:space="0" w:color="auto"/>
            </w:tcBorders>
            <w:vAlign w:val="center"/>
          </w:tcPr>
          <w:p w14:paraId="1FCF940A" w14:textId="6B110E08" w:rsidR="003E620A" w:rsidRPr="008B02E0" w:rsidRDefault="003E620A"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8"/>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8"/>
                <w14:textFill>
                  <w14:solidFill>
                    <w14:srgbClr w14:val="000000">
                      <w14:alpha w14:val="100000"/>
                    </w14:srgbClr>
                  </w14:solidFill>
                </w14:textFill>
              </w:rPr>
              <w:t>|</w:t>
            </w:r>
            <w:r w:rsidR="00A76C3F" w:rsidRPr="00462223">
              <w:rPr>
                <w:rFonts w:ascii="Arial Narrow" w:hAnsi="Arial Narrow"/>
                <w:sz w:val="20"/>
                <w:szCs w:val="20"/>
                <w:vertAlign w:val="superscript"/>
              </w:rPr>
              <w:t>3</w:t>
            </w:r>
          </w:p>
        </w:tc>
        <w:tc>
          <w:tcPr>
            <w:tcW w:w="1277" w:type="dxa"/>
            <w:tcBorders>
              <w:top w:val="nil"/>
              <w:left w:val="single" w:sz="4" w:space="0" w:color="auto"/>
              <w:bottom w:val="single" w:sz="4" w:space="0" w:color="auto"/>
              <w:right w:val="single" w:sz="4" w:space="0" w:color="auto"/>
            </w:tcBorders>
            <w:vAlign w:val="center"/>
          </w:tcPr>
          <w:p w14:paraId="796F0C4F" w14:textId="7B58CB31" w:rsidR="003E620A" w:rsidRPr="008B02E0" w:rsidRDefault="003E620A" w:rsidP="00AE5B32">
            <w:pPr>
              <w:keepNext/>
              <w:keepLines/>
              <w:jc w:val="center"/>
              <w:rPr>
                <w:rFonts w:ascii="Arial Narrow" w:hAnsi="Arial Narrow"/>
                <w:sz w:val="20"/>
                <w:szCs w:val="20"/>
              </w:rPr>
            </w:pPr>
            <w:r w:rsidRPr="008B02E0">
              <w:rPr>
                <w:rFonts w:ascii="Arial Narrow" w:hAnsi="Arial Narrow"/>
                <w:sz w:val="20"/>
                <w:szCs w:val="20"/>
              </w:rPr>
              <w:t>$</w:t>
            </w:r>
            <w:r w:rsidR="00E11347" w:rsidRPr="00E11347">
              <w:rPr>
                <w:rFonts w:ascii="Arial Narrow" w:hAnsi="Arial Narrow"/>
                <w:color w:val="000000"/>
                <w:spacing w:val="53"/>
                <w:sz w:val="20"/>
                <w:szCs w:val="20"/>
                <w:shd w:val="solid" w:color="000000" w:fill="000000"/>
                <w:fitText w:val="330" w:id="-628963317"/>
                <w14:textFill>
                  <w14:solidFill>
                    <w14:srgbClr w14:val="000000">
                      <w14:alpha w14:val="100000"/>
                    </w14:srgbClr>
                  </w14:solidFill>
                </w14:textFill>
              </w:rPr>
              <w:t>|||</w:t>
            </w:r>
            <w:r w:rsidR="00E11347" w:rsidRPr="00E11347">
              <w:rPr>
                <w:rFonts w:ascii="Arial Narrow" w:hAnsi="Arial Narrow"/>
                <w:color w:val="000000"/>
                <w:spacing w:val="1"/>
                <w:sz w:val="20"/>
                <w:szCs w:val="20"/>
                <w:shd w:val="solid" w:color="000000" w:fill="000000"/>
                <w:fitText w:val="330" w:id="-628963317"/>
                <w14:textFill>
                  <w14:solidFill>
                    <w14:srgbClr w14:val="000000">
                      <w14:alpha w14:val="100000"/>
                    </w14:srgbClr>
                  </w14:solidFill>
                </w14:textFill>
              </w:rPr>
              <w:t>|</w:t>
            </w:r>
            <w:r w:rsidR="00A76C3F">
              <w:rPr>
                <w:rFonts w:ascii="Arial Narrow" w:hAnsi="Arial Narrow"/>
                <w:sz w:val="20"/>
                <w:szCs w:val="20"/>
                <w:vertAlign w:val="superscript"/>
              </w:rPr>
              <w:t>4</w:t>
            </w:r>
          </w:p>
        </w:tc>
      </w:tr>
    </w:tbl>
    <w:p w14:paraId="032D6F45" w14:textId="3BB3A165" w:rsidR="003A70B3" w:rsidRDefault="003A70B3" w:rsidP="00AE5B32">
      <w:pPr>
        <w:pStyle w:val="FooterTableFigure"/>
        <w:keepNext/>
        <w:keepLines/>
      </w:pPr>
      <w:r w:rsidRPr="008B02E0">
        <w:t>Source: Tables 124, 126, 127, 128, 129, pp174</w:t>
      </w:r>
      <w:r w:rsidR="009E5502">
        <w:noBreakHyphen/>
      </w:r>
      <w:r w:rsidRPr="008B02E0">
        <w:t xml:space="preserve">177 of the submission. </w:t>
      </w:r>
      <w:r w:rsidR="00D91CBD" w:rsidRPr="008B02E0">
        <w:t>PSCR</w:t>
      </w:r>
      <w:r w:rsidR="00B541F2" w:rsidRPr="008B02E0">
        <w:t>, ‘Pre</w:t>
      </w:r>
      <w:r w:rsidR="009E5502">
        <w:noBreakHyphen/>
      </w:r>
      <w:r w:rsidR="00B541F2" w:rsidRPr="008B02E0">
        <w:t xml:space="preserve">ESC </w:t>
      </w:r>
      <w:r w:rsidR="009E5502">
        <w:noBreakHyphen/>
      </w:r>
      <w:r w:rsidR="00B541F2" w:rsidRPr="008B02E0">
        <w:t xml:space="preserve"> Nivo plus Ipi 1L mCRC Utilisation and Cost Model.xlsm’</w:t>
      </w:r>
    </w:p>
    <w:p w14:paraId="0FC29630" w14:textId="37B06DB3" w:rsidR="00F551A0" w:rsidRDefault="00F551A0" w:rsidP="00AE5B32">
      <w:pPr>
        <w:pStyle w:val="FooterTableFigure"/>
        <w:keepNext/>
        <w:keepLines/>
        <w:rPr>
          <w:i/>
          <w:iCs/>
        </w:rPr>
      </w:pPr>
      <w:r>
        <w:rPr>
          <w:i/>
          <w:iCs/>
        </w:rPr>
        <w:t>The redacted values correspond to the following ranges:</w:t>
      </w:r>
    </w:p>
    <w:p w14:paraId="6E970517" w14:textId="56F040F4" w:rsidR="00F551A0" w:rsidRDefault="00F551A0" w:rsidP="00AE5B32">
      <w:pPr>
        <w:pStyle w:val="FooterTableFigure"/>
        <w:keepNext/>
        <w:keepLines/>
        <w:rPr>
          <w:i/>
          <w:iCs/>
        </w:rPr>
      </w:pPr>
      <w:r>
        <w:rPr>
          <w:i/>
          <w:iCs/>
          <w:vertAlign w:val="superscript"/>
        </w:rPr>
        <w:t xml:space="preserve">1 </w:t>
      </w:r>
      <w:r>
        <w:rPr>
          <w:i/>
          <w:iCs/>
        </w:rPr>
        <w:t>500 to &lt; 5,000</w:t>
      </w:r>
    </w:p>
    <w:p w14:paraId="711E76B8" w14:textId="64F4DD12" w:rsidR="00FB2569" w:rsidRPr="00377B8F" w:rsidRDefault="00FB2569" w:rsidP="00AE5B32">
      <w:pPr>
        <w:pStyle w:val="FooterTableFigure"/>
        <w:keepNext/>
        <w:keepLines/>
        <w:rPr>
          <w:i/>
          <w:iCs/>
          <w:szCs w:val="18"/>
        </w:rPr>
      </w:pPr>
      <w:r w:rsidRPr="00377B8F">
        <w:rPr>
          <w:szCs w:val="18"/>
          <w:vertAlign w:val="superscript"/>
        </w:rPr>
        <w:t xml:space="preserve">2 </w:t>
      </w:r>
      <w:r w:rsidRPr="00377B8F">
        <w:rPr>
          <w:i/>
          <w:iCs/>
          <w:szCs w:val="18"/>
        </w:rPr>
        <w:t>5,000 to &lt; 10,000</w:t>
      </w:r>
    </w:p>
    <w:p w14:paraId="5C8EB2E3" w14:textId="4C8F0812" w:rsidR="00FB2569" w:rsidRPr="00377B8F" w:rsidRDefault="00FB2569" w:rsidP="00AE5B32">
      <w:pPr>
        <w:pStyle w:val="FooterTableFigure"/>
        <w:keepNext/>
        <w:keepLines/>
        <w:rPr>
          <w:i/>
          <w:iCs/>
          <w:szCs w:val="18"/>
        </w:rPr>
      </w:pPr>
      <w:r w:rsidRPr="00377B8F">
        <w:rPr>
          <w:i/>
          <w:iCs/>
          <w:szCs w:val="18"/>
          <w:vertAlign w:val="superscript"/>
        </w:rPr>
        <w:t>3</w:t>
      </w:r>
      <w:r w:rsidRPr="00377B8F">
        <w:rPr>
          <w:i/>
          <w:iCs/>
          <w:szCs w:val="18"/>
        </w:rPr>
        <w:t xml:space="preserve"> </w:t>
      </w:r>
      <w:r w:rsidR="00377B8F" w:rsidRPr="00377B8F">
        <w:rPr>
          <w:i/>
          <w:iCs/>
          <w:szCs w:val="18"/>
        </w:rPr>
        <w:t>$60 million to &lt; $70 million</w:t>
      </w:r>
    </w:p>
    <w:p w14:paraId="2058E5E5" w14:textId="212C655F" w:rsidR="00377B8F" w:rsidRPr="00377B8F" w:rsidRDefault="00377B8F" w:rsidP="00AE5B32">
      <w:pPr>
        <w:pStyle w:val="FooterTableFigure"/>
        <w:keepNext/>
        <w:keepLines/>
        <w:rPr>
          <w:i/>
          <w:iCs/>
          <w:szCs w:val="18"/>
        </w:rPr>
      </w:pPr>
      <w:r w:rsidRPr="00377B8F">
        <w:rPr>
          <w:i/>
          <w:iCs/>
          <w:szCs w:val="18"/>
          <w:vertAlign w:val="superscript"/>
        </w:rPr>
        <w:t>4</w:t>
      </w:r>
      <w:r w:rsidRPr="00377B8F">
        <w:rPr>
          <w:i/>
          <w:iCs/>
          <w:szCs w:val="18"/>
        </w:rPr>
        <w:t xml:space="preserve"> $70 million to &lt; $80 million</w:t>
      </w:r>
    </w:p>
    <w:p w14:paraId="6CA46772" w14:textId="4E69C1B7" w:rsidR="00377B8F" w:rsidRPr="00377B8F" w:rsidRDefault="00377B8F" w:rsidP="00AE5B32">
      <w:pPr>
        <w:pStyle w:val="FooterTableFigure"/>
        <w:keepNext/>
        <w:keepLines/>
        <w:rPr>
          <w:i/>
          <w:iCs/>
          <w:szCs w:val="18"/>
        </w:rPr>
      </w:pPr>
      <w:r w:rsidRPr="00377B8F">
        <w:rPr>
          <w:i/>
          <w:iCs/>
          <w:szCs w:val="18"/>
          <w:vertAlign w:val="superscript"/>
        </w:rPr>
        <w:t>5</w:t>
      </w:r>
      <w:r w:rsidRPr="00377B8F">
        <w:rPr>
          <w:i/>
          <w:iCs/>
          <w:szCs w:val="18"/>
        </w:rPr>
        <w:t xml:space="preserve"> $80 million to &lt; $90 million</w:t>
      </w:r>
    </w:p>
    <w:p w14:paraId="395E4A90" w14:textId="00229F9D" w:rsidR="00377B8F" w:rsidRDefault="00377B8F" w:rsidP="00AE5B32">
      <w:pPr>
        <w:pStyle w:val="FooterTableFigure"/>
        <w:keepNext/>
        <w:keepLines/>
        <w:rPr>
          <w:i/>
          <w:iCs/>
        </w:rPr>
      </w:pPr>
      <w:r w:rsidRPr="00377B8F">
        <w:rPr>
          <w:i/>
          <w:iCs/>
          <w:vertAlign w:val="superscript"/>
        </w:rPr>
        <w:t>6</w:t>
      </w:r>
      <w:r w:rsidRPr="00377B8F">
        <w:rPr>
          <w:i/>
          <w:iCs/>
        </w:rPr>
        <w:t xml:space="preserve"> $90 million to &lt; $100 million</w:t>
      </w:r>
    </w:p>
    <w:p w14:paraId="2CDC1BA4" w14:textId="29E6EF90" w:rsidR="00377B8F" w:rsidRDefault="00377B8F" w:rsidP="00AE5B32">
      <w:pPr>
        <w:pStyle w:val="FooterTableFigure"/>
        <w:keepNext/>
        <w:keepLines/>
        <w:rPr>
          <w:i/>
          <w:iCs/>
        </w:rPr>
      </w:pPr>
      <w:r w:rsidRPr="00377B8F">
        <w:rPr>
          <w:i/>
          <w:iCs/>
          <w:vertAlign w:val="superscript"/>
        </w:rPr>
        <w:t>7</w:t>
      </w:r>
      <w:r>
        <w:rPr>
          <w:i/>
          <w:iCs/>
        </w:rPr>
        <w:t xml:space="preserve"> $10 million to &lt; $20 million</w:t>
      </w:r>
    </w:p>
    <w:p w14:paraId="02CBA404" w14:textId="21F74EC0" w:rsidR="00377B8F" w:rsidRDefault="00377B8F" w:rsidP="00AE5B32">
      <w:pPr>
        <w:pStyle w:val="FooterTableFigure"/>
        <w:keepNext/>
        <w:keepLines/>
        <w:rPr>
          <w:i/>
          <w:iCs/>
        </w:rPr>
      </w:pPr>
      <w:r w:rsidRPr="00377B8F">
        <w:rPr>
          <w:i/>
          <w:iCs/>
          <w:vertAlign w:val="superscript"/>
        </w:rPr>
        <w:t>8</w:t>
      </w:r>
      <w:r>
        <w:rPr>
          <w:i/>
          <w:iCs/>
        </w:rPr>
        <w:t xml:space="preserve"> $20 million to &lt; $30 million</w:t>
      </w:r>
    </w:p>
    <w:p w14:paraId="6717CEAA" w14:textId="61D7E8CF" w:rsidR="00377B8F" w:rsidRDefault="00377B8F" w:rsidP="00AE5B32">
      <w:pPr>
        <w:pStyle w:val="FooterTableFigure"/>
        <w:keepNext/>
        <w:keepLines/>
        <w:rPr>
          <w:i/>
          <w:iCs/>
        </w:rPr>
      </w:pPr>
      <w:r>
        <w:rPr>
          <w:i/>
          <w:iCs/>
          <w:vertAlign w:val="superscript"/>
        </w:rPr>
        <w:t xml:space="preserve">9 </w:t>
      </w:r>
      <w:r>
        <w:rPr>
          <w:i/>
          <w:iCs/>
        </w:rPr>
        <w:t>$0 to &lt; $10 million</w:t>
      </w:r>
    </w:p>
    <w:p w14:paraId="3E806CF0" w14:textId="69DF190D" w:rsidR="00462223" w:rsidRDefault="00462223" w:rsidP="00AE5B32">
      <w:pPr>
        <w:pStyle w:val="FooterTableFigure"/>
        <w:keepNext/>
        <w:keepLines/>
        <w:rPr>
          <w:i/>
          <w:iCs/>
        </w:rPr>
      </w:pPr>
      <w:r w:rsidRPr="00462223">
        <w:rPr>
          <w:i/>
          <w:iCs/>
          <w:vertAlign w:val="superscript"/>
        </w:rPr>
        <w:t>10</w:t>
      </w:r>
      <w:r>
        <w:rPr>
          <w:i/>
          <w:iCs/>
        </w:rPr>
        <w:t xml:space="preserve"> $40 million to &lt; $50 million</w:t>
      </w:r>
    </w:p>
    <w:p w14:paraId="54E0EF52" w14:textId="779FA426" w:rsidR="00462223" w:rsidRPr="00377B8F" w:rsidRDefault="00462223" w:rsidP="00AE5B32">
      <w:pPr>
        <w:pStyle w:val="FooterTableFigure"/>
        <w:keepNext/>
        <w:keepLines/>
        <w:rPr>
          <w:i/>
          <w:iCs/>
        </w:rPr>
      </w:pPr>
      <w:r w:rsidRPr="00462223">
        <w:rPr>
          <w:i/>
          <w:iCs/>
          <w:vertAlign w:val="superscript"/>
        </w:rPr>
        <w:t>11</w:t>
      </w:r>
      <w:r>
        <w:rPr>
          <w:i/>
          <w:iCs/>
        </w:rPr>
        <w:t xml:space="preserve"> $50 million to &lt; $60 million</w:t>
      </w:r>
    </w:p>
    <w:p w14:paraId="32E7840D" w14:textId="53E94FD6" w:rsidR="00D244B6" w:rsidRPr="008B02E0" w:rsidRDefault="003A70B3" w:rsidP="00AE5B32">
      <w:pPr>
        <w:pStyle w:val="3-BodyText"/>
        <w:rPr>
          <w:color w:val="0066FF"/>
        </w:rPr>
      </w:pPr>
      <w:r w:rsidRPr="008B02E0">
        <w:lastRenderedPageBreak/>
        <w:t>The total cost to the PBS/RPBS of listing nivolumab plus ipilimumab was estimated to be $</w:t>
      </w:r>
      <w:r w:rsidR="00A76C3F">
        <w:t>60 million to &lt; $70 million</w:t>
      </w:r>
      <w:r w:rsidRPr="008B02E0">
        <w:t xml:space="preserve"> in Year 6, and a total of $</w:t>
      </w:r>
      <w:r w:rsidR="00F431A1">
        <w:t>300 million to</w:t>
      </w:r>
      <w:r w:rsidR="00F431A1">
        <w:br/>
        <w:t>&lt; $400</w:t>
      </w:r>
      <w:r w:rsidRPr="008B02E0">
        <w:t xml:space="preserve"> million in the first 6 years of listing, based on assumed effective </w:t>
      </w:r>
      <w:r w:rsidRPr="008B02E0">
        <w:rPr>
          <w:color w:val="000000" w:themeColor="text1"/>
        </w:rPr>
        <w:t xml:space="preserve">DPMAs. </w:t>
      </w:r>
    </w:p>
    <w:p w14:paraId="05401D6C" w14:textId="5DEA1FE1" w:rsidR="003A70B3" w:rsidRPr="008B02E0" w:rsidRDefault="003A70B3" w:rsidP="00AE5B32">
      <w:pPr>
        <w:pStyle w:val="3-BodyText"/>
        <w:rPr>
          <w:iCs/>
          <w:color w:val="000000" w:themeColor="text1"/>
        </w:rPr>
      </w:pPr>
      <w:r w:rsidRPr="008B02E0">
        <w:rPr>
          <w:iCs/>
          <w:color w:val="000000" w:themeColor="text1"/>
        </w:rPr>
        <w:t xml:space="preserve">The </w:t>
      </w:r>
      <w:r w:rsidR="005135F9">
        <w:rPr>
          <w:iCs/>
          <w:color w:val="000000" w:themeColor="text1"/>
        </w:rPr>
        <w:t xml:space="preserve">evaluation noted the </w:t>
      </w:r>
      <w:r w:rsidRPr="008B02E0">
        <w:rPr>
          <w:iCs/>
          <w:color w:val="000000" w:themeColor="text1"/>
        </w:rPr>
        <w:t xml:space="preserve">different regimens made it difficult to convert pembrolizumab scripts to nivolumab and ipilimumab scripts. Specifically: </w:t>
      </w:r>
    </w:p>
    <w:p w14:paraId="07B57574" w14:textId="391750F9" w:rsidR="003A70B3" w:rsidRPr="008B02E0" w:rsidRDefault="003A70B3" w:rsidP="00AE5B32">
      <w:pPr>
        <w:pStyle w:val="3-BodyText"/>
        <w:numPr>
          <w:ilvl w:val="0"/>
          <w:numId w:val="13"/>
        </w:numPr>
        <w:ind w:left="1134"/>
        <w:rPr>
          <w:iCs/>
          <w:color w:val="000000" w:themeColor="text1"/>
        </w:rPr>
      </w:pPr>
      <w:r w:rsidRPr="008B02E0">
        <w:rPr>
          <w:iCs/>
          <w:color w:val="000000" w:themeColor="text1"/>
        </w:rPr>
        <w:t>PBS item numbers for pembrolizumab do not differentiate between initial and continuing scripts nor between 3</w:t>
      </w:r>
      <w:r w:rsidR="009E5502">
        <w:rPr>
          <w:iCs/>
          <w:color w:val="000000" w:themeColor="text1"/>
        </w:rPr>
        <w:noBreakHyphen/>
      </w:r>
      <w:r w:rsidRPr="008B02E0">
        <w:rPr>
          <w:iCs/>
          <w:color w:val="000000" w:themeColor="text1"/>
        </w:rPr>
        <w:t xml:space="preserve"> or 6</w:t>
      </w:r>
      <w:r w:rsidR="009E5502">
        <w:rPr>
          <w:iCs/>
          <w:color w:val="000000" w:themeColor="text1"/>
        </w:rPr>
        <w:noBreakHyphen/>
      </w:r>
      <w:r w:rsidRPr="008B02E0">
        <w:rPr>
          <w:iCs/>
          <w:color w:val="000000" w:themeColor="text1"/>
        </w:rPr>
        <w:t>weekly dosing regimens, and</w:t>
      </w:r>
    </w:p>
    <w:p w14:paraId="5767A5FA" w14:textId="4C7A3D63" w:rsidR="003A70B3" w:rsidRPr="008B02E0" w:rsidRDefault="003A70B3" w:rsidP="00AE5B32">
      <w:pPr>
        <w:pStyle w:val="3-BodyText"/>
        <w:numPr>
          <w:ilvl w:val="0"/>
          <w:numId w:val="13"/>
        </w:numPr>
        <w:ind w:left="1134"/>
        <w:rPr>
          <w:iCs/>
          <w:color w:val="000000" w:themeColor="text1"/>
        </w:rPr>
      </w:pPr>
      <w:r w:rsidRPr="008B02E0">
        <w:rPr>
          <w:iCs/>
          <w:color w:val="000000" w:themeColor="text1"/>
        </w:rPr>
        <w:t>Pembrolizumab is dosed in consistent cycle lengths across a two</w:t>
      </w:r>
      <w:r w:rsidR="009E5502">
        <w:rPr>
          <w:iCs/>
          <w:color w:val="000000" w:themeColor="text1"/>
        </w:rPr>
        <w:noBreakHyphen/>
      </w:r>
      <w:r w:rsidRPr="008B02E0">
        <w:rPr>
          <w:iCs/>
          <w:color w:val="000000" w:themeColor="text1"/>
        </w:rPr>
        <w:t>year time frame, whereas nivolumab and ipilimumab is dosed using ‘initiating’ and ‘continuing’ doses (also across a two</w:t>
      </w:r>
      <w:r w:rsidR="009E5502">
        <w:rPr>
          <w:iCs/>
          <w:color w:val="000000" w:themeColor="text1"/>
        </w:rPr>
        <w:noBreakHyphen/>
      </w:r>
      <w:r w:rsidRPr="008B02E0">
        <w:rPr>
          <w:iCs/>
          <w:color w:val="000000" w:themeColor="text1"/>
        </w:rPr>
        <w:t xml:space="preserve">year time frame) but which there is a difference in cycle lengths between ‘initiating’ and ‘continuing’ phases. </w:t>
      </w:r>
    </w:p>
    <w:p w14:paraId="3E57428F" w14:textId="38A8B057" w:rsidR="003A70B3" w:rsidRPr="008B02E0" w:rsidRDefault="003A70B3" w:rsidP="00AE5B32">
      <w:pPr>
        <w:pStyle w:val="3-BodyText"/>
        <w:numPr>
          <w:ilvl w:val="0"/>
          <w:numId w:val="0"/>
        </w:numPr>
        <w:ind w:left="850"/>
        <w:rPr>
          <w:iCs/>
          <w:color w:val="000000" w:themeColor="text1"/>
        </w:rPr>
      </w:pPr>
      <w:r w:rsidRPr="008B02E0">
        <w:rPr>
          <w:iCs/>
          <w:color w:val="000000" w:themeColor="text1"/>
        </w:rPr>
        <w:t xml:space="preserve">Given this, an epidemiological approach may have been more appropriate for estimating the health budget impacts. </w:t>
      </w:r>
      <w:r w:rsidR="002409FA" w:rsidRPr="008B02E0">
        <w:rPr>
          <w:iCs/>
          <w:color w:val="000000" w:themeColor="text1"/>
        </w:rPr>
        <w:t>The Pre</w:t>
      </w:r>
      <w:r w:rsidR="009E5502">
        <w:rPr>
          <w:iCs/>
          <w:color w:val="000000" w:themeColor="text1"/>
        </w:rPr>
        <w:noBreakHyphen/>
      </w:r>
      <w:r w:rsidR="002409FA" w:rsidRPr="008B02E0">
        <w:rPr>
          <w:iCs/>
          <w:color w:val="000000" w:themeColor="text1"/>
        </w:rPr>
        <w:t xml:space="preserve">PBAC Response </w:t>
      </w:r>
      <w:r w:rsidR="00561306" w:rsidRPr="008B02E0">
        <w:rPr>
          <w:iCs/>
          <w:color w:val="000000" w:themeColor="text1"/>
        </w:rPr>
        <w:t>argued that a market</w:t>
      </w:r>
      <w:r w:rsidR="009E5502">
        <w:rPr>
          <w:iCs/>
          <w:color w:val="000000" w:themeColor="text1"/>
        </w:rPr>
        <w:noBreakHyphen/>
      </w:r>
      <w:r w:rsidR="00561306" w:rsidRPr="008B02E0">
        <w:rPr>
          <w:iCs/>
          <w:color w:val="000000" w:themeColor="text1"/>
        </w:rPr>
        <w:t>share approach was aligned with the PBAC guidelines (Version 5.0</w:t>
      </w:r>
      <w:r w:rsidR="00E7512A" w:rsidRPr="008B02E0">
        <w:rPr>
          <w:iCs/>
          <w:color w:val="000000" w:themeColor="text1"/>
        </w:rPr>
        <w:t>, p103</w:t>
      </w:r>
      <w:r w:rsidR="00561306" w:rsidRPr="008B02E0">
        <w:rPr>
          <w:iCs/>
          <w:color w:val="000000" w:themeColor="text1"/>
        </w:rPr>
        <w:t xml:space="preserve">), however acknowledged that a mixed model may be required to account for the complexity and assumptions included as part of the financial impact model presented </w:t>
      </w:r>
      <w:r w:rsidR="00BF6E40" w:rsidRPr="008B02E0">
        <w:rPr>
          <w:iCs/>
          <w:color w:val="000000" w:themeColor="text1"/>
        </w:rPr>
        <w:t>in</w:t>
      </w:r>
      <w:r w:rsidR="00561306" w:rsidRPr="008B02E0">
        <w:rPr>
          <w:iCs/>
          <w:color w:val="000000" w:themeColor="text1"/>
        </w:rPr>
        <w:t xml:space="preserve"> the submission.</w:t>
      </w:r>
      <w:r w:rsidR="00561306" w:rsidRPr="008B02E0">
        <w:rPr>
          <w:sz w:val="22"/>
          <w:szCs w:val="22"/>
        </w:rPr>
        <w:t xml:space="preserve"> </w:t>
      </w:r>
    </w:p>
    <w:p w14:paraId="34A14084" w14:textId="16236985" w:rsidR="003A70B3" w:rsidRPr="008B02E0" w:rsidRDefault="003A70B3" w:rsidP="00AE5B32">
      <w:pPr>
        <w:pStyle w:val="3-BodyText"/>
        <w:rPr>
          <w:iCs/>
          <w:color w:val="000000" w:themeColor="text1"/>
        </w:rPr>
      </w:pPr>
      <w:r w:rsidRPr="008B02E0">
        <w:rPr>
          <w:iCs/>
          <w:color w:val="000000" w:themeColor="text1"/>
        </w:rPr>
        <w:t xml:space="preserve">Overall, the </w:t>
      </w:r>
      <w:r w:rsidR="000E062E" w:rsidRPr="008B02E0">
        <w:rPr>
          <w:color w:val="000000" w:themeColor="text1"/>
        </w:rPr>
        <w:t>evaluation considered that the</w:t>
      </w:r>
      <w:r w:rsidR="000E062E" w:rsidRPr="008B02E0">
        <w:rPr>
          <w:iCs/>
          <w:color w:val="000000" w:themeColor="text1"/>
        </w:rPr>
        <w:t xml:space="preserve"> </w:t>
      </w:r>
      <w:r w:rsidRPr="008B02E0">
        <w:rPr>
          <w:iCs/>
          <w:color w:val="000000" w:themeColor="text1"/>
        </w:rPr>
        <w:t xml:space="preserve">estimated net costs to the PBS/RPBS </w:t>
      </w:r>
      <w:r w:rsidR="000E062E" w:rsidRPr="008B02E0">
        <w:rPr>
          <w:iCs/>
          <w:color w:val="000000" w:themeColor="text1"/>
        </w:rPr>
        <w:t xml:space="preserve">were </w:t>
      </w:r>
      <w:r w:rsidRPr="008B02E0">
        <w:rPr>
          <w:iCs/>
          <w:color w:val="000000" w:themeColor="text1"/>
        </w:rPr>
        <w:t>unreliable for the following reasons:</w:t>
      </w:r>
    </w:p>
    <w:p w14:paraId="2934D641" w14:textId="5E4F21C0" w:rsidR="003A70B3" w:rsidRPr="008B02E0" w:rsidRDefault="003A70B3" w:rsidP="00AE5B32">
      <w:pPr>
        <w:pStyle w:val="3-BodyText"/>
        <w:numPr>
          <w:ilvl w:val="0"/>
          <w:numId w:val="12"/>
        </w:numPr>
        <w:ind w:left="1134"/>
        <w:rPr>
          <w:iCs/>
          <w:color w:val="000000" w:themeColor="text1"/>
        </w:rPr>
      </w:pPr>
      <w:r w:rsidRPr="008B02E0">
        <w:rPr>
          <w:iCs/>
          <w:color w:val="000000" w:themeColor="text1"/>
        </w:rPr>
        <w:t>The submission stated that a market share approach was used but this was confused with a ‘patient</w:t>
      </w:r>
      <w:r w:rsidR="009E5502">
        <w:rPr>
          <w:iCs/>
          <w:color w:val="000000" w:themeColor="text1"/>
        </w:rPr>
        <w:noBreakHyphen/>
      </w:r>
      <w:r w:rsidRPr="008B02E0">
        <w:rPr>
          <w:iCs/>
          <w:color w:val="000000" w:themeColor="text1"/>
        </w:rPr>
        <w:t xml:space="preserve">based’ approach </w:t>
      </w:r>
      <w:r w:rsidR="00350E3E" w:rsidRPr="008B02E0">
        <w:rPr>
          <w:iCs/>
        </w:rPr>
        <w:t>when pembrolizumab script numbers were substituted based on percentages derived from mean doses of initial and continuing treatment phases for nivolumab plus ipilimumab.</w:t>
      </w:r>
    </w:p>
    <w:p w14:paraId="6B0C4E55" w14:textId="2442DC8B" w:rsidR="003A70B3" w:rsidRPr="008B02E0" w:rsidRDefault="003A70B3" w:rsidP="00AE5B32">
      <w:pPr>
        <w:pStyle w:val="3-BodyText"/>
        <w:numPr>
          <w:ilvl w:val="0"/>
          <w:numId w:val="12"/>
        </w:numPr>
        <w:ind w:left="1134"/>
        <w:rPr>
          <w:iCs/>
          <w:color w:val="000000" w:themeColor="text1"/>
        </w:rPr>
      </w:pPr>
      <w:r w:rsidRPr="008B02E0">
        <w:rPr>
          <w:iCs/>
          <w:color w:val="000000" w:themeColor="text1"/>
        </w:rPr>
        <w:t>Scripts were estimated in one</w:t>
      </w:r>
      <w:r w:rsidR="009E5502">
        <w:rPr>
          <w:iCs/>
          <w:color w:val="000000" w:themeColor="text1"/>
        </w:rPr>
        <w:noBreakHyphen/>
      </w:r>
      <w:r w:rsidRPr="008B02E0">
        <w:rPr>
          <w:iCs/>
          <w:color w:val="000000" w:themeColor="text1"/>
        </w:rPr>
        <w:t>year intervals, hence the 2</w:t>
      </w:r>
      <w:r w:rsidR="009E5502">
        <w:rPr>
          <w:iCs/>
          <w:color w:val="000000" w:themeColor="text1"/>
        </w:rPr>
        <w:noBreakHyphen/>
      </w:r>
      <w:r w:rsidRPr="008B02E0">
        <w:rPr>
          <w:iCs/>
          <w:color w:val="000000" w:themeColor="text1"/>
        </w:rPr>
        <w:t>year treatment duration of either pembrolizumab or nivolumab plus ipilimumab was not accounted for.</w:t>
      </w:r>
    </w:p>
    <w:p w14:paraId="2156536B" w14:textId="59C6BC76" w:rsidR="00D263F1" w:rsidRPr="008B02E0" w:rsidRDefault="00D263F1" w:rsidP="00AE5B32">
      <w:pPr>
        <w:pStyle w:val="3-BodyText"/>
        <w:numPr>
          <w:ilvl w:val="0"/>
          <w:numId w:val="12"/>
        </w:numPr>
        <w:ind w:left="1134"/>
        <w:rPr>
          <w:iCs/>
        </w:rPr>
      </w:pPr>
      <w:r w:rsidRPr="008B02E0">
        <w:rPr>
          <w:iCs/>
        </w:rPr>
        <w:t>Initial nivolumab plus ipilimumab scripts were underestimated for year 1 (proportion based on 2 years of treatment applied to one year) and the same proportion of initiating scripts were assumed each year, even though in the subsequent years, there would</w:t>
      </w:r>
      <w:r w:rsidR="005B08F2" w:rsidRPr="008B02E0">
        <w:rPr>
          <w:iCs/>
        </w:rPr>
        <w:t xml:space="preserve"> likely</w:t>
      </w:r>
      <w:r w:rsidRPr="008B02E0">
        <w:rPr>
          <w:iCs/>
        </w:rPr>
        <w:t xml:space="preserve"> be a higher proportion of maintenance scripts (patients in second year of therapy as well as those commencing treatment). It was unclear whether this would over or underestimate the budget impact.</w:t>
      </w:r>
    </w:p>
    <w:p w14:paraId="1704FD6B" w14:textId="00EDD074" w:rsidR="003A70B3" w:rsidRPr="008B02E0" w:rsidRDefault="00172EAC" w:rsidP="00AE5B32">
      <w:pPr>
        <w:pStyle w:val="3-BodyText"/>
        <w:numPr>
          <w:ilvl w:val="0"/>
          <w:numId w:val="12"/>
        </w:numPr>
        <w:ind w:left="1134"/>
        <w:rPr>
          <w:iCs/>
          <w:color w:val="000000" w:themeColor="text1"/>
        </w:rPr>
      </w:pPr>
      <w:r w:rsidRPr="008B02E0">
        <w:rPr>
          <w:iCs/>
          <w:color w:val="000000" w:themeColor="text1"/>
        </w:rPr>
        <w:t xml:space="preserve">The </w:t>
      </w:r>
      <w:r w:rsidR="003A70B3" w:rsidRPr="008B02E0">
        <w:rPr>
          <w:iCs/>
          <w:color w:val="000000" w:themeColor="text1"/>
        </w:rPr>
        <w:t xml:space="preserve">treatment duration was longer for nivolumab and ipilimumab vs pembrolizumab given the longer PFS observed for nivolumab and ipilimumab, however this was not accounted for in the financial estimates, resulting in underestimated costs for nivolumab plus ipilimumab. </w:t>
      </w:r>
    </w:p>
    <w:p w14:paraId="2238DEE9" w14:textId="3E6A228B" w:rsidR="00576972" w:rsidRPr="008B02E0" w:rsidRDefault="00576972" w:rsidP="00AE5B32">
      <w:pPr>
        <w:pStyle w:val="4-SubsectionHeading"/>
      </w:pPr>
      <w:bookmarkStart w:id="102" w:name="_Toc22897648"/>
      <w:bookmarkStart w:id="103" w:name="_Toc198731751"/>
      <w:r w:rsidRPr="008B02E0">
        <w:t>Quality Use of Medicines</w:t>
      </w:r>
      <w:bookmarkEnd w:id="102"/>
      <w:bookmarkEnd w:id="103"/>
    </w:p>
    <w:p w14:paraId="38BD0AEF" w14:textId="6B884FC7" w:rsidR="00576972" w:rsidRPr="008B02E0" w:rsidRDefault="005B5EF9" w:rsidP="00AE5B32">
      <w:pPr>
        <w:pStyle w:val="3-BodyText"/>
        <w:rPr>
          <w:color w:val="0066FF"/>
        </w:rPr>
      </w:pPr>
      <w:r w:rsidRPr="008B02E0">
        <w:t>The sponsor intends to engage in a range of activities supporting the quality use of nivolumab plus ipilimumab in the treatment of first</w:t>
      </w:r>
      <w:r w:rsidR="009E5502">
        <w:noBreakHyphen/>
      </w:r>
      <w:r w:rsidRPr="008B02E0">
        <w:t xml:space="preserve">line mCRC. These include physician, nursing and pharmacy education in the appropriate use of the medicine. </w:t>
      </w:r>
      <w:r w:rsidRPr="008B02E0">
        <w:lastRenderedPageBreak/>
        <w:t>Safety concerns for nivolumab plus ipilimumab are outlined in a risk management plan and there is a commitment to an ongoing pharmacovigilance program.</w:t>
      </w:r>
    </w:p>
    <w:p w14:paraId="6015A395" w14:textId="2EDB6A4E" w:rsidR="00576972" w:rsidRPr="008B02E0" w:rsidRDefault="00576972" w:rsidP="00AE5B32">
      <w:pPr>
        <w:pStyle w:val="4-SubsectionHeading"/>
      </w:pPr>
      <w:bookmarkStart w:id="104" w:name="_Toc22897649"/>
      <w:bookmarkStart w:id="105" w:name="_Toc198731752"/>
      <w:r w:rsidRPr="008B02E0">
        <w:t>Financial Management – Risk Sharing Arrangements</w:t>
      </w:r>
      <w:bookmarkEnd w:id="104"/>
      <w:bookmarkEnd w:id="105"/>
    </w:p>
    <w:p w14:paraId="6B596B42" w14:textId="76513B21" w:rsidR="00DB40FC" w:rsidRPr="008B02E0" w:rsidRDefault="005B5EF9" w:rsidP="00AE5B32">
      <w:pPr>
        <w:pStyle w:val="3-BodyText"/>
        <w:rPr>
          <w:iCs/>
        </w:rPr>
      </w:pPr>
      <w:r w:rsidRPr="008B02E0">
        <w:rPr>
          <w:iCs/>
        </w:rPr>
        <w:t>The submission did not propose a Risk Sharing Arrangement</w:t>
      </w:r>
      <w:r w:rsidR="0057203E" w:rsidRPr="008B02E0">
        <w:rPr>
          <w:iCs/>
        </w:rPr>
        <w:t xml:space="preserve"> (RSA)</w:t>
      </w:r>
      <w:r w:rsidRPr="008B02E0">
        <w:rPr>
          <w:iCs/>
        </w:rPr>
        <w:t>.</w:t>
      </w:r>
      <w:r w:rsidR="002A2FE5" w:rsidRPr="008B02E0">
        <w:rPr>
          <w:iCs/>
        </w:rPr>
        <w:t xml:space="preserve"> The PBAC </w:t>
      </w:r>
      <w:r w:rsidR="00EE212B" w:rsidRPr="008B02E0">
        <w:rPr>
          <w:iCs/>
        </w:rPr>
        <w:t xml:space="preserve">previously </w:t>
      </w:r>
      <w:r w:rsidR="002A2FE5" w:rsidRPr="008B02E0">
        <w:rPr>
          <w:iCs/>
        </w:rPr>
        <w:t xml:space="preserve">recommended an RSA </w:t>
      </w:r>
      <w:r w:rsidR="00EE212B" w:rsidRPr="008B02E0">
        <w:rPr>
          <w:iCs/>
        </w:rPr>
        <w:t>with expenditure caps would be appropriate for pembrolizumab (paragraph 7.10, pembrolizumab PSD, March 2021 PBAC meeting).</w:t>
      </w:r>
      <w:r w:rsidR="004A5960" w:rsidRPr="008B02E0">
        <w:rPr>
          <w:iCs/>
        </w:rPr>
        <w:t xml:space="preserve"> </w:t>
      </w:r>
    </w:p>
    <w:p w14:paraId="1FBA61C6" w14:textId="680BE62E" w:rsidR="00B63541" w:rsidRPr="008B02E0" w:rsidRDefault="00DB40FC" w:rsidP="00AE5B32">
      <w:pPr>
        <w:pStyle w:val="3-BodyText"/>
        <w:numPr>
          <w:ilvl w:val="0"/>
          <w:numId w:val="0"/>
        </w:numPr>
        <w:ind w:left="720"/>
        <w:rPr>
          <w:i/>
        </w:rPr>
      </w:pPr>
      <w:r w:rsidRPr="008B02E0">
        <w:rPr>
          <w:i/>
        </w:rPr>
        <w:t>For more detail on PBAC’s view, see section 7 PBAC outcome.</w:t>
      </w:r>
    </w:p>
    <w:p w14:paraId="382BD998" w14:textId="77777777" w:rsidR="00555559" w:rsidRPr="008B02E0" w:rsidRDefault="00555559" w:rsidP="00AE5B32">
      <w:pPr>
        <w:pStyle w:val="2-SectionHeading"/>
        <w:numPr>
          <w:ilvl w:val="0"/>
          <w:numId w:val="1"/>
        </w:numPr>
      </w:pPr>
      <w:bookmarkStart w:id="106" w:name="_Hlk76381249"/>
      <w:bookmarkStart w:id="107" w:name="_Hlk76377955"/>
      <w:r w:rsidRPr="008B02E0">
        <w:t>PBAC Outcome</w:t>
      </w:r>
    </w:p>
    <w:p w14:paraId="1FA8E4B9" w14:textId="4558D214" w:rsidR="00555559" w:rsidRPr="008B02E0" w:rsidRDefault="00555559" w:rsidP="00AE5B32">
      <w:pPr>
        <w:numPr>
          <w:ilvl w:val="1"/>
          <w:numId w:val="1"/>
        </w:numPr>
        <w:spacing w:after="120"/>
        <w:rPr>
          <w:rStyle w:val="null1"/>
          <w:rFonts w:asciiTheme="minorHAnsi" w:hAnsiTheme="minorHAnsi"/>
          <w:snapToGrid w:val="0"/>
        </w:rPr>
      </w:pPr>
      <w:r w:rsidRPr="008B02E0">
        <w:rPr>
          <w:rFonts w:asciiTheme="minorHAnsi" w:hAnsiTheme="minorHAnsi"/>
          <w:snapToGrid w:val="0"/>
        </w:rPr>
        <w:t>The PBAC did not recommend</w:t>
      </w:r>
      <w:r w:rsidR="0048477E" w:rsidRPr="008B02E0">
        <w:rPr>
          <w:rFonts w:asciiTheme="minorHAnsi" w:hAnsiTheme="minorHAnsi"/>
          <w:snapToGrid w:val="0"/>
        </w:rPr>
        <w:t xml:space="preserve"> </w:t>
      </w:r>
      <w:r w:rsidR="00C5262F" w:rsidRPr="008B02E0">
        <w:t>nivolumab plus ipilimumab</w:t>
      </w:r>
      <w:r w:rsidR="00BD1A83" w:rsidRPr="008B02E0">
        <w:t xml:space="preserve"> </w:t>
      </w:r>
      <w:r w:rsidR="00C5262F" w:rsidRPr="008B02E0">
        <w:t>for the first line treatment of microsatellite instability high (MSI</w:t>
      </w:r>
      <w:r w:rsidR="009E5502">
        <w:noBreakHyphen/>
      </w:r>
      <w:r w:rsidR="00C5262F" w:rsidRPr="008B02E0">
        <w:t xml:space="preserve">H) or mismatch repair deficient (dMMR) </w:t>
      </w:r>
      <w:r w:rsidR="00BF2B0A" w:rsidRPr="008B02E0">
        <w:t xml:space="preserve">unresectable or </w:t>
      </w:r>
      <w:r w:rsidR="00C5262F" w:rsidRPr="008B02E0">
        <w:t>metastatic colorectal cancer (mCRC).</w:t>
      </w:r>
      <w:r w:rsidR="00E23FB5" w:rsidRPr="008B02E0">
        <w:t xml:space="preserve"> </w:t>
      </w:r>
      <w:r w:rsidR="001638F6" w:rsidRPr="008B02E0">
        <w:rPr>
          <w:rFonts w:asciiTheme="minorHAnsi" w:hAnsiTheme="minorHAnsi" w:cstheme="minorHAnsi"/>
        </w:rPr>
        <w:t xml:space="preserve">The PBAC </w:t>
      </w:r>
      <w:r w:rsidR="001C2671" w:rsidRPr="008B02E0">
        <w:rPr>
          <w:rFonts w:asciiTheme="minorHAnsi" w:hAnsiTheme="minorHAnsi" w:cstheme="minorHAnsi"/>
        </w:rPr>
        <w:t xml:space="preserve">considered that the clinical evidence, which was based on </w:t>
      </w:r>
      <w:r w:rsidR="001C2671" w:rsidRPr="008B02E0">
        <w:t xml:space="preserve">indirect </w:t>
      </w:r>
      <w:r w:rsidR="009C44FD">
        <w:t xml:space="preserve">treatment </w:t>
      </w:r>
      <w:r w:rsidR="001C2671" w:rsidRPr="008B02E0">
        <w:t xml:space="preserve">comparisons, </w:t>
      </w:r>
      <w:r w:rsidR="001C40AA">
        <w:t>was</w:t>
      </w:r>
      <w:r w:rsidR="001C2671" w:rsidRPr="008B02E0">
        <w:t xml:space="preserve"> supportive</w:t>
      </w:r>
      <w:r w:rsidR="00C7176F" w:rsidRPr="008B02E0">
        <w:t xml:space="preserve"> of</w:t>
      </w:r>
      <w:r w:rsidR="001C2671" w:rsidRPr="008B02E0">
        <w:t xml:space="preserve"> superior effectiveness, based on progression free survival (PFS), however the magnitude of benefit was uncertain</w:t>
      </w:r>
      <w:r w:rsidR="00013DF8" w:rsidRPr="008B02E0">
        <w:rPr>
          <w:rStyle w:val="null1"/>
          <w:rFonts w:asciiTheme="minorHAnsi" w:hAnsiTheme="minorHAnsi" w:cstheme="minorHAnsi"/>
        </w:rPr>
        <w:t>.</w:t>
      </w:r>
      <w:r w:rsidR="006756FE">
        <w:rPr>
          <w:rStyle w:val="null1"/>
          <w:rFonts w:asciiTheme="minorHAnsi" w:hAnsiTheme="minorHAnsi" w:cstheme="minorHAnsi"/>
        </w:rPr>
        <w:t xml:space="preserve"> </w:t>
      </w:r>
      <w:r w:rsidR="0066514C">
        <w:rPr>
          <w:rStyle w:val="null1"/>
          <w:rFonts w:asciiTheme="minorHAnsi" w:hAnsiTheme="minorHAnsi" w:cstheme="minorHAnsi"/>
        </w:rPr>
        <w:t>The PBAC considered th</w:t>
      </w:r>
      <w:r w:rsidR="00972E77">
        <w:rPr>
          <w:rStyle w:val="null1"/>
          <w:rFonts w:asciiTheme="minorHAnsi" w:hAnsiTheme="minorHAnsi" w:cstheme="minorHAnsi"/>
        </w:rPr>
        <w:t>at the cost</w:t>
      </w:r>
      <w:r w:rsidR="009E5502">
        <w:rPr>
          <w:rStyle w:val="null1"/>
          <w:rFonts w:asciiTheme="minorHAnsi" w:hAnsiTheme="minorHAnsi" w:cstheme="minorHAnsi"/>
        </w:rPr>
        <w:noBreakHyphen/>
      </w:r>
      <w:r w:rsidR="00972E77">
        <w:rPr>
          <w:rStyle w:val="null1"/>
          <w:rFonts w:asciiTheme="minorHAnsi" w:hAnsiTheme="minorHAnsi" w:cstheme="minorHAnsi"/>
        </w:rPr>
        <w:t xml:space="preserve">effectiveness model </w:t>
      </w:r>
      <w:r w:rsidR="00287E7B">
        <w:rPr>
          <w:rStyle w:val="null1"/>
          <w:rFonts w:asciiTheme="minorHAnsi" w:hAnsiTheme="minorHAnsi" w:cstheme="minorHAnsi"/>
        </w:rPr>
        <w:t>did not provide</w:t>
      </w:r>
      <w:r w:rsidR="00972E77">
        <w:rPr>
          <w:rStyle w:val="null1"/>
          <w:rFonts w:asciiTheme="minorHAnsi" w:hAnsiTheme="minorHAnsi" w:cstheme="minorHAnsi"/>
        </w:rPr>
        <w:t xml:space="preserve"> a good basis for decision making</w:t>
      </w:r>
      <w:r w:rsidR="0051266B">
        <w:rPr>
          <w:rStyle w:val="null1"/>
          <w:rFonts w:asciiTheme="minorHAnsi" w:hAnsiTheme="minorHAnsi" w:cstheme="minorHAnsi"/>
        </w:rPr>
        <w:t>,</w:t>
      </w:r>
      <w:r w:rsidR="00972E77">
        <w:rPr>
          <w:rStyle w:val="null1"/>
          <w:rFonts w:asciiTheme="minorHAnsi" w:hAnsiTheme="minorHAnsi" w:cstheme="minorHAnsi"/>
        </w:rPr>
        <w:t xml:space="preserve"> particularly due to the uncertain extrapolation of clinical benefit</w:t>
      </w:r>
      <w:r w:rsidR="0051266B">
        <w:rPr>
          <w:rStyle w:val="null1"/>
          <w:rFonts w:asciiTheme="minorHAnsi" w:hAnsiTheme="minorHAnsi" w:cstheme="minorHAnsi"/>
        </w:rPr>
        <w:t>s</w:t>
      </w:r>
      <w:r w:rsidR="00972E77">
        <w:rPr>
          <w:rStyle w:val="null1"/>
          <w:rFonts w:asciiTheme="minorHAnsi" w:hAnsiTheme="minorHAnsi" w:cstheme="minorHAnsi"/>
        </w:rPr>
        <w:t xml:space="preserve"> and underlying </w:t>
      </w:r>
      <w:r w:rsidR="0051266B">
        <w:rPr>
          <w:rStyle w:val="null1"/>
          <w:rFonts w:asciiTheme="minorHAnsi" w:hAnsiTheme="minorHAnsi" w:cstheme="minorHAnsi"/>
        </w:rPr>
        <w:t>structural limitations</w:t>
      </w:r>
      <w:r w:rsidR="00934976">
        <w:rPr>
          <w:rStyle w:val="null1"/>
          <w:rFonts w:asciiTheme="minorHAnsi" w:hAnsiTheme="minorHAnsi" w:cstheme="minorHAnsi"/>
        </w:rPr>
        <w:t>.</w:t>
      </w:r>
      <w:r w:rsidR="00013DF8" w:rsidRPr="008B02E0">
        <w:rPr>
          <w:rStyle w:val="null1"/>
          <w:rFonts w:asciiTheme="minorHAnsi" w:hAnsiTheme="minorHAnsi" w:cstheme="minorHAnsi"/>
        </w:rPr>
        <w:t xml:space="preserve"> </w:t>
      </w:r>
      <w:r w:rsidR="00C80ACB" w:rsidRPr="008B02E0">
        <w:rPr>
          <w:rStyle w:val="null1"/>
          <w:rFonts w:asciiTheme="minorHAnsi" w:hAnsiTheme="minorHAnsi" w:cstheme="minorHAnsi"/>
        </w:rPr>
        <w:t xml:space="preserve">The PBAC </w:t>
      </w:r>
      <w:r w:rsidR="00533FB6" w:rsidRPr="008B02E0">
        <w:rPr>
          <w:rStyle w:val="null1"/>
          <w:rFonts w:asciiTheme="minorHAnsi" w:hAnsiTheme="minorHAnsi" w:cstheme="minorHAnsi"/>
        </w:rPr>
        <w:t>also considered</w:t>
      </w:r>
      <w:r w:rsidR="00C80ACB" w:rsidRPr="008B02E0">
        <w:rPr>
          <w:rStyle w:val="null1"/>
          <w:rFonts w:asciiTheme="minorHAnsi" w:hAnsiTheme="minorHAnsi" w:cstheme="minorHAnsi"/>
        </w:rPr>
        <w:t xml:space="preserve"> that the financial</w:t>
      </w:r>
      <w:r w:rsidR="003B50F5" w:rsidRPr="008B02E0">
        <w:rPr>
          <w:rStyle w:val="null1"/>
          <w:rFonts w:asciiTheme="minorHAnsi" w:hAnsiTheme="minorHAnsi" w:cstheme="minorHAnsi"/>
        </w:rPr>
        <w:t xml:space="preserve"> estimates</w:t>
      </w:r>
      <w:r w:rsidR="00C80ACB" w:rsidRPr="008B02E0">
        <w:rPr>
          <w:rStyle w:val="null1"/>
          <w:rFonts w:asciiTheme="minorHAnsi" w:hAnsiTheme="minorHAnsi" w:cstheme="minorHAnsi"/>
        </w:rPr>
        <w:t xml:space="preserve"> were uncertain and likely overestimated and would </w:t>
      </w:r>
      <w:r w:rsidR="003B50F5" w:rsidRPr="008B02E0">
        <w:rPr>
          <w:rStyle w:val="null1"/>
          <w:rFonts w:asciiTheme="minorHAnsi" w:hAnsiTheme="minorHAnsi" w:cstheme="minorHAnsi"/>
        </w:rPr>
        <w:t>likely require</w:t>
      </w:r>
      <w:r w:rsidR="001D6AD6" w:rsidRPr="008B02E0">
        <w:rPr>
          <w:rStyle w:val="null1"/>
          <w:rFonts w:asciiTheme="minorHAnsi" w:hAnsiTheme="minorHAnsi" w:cstheme="minorHAnsi"/>
        </w:rPr>
        <w:t xml:space="preserve"> </w:t>
      </w:r>
      <w:r w:rsidR="003B50F5" w:rsidRPr="008B02E0">
        <w:rPr>
          <w:rStyle w:val="null1"/>
          <w:rFonts w:asciiTheme="minorHAnsi" w:hAnsiTheme="minorHAnsi" w:cstheme="minorHAnsi"/>
        </w:rPr>
        <w:t xml:space="preserve">revision with </w:t>
      </w:r>
      <w:r w:rsidR="00C80ACB" w:rsidRPr="008B02E0">
        <w:rPr>
          <w:rStyle w:val="null1"/>
          <w:rFonts w:asciiTheme="minorHAnsi" w:hAnsiTheme="minorHAnsi" w:cstheme="minorHAnsi"/>
        </w:rPr>
        <w:t xml:space="preserve">an epidemiological </w:t>
      </w:r>
      <w:r w:rsidR="00B438AD">
        <w:rPr>
          <w:rStyle w:val="null1"/>
          <w:rFonts w:asciiTheme="minorHAnsi" w:hAnsiTheme="minorHAnsi" w:cstheme="minorHAnsi"/>
        </w:rPr>
        <w:t>or mixed</w:t>
      </w:r>
      <w:r w:rsidR="00415149">
        <w:rPr>
          <w:rStyle w:val="null1"/>
          <w:rFonts w:asciiTheme="minorHAnsi" w:hAnsiTheme="minorHAnsi" w:cstheme="minorHAnsi"/>
        </w:rPr>
        <w:t xml:space="preserve"> </w:t>
      </w:r>
      <w:r w:rsidR="00B438AD">
        <w:rPr>
          <w:rStyle w:val="null1"/>
          <w:rFonts w:asciiTheme="minorHAnsi" w:hAnsiTheme="minorHAnsi" w:cstheme="minorHAnsi"/>
        </w:rPr>
        <w:t xml:space="preserve">model </w:t>
      </w:r>
      <w:r w:rsidR="00C80ACB" w:rsidRPr="008B02E0">
        <w:rPr>
          <w:rStyle w:val="null1"/>
          <w:rFonts w:asciiTheme="minorHAnsi" w:hAnsiTheme="minorHAnsi" w:cstheme="minorHAnsi"/>
        </w:rPr>
        <w:t>approach</w:t>
      </w:r>
      <w:r w:rsidR="00FF7360" w:rsidRPr="008B02E0">
        <w:rPr>
          <w:rStyle w:val="null1"/>
          <w:rFonts w:asciiTheme="minorHAnsi" w:hAnsiTheme="minorHAnsi" w:cstheme="minorHAnsi"/>
        </w:rPr>
        <w:t>.</w:t>
      </w:r>
    </w:p>
    <w:p w14:paraId="62EA3B0E" w14:textId="51EE46A3" w:rsidR="00E60D69" w:rsidRPr="008B02E0" w:rsidRDefault="00E60D69" w:rsidP="00AE5B32">
      <w:pPr>
        <w:numPr>
          <w:ilvl w:val="1"/>
          <w:numId w:val="1"/>
        </w:numPr>
        <w:spacing w:after="120"/>
        <w:rPr>
          <w:rStyle w:val="null1"/>
          <w:rFonts w:asciiTheme="minorHAnsi" w:hAnsiTheme="minorHAnsi"/>
          <w:snapToGrid w:val="0"/>
        </w:rPr>
      </w:pPr>
      <w:r w:rsidRPr="008B02E0">
        <w:rPr>
          <w:rStyle w:val="null1"/>
          <w:rFonts w:asciiTheme="minorHAnsi" w:hAnsiTheme="minorHAnsi" w:cstheme="minorHAnsi"/>
        </w:rPr>
        <w:t xml:space="preserve">The PBAC considered the primary reason for this outcome was due to the economic evaluation. </w:t>
      </w:r>
    </w:p>
    <w:p w14:paraId="561A3C64" w14:textId="7C73C420" w:rsidR="00A851F8" w:rsidRPr="008B02E0" w:rsidRDefault="00135424" w:rsidP="00AE5B32">
      <w:pPr>
        <w:numPr>
          <w:ilvl w:val="1"/>
          <w:numId w:val="1"/>
        </w:numPr>
        <w:spacing w:after="120"/>
        <w:rPr>
          <w:rStyle w:val="null1"/>
          <w:rFonts w:asciiTheme="minorHAnsi" w:hAnsiTheme="minorHAnsi"/>
          <w:bCs/>
          <w:iCs/>
          <w:snapToGrid w:val="0"/>
        </w:rPr>
      </w:pPr>
      <w:r w:rsidRPr="008B02E0">
        <w:rPr>
          <w:rStyle w:val="null1"/>
          <w:rFonts w:asciiTheme="minorHAnsi" w:hAnsiTheme="minorHAnsi"/>
          <w:snapToGrid w:val="0"/>
        </w:rPr>
        <w:t>The Committee acknowledged the input from</w:t>
      </w:r>
      <w:r w:rsidRPr="008B02E0">
        <w:rPr>
          <w:rFonts w:asciiTheme="minorHAnsi" w:hAnsiTheme="minorHAnsi"/>
          <w:bCs/>
          <w:iCs/>
          <w:snapToGrid w:val="0"/>
        </w:rPr>
        <w:t xml:space="preserve"> health professionals, individuals, and consumer and medical organisations, including Rare Cancers Australia, Bowel Cancer Australia, and the Medical Oncology Group Australia (MOGA).</w:t>
      </w:r>
      <w:r w:rsidR="002020CD" w:rsidRPr="008B02E0">
        <w:rPr>
          <w:rFonts w:asciiTheme="minorHAnsi" w:hAnsiTheme="minorHAnsi"/>
          <w:bCs/>
          <w:iCs/>
          <w:snapToGrid w:val="0"/>
        </w:rPr>
        <w:t xml:space="preserve"> </w:t>
      </w:r>
      <w:r w:rsidR="002020CD" w:rsidRPr="008B02E0">
        <w:rPr>
          <w:bCs/>
          <w:snapToGrid w:val="0"/>
        </w:rPr>
        <w:t>The PBAC noted the input emphasising the</w:t>
      </w:r>
      <w:r w:rsidR="00406D34" w:rsidRPr="008B02E0">
        <w:rPr>
          <w:bCs/>
          <w:snapToGrid w:val="0"/>
        </w:rPr>
        <w:t xml:space="preserve"> high</w:t>
      </w:r>
      <w:r w:rsidR="002020CD" w:rsidRPr="008B02E0">
        <w:rPr>
          <w:bCs/>
          <w:snapToGrid w:val="0"/>
        </w:rPr>
        <w:t xml:space="preserve"> risk</w:t>
      </w:r>
      <w:r w:rsidR="008B5F01" w:rsidRPr="008B02E0">
        <w:rPr>
          <w:bCs/>
          <w:snapToGrid w:val="0"/>
        </w:rPr>
        <w:t xml:space="preserve"> </w:t>
      </w:r>
      <w:r w:rsidR="005A25FD" w:rsidRPr="008B02E0">
        <w:rPr>
          <w:bCs/>
          <w:snapToGrid w:val="0"/>
        </w:rPr>
        <w:t xml:space="preserve">of </w:t>
      </w:r>
      <w:r w:rsidR="002020CD" w:rsidRPr="008B02E0">
        <w:rPr>
          <w:bCs/>
          <w:snapToGrid w:val="0"/>
        </w:rPr>
        <w:t xml:space="preserve">disease </w:t>
      </w:r>
      <w:r w:rsidR="00BD3814">
        <w:rPr>
          <w:bCs/>
          <w:snapToGrid w:val="0"/>
        </w:rPr>
        <w:t>progression</w:t>
      </w:r>
      <w:r w:rsidR="002020CD" w:rsidRPr="008B02E0">
        <w:rPr>
          <w:bCs/>
          <w:snapToGrid w:val="0"/>
        </w:rPr>
        <w:t xml:space="preserve"> for this population and the need for additional therapies</w:t>
      </w:r>
      <w:r w:rsidR="00E21F1D" w:rsidRPr="008B02E0">
        <w:rPr>
          <w:rFonts w:asciiTheme="minorHAnsi" w:hAnsiTheme="minorHAnsi"/>
          <w:bCs/>
          <w:iCs/>
          <w:snapToGrid w:val="0"/>
        </w:rPr>
        <w:t xml:space="preserve">. The input noted </w:t>
      </w:r>
      <w:r w:rsidR="00B96D84" w:rsidRPr="008B02E0">
        <w:rPr>
          <w:rFonts w:asciiTheme="minorHAnsi" w:hAnsiTheme="minorHAnsi"/>
          <w:bCs/>
          <w:iCs/>
          <w:snapToGrid w:val="0"/>
        </w:rPr>
        <w:t>the positive results of the CM</w:t>
      </w:r>
      <w:r w:rsidR="009E5502">
        <w:rPr>
          <w:rFonts w:asciiTheme="minorHAnsi" w:hAnsiTheme="minorHAnsi"/>
          <w:bCs/>
          <w:iCs/>
          <w:snapToGrid w:val="0"/>
        </w:rPr>
        <w:noBreakHyphen/>
      </w:r>
      <w:r w:rsidR="00B96D84" w:rsidRPr="008B02E0">
        <w:rPr>
          <w:rFonts w:asciiTheme="minorHAnsi" w:hAnsiTheme="minorHAnsi"/>
          <w:bCs/>
          <w:iCs/>
          <w:snapToGrid w:val="0"/>
        </w:rPr>
        <w:t xml:space="preserve">8HW trial showing a </w:t>
      </w:r>
      <w:r w:rsidR="00E21F1D" w:rsidRPr="008B02E0">
        <w:rPr>
          <w:rFonts w:asciiTheme="minorHAnsi" w:hAnsiTheme="minorHAnsi"/>
          <w:bCs/>
          <w:iCs/>
          <w:snapToGrid w:val="0"/>
        </w:rPr>
        <w:t>PFS</w:t>
      </w:r>
      <w:r w:rsidR="00B96D84" w:rsidRPr="008B02E0">
        <w:rPr>
          <w:rFonts w:asciiTheme="minorHAnsi" w:hAnsiTheme="minorHAnsi"/>
          <w:bCs/>
          <w:iCs/>
          <w:snapToGrid w:val="0"/>
        </w:rPr>
        <w:t xml:space="preserve"> benefit compared with chemotherapy</w:t>
      </w:r>
      <w:r w:rsidR="005D7DE8" w:rsidRPr="008B02E0">
        <w:rPr>
          <w:rFonts w:asciiTheme="minorHAnsi" w:hAnsiTheme="minorHAnsi"/>
          <w:bCs/>
          <w:iCs/>
          <w:snapToGrid w:val="0"/>
        </w:rPr>
        <w:t>. The input</w:t>
      </w:r>
      <w:r w:rsidR="005E7806" w:rsidRPr="008B02E0">
        <w:rPr>
          <w:rFonts w:asciiTheme="minorHAnsi" w:hAnsiTheme="minorHAnsi"/>
          <w:bCs/>
          <w:iCs/>
          <w:snapToGrid w:val="0"/>
        </w:rPr>
        <w:t xml:space="preserve"> also noted</w:t>
      </w:r>
      <w:r w:rsidR="00406D34" w:rsidRPr="008B02E0">
        <w:rPr>
          <w:bCs/>
          <w:snapToGrid w:val="0"/>
        </w:rPr>
        <w:t xml:space="preserve"> </w:t>
      </w:r>
      <w:r w:rsidR="002020CD" w:rsidRPr="008B02E0">
        <w:rPr>
          <w:bCs/>
          <w:snapToGrid w:val="0"/>
        </w:rPr>
        <w:t xml:space="preserve">the serious side effects </w:t>
      </w:r>
      <w:r w:rsidR="00EF5E4F" w:rsidRPr="008B02E0">
        <w:rPr>
          <w:bCs/>
          <w:snapToGrid w:val="0"/>
        </w:rPr>
        <w:t xml:space="preserve">of current therapies, particularly </w:t>
      </w:r>
      <w:r w:rsidR="00CE2125" w:rsidRPr="008B02E0">
        <w:rPr>
          <w:bCs/>
          <w:snapToGrid w:val="0"/>
        </w:rPr>
        <w:t>chemotherapy</w:t>
      </w:r>
      <w:r w:rsidR="00EF5E4F" w:rsidRPr="008B02E0">
        <w:rPr>
          <w:snapToGrid w:val="0"/>
        </w:rPr>
        <w:t>.</w:t>
      </w:r>
      <w:r w:rsidR="00F25518" w:rsidRPr="008B02E0">
        <w:rPr>
          <w:rFonts w:asciiTheme="minorHAnsi" w:hAnsiTheme="minorHAnsi"/>
          <w:bCs/>
          <w:iCs/>
          <w:snapToGrid w:val="0"/>
        </w:rPr>
        <w:t xml:space="preserve"> </w:t>
      </w:r>
      <w:r w:rsidR="0028439B" w:rsidRPr="008B02E0">
        <w:rPr>
          <w:snapToGrid w:val="0"/>
          <w:lang w:eastAsia="en-US"/>
        </w:rPr>
        <w:t xml:space="preserve">In addition, the PBAC noted the </w:t>
      </w:r>
      <w:r w:rsidR="007477C5">
        <w:rPr>
          <w:bCs/>
          <w:snapToGrid w:val="0"/>
        </w:rPr>
        <w:t>MOGA</w:t>
      </w:r>
      <w:r w:rsidR="0028439B" w:rsidRPr="008B02E0">
        <w:rPr>
          <w:bCs/>
          <w:snapToGrid w:val="0"/>
        </w:rPr>
        <w:t xml:space="preserve">’s </w:t>
      </w:r>
      <w:r w:rsidR="0028439B" w:rsidRPr="008B02E0">
        <w:rPr>
          <w:snapToGrid w:val="0"/>
          <w:lang w:eastAsia="en-US"/>
        </w:rPr>
        <w:t>support for the submission.</w:t>
      </w:r>
      <w:r w:rsidR="00157C97" w:rsidRPr="008B02E0">
        <w:rPr>
          <w:rStyle w:val="null1"/>
          <w:rFonts w:asciiTheme="minorHAnsi" w:hAnsiTheme="minorHAnsi"/>
          <w:bCs/>
          <w:iCs/>
          <w:snapToGrid w:val="0"/>
        </w:rPr>
        <w:t xml:space="preserve"> </w:t>
      </w:r>
    </w:p>
    <w:p w14:paraId="3CFCD5F5" w14:textId="00CA3368" w:rsidR="00E60D69" w:rsidRPr="008B02E0" w:rsidRDefault="00D66700" w:rsidP="00AE5B32">
      <w:pPr>
        <w:numPr>
          <w:ilvl w:val="1"/>
          <w:numId w:val="1"/>
        </w:numPr>
        <w:spacing w:after="120"/>
        <w:rPr>
          <w:rFonts w:asciiTheme="minorHAnsi" w:hAnsiTheme="minorHAnsi"/>
          <w:bCs/>
          <w:iCs/>
          <w:snapToGrid w:val="0"/>
        </w:rPr>
      </w:pPr>
      <w:r w:rsidRPr="008B02E0">
        <w:rPr>
          <w:rFonts w:asciiTheme="minorHAnsi" w:hAnsiTheme="minorHAnsi"/>
          <w:snapToGrid w:val="0"/>
        </w:rPr>
        <w:t xml:space="preserve">The PBAC </w:t>
      </w:r>
      <w:r w:rsidR="007C3B72" w:rsidRPr="008B02E0">
        <w:rPr>
          <w:rFonts w:asciiTheme="minorHAnsi" w:hAnsiTheme="minorHAnsi"/>
          <w:snapToGrid w:val="0"/>
        </w:rPr>
        <w:t>noted that single agent imm</w:t>
      </w:r>
      <w:r w:rsidR="00135424" w:rsidRPr="008B02E0">
        <w:rPr>
          <w:rFonts w:asciiTheme="minorHAnsi" w:hAnsiTheme="minorHAnsi"/>
          <w:snapToGrid w:val="0"/>
        </w:rPr>
        <w:t>u</w:t>
      </w:r>
      <w:r w:rsidR="007C3B72" w:rsidRPr="008B02E0">
        <w:rPr>
          <w:rFonts w:asciiTheme="minorHAnsi" w:hAnsiTheme="minorHAnsi"/>
          <w:snapToGrid w:val="0"/>
        </w:rPr>
        <w:t>notherapy is currently available on the PBS for this patient group,</w:t>
      </w:r>
      <w:r w:rsidR="00725D45" w:rsidRPr="008B02E0">
        <w:rPr>
          <w:rFonts w:asciiTheme="minorHAnsi" w:hAnsiTheme="minorHAnsi"/>
          <w:snapToGrid w:val="0"/>
        </w:rPr>
        <w:t xml:space="preserve"> </w:t>
      </w:r>
      <w:r w:rsidR="00835F4D" w:rsidRPr="008B02E0">
        <w:rPr>
          <w:rFonts w:asciiTheme="minorHAnsi" w:hAnsiTheme="minorHAnsi"/>
          <w:snapToGrid w:val="0"/>
        </w:rPr>
        <w:t xml:space="preserve">and based on the </w:t>
      </w:r>
      <w:r w:rsidR="006F2410" w:rsidRPr="008B02E0">
        <w:rPr>
          <w:color w:val="000000" w:themeColor="text1"/>
        </w:rPr>
        <w:t xml:space="preserve">KEYNOTE 177 </w:t>
      </w:r>
      <w:r w:rsidR="00835F4D" w:rsidRPr="008B02E0">
        <w:rPr>
          <w:rFonts w:asciiTheme="minorHAnsi" w:hAnsiTheme="minorHAnsi"/>
          <w:snapToGrid w:val="0"/>
        </w:rPr>
        <w:t>trial</w:t>
      </w:r>
      <w:r w:rsidR="00F123DD">
        <w:rPr>
          <w:rFonts w:asciiTheme="minorHAnsi" w:hAnsiTheme="minorHAnsi"/>
          <w:snapToGrid w:val="0"/>
        </w:rPr>
        <w:t>,</w:t>
      </w:r>
      <w:r w:rsidR="00835F4D" w:rsidRPr="008B02E0">
        <w:rPr>
          <w:rFonts w:asciiTheme="minorHAnsi" w:hAnsiTheme="minorHAnsi"/>
          <w:snapToGrid w:val="0"/>
        </w:rPr>
        <w:t xml:space="preserve"> is associated with statistically significant</w:t>
      </w:r>
      <w:r w:rsidR="00C90430" w:rsidRPr="008B02E0">
        <w:rPr>
          <w:rFonts w:asciiTheme="minorHAnsi" w:hAnsiTheme="minorHAnsi"/>
          <w:snapToGrid w:val="0"/>
        </w:rPr>
        <w:t xml:space="preserve"> </w:t>
      </w:r>
      <w:r w:rsidR="00835F4D" w:rsidRPr="008B02E0">
        <w:rPr>
          <w:rFonts w:asciiTheme="minorHAnsi" w:hAnsiTheme="minorHAnsi"/>
          <w:snapToGrid w:val="0"/>
        </w:rPr>
        <w:t>improvements</w:t>
      </w:r>
      <w:r w:rsidR="00725D45" w:rsidRPr="008B02E0">
        <w:rPr>
          <w:rFonts w:asciiTheme="minorHAnsi" w:hAnsiTheme="minorHAnsi"/>
          <w:snapToGrid w:val="0"/>
        </w:rPr>
        <w:t xml:space="preserve"> </w:t>
      </w:r>
      <w:r w:rsidR="00835F4D" w:rsidRPr="008B02E0">
        <w:rPr>
          <w:rFonts w:asciiTheme="minorHAnsi" w:hAnsiTheme="minorHAnsi"/>
          <w:snapToGrid w:val="0"/>
        </w:rPr>
        <w:t xml:space="preserve">in PFS </w:t>
      </w:r>
      <w:r w:rsidR="00057905" w:rsidRPr="008B02E0">
        <w:rPr>
          <w:rFonts w:asciiTheme="minorHAnsi" w:hAnsiTheme="minorHAnsi"/>
          <w:snapToGrid w:val="0"/>
        </w:rPr>
        <w:t>versus chemotherapy</w:t>
      </w:r>
      <w:r w:rsidR="00C07510" w:rsidRPr="008B02E0">
        <w:t xml:space="preserve">. </w:t>
      </w:r>
      <w:r w:rsidR="00CD3F3B" w:rsidRPr="008B02E0">
        <w:rPr>
          <w:rFonts w:asciiTheme="minorHAnsi" w:hAnsiTheme="minorHAnsi"/>
          <w:snapToGrid w:val="0"/>
        </w:rPr>
        <w:t>H</w:t>
      </w:r>
      <w:r w:rsidR="007C3B72" w:rsidRPr="008B02E0">
        <w:rPr>
          <w:rFonts w:asciiTheme="minorHAnsi" w:hAnsiTheme="minorHAnsi"/>
          <w:snapToGrid w:val="0"/>
        </w:rPr>
        <w:t>owever</w:t>
      </w:r>
      <w:r w:rsidR="00CD3F3B" w:rsidRPr="008B02E0">
        <w:rPr>
          <w:rFonts w:asciiTheme="minorHAnsi" w:hAnsiTheme="minorHAnsi"/>
          <w:snapToGrid w:val="0"/>
        </w:rPr>
        <w:t xml:space="preserve">, the PBAC </w:t>
      </w:r>
      <w:r w:rsidR="005765BF" w:rsidRPr="008B02E0">
        <w:rPr>
          <w:rFonts w:asciiTheme="minorHAnsi" w:hAnsiTheme="minorHAnsi"/>
          <w:snapToGrid w:val="0"/>
        </w:rPr>
        <w:t xml:space="preserve">noted that the overall response rate to treatment </w:t>
      </w:r>
      <w:r w:rsidR="009D1F59">
        <w:rPr>
          <w:rFonts w:asciiTheme="minorHAnsi" w:hAnsiTheme="minorHAnsi"/>
          <w:snapToGrid w:val="0"/>
        </w:rPr>
        <w:t>is</w:t>
      </w:r>
      <w:r w:rsidR="0006350B" w:rsidRPr="008B02E0">
        <w:rPr>
          <w:rFonts w:asciiTheme="minorHAnsi" w:hAnsiTheme="minorHAnsi"/>
          <w:snapToGrid w:val="0"/>
        </w:rPr>
        <w:t xml:space="preserve"> relatively</w:t>
      </w:r>
      <w:r w:rsidR="005765BF" w:rsidRPr="008B02E0">
        <w:rPr>
          <w:rFonts w:asciiTheme="minorHAnsi" w:hAnsiTheme="minorHAnsi"/>
          <w:snapToGrid w:val="0"/>
        </w:rPr>
        <w:t xml:space="preserve"> low </w:t>
      </w:r>
      <w:r w:rsidR="00B8554F" w:rsidRPr="008B02E0">
        <w:rPr>
          <w:rFonts w:asciiTheme="minorHAnsi" w:hAnsiTheme="minorHAnsi"/>
          <w:snapToGrid w:val="0"/>
        </w:rPr>
        <w:t>(</w:t>
      </w:r>
      <w:r w:rsidR="0006350B" w:rsidRPr="008B02E0">
        <w:rPr>
          <w:rFonts w:asciiTheme="minorHAnsi" w:hAnsiTheme="minorHAnsi"/>
          <w:snapToGrid w:val="0"/>
        </w:rPr>
        <w:t>ORR = 4</w:t>
      </w:r>
      <w:r w:rsidR="002E4E1D" w:rsidRPr="008B02E0">
        <w:rPr>
          <w:rFonts w:asciiTheme="minorHAnsi" w:hAnsiTheme="minorHAnsi"/>
          <w:snapToGrid w:val="0"/>
        </w:rPr>
        <w:t>6</w:t>
      </w:r>
      <w:r w:rsidR="0006350B" w:rsidRPr="008B02E0">
        <w:rPr>
          <w:rFonts w:asciiTheme="minorHAnsi" w:hAnsiTheme="minorHAnsi"/>
          <w:snapToGrid w:val="0"/>
        </w:rPr>
        <w:t xml:space="preserve">%) </w:t>
      </w:r>
      <w:r w:rsidR="005765BF" w:rsidRPr="008B02E0">
        <w:rPr>
          <w:rFonts w:asciiTheme="minorHAnsi" w:hAnsiTheme="minorHAnsi"/>
          <w:snapToGrid w:val="0"/>
        </w:rPr>
        <w:t xml:space="preserve">and </w:t>
      </w:r>
      <w:r w:rsidRPr="008B02E0">
        <w:rPr>
          <w:rFonts w:asciiTheme="minorHAnsi" w:hAnsiTheme="minorHAnsi"/>
          <w:snapToGrid w:val="0"/>
        </w:rPr>
        <w:t xml:space="preserve">accepted there </w:t>
      </w:r>
      <w:r w:rsidR="00C3101F" w:rsidRPr="008B02E0">
        <w:rPr>
          <w:rFonts w:asciiTheme="minorHAnsi" w:hAnsiTheme="minorHAnsi"/>
          <w:snapToGrid w:val="0"/>
        </w:rPr>
        <w:t>remained</w:t>
      </w:r>
      <w:r w:rsidRPr="008B02E0">
        <w:rPr>
          <w:rFonts w:asciiTheme="minorHAnsi" w:hAnsiTheme="minorHAnsi"/>
          <w:snapToGrid w:val="0"/>
        </w:rPr>
        <w:t xml:space="preserve"> a clinical need for additional effective treatment options to </w:t>
      </w:r>
      <w:r w:rsidR="000256D9" w:rsidRPr="008B02E0">
        <w:rPr>
          <w:rFonts w:asciiTheme="minorHAnsi" w:hAnsiTheme="minorHAnsi"/>
          <w:snapToGrid w:val="0"/>
        </w:rPr>
        <w:t xml:space="preserve">improve </w:t>
      </w:r>
      <w:r w:rsidR="00D90FEC" w:rsidRPr="008B02E0">
        <w:rPr>
          <w:rFonts w:asciiTheme="minorHAnsi" w:hAnsiTheme="minorHAnsi"/>
          <w:snapToGrid w:val="0"/>
        </w:rPr>
        <w:t xml:space="preserve">treatment </w:t>
      </w:r>
      <w:r w:rsidR="000256D9" w:rsidRPr="008B02E0">
        <w:rPr>
          <w:rFonts w:asciiTheme="minorHAnsi" w:hAnsiTheme="minorHAnsi"/>
          <w:snapToGrid w:val="0"/>
        </w:rPr>
        <w:t>response rates</w:t>
      </w:r>
      <w:r w:rsidR="00D90FEC" w:rsidRPr="008B02E0">
        <w:rPr>
          <w:rFonts w:asciiTheme="minorHAnsi" w:hAnsiTheme="minorHAnsi"/>
          <w:snapToGrid w:val="0"/>
        </w:rPr>
        <w:t xml:space="preserve"> </w:t>
      </w:r>
      <w:r w:rsidR="00661A6D" w:rsidRPr="008B02E0">
        <w:rPr>
          <w:rFonts w:asciiTheme="minorHAnsi" w:hAnsiTheme="minorHAnsi"/>
          <w:snapToGrid w:val="0"/>
        </w:rPr>
        <w:t>and overall survival</w:t>
      </w:r>
      <w:r w:rsidR="005F6097" w:rsidRPr="008B02E0">
        <w:rPr>
          <w:rFonts w:asciiTheme="minorHAnsi" w:hAnsiTheme="minorHAnsi"/>
          <w:snapToGrid w:val="0"/>
        </w:rPr>
        <w:t xml:space="preserve"> </w:t>
      </w:r>
      <w:r w:rsidR="00975416" w:rsidRPr="008B02E0">
        <w:rPr>
          <w:rFonts w:asciiTheme="minorHAnsi" w:hAnsiTheme="minorHAnsi"/>
          <w:snapToGrid w:val="0"/>
        </w:rPr>
        <w:t>for this patient group.</w:t>
      </w:r>
      <w:r w:rsidR="001C329E" w:rsidRPr="008B02E0">
        <w:rPr>
          <w:rFonts w:asciiTheme="minorHAnsi" w:hAnsiTheme="minorHAnsi"/>
          <w:snapToGrid w:val="0"/>
        </w:rPr>
        <w:t xml:space="preserve"> </w:t>
      </w:r>
    </w:p>
    <w:p w14:paraId="166A4807" w14:textId="17AFAD8E" w:rsidR="0060726F" w:rsidRPr="00EC09BB" w:rsidRDefault="002D0D40" w:rsidP="00AE5B32">
      <w:pPr>
        <w:numPr>
          <w:ilvl w:val="1"/>
          <w:numId w:val="1"/>
        </w:numPr>
        <w:spacing w:after="120"/>
        <w:rPr>
          <w:rFonts w:asciiTheme="minorHAnsi" w:hAnsiTheme="minorHAnsi"/>
          <w:snapToGrid w:val="0"/>
        </w:rPr>
      </w:pPr>
      <w:bookmarkStart w:id="108" w:name="_Ref205785907"/>
      <w:r w:rsidRPr="008B02E0">
        <w:rPr>
          <w:rFonts w:asciiTheme="minorHAnsi" w:hAnsiTheme="minorHAnsi"/>
          <w:snapToGrid w:val="0"/>
        </w:rPr>
        <w:t>With regards to the requested restriction, the PBAC advised that</w:t>
      </w:r>
      <w:r w:rsidR="001B2C1B" w:rsidRPr="008B02E0">
        <w:rPr>
          <w:rFonts w:asciiTheme="minorHAnsi" w:hAnsiTheme="minorHAnsi"/>
          <w:snapToGrid w:val="0"/>
        </w:rPr>
        <w:t xml:space="preserve"> </w:t>
      </w:r>
      <w:r w:rsidR="001B2C1B" w:rsidRPr="008B02E0">
        <w:t>i</w:t>
      </w:r>
      <w:r w:rsidR="009C6321" w:rsidRPr="008B02E0">
        <w:t>t would be reasonable to</w:t>
      </w:r>
      <w:r w:rsidR="00655988" w:rsidRPr="008B02E0">
        <w:t xml:space="preserve"> includ</w:t>
      </w:r>
      <w:r w:rsidR="000F00CF" w:rsidRPr="008B02E0">
        <w:t>e</w:t>
      </w:r>
      <w:r w:rsidR="00655988" w:rsidRPr="008B02E0">
        <w:t xml:space="preserve"> a clinical criterion stat</w:t>
      </w:r>
      <w:r w:rsidR="00A7738F" w:rsidRPr="008B02E0">
        <w:t>ing</w:t>
      </w:r>
      <w:r w:rsidR="00655988" w:rsidRPr="008B02E0">
        <w:t xml:space="preserve"> that</w:t>
      </w:r>
      <w:r w:rsidR="009C6321" w:rsidRPr="008B02E0">
        <w:t xml:space="preserve"> </w:t>
      </w:r>
      <w:r w:rsidR="00ED549A" w:rsidRPr="008B02E0">
        <w:t xml:space="preserve">patients </w:t>
      </w:r>
      <w:r w:rsidR="00655988" w:rsidRPr="008B02E0">
        <w:t>must have</w:t>
      </w:r>
      <w:r w:rsidR="000B1410" w:rsidRPr="008B02E0">
        <w:t xml:space="preserve"> dMMR </w:t>
      </w:r>
      <w:r w:rsidR="00B40624">
        <w:t>colorectal cancer (</w:t>
      </w:r>
      <w:r w:rsidR="000B1410" w:rsidRPr="008B02E0">
        <w:t>CRC</w:t>
      </w:r>
      <w:r w:rsidR="00B40624">
        <w:t>)</w:t>
      </w:r>
      <w:r w:rsidR="000B1410" w:rsidRPr="008B02E0">
        <w:t>, as determined by a validated test</w:t>
      </w:r>
      <w:r w:rsidR="00922626">
        <w:t>,</w:t>
      </w:r>
      <w:r w:rsidR="004A1A9A">
        <w:t xml:space="preserve"> with a Prescribing </w:t>
      </w:r>
      <w:r w:rsidR="003B2451">
        <w:t>Instruction stating that</w:t>
      </w:r>
      <w:r w:rsidR="004A32C3">
        <w:t xml:space="preserve"> </w:t>
      </w:r>
      <w:r w:rsidR="0090403F">
        <w:t xml:space="preserve">a validated test may include </w:t>
      </w:r>
      <w:r w:rsidR="00E8082E" w:rsidRPr="008B02E0">
        <w:rPr>
          <w:iCs/>
        </w:rPr>
        <w:t xml:space="preserve">immunohistochemical </w:t>
      </w:r>
      <w:r w:rsidR="00E8082E">
        <w:rPr>
          <w:iCs/>
        </w:rPr>
        <w:t>(</w:t>
      </w:r>
      <w:r w:rsidR="00B15E4E">
        <w:t>IHC</w:t>
      </w:r>
      <w:r w:rsidR="00E8082E">
        <w:t>)</w:t>
      </w:r>
      <w:r w:rsidR="00B15E4E">
        <w:t xml:space="preserve"> </w:t>
      </w:r>
      <w:r w:rsidR="00B15E4E">
        <w:lastRenderedPageBreak/>
        <w:t xml:space="preserve">staining, </w:t>
      </w:r>
      <w:r w:rsidR="00E8082E">
        <w:t xml:space="preserve">a </w:t>
      </w:r>
      <w:r w:rsidR="00B01D50" w:rsidRPr="008B02E0">
        <w:rPr>
          <w:iCs/>
        </w:rPr>
        <w:t>polymerase chain reaction</w:t>
      </w:r>
      <w:r w:rsidR="00B01D50">
        <w:rPr>
          <w:iCs/>
        </w:rPr>
        <w:t xml:space="preserve"> (PCR) test</w:t>
      </w:r>
      <w:r w:rsidR="003B2451">
        <w:t xml:space="preserve"> </w:t>
      </w:r>
      <w:r w:rsidR="004F613C">
        <w:t>or</w:t>
      </w:r>
      <w:r w:rsidR="003B2451">
        <w:t xml:space="preserve"> next</w:t>
      </w:r>
      <w:r w:rsidR="009E5502">
        <w:noBreakHyphen/>
      </w:r>
      <w:r w:rsidR="003B2451">
        <w:t>generation sequencing</w:t>
      </w:r>
      <w:r w:rsidR="004A32C3">
        <w:t xml:space="preserve"> </w:t>
      </w:r>
      <w:r w:rsidR="005F7EE7">
        <w:t>(NGS)</w:t>
      </w:r>
      <w:r w:rsidR="00D869DB">
        <w:t xml:space="preserve">, </w:t>
      </w:r>
      <w:r w:rsidR="004F613C">
        <w:t>which may be</w:t>
      </w:r>
      <w:r w:rsidR="00D869DB">
        <w:t xml:space="preserve"> for MSI</w:t>
      </w:r>
      <w:r w:rsidR="009E5502">
        <w:noBreakHyphen/>
      </w:r>
      <w:r w:rsidR="00D869DB">
        <w:t>H</w:t>
      </w:r>
      <w:r w:rsidR="004F613C">
        <w:t xml:space="preserve"> or dMMR</w:t>
      </w:r>
      <w:r w:rsidR="00487216" w:rsidRPr="008B02E0">
        <w:t xml:space="preserve">. </w:t>
      </w:r>
      <w:r w:rsidR="00A36FF9">
        <w:t xml:space="preserve">The PBAC noted that </w:t>
      </w:r>
      <w:r w:rsidR="00A36FF9" w:rsidRPr="008B02E0">
        <w:t>MMR status is typically confirmed by IHC staining</w:t>
      </w:r>
      <w:r w:rsidR="00A36FF9">
        <w:t xml:space="preserve">, which is funded through the MBS. </w:t>
      </w:r>
      <w:r w:rsidR="00487216" w:rsidRPr="008B02E0">
        <w:t>The PBAC noted that</w:t>
      </w:r>
      <w:r w:rsidR="000B1410" w:rsidRPr="008B02E0">
        <w:t xml:space="preserve"> </w:t>
      </w:r>
      <w:r w:rsidR="00B22D3F" w:rsidRPr="008B02E0">
        <w:t xml:space="preserve">while </w:t>
      </w:r>
      <w:r w:rsidR="00487216" w:rsidRPr="008B02E0">
        <w:t>there is currently no</w:t>
      </w:r>
      <w:r w:rsidR="000B1410" w:rsidRPr="00EC09BB">
        <w:rPr>
          <w:iCs/>
        </w:rPr>
        <w:t xml:space="preserve"> MBS funded test to determine MSI</w:t>
      </w:r>
      <w:r w:rsidR="009E5502">
        <w:rPr>
          <w:iCs/>
        </w:rPr>
        <w:noBreakHyphen/>
      </w:r>
      <w:r w:rsidR="000B1410" w:rsidRPr="00EC09BB">
        <w:rPr>
          <w:iCs/>
        </w:rPr>
        <w:t>H</w:t>
      </w:r>
      <w:r w:rsidR="00487216" w:rsidRPr="00EC09BB">
        <w:rPr>
          <w:iCs/>
        </w:rPr>
        <w:t xml:space="preserve">, </w:t>
      </w:r>
      <w:r w:rsidR="00EA06A4" w:rsidRPr="00EC09BB">
        <w:rPr>
          <w:iCs/>
        </w:rPr>
        <w:t>MSI</w:t>
      </w:r>
      <w:r w:rsidR="009E5502">
        <w:rPr>
          <w:iCs/>
        </w:rPr>
        <w:noBreakHyphen/>
      </w:r>
      <w:r w:rsidR="00EA06A4" w:rsidRPr="00EC09BB">
        <w:rPr>
          <w:iCs/>
        </w:rPr>
        <w:t xml:space="preserve">H and MMR </w:t>
      </w:r>
      <w:r w:rsidR="00554C39" w:rsidRPr="00EC09BB">
        <w:rPr>
          <w:iCs/>
        </w:rPr>
        <w:t xml:space="preserve">testing </w:t>
      </w:r>
      <w:r w:rsidR="00EA06A4" w:rsidRPr="00EC09BB">
        <w:rPr>
          <w:iCs/>
        </w:rPr>
        <w:t xml:space="preserve">are </w:t>
      </w:r>
      <w:r w:rsidR="0086739B" w:rsidRPr="00EC09BB">
        <w:rPr>
          <w:iCs/>
        </w:rPr>
        <w:t>highly</w:t>
      </w:r>
      <w:r w:rsidR="00EA06A4" w:rsidRPr="00EC09BB">
        <w:rPr>
          <w:iCs/>
        </w:rPr>
        <w:t xml:space="preserve"> </w:t>
      </w:r>
      <w:r w:rsidR="0086739B" w:rsidRPr="00EC09BB">
        <w:rPr>
          <w:iCs/>
        </w:rPr>
        <w:t>concordant,</w:t>
      </w:r>
      <w:r w:rsidR="00EA06A4" w:rsidRPr="00EC09BB">
        <w:rPr>
          <w:iCs/>
        </w:rPr>
        <w:t xml:space="preserve"> and </w:t>
      </w:r>
      <w:r w:rsidR="006C2311" w:rsidRPr="00EC09BB">
        <w:rPr>
          <w:iCs/>
        </w:rPr>
        <w:t xml:space="preserve">given that an uninterpretable MMR IHC is rare, </w:t>
      </w:r>
      <w:r w:rsidR="001E74DC" w:rsidRPr="00EC09BB">
        <w:rPr>
          <w:iCs/>
        </w:rPr>
        <w:t>separate MSI</w:t>
      </w:r>
      <w:r w:rsidR="009E5502">
        <w:rPr>
          <w:iCs/>
        </w:rPr>
        <w:noBreakHyphen/>
      </w:r>
      <w:r w:rsidR="001E74DC" w:rsidRPr="00EC09BB">
        <w:rPr>
          <w:iCs/>
        </w:rPr>
        <w:t>H test</w:t>
      </w:r>
      <w:r w:rsidR="006C2311" w:rsidRPr="00EC09BB">
        <w:rPr>
          <w:iCs/>
        </w:rPr>
        <w:t>ing</w:t>
      </w:r>
      <w:r w:rsidR="001E74DC" w:rsidRPr="00EC09BB">
        <w:rPr>
          <w:iCs/>
        </w:rPr>
        <w:t xml:space="preserve"> is </w:t>
      </w:r>
      <w:r w:rsidR="006B1D6F" w:rsidRPr="00EC09BB">
        <w:rPr>
          <w:iCs/>
        </w:rPr>
        <w:t xml:space="preserve">not often </w:t>
      </w:r>
      <w:r w:rsidR="0040548E" w:rsidRPr="00EC09BB">
        <w:rPr>
          <w:iCs/>
        </w:rPr>
        <w:t>conducted in clinical practice</w:t>
      </w:r>
      <w:r w:rsidR="00D81483" w:rsidRPr="00EC09BB">
        <w:rPr>
          <w:iCs/>
        </w:rPr>
        <w:t>.</w:t>
      </w:r>
      <w:bookmarkEnd w:id="108"/>
      <w:r w:rsidR="009655B8" w:rsidRPr="00EC09BB">
        <w:rPr>
          <w:iCs/>
        </w:rPr>
        <w:t xml:space="preserve"> </w:t>
      </w:r>
      <w:r w:rsidR="00B018F0">
        <w:rPr>
          <w:iCs/>
        </w:rPr>
        <w:t>The PBAC noted that there have also</w:t>
      </w:r>
      <w:r w:rsidR="00EC09BB" w:rsidRPr="00EC09BB">
        <w:rPr>
          <w:iCs/>
        </w:rPr>
        <w:t xml:space="preserve"> been developments in NGS for both MSI</w:t>
      </w:r>
      <w:r w:rsidR="009E5502">
        <w:rPr>
          <w:iCs/>
        </w:rPr>
        <w:noBreakHyphen/>
      </w:r>
      <w:r w:rsidR="00EC09BB" w:rsidRPr="00EC09BB">
        <w:rPr>
          <w:iCs/>
        </w:rPr>
        <w:t>H and dMMR.</w:t>
      </w:r>
    </w:p>
    <w:p w14:paraId="69F4058F" w14:textId="3A81CD27" w:rsidR="001508D6" w:rsidRPr="008B02E0" w:rsidRDefault="009655B8" w:rsidP="00AE5B32">
      <w:pPr>
        <w:numPr>
          <w:ilvl w:val="1"/>
          <w:numId w:val="1"/>
        </w:numPr>
        <w:spacing w:after="120"/>
        <w:rPr>
          <w:rFonts w:asciiTheme="minorHAnsi" w:hAnsiTheme="minorHAnsi"/>
          <w:snapToGrid w:val="0"/>
        </w:rPr>
      </w:pPr>
      <w:bookmarkStart w:id="109" w:name="_Ref205785912"/>
      <w:r w:rsidRPr="008B02E0">
        <w:rPr>
          <w:iCs/>
        </w:rPr>
        <w:t xml:space="preserve">The PBAC advised that </w:t>
      </w:r>
      <w:r w:rsidRPr="008B02E0">
        <w:t>t</w:t>
      </w:r>
      <w:r w:rsidR="0060726F" w:rsidRPr="008B02E0">
        <w:t xml:space="preserve">he restriction should include a </w:t>
      </w:r>
      <w:r w:rsidR="002115B6" w:rsidRPr="008B02E0">
        <w:t xml:space="preserve">continuation </w:t>
      </w:r>
      <w:r w:rsidR="005E61CA" w:rsidRPr="008B02E0">
        <w:t>criterion</w:t>
      </w:r>
      <w:r w:rsidR="002115B6" w:rsidRPr="008B02E0">
        <w:t xml:space="preserve"> specifying that patients must not have progressive disease while </w:t>
      </w:r>
      <w:r w:rsidR="005E61CA" w:rsidRPr="008B02E0">
        <w:t>receiving</w:t>
      </w:r>
      <w:r w:rsidR="002115B6" w:rsidRPr="008B02E0">
        <w:t xml:space="preserve"> PBS</w:t>
      </w:r>
      <w:r w:rsidR="009E5502">
        <w:noBreakHyphen/>
      </w:r>
      <w:r w:rsidR="002115B6" w:rsidRPr="008B02E0">
        <w:t xml:space="preserve">subsidised treatment with </w:t>
      </w:r>
      <w:r w:rsidR="00A97A7A" w:rsidRPr="008B02E0">
        <w:t xml:space="preserve">nivolumab with ipilimumab </w:t>
      </w:r>
      <w:r w:rsidR="005E61CA" w:rsidRPr="008B02E0">
        <w:t xml:space="preserve">for this condition. The PBAC noted the </w:t>
      </w:r>
      <w:r w:rsidR="002A466A" w:rsidRPr="008B02E0">
        <w:t xml:space="preserve">reasoning provided in the </w:t>
      </w:r>
      <w:r w:rsidR="000D2890" w:rsidRPr="008B02E0">
        <w:rPr>
          <w:rFonts w:cstheme="minorHAnsi"/>
          <w:iCs/>
        </w:rPr>
        <w:t>Pre</w:t>
      </w:r>
      <w:r w:rsidR="009E5502">
        <w:rPr>
          <w:rFonts w:cstheme="minorHAnsi"/>
          <w:iCs/>
        </w:rPr>
        <w:noBreakHyphen/>
      </w:r>
      <w:r w:rsidR="000D2890" w:rsidRPr="008B02E0">
        <w:rPr>
          <w:rFonts w:cstheme="minorHAnsi"/>
          <w:iCs/>
        </w:rPr>
        <w:t xml:space="preserve">PBAC Response </w:t>
      </w:r>
      <w:r w:rsidR="002A466A" w:rsidRPr="008B02E0">
        <w:rPr>
          <w:rFonts w:cstheme="minorHAnsi"/>
          <w:iCs/>
        </w:rPr>
        <w:t>for</w:t>
      </w:r>
      <w:r w:rsidR="000D2890" w:rsidRPr="008B02E0">
        <w:rPr>
          <w:rFonts w:cstheme="minorHAnsi"/>
          <w:iCs/>
        </w:rPr>
        <w:t xml:space="preserve"> </w:t>
      </w:r>
      <w:r w:rsidR="006F345A" w:rsidRPr="008B02E0">
        <w:rPr>
          <w:rFonts w:cstheme="minorHAnsi"/>
          <w:iCs/>
        </w:rPr>
        <w:t xml:space="preserve">the </w:t>
      </w:r>
      <w:r w:rsidR="00C377C0" w:rsidRPr="008B02E0">
        <w:rPr>
          <w:rFonts w:cstheme="minorHAnsi"/>
          <w:iCs/>
        </w:rPr>
        <w:t xml:space="preserve">proposed </w:t>
      </w:r>
      <w:r w:rsidR="000D2890" w:rsidRPr="008B02E0">
        <w:rPr>
          <w:rFonts w:cstheme="minorHAnsi"/>
          <w:iCs/>
        </w:rPr>
        <w:t xml:space="preserve">continuing </w:t>
      </w:r>
      <w:r w:rsidR="006F345A" w:rsidRPr="008B02E0">
        <w:rPr>
          <w:rFonts w:cstheme="minorHAnsi"/>
          <w:iCs/>
        </w:rPr>
        <w:t>restriction</w:t>
      </w:r>
      <w:r w:rsidR="002A466A" w:rsidRPr="008B02E0">
        <w:rPr>
          <w:rFonts w:cstheme="minorHAnsi"/>
          <w:iCs/>
        </w:rPr>
        <w:t xml:space="preserve"> </w:t>
      </w:r>
      <w:r w:rsidR="00D67301" w:rsidRPr="008B02E0">
        <w:rPr>
          <w:rFonts w:cstheme="minorHAnsi"/>
          <w:iCs/>
        </w:rPr>
        <w:t>allow</w:t>
      </w:r>
      <w:r w:rsidR="002A466A" w:rsidRPr="008B02E0">
        <w:rPr>
          <w:rFonts w:cstheme="minorHAnsi"/>
          <w:iCs/>
        </w:rPr>
        <w:t>ing</w:t>
      </w:r>
      <w:r w:rsidR="00D67301" w:rsidRPr="008B02E0">
        <w:rPr>
          <w:rFonts w:cstheme="minorHAnsi"/>
          <w:iCs/>
        </w:rPr>
        <w:t xml:space="preserve"> treatment</w:t>
      </w:r>
      <w:r w:rsidR="00F92365" w:rsidRPr="008B02E0">
        <w:rPr>
          <w:rFonts w:cstheme="minorHAnsi"/>
          <w:iCs/>
        </w:rPr>
        <w:t xml:space="preserve"> beyond </w:t>
      </w:r>
      <w:r w:rsidR="00A97A7A" w:rsidRPr="008B02E0">
        <w:rPr>
          <w:rFonts w:cstheme="minorHAnsi"/>
          <w:iCs/>
        </w:rPr>
        <w:t xml:space="preserve">disease </w:t>
      </w:r>
      <w:r w:rsidR="00F92365" w:rsidRPr="008B02E0">
        <w:rPr>
          <w:rFonts w:cstheme="minorHAnsi"/>
          <w:iCs/>
        </w:rPr>
        <w:t xml:space="preserve">progression if </w:t>
      </w:r>
      <w:r w:rsidR="006F345A" w:rsidRPr="008B02E0">
        <w:rPr>
          <w:rFonts w:cstheme="minorHAnsi"/>
          <w:iCs/>
        </w:rPr>
        <w:t xml:space="preserve">a </w:t>
      </w:r>
      <w:r w:rsidR="00F92365" w:rsidRPr="008B02E0">
        <w:rPr>
          <w:rFonts w:cstheme="minorHAnsi"/>
          <w:iCs/>
        </w:rPr>
        <w:t>patient had prescriber</w:t>
      </w:r>
      <w:r w:rsidR="009E5502">
        <w:rPr>
          <w:rFonts w:cstheme="minorHAnsi"/>
          <w:iCs/>
        </w:rPr>
        <w:noBreakHyphen/>
      </w:r>
      <w:r w:rsidR="00F92365" w:rsidRPr="008B02E0">
        <w:rPr>
          <w:rFonts w:cstheme="minorHAnsi"/>
          <w:iCs/>
        </w:rPr>
        <w:t>assessed clinical benefi</w:t>
      </w:r>
      <w:r w:rsidR="001667DB" w:rsidRPr="008B02E0">
        <w:rPr>
          <w:rFonts w:cstheme="minorHAnsi"/>
          <w:iCs/>
        </w:rPr>
        <w:t>t</w:t>
      </w:r>
      <w:r w:rsidR="00F72AD1" w:rsidRPr="008B02E0">
        <w:rPr>
          <w:rFonts w:cstheme="minorHAnsi"/>
          <w:iCs/>
        </w:rPr>
        <w:t xml:space="preserve"> </w:t>
      </w:r>
      <w:r w:rsidR="00F92365" w:rsidRPr="008B02E0">
        <w:rPr>
          <w:rFonts w:cstheme="minorHAnsi"/>
          <w:iCs/>
        </w:rPr>
        <w:t xml:space="preserve">and </w:t>
      </w:r>
      <w:r w:rsidR="006F345A" w:rsidRPr="008B02E0">
        <w:rPr>
          <w:rFonts w:cstheme="minorHAnsi"/>
          <w:iCs/>
        </w:rPr>
        <w:t>was</w:t>
      </w:r>
      <w:r w:rsidR="00F92365" w:rsidRPr="008B02E0">
        <w:rPr>
          <w:rFonts w:cstheme="minorHAnsi"/>
          <w:iCs/>
        </w:rPr>
        <w:t xml:space="preserve"> tolerating treatment</w:t>
      </w:r>
      <w:r w:rsidR="002A466A" w:rsidRPr="008B02E0">
        <w:rPr>
          <w:rFonts w:cstheme="minorHAnsi"/>
          <w:iCs/>
        </w:rPr>
        <w:t>.</w:t>
      </w:r>
      <w:r w:rsidR="00C377C0" w:rsidRPr="008B02E0">
        <w:rPr>
          <w:rFonts w:cstheme="minorHAnsi"/>
          <w:iCs/>
        </w:rPr>
        <w:t xml:space="preserve"> However, the PB</w:t>
      </w:r>
      <w:r w:rsidR="00845A9A" w:rsidRPr="008B02E0">
        <w:rPr>
          <w:rFonts w:cstheme="minorHAnsi"/>
          <w:iCs/>
        </w:rPr>
        <w:t>AC considered</w:t>
      </w:r>
      <w:r w:rsidR="00CD22CE" w:rsidRPr="008B02E0">
        <w:rPr>
          <w:rFonts w:cstheme="minorHAnsi"/>
          <w:iCs/>
        </w:rPr>
        <w:t xml:space="preserve"> that</w:t>
      </w:r>
      <w:r w:rsidR="00C27477" w:rsidRPr="008B02E0">
        <w:rPr>
          <w:rFonts w:cstheme="minorHAnsi"/>
          <w:iCs/>
        </w:rPr>
        <w:t xml:space="preserve"> the </w:t>
      </w:r>
      <w:r w:rsidR="004A0697">
        <w:rPr>
          <w:rFonts w:cstheme="minorHAnsi"/>
          <w:iCs/>
        </w:rPr>
        <w:t>long</w:t>
      </w:r>
      <w:r w:rsidR="009E5502">
        <w:rPr>
          <w:rFonts w:cstheme="minorHAnsi"/>
          <w:iCs/>
        </w:rPr>
        <w:noBreakHyphen/>
      </w:r>
      <w:r w:rsidR="004A0697">
        <w:rPr>
          <w:rFonts w:cstheme="minorHAnsi"/>
          <w:iCs/>
        </w:rPr>
        <w:t>term</w:t>
      </w:r>
      <w:r w:rsidR="00C27477" w:rsidRPr="008B02E0">
        <w:rPr>
          <w:rFonts w:cstheme="minorHAnsi"/>
          <w:iCs/>
        </w:rPr>
        <w:t xml:space="preserve"> </w:t>
      </w:r>
      <w:r w:rsidR="00D42B82" w:rsidRPr="008B02E0">
        <w:rPr>
          <w:rFonts w:cstheme="minorHAnsi"/>
          <w:iCs/>
        </w:rPr>
        <w:t>risk</w:t>
      </w:r>
      <w:r w:rsidR="009E5502">
        <w:rPr>
          <w:rFonts w:cstheme="minorHAnsi"/>
          <w:iCs/>
        </w:rPr>
        <w:noBreakHyphen/>
      </w:r>
      <w:r w:rsidR="00C27477" w:rsidRPr="008B02E0">
        <w:rPr>
          <w:rFonts w:cstheme="minorHAnsi"/>
          <w:iCs/>
        </w:rPr>
        <w:t xml:space="preserve">benefit </w:t>
      </w:r>
      <w:r w:rsidR="00AB5737" w:rsidRPr="008B02E0">
        <w:rPr>
          <w:rFonts w:cstheme="minorHAnsi"/>
          <w:iCs/>
        </w:rPr>
        <w:t>and cost</w:t>
      </w:r>
      <w:r w:rsidR="009E5502">
        <w:rPr>
          <w:rFonts w:cstheme="minorHAnsi"/>
          <w:iCs/>
        </w:rPr>
        <w:noBreakHyphen/>
      </w:r>
      <w:r w:rsidR="00AB5737" w:rsidRPr="008B02E0">
        <w:rPr>
          <w:rFonts w:cstheme="minorHAnsi"/>
          <w:iCs/>
        </w:rPr>
        <w:t xml:space="preserve">effectiveness of treatment </w:t>
      </w:r>
      <w:r w:rsidR="00C27477" w:rsidRPr="008B02E0">
        <w:rPr>
          <w:rFonts w:cstheme="minorHAnsi"/>
          <w:iCs/>
        </w:rPr>
        <w:t xml:space="preserve">under these circumstances </w:t>
      </w:r>
      <w:r w:rsidR="00134557" w:rsidRPr="008B02E0">
        <w:rPr>
          <w:rFonts w:cstheme="minorHAnsi"/>
          <w:iCs/>
        </w:rPr>
        <w:t>was</w:t>
      </w:r>
      <w:r w:rsidR="00C27477" w:rsidRPr="008B02E0">
        <w:rPr>
          <w:rFonts w:cstheme="minorHAnsi"/>
          <w:iCs/>
        </w:rPr>
        <w:t xml:space="preserve"> uncertain and </w:t>
      </w:r>
      <w:r w:rsidR="00CE431E" w:rsidRPr="008B02E0">
        <w:rPr>
          <w:rFonts w:cstheme="minorHAnsi"/>
          <w:iCs/>
        </w:rPr>
        <w:t xml:space="preserve">for this reason </w:t>
      </w:r>
      <w:r w:rsidR="00D42B82" w:rsidRPr="008B02E0">
        <w:rPr>
          <w:rFonts w:cstheme="minorHAnsi"/>
          <w:iCs/>
        </w:rPr>
        <w:t>advised th</w:t>
      </w:r>
      <w:r w:rsidR="00F55FB5" w:rsidRPr="008B02E0">
        <w:rPr>
          <w:rFonts w:cstheme="minorHAnsi"/>
          <w:iCs/>
        </w:rPr>
        <w:t xml:space="preserve">at </w:t>
      </w:r>
      <w:r w:rsidR="00915D7E" w:rsidRPr="008B02E0">
        <w:rPr>
          <w:rFonts w:cstheme="minorHAnsi"/>
          <w:iCs/>
        </w:rPr>
        <w:t xml:space="preserve">a </w:t>
      </w:r>
      <w:r w:rsidR="002A6732" w:rsidRPr="008B02E0">
        <w:rPr>
          <w:rFonts w:cstheme="minorHAnsi"/>
          <w:iCs/>
        </w:rPr>
        <w:t>discontinuation</w:t>
      </w:r>
      <w:r w:rsidR="00915D7E" w:rsidRPr="008B02E0">
        <w:rPr>
          <w:rFonts w:cstheme="minorHAnsi"/>
          <w:iCs/>
        </w:rPr>
        <w:t xml:space="preserve"> rule </w:t>
      </w:r>
      <w:r w:rsidR="002A6732" w:rsidRPr="008B02E0">
        <w:rPr>
          <w:rFonts w:cstheme="minorHAnsi"/>
          <w:iCs/>
        </w:rPr>
        <w:t>upon</w:t>
      </w:r>
      <w:r w:rsidR="00915D7E" w:rsidRPr="008B02E0">
        <w:rPr>
          <w:rFonts w:cstheme="minorHAnsi"/>
          <w:iCs/>
        </w:rPr>
        <w:t xml:space="preserve"> progression </w:t>
      </w:r>
      <w:r w:rsidR="00CF1575" w:rsidRPr="008B02E0">
        <w:rPr>
          <w:rFonts w:cstheme="minorHAnsi"/>
          <w:iCs/>
        </w:rPr>
        <w:t>remained</w:t>
      </w:r>
      <w:r w:rsidR="00915D7E" w:rsidRPr="008B02E0">
        <w:rPr>
          <w:rFonts w:cstheme="minorHAnsi"/>
          <w:iCs/>
        </w:rPr>
        <w:t xml:space="preserve"> appropriate.</w:t>
      </w:r>
      <w:bookmarkEnd w:id="109"/>
      <w:r w:rsidR="00915D7E" w:rsidRPr="008B02E0">
        <w:rPr>
          <w:rFonts w:cstheme="minorHAnsi"/>
          <w:iCs/>
        </w:rPr>
        <w:t xml:space="preserve"> </w:t>
      </w:r>
    </w:p>
    <w:p w14:paraId="207CCDDD" w14:textId="53CFE794" w:rsidR="002D0D40" w:rsidRPr="008B02E0" w:rsidRDefault="005F30A2" w:rsidP="00AE5B32">
      <w:pPr>
        <w:pStyle w:val="ListBullet"/>
        <w:numPr>
          <w:ilvl w:val="1"/>
          <w:numId w:val="1"/>
        </w:numPr>
        <w:spacing w:after="120"/>
        <w:rPr>
          <w:rFonts w:asciiTheme="minorHAnsi" w:hAnsiTheme="minorHAnsi"/>
          <w:snapToGrid w:val="0"/>
        </w:rPr>
      </w:pPr>
      <w:r w:rsidRPr="008B02E0">
        <w:rPr>
          <w:rFonts w:asciiTheme="minorHAnsi" w:hAnsiTheme="minorHAnsi"/>
          <w:snapToGrid w:val="0"/>
        </w:rPr>
        <w:t>The PBAC considered the nominated comparator, pembrolizumab, was reasonable.</w:t>
      </w:r>
    </w:p>
    <w:p w14:paraId="48743C3E" w14:textId="43E88A81" w:rsidR="003144A9" w:rsidRDefault="005F30A2" w:rsidP="00AE5B32">
      <w:pPr>
        <w:pStyle w:val="3-BodyText"/>
      </w:pPr>
      <w:r w:rsidRPr="008B02E0">
        <w:t>The PBAC noted</w:t>
      </w:r>
      <w:r w:rsidR="008B3341" w:rsidRPr="008B02E0">
        <w:t xml:space="preserve"> that</w:t>
      </w:r>
      <w:r w:rsidRPr="008B02E0">
        <w:t xml:space="preserve"> the submission was </w:t>
      </w:r>
      <w:r w:rsidR="00DA3CDF" w:rsidRPr="008B02E0">
        <w:t xml:space="preserve">based on two clinical trials in </w:t>
      </w:r>
      <w:r w:rsidR="00DA3CDF" w:rsidRPr="008B02E0">
        <w:rPr>
          <w:color w:val="000000" w:themeColor="text1"/>
        </w:rPr>
        <w:t>MSI</w:t>
      </w:r>
      <w:r w:rsidR="009E5502">
        <w:rPr>
          <w:color w:val="000000" w:themeColor="text1"/>
        </w:rPr>
        <w:noBreakHyphen/>
      </w:r>
      <w:r w:rsidR="00DA3CDF" w:rsidRPr="008B02E0">
        <w:rPr>
          <w:color w:val="000000" w:themeColor="text1"/>
        </w:rPr>
        <w:t>H/dMMR mCRC</w:t>
      </w:r>
      <w:r w:rsidR="008B3341" w:rsidRPr="008B02E0">
        <w:rPr>
          <w:color w:val="000000" w:themeColor="text1"/>
        </w:rPr>
        <w:t>:</w:t>
      </w:r>
      <w:r w:rsidR="00B71F56" w:rsidRPr="008B02E0">
        <w:rPr>
          <w:color w:val="000000" w:themeColor="text1"/>
        </w:rPr>
        <w:t xml:space="preserve"> </w:t>
      </w:r>
      <w:r w:rsidR="006F2410" w:rsidRPr="008B02E0">
        <w:rPr>
          <w:color w:val="000000" w:themeColor="text1"/>
        </w:rPr>
        <w:t>CheckMate 8HW (CM</w:t>
      </w:r>
      <w:r w:rsidR="009E5502">
        <w:rPr>
          <w:color w:val="000000" w:themeColor="text1"/>
        </w:rPr>
        <w:noBreakHyphen/>
      </w:r>
      <w:r w:rsidR="006F2410" w:rsidRPr="008B02E0">
        <w:rPr>
          <w:color w:val="000000" w:themeColor="text1"/>
        </w:rPr>
        <w:t>8HW)</w:t>
      </w:r>
      <w:r w:rsidR="00D508C1" w:rsidRPr="008B02E0">
        <w:rPr>
          <w:color w:val="000000" w:themeColor="text1"/>
        </w:rPr>
        <w:t>,</w:t>
      </w:r>
      <w:r w:rsidR="006F2410" w:rsidRPr="008B02E0">
        <w:rPr>
          <w:color w:val="000000" w:themeColor="text1"/>
        </w:rPr>
        <w:t xml:space="preserve"> </w:t>
      </w:r>
      <w:r w:rsidR="00C214DB" w:rsidRPr="008B02E0">
        <w:rPr>
          <w:color w:val="000000" w:themeColor="text1"/>
        </w:rPr>
        <w:t>a Phase III, randomised, open</w:t>
      </w:r>
      <w:r w:rsidR="009E5502">
        <w:rPr>
          <w:color w:val="000000" w:themeColor="text1"/>
        </w:rPr>
        <w:noBreakHyphen/>
      </w:r>
      <w:r w:rsidR="00C214DB" w:rsidRPr="008B02E0">
        <w:rPr>
          <w:color w:val="000000" w:themeColor="text1"/>
        </w:rPr>
        <w:t xml:space="preserve">label clinical trial </w:t>
      </w:r>
      <w:r w:rsidR="008B3341" w:rsidRPr="008B02E0">
        <w:rPr>
          <w:color w:val="000000" w:themeColor="text1"/>
        </w:rPr>
        <w:t>comparing</w:t>
      </w:r>
      <w:r w:rsidR="00B71F56" w:rsidRPr="008B02E0">
        <w:rPr>
          <w:color w:val="000000" w:themeColor="text1"/>
        </w:rPr>
        <w:t xml:space="preserve"> the efficacy and safety of nivolumab plus ipilimumab, nivolumab monotherapy and chemotherapy</w:t>
      </w:r>
      <w:r w:rsidR="008B3341" w:rsidRPr="008B02E0">
        <w:rPr>
          <w:color w:val="000000" w:themeColor="text1"/>
        </w:rPr>
        <w:t>; and</w:t>
      </w:r>
      <w:r w:rsidR="006F2410" w:rsidRPr="008B02E0">
        <w:rPr>
          <w:color w:val="000000" w:themeColor="text1"/>
        </w:rPr>
        <w:t xml:space="preserve"> KEYNOTE 177 (KN</w:t>
      </w:r>
      <w:r w:rsidR="009E5502">
        <w:rPr>
          <w:color w:val="000000" w:themeColor="text1"/>
        </w:rPr>
        <w:noBreakHyphen/>
      </w:r>
      <w:r w:rsidR="006F2410" w:rsidRPr="008B02E0">
        <w:rPr>
          <w:color w:val="000000" w:themeColor="text1"/>
        </w:rPr>
        <w:t>177)</w:t>
      </w:r>
      <w:r w:rsidR="006B0CDF" w:rsidRPr="008B02E0">
        <w:rPr>
          <w:color w:val="000000" w:themeColor="text1"/>
        </w:rPr>
        <w:t>,</w:t>
      </w:r>
      <w:r w:rsidR="008B3341" w:rsidRPr="008B02E0">
        <w:rPr>
          <w:color w:val="000000" w:themeColor="text1"/>
        </w:rPr>
        <w:t xml:space="preserve"> </w:t>
      </w:r>
      <w:r w:rsidR="00C214DB" w:rsidRPr="008B02E0">
        <w:rPr>
          <w:color w:val="000000" w:themeColor="text1"/>
        </w:rPr>
        <w:t>a Phase III, randomised, open</w:t>
      </w:r>
      <w:r w:rsidR="009E5502">
        <w:rPr>
          <w:color w:val="000000" w:themeColor="text1"/>
        </w:rPr>
        <w:noBreakHyphen/>
      </w:r>
      <w:r w:rsidR="00C214DB" w:rsidRPr="008B02E0">
        <w:rPr>
          <w:color w:val="000000" w:themeColor="text1"/>
        </w:rPr>
        <w:t xml:space="preserve">label clinical </w:t>
      </w:r>
      <w:r w:rsidR="005A421C" w:rsidRPr="008B02E0">
        <w:rPr>
          <w:color w:val="000000" w:themeColor="text1"/>
        </w:rPr>
        <w:t>trial</w:t>
      </w:r>
      <w:r w:rsidR="00C214DB" w:rsidRPr="008B02E0">
        <w:rPr>
          <w:color w:val="000000" w:themeColor="text1"/>
        </w:rPr>
        <w:t xml:space="preserve"> comparing the efficacy and safety of pembrolizumab and chemotherapy.</w:t>
      </w:r>
      <w:r w:rsidR="006C344A" w:rsidRPr="008B02E0">
        <w:rPr>
          <w:color w:val="000000" w:themeColor="text1"/>
        </w:rPr>
        <w:t xml:space="preserve"> The PBAC </w:t>
      </w:r>
      <w:r w:rsidR="004C7950">
        <w:rPr>
          <w:color w:val="000000" w:themeColor="text1"/>
        </w:rPr>
        <w:t>considered that there was</w:t>
      </w:r>
      <w:r w:rsidR="004C7950" w:rsidRPr="008B02E0">
        <w:rPr>
          <w:color w:val="000000" w:themeColor="text1"/>
        </w:rPr>
        <w:t xml:space="preserve"> </w:t>
      </w:r>
      <w:r w:rsidR="004C7950">
        <w:rPr>
          <w:color w:val="000000" w:themeColor="text1"/>
        </w:rPr>
        <w:t>a</w:t>
      </w:r>
      <w:r w:rsidR="00F7506F" w:rsidRPr="008B02E0">
        <w:rPr>
          <w:color w:val="000000" w:themeColor="text1"/>
        </w:rPr>
        <w:t xml:space="preserve"> potential risk of bias in these trials due to their open</w:t>
      </w:r>
      <w:r w:rsidR="009E5502">
        <w:rPr>
          <w:color w:val="000000" w:themeColor="text1"/>
        </w:rPr>
        <w:noBreakHyphen/>
      </w:r>
      <w:r w:rsidR="00F7506F" w:rsidRPr="008B02E0">
        <w:rPr>
          <w:color w:val="000000" w:themeColor="text1"/>
        </w:rPr>
        <w:t>label design</w:t>
      </w:r>
      <w:r w:rsidR="0099381C">
        <w:rPr>
          <w:color w:val="000000" w:themeColor="text1"/>
        </w:rPr>
        <w:t xml:space="preserve">. The </w:t>
      </w:r>
      <w:r w:rsidR="00002478">
        <w:rPr>
          <w:color w:val="000000" w:themeColor="text1"/>
        </w:rPr>
        <w:t>PBAC</w:t>
      </w:r>
      <w:r w:rsidR="0099381C">
        <w:rPr>
          <w:color w:val="000000" w:themeColor="text1"/>
        </w:rPr>
        <w:t xml:space="preserve"> </w:t>
      </w:r>
      <w:r w:rsidR="0099381C" w:rsidRPr="008B02E0">
        <w:rPr>
          <w:iCs/>
        </w:rPr>
        <w:t>noted that</w:t>
      </w:r>
      <w:r w:rsidR="0099381C" w:rsidRPr="008B02E0">
        <w:t xml:space="preserve"> the chemotherapy arms of CM</w:t>
      </w:r>
      <w:r w:rsidR="009E5502">
        <w:noBreakHyphen/>
      </w:r>
      <w:r w:rsidR="0099381C" w:rsidRPr="008B02E0">
        <w:t>8HW 1L and KN</w:t>
      </w:r>
      <w:r w:rsidR="009E5502">
        <w:noBreakHyphen/>
      </w:r>
      <w:r w:rsidR="0099381C" w:rsidRPr="008B02E0">
        <w:t>177 had very different discontinuations due to study drug related adverse events, 38% and 7% respectively</w:t>
      </w:r>
      <w:r w:rsidR="00002478">
        <w:t xml:space="preserve">. The PBAC </w:t>
      </w:r>
      <w:r w:rsidR="008647D3">
        <w:t>agreed with the</w:t>
      </w:r>
      <w:r w:rsidR="001E78CE">
        <w:t xml:space="preserve"> ESC </w:t>
      </w:r>
      <w:r w:rsidR="0099381C" w:rsidRPr="008B02E0">
        <w:rPr>
          <w:iCs/>
        </w:rPr>
        <w:t xml:space="preserve">that it was possible </w:t>
      </w:r>
      <w:r w:rsidR="0099381C" w:rsidRPr="008B02E0">
        <w:t>that the open</w:t>
      </w:r>
      <w:r w:rsidR="009E5502">
        <w:noBreakHyphen/>
      </w:r>
      <w:r w:rsidR="0099381C" w:rsidRPr="008B02E0">
        <w:t>label design may have led to an increased proportion of patients crossing over to the intervention arm in CM</w:t>
      </w:r>
      <w:r w:rsidR="009E5502">
        <w:noBreakHyphen/>
      </w:r>
      <w:r w:rsidR="0099381C" w:rsidRPr="008B02E0">
        <w:t>8HW versus KN</w:t>
      </w:r>
      <w:r w:rsidR="009E5502">
        <w:noBreakHyphen/>
      </w:r>
      <w:r w:rsidR="0099381C" w:rsidRPr="008B02E0">
        <w:t>177, given that there was a better understanding of the clinical improvement associated with immunotherapy at the time that CM</w:t>
      </w:r>
      <w:r w:rsidR="009E5502">
        <w:noBreakHyphen/>
      </w:r>
      <w:r w:rsidR="0099381C" w:rsidRPr="008B02E0">
        <w:t xml:space="preserve">8HW was conducted. </w:t>
      </w:r>
    </w:p>
    <w:p w14:paraId="3FDE6458" w14:textId="5A02C9E3" w:rsidR="005F30A2" w:rsidRPr="003144A9" w:rsidRDefault="00DB628F" w:rsidP="00AE5B32">
      <w:pPr>
        <w:pStyle w:val="3-BodyText"/>
      </w:pPr>
      <w:r w:rsidRPr="003144A9">
        <w:rPr>
          <w:color w:val="000000" w:themeColor="text1"/>
        </w:rPr>
        <w:t xml:space="preserve">The PBAC noted </w:t>
      </w:r>
      <w:r w:rsidR="00FD1D7A" w:rsidRPr="008B02E0">
        <w:t>nivolumab plus ipilimumab demonstrated a</w:t>
      </w:r>
      <w:r w:rsidR="009103C3" w:rsidRPr="003144A9">
        <w:rPr>
          <w:color w:val="000000" w:themeColor="text1"/>
        </w:rPr>
        <w:t xml:space="preserve"> </w:t>
      </w:r>
      <w:r w:rsidR="00F71DF5" w:rsidRPr="003144A9">
        <w:rPr>
          <w:color w:val="000000" w:themeColor="text1"/>
        </w:rPr>
        <w:t>greater</w:t>
      </w:r>
      <w:r w:rsidR="009103C3" w:rsidRPr="003144A9">
        <w:rPr>
          <w:color w:val="000000" w:themeColor="text1"/>
        </w:rPr>
        <w:t xml:space="preserve"> improvement in PFS relative to chemotherapy</w:t>
      </w:r>
      <w:r w:rsidR="00FD1D7A" w:rsidRPr="003144A9">
        <w:rPr>
          <w:color w:val="000000" w:themeColor="text1"/>
        </w:rPr>
        <w:t xml:space="preserve"> </w:t>
      </w:r>
      <w:r w:rsidR="00FD1D7A" w:rsidRPr="008B02E0">
        <w:t>(hazard ratio [HR]: 0.32, 95% confidence interval [CI]: 0.23, 0.46, locally confirmed MSI</w:t>
      </w:r>
      <w:r w:rsidR="009E5502">
        <w:noBreakHyphen/>
      </w:r>
      <w:r w:rsidR="00FD1D7A" w:rsidRPr="008B02E0">
        <w:t>H/dMMR cohort of CM</w:t>
      </w:r>
      <w:r w:rsidR="009E5502">
        <w:noBreakHyphen/>
      </w:r>
      <w:r w:rsidR="00FD1D7A" w:rsidRPr="008B02E0">
        <w:t>8HW 1L)</w:t>
      </w:r>
      <w:r w:rsidR="009103C3" w:rsidRPr="003144A9">
        <w:rPr>
          <w:color w:val="000000" w:themeColor="text1"/>
        </w:rPr>
        <w:t xml:space="preserve">, </w:t>
      </w:r>
      <w:r w:rsidR="00415F14" w:rsidRPr="008B02E0">
        <w:t xml:space="preserve">compared </w:t>
      </w:r>
      <w:r w:rsidR="00FD1D7A" w:rsidRPr="008B02E0">
        <w:t>to the</w:t>
      </w:r>
      <w:r w:rsidR="00415F14" w:rsidRPr="008B02E0">
        <w:t xml:space="preserve"> improvement </w:t>
      </w:r>
      <w:r w:rsidR="00FD1D7A" w:rsidRPr="008B02E0">
        <w:t>observed</w:t>
      </w:r>
      <w:r w:rsidR="00F71DF5" w:rsidRPr="008B02E0">
        <w:t xml:space="preserve"> with pembrolizumab</w:t>
      </w:r>
      <w:r w:rsidR="00415F14" w:rsidRPr="003144A9">
        <w:t xml:space="preserve"> </w:t>
      </w:r>
      <w:r w:rsidR="00E44886" w:rsidRPr="003144A9">
        <w:t>(HR</w:t>
      </w:r>
      <w:r w:rsidR="009B6233">
        <w:t>:</w:t>
      </w:r>
      <w:r w:rsidR="00E44886" w:rsidRPr="003144A9">
        <w:t xml:space="preserve"> 0.60, 95% CI</w:t>
      </w:r>
      <w:r w:rsidR="0007036F">
        <w:t>:</w:t>
      </w:r>
      <w:r w:rsidR="00E44886" w:rsidRPr="003144A9">
        <w:t xml:space="preserve"> 0</w:t>
      </w:r>
      <w:r w:rsidR="00E44886" w:rsidRPr="008B02E0">
        <w:t>.45, 0.79)</w:t>
      </w:r>
      <w:r w:rsidR="00D53F41" w:rsidRPr="008B02E0">
        <w:t>.</w:t>
      </w:r>
      <w:r w:rsidR="00FE0C59" w:rsidRPr="008B02E0">
        <w:t xml:space="preserve"> However, the PBAC noted that the</w:t>
      </w:r>
      <w:r w:rsidR="00FE0C59" w:rsidRPr="003144A9">
        <w:rPr>
          <w:iCs/>
        </w:rPr>
        <w:t xml:space="preserve"> PFS from </w:t>
      </w:r>
      <w:r w:rsidR="00FE0C59" w:rsidRPr="003144A9">
        <w:rPr>
          <w:color w:val="000000" w:themeColor="text1"/>
        </w:rPr>
        <w:t>CM</w:t>
      </w:r>
      <w:r w:rsidR="009E5502">
        <w:rPr>
          <w:color w:val="000000" w:themeColor="text1"/>
        </w:rPr>
        <w:noBreakHyphen/>
      </w:r>
      <w:r w:rsidR="00FE0C59" w:rsidRPr="003144A9">
        <w:rPr>
          <w:color w:val="000000" w:themeColor="text1"/>
        </w:rPr>
        <w:t>8HW</w:t>
      </w:r>
      <w:r w:rsidR="00FE0C59" w:rsidRPr="003144A9">
        <w:rPr>
          <w:iCs/>
        </w:rPr>
        <w:t xml:space="preserve"> was still immature with median PFS not reached in the nivolumab plus ipilimumab arm of CM</w:t>
      </w:r>
      <w:r w:rsidR="009E5502">
        <w:rPr>
          <w:iCs/>
        </w:rPr>
        <w:noBreakHyphen/>
      </w:r>
      <w:r w:rsidR="00FE0C59" w:rsidRPr="003144A9">
        <w:rPr>
          <w:iCs/>
        </w:rPr>
        <w:t xml:space="preserve">8HW 1L at the </w:t>
      </w:r>
      <w:r w:rsidR="00503626">
        <w:rPr>
          <w:iCs/>
        </w:rPr>
        <w:t>data cut off (</w:t>
      </w:r>
      <w:r w:rsidR="00FE0C59" w:rsidRPr="003144A9">
        <w:rPr>
          <w:iCs/>
        </w:rPr>
        <w:t>DCO</w:t>
      </w:r>
      <w:r w:rsidR="00503626">
        <w:rPr>
          <w:iCs/>
        </w:rPr>
        <w:t>)</w:t>
      </w:r>
      <w:r w:rsidR="00FE0C59" w:rsidRPr="003144A9">
        <w:rPr>
          <w:iCs/>
        </w:rPr>
        <w:t xml:space="preserve"> of 12 October 2023.</w:t>
      </w:r>
    </w:p>
    <w:p w14:paraId="452E2E64" w14:textId="41780473" w:rsidR="00F54081" w:rsidRPr="008B02E0" w:rsidRDefault="00611CD8" w:rsidP="00AE5B32">
      <w:pPr>
        <w:numPr>
          <w:ilvl w:val="1"/>
          <w:numId w:val="1"/>
        </w:numPr>
        <w:spacing w:after="120"/>
        <w:rPr>
          <w:rFonts w:asciiTheme="minorHAnsi" w:hAnsiTheme="minorHAnsi"/>
          <w:snapToGrid w:val="0"/>
        </w:rPr>
      </w:pPr>
      <w:r w:rsidRPr="008B02E0">
        <w:rPr>
          <w:color w:val="000000" w:themeColor="text1"/>
        </w:rPr>
        <w:t>The PBAC noted that a Bucher and matching</w:t>
      </w:r>
      <w:r w:rsidR="009E5502">
        <w:rPr>
          <w:color w:val="000000" w:themeColor="text1"/>
        </w:rPr>
        <w:noBreakHyphen/>
      </w:r>
      <w:r w:rsidRPr="008B02E0">
        <w:rPr>
          <w:color w:val="000000" w:themeColor="text1"/>
        </w:rPr>
        <w:t xml:space="preserve">adjusted indirect treatment comparisons (ITCs) were presented in the submission to compare nivolumab plus ipilimumab with pembrolizumab, using chemotherapy as the common comparator. </w:t>
      </w:r>
      <w:r w:rsidR="000F629A" w:rsidRPr="008B02E0">
        <w:rPr>
          <w:rFonts w:asciiTheme="minorHAnsi" w:hAnsiTheme="minorHAnsi"/>
          <w:snapToGrid w:val="0"/>
        </w:rPr>
        <w:t xml:space="preserve">The PBAC noted </w:t>
      </w:r>
      <w:r w:rsidR="000523AB" w:rsidRPr="008B02E0">
        <w:rPr>
          <w:rFonts w:asciiTheme="minorHAnsi" w:hAnsiTheme="minorHAnsi"/>
          <w:snapToGrid w:val="0"/>
        </w:rPr>
        <w:t xml:space="preserve">the </w:t>
      </w:r>
      <w:r w:rsidR="00F34ED1" w:rsidRPr="008B02E0">
        <w:rPr>
          <w:rFonts w:asciiTheme="minorHAnsi" w:hAnsiTheme="minorHAnsi"/>
          <w:snapToGrid w:val="0"/>
        </w:rPr>
        <w:t>limitations</w:t>
      </w:r>
      <w:r w:rsidR="000523AB" w:rsidRPr="008B02E0">
        <w:rPr>
          <w:rFonts w:asciiTheme="minorHAnsi" w:hAnsiTheme="minorHAnsi"/>
          <w:snapToGrid w:val="0"/>
        </w:rPr>
        <w:t xml:space="preserve"> </w:t>
      </w:r>
      <w:r w:rsidR="00D168E9" w:rsidRPr="008B02E0">
        <w:rPr>
          <w:rFonts w:asciiTheme="minorHAnsi" w:hAnsiTheme="minorHAnsi"/>
          <w:snapToGrid w:val="0"/>
        </w:rPr>
        <w:t>associated with</w:t>
      </w:r>
      <w:r w:rsidR="000523AB" w:rsidRPr="008B02E0">
        <w:rPr>
          <w:rFonts w:asciiTheme="minorHAnsi" w:hAnsiTheme="minorHAnsi"/>
          <w:snapToGrid w:val="0"/>
        </w:rPr>
        <w:t xml:space="preserve"> </w:t>
      </w:r>
      <w:r w:rsidR="00152C37" w:rsidRPr="008B02E0">
        <w:rPr>
          <w:rFonts w:asciiTheme="minorHAnsi" w:hAnsiTheme="minorHAnsi"/>
          <w:snapToGrid w:val="0"/>
        </w:rPr>
        <w:t>the</w:t>
      </w:r>
      <w:r w:rsidRPr="008B02E0">
        <w:rPr>
          <w:rFonts w:asciiTheme="minorHAnsi" w:hAnsiTheme="minorHAnsi"/>
          <w:snapToGrid w:val="0"/>
        </w:rPr>
        <w:t>se</w:t>
      </w:r>
      <w:r w:rsidR="00152C37" w:rsidRPr="008B02E0">
        <w:rPr>
          <w:rFonts w:asciiTheme="minorHAnsi" w:hAnsiTheme="minorHAnsi"/>
          <w:snapToGrid w:val="0"/>
        </w:rPr>
        <w:t xml:space="preserve"> </w:t>
      </w:r>
      <w:r w:rsidR="000523AB" w:rsidRPr="008B02E0">
        <w:rPr>
          <w:rFonts w:asciiTheme="minorHAnsi" w:hAnsiTheme="minorHAnsi"/>
          <w:snapToGrid w:val="0"/>
        </w:rPr>
        <w:t xml:space="preserve">comparisons </w:t>
      </w:r>
      <w:r w:rsidR="00864499" w:rsidRPr="008B02E0">
        <w:rPr>
          <w:rFonts w:asciiTheme="minorHAnsi" w:hAnsiTheme="minorHAnsi"/>
          <w:snapToGrid w:val="0"/>
        </w:rPr>
        <w:t>(paragraph</w:t>
      </w:r>
      <w:r w:rsidR="009775F3" w:rsidRPr="008B02E0">
        <w:rPr>
          <w:rFonts w:asciiTheme="minorHAnsi" w:hAnsiTheme="minorHAnsi"/>
          <w:snapToGrid w:val="0"/>
        </w:rPr>
        <w:t>s</w:t>
      </w:r>
      <w:r w:rsidR="00864499" w:rsidRPr="008B02E0">
        <w:rPr>
          <w:rFonts w:asciiTheme="minorHAnsi" w:hAnsiTheme="minorHAnsi"/>
          <w:snapToGrid w:val="0"/>
        </w:rPr>
        <w:t xml:space="preserve"> </w:t>
      </w:r>
      <w:r w:rsidR="00CA0277" w:rsidRPr="008B02E0">
        <w:rPr>
          <w:rFonts w:asciiTheme="minorHAnsi" w:hAnsiTheme="minorHAnsi"/>
          <w:snapToGrid w:val="0"/>
        </w:rPr>
        <w:fldChar w:fldCharType="begin"/>
      </w:r>
      <w:r w:rsidR="00CA0277" w:rsidRPr="008B02E0">
        <w:rPr>
          <w:rFonts w:asciiTheme="minorHAnsi" w:hAnsiTheme="minorHAnsi"/>
          <w:snapToGrid w:val="0"/>
        </w:rPr>
        <w:instrText xml:space="preserve"> REF _Ref200706736 \r \h </w:instrText>
      </w:r>
      <w:r w:rsidR="00CA0277" w:rsidRPr="008B02E0">
        <w:rPr>
          <w:rFonts w:asciiTheme="minorHAnsi" w:hAnsiTheme="minorHAnsi"/>
          <w:snapToGrid w:val="0"/>
        </w:rPr>
      </w:r>
      <w:r w:rsidR="00CA0277" w:rsidRPr="008B02E0">
        <w:rPr>
          <w:rFonts w:asciiTheme="minorHAnsi" w:hAnsiTheme="minorHAnsi"/>
          <w:snapToGrid w:val="0"/>
        </w:rPr>
        <w:fldChar w:fldCharType="separate"/>
      </w:r>
      <w:r w:rsidR="00B542C9">
        <w:rPr>
          <w:rFonts w:asciiTheme="minorHAnsi" w:hAnsiTheme="minorHAnsi"/>
          <w:snapToGrid w:val="0"/>
        </w:rPr>
        <w:t>6.55</w:t>
      </w:r>
      <w:r w:rsidR="00CA0277" w:rsidRPr="008B02E0">
        <w:rPr>
          <w:rFonts w:asciiTheme="minorHAnsi" w:hAnsiTheme="minorHAnsi"/>
          <w:snapToGrid w:val="0"/>
        </w:rPr>
        <w:fldChar w:fldCharType="end"/>
      </w:r>
      <w:r w:rsidR="00CA0277" w:rsidRPr="008B02E0">
        <w:rPr>
          <w:rFonts w:asciiTheme="minorHAnsi" w:hAnsiTheme="minorHAnsi"/>
          <w:snapToGrid w:val="0"/>
        </w:rPr>
        <w:t xml:space="preserve">, </w:t>
      </w:r>
      <w:r w:rsidR="009775F3" w:rsidRPr="008B02E0">
        <w:rPr>
          <w:rFonts w:asciiTheme="minorHAnsi" w:hAnsiTheme="minorHAnsi"/>
          <w:snapToGrid w:val="0"/>
        </w:rPr>
        <w:fldChar w:fldCharType="begin"/>
      </w:r>
      <w:r w:rsidR="009775F3" w:rsidRPr="008B02E0">
        <w:rPr>
          <w:rFonts w:asciiTheme="minorHAnsi" w:hAnsiTheme="minorHAnsi"/>
          <w:snapToGrid w:val="0"/>
        </w:rPr>
        <w:instrText xml:space="preserve"> REF _Ref205616419 \r \h </w:instrText>
      </w:r>
      <w:r w:rsidR="009775F3" w:rsidRPr="008B02E0">
        <w:rPr>
          <w:rFonts w:asciiTheme="minorHAnsi" w:hAnsiTheme="minorHAnsi"/>
          <w:snapToGrid w:val="0"/>
        </w:rPr>
      </w:r>
      <w:r w:rsidR="009775F3" w:rsidRPr="008B02E0">
        <w:rPr>
          <w:rFonts w:asciiTheme="minorHAnsi" w:hAnsiTheme="minorHAnsi"/>
          <w:snapToGrid w:val="0"/>
        </w:rPr>
        <w:fldChar w:fldCharType="separate"/>
      </w:r>
      <w:r w:rsidR="00B542C9">
        <w:rPr>
          <w:rFonts w:asciiTheme="minorHAnsi" w:hAnsiTheme="minorHAnsi"/>
          <w:snapToGrid w:val="0"/>
        </w:rPr>
        <w:t>6.61</w:t>
      </w:r>
      <w:r w:rsidR="009775F3" w:rsidRPr="008B02E0">
        <w:rPr>
          <w:rFonts w:asciiTheme="minorHAnsi" w:hAnsiTheme="minorHAnsi"/>
          <w:snapToGrid w:val="0"/>
        </w:rPr>
        <w:fldChar w:fldCharType="end"/>
      </w:r>
      <w:r w:rsidR="009775F3" w:rsidRPr="008B02E0">
        <w:rPr>
          <w:rFonts w:asciiTheme="minorHAnsi" w:hAnsiTheme="minorHAnsi"/>
          <w:snapToGrid w:val="0"/>
        </w:rPr>
        <w:t xml:space="preserve">, </w:t>
      </w:r>
      <w:r w:rsidR="009775F3" w:rsidRPr="008B02E0">
        <w:rPr>
          <w:rFonts w:asciiTheme="minorHAnsi" w:hAnsiTheme="minorHAnsi"/>
          <w:snapToGrid w:val="0"/>
        </w:rPr>
        <w:fldChar w:fldCharType="begin"/>
      </w:r>
      <w:r w:rsidR="009775F3" w:rsidRPr="008B02E0">
        <w:rPr>
          <w:rFonts w:asciiTheme="minorHAnsi" w:hAnsiTheme="minorHAnsi"/>
          <w:snapToGrid w:val="0"/>
        </w:rPr>
        <w:instrText xml:space="preserve"> REF _Ref205616454 \r \h </w:instrText>
      </w:r>
      <w:r w:rsidR="009775F3" w:rsidRPr="008B02E0">
        <w:rPr>
          <w:rFonts w:asciiTheme="minorHAnsi" w:hAnsiTheme="minorHAnsi"/>
          <w:snapToGrid w:val="0"/>
        </w:rPr>
      </w:r>
      <w:r w:rsidR="009775F3" w:rsidRPr="008B02E0">
        <w:rPr>
          <w:rFonts w:asciiTheme="minorHAnsi" w:hAnsiTheme="minorHAnsi"/>
          <w:snapToGrid w:val="0"/>
        </w:rPr>
        <w:fldChar w:fldCharType="separate"/>
      </w:r>
      <w:r w:rsidR="00B542C9">
        <w:rPr>
          <w:rFonts w:asciiTheme="minorHAnsi" w:hAnsiTheme="minorHAnsi"/>
          <w:snapToGrid w:val="0"/>
        </w:rPr>
        <w:t>6.63</w:t>
      </w:r>
      <w:r w:rsidR="009775F3" w:rsidRPr="008B02E0">
        <w:rPr>
          <w:rFonts w:asciiTheme="minorHAnsi" w:hAnsiTheme="minorHAnsi"/>
          <w:snapToGrid w:val="0"/>
        </w:rPr>
        <w:fldChar w:fldCharType="end"/>
      </w:r>
      <w:r w:rsidR="009775F3" w:rsidRPr="008B02E0">
        <w:rPr>
          <w:rFonts w:asciiTheme="minorHAnsi" w:hAnsiTheme="minorHAnsi"/>
          <w:snapToGrid w:val="0"/>
        </w:rPr>
        <w:t>)</w:t>
      </w:r>
      <w:r w:rsidR="001C66CA" w:rsidRPr="008B02E0">
        <w:rPr>
          <w:rFonts w:asciiTheme="minorHAnsi" w:hAnsiTheme="minorHAnsi"/>
          <w:snapToGrid w:val="0"/>
        </w:rPr>
        <w:t xml:space="preserve"> and </w:t>
      </w:r>
      <w:r w:rsidR="001C66CA" w:rsidRPr="008B02E0">
        <w:rPr>
          <w:rFonts w:asciiTheme="minorHAnsi" w:hAnsiTheme="minorHAnsi"/>
          <w:snapToGrid w:val="0"/>
        </w:rPr>
        <w:lastRenderedPageBreak/>
        <w:t xml:space="preserve">the submission’s preference for the unanchored </w:t>
      </w:r>
      <w:r w:rsidR="006834AC">
        <w:rPr>
          <w:rFonts w:asciiTheme="minorHAnsi" w:hAnsiTheme="minorHAnsi"/>
          <w:snapToGrid w:val="0"/>
        </w:rPr>
        <w:t>matching adjusted indirect comparison (</w:t>
      </w:r>
      <w:r w:rsidR="001C66CA" w:rsidRPr="008B02E0">
        <w:rPr>
          <w:rFonts w:asciiTheme="minorHAnsi" w:hAnsiTheme="minorHAnsi"/>
          <w:snapToGrid w:val="0"/>
        </w:rPr>
        <w:t>MAIC</w:t>
      </w:r>
      <w:r w:rsidR="006834AC">
        <w:rPr>
          <w:rFonts w:asciiTheme="minorHAnsi" w:hAnsiTheme="minorHAnsi"/>
          <w:snapToGrid w:val="0"/>
        </w:rPr>
        <w:t>)</w:t>
      </w:r>
      <w:r w:rsidR="001C66CA" w:rsidRPr="008B02E0">
        <w:rPr>
          <w:rFonts w:asciiTheme="minorHAnsi" w:hAnsiTheme="minorHAnsi"/>
          <w:snapToGrid w:val="0"/>
        </w:rPr>
        <w:t xml:space="preserve"> due to issues related to poor matching of</w:t>
      </w:r>
      <w:r w:rsidR="000150FD" w:rsidRPr="008B02E0">
        <w:rPr>
          <w:rFonts w:asciiTheme="minorHAnsi" w:hAnsiTheme="minorHAnsi"/>
          <w:snapToGrid w:val="0"/>
        </w:rPr>
        <w:t xml:space="preserve"> the</w:t>
      </w:r>
      <w:r w:rsidR="001C66CA" w:rsidRPr="008B02E0">
        <w:rPr>
          <w:rFonts w:asciiTheme="minorHAnsi" w:hAnsiTheme="minorHAnsi"/>
          <w:snapToGrid w:val="0"/>
        </w:rPr>
        <w:t xml:space="preserve"> chemotherapy arms across the studies in the anchored analysis (paragraph </w:t>
      </w:r>
      <w:r w:rsidR="001C66CA" w:rsidRPr="008B02E0">
        <w:rPr>
          <w:rFonts w:asciiTheme="minorHAnsi" w:hAnsiTheme="minorHAnsi"/>
          <w:snapToGrid w:val="0"/>
        </w:rPr>
        <w:fldChar w:fldCharType="begin"/>
      </w:r>
      <w:r w:rsidR="001C66CA" w:rsidRPr="008B02E0">
        <w:rPr>
          <w:rFonts w:asciiTheme="minorHAnsi" w:hAnsiTheme="minorHAnsi"/>
          <w:snapToGrid w:val="0"/>
        </w:rPr>
        <w:instrText xml:space="preserve"> REF _Ref205616818 \r \h </w:instrText>
      </w:r>
      <w:r w:rsidR="001C66CA" w:rsidRPr="008B02E0">
        <w:rPr>
          <w:rFonts w:asciiTheme="minorHAnsi" w:hAnsiTheme="minorHAnsi"/>
          <w:snapToGrid w:val="0"/>
        </w:rPr>
      </w:r>
      <w:r w:rsidR="001C66CA" w:rsidRPr="008B02E0">
        <w:rPr>
          <w:rFonts w:asciiTheme="minorHAnsi" w:hAnsiTheme="minorHAnsi"/>
          <w:snapToGrid w:val="0"/>
        </w:rPr>
        <w:fldChar w:fldCharType="separate"/>
      </w:r>
      <w:r w:rsidR="00B542C9">
        <w:rPr>
          <w:rFonts w:asciiTheme="minorHAnsi" w:hAnsiTheme="minorHAnsi"/>
          <w:snapToGrid w:val="0"/>
        </w:rPr>
        <w:t>6.53</w:t>
      </w:r>
      <w:r w:rsidR="001C66CA" w:rsidRPr="008B02E0">
        <w:rPr>
          <w:rFonts w:asciiTheme="minorHAnsi" w:hAnsiTheme="minorHAnsi"/>
          <w:snapToGrid w:val="0"/>
        </w:rPr>
        <w:fldChar w:fldCharType="end"/>
      </w:r>
      <w:r w:rsidR="001C66CA" w:rsidRPr="008B02E0">
        <w:rPr>
          <w:rFonts w:asciiTheme="minorHAnsi" w:hAnsiTheme="minorHAnsi"/>
          <w:snapToGrid w:val="0"/>
        </w:rPr>
        <w:t>).</w:t>
      </w:r>
      <w:r w:rsidR="00DD1038" w:rsidRPr="008B02E0">
        <w:rPr>
          <w:rFonts w:asciiTheme="minorHAnsi" w:hAnsiTheme="minorHAnsi"/>
          <w:snapToGrid w:val="0"/>
        </w:rPr>
        <w:t xml:space="preserve"> </w:t>
      </w:r>
      <w:r w:rsidR="006542AD" w:rsidRPr="008B02E0">
        <w:t>T</w:t>
      </w:r>
      <w:r w:rsidR="00A85322" w:rsidRPr="008B02E0">
        <w:t>he</w:t>
      </w:r>
      <w:r w:rsidR="00DD1038" w:rsidRPr="008B02E0">
        <w:t xml:space="preserve"> </w:t>
      </w:r>
      <w:r w:rsidR="00905B90" w:rsidRPr="008B02E0">
        <w:t xml:space="preserve">PBAC noted that the </w:t>
      </w:r>
      <w:r w:rsidR="00DD1038" w:rsidRPr="008B02E0">
        <w:t>time</w:t>
      </w:r>
      <w:r w:rsidR="009E5502">
        <w:noBreakHyphen/>
      </w:r>
      <w:r w:rsidR="00DD1038" w:rsidRPr="008B02E0">
        <w:t>varying hazard ratio point estimates</w:t>
      </w:r>
      <w:r w:rsidR="006542AD" w:rsidRPr="008B02E0">
        <w:t xml:space="preserve"> from the unanchored MAIC</w:t>
      </w:r>
      <w:r w:rsidR="00C516F5" w:rsidRPr="008B02E0">
        <w:t xml:space="preserve"> </w:t>
      </w:r>
      <w:r w:rsidR="009025C4" w:rsidRPr="008B02E0">
        <w:t>suggested</w:t>
      </w:r>
      <w:r w:rsidR="00C516F5" w:rsidRPr="008B02E0">
        <w:t xml:space="preserve"> </w:t>
      </w:r>
      <w:r w:rsidR="00905B90" w:rsidRPr="008B02E0">
        <w:t xml:space="preserve">a </w:t>
      </w:r>
      <w:r w:rsidR="009025C4" w:rsidRPr="008B02E0">
        <w:t xml:space="preserve">favourable </w:t>
      </w:r>
      <w:r w:rsidR="00C516F5" w:rsidRPr="008B02E0">
        <w:t>PFS</w:t>
      </w:r>
      <w:r w:rsidR="00905B90" w:rsidRPr="008B02E0">
        <w:t xml:space="preserve"> benefit</w:t>
      </w:r>
      <w:r w:rsidR="00C516F5" w:rsidRPr="008B02E0">
        <w:t xml:space="preserve"> </w:t>
      </w:r>
      <w:r w:rsidR="00802DB0" w:rsidRPr="008B02E0">
        <w:t>for</w:t>
      </w:r>
      <w:r w:rsidR="00C516F5" w:rsidRPr="008B02E0">
        <w:t xml:space="preserve"> </w:t>
      </w:r>
      <w:r w:rsidR="00521965" w:rsidRPr="008B02E0">
        <w:t xml:space="preserve">nivolumab plus ipilimumab </w:t>
      </w:r>
      <w:r w:rsidR="00905B90" w:rsidRPr="008B02E0">
        <w:t>compared with</w:t>
      </w:r>
      <w:r w:rsidR="00521965" w:rsidRPr="008B02E0">
        <w:t xml:space="preserve"> pembrolizumab</w:t>
      </w:r>
      <w:r w:rsidR="00AF522D" w:rsidRPr="008B02E0">
        <w:t xml:space="preserve"> </w:t>
      </w:r>
      <w:r w:rsidR="00521965" w:rsidRPr="008B02E0">
        <w:t>ranging</w:t>
      </w:r>
      <w:r w:rsidR="00DD1038" w:rsidRPr="008B02E0">
        <w:t xml:space="preserve"> from 0.51 in Month 12 to 0.92 in Month 120</w:t>
      </w:r>
      <w:r w:rsidR="00DB02D4" w:rsidRPr="008B02E0">
        <w:t xml:space="preserve">. </w:t>
      </w:r>
      <w:r w:rsidR="00AF522D" w:rsidRPr="008B02E0">
        <w:t>However, the</w:t>
      </w:r>
      <w:r w:rsidR="00DB02D4" w:rsidRPr="008B02E0">
        <w:t xml:space="preserve"> PBAC noted that for this analysis, </w:t>
      </w:r>
      <w:r w:rsidR="00823FFD" w:rsidRPr="008B02E0">
        <w:t>the 95% C</w:t>
      </w:r>
      <w:r w:rsidR="00A645AB">
        <w:t>I</w:t>
      </w:r>
      <w:r w:rsidR="00AA1980" w:rsidRPr="008B02E0">
        <w:t xml:space="preserve">s </w:t>
      </w:r>
      <w:r w:rsidR="009E3922" w:rsidRPr="008B02E0">
        <w:t xml:space="preserve">crossed 1 </w:t>
      </w:r>
      <w:r w:rsidR="00742CFE" w:rsidRPr="008B02E0">
        <w:t xml:space="preserve">prior </w:t>
      </w:r>
      <w:r w:rsidR="009E3922" w:rsidRPr="008B02E0">
        <w:t xml:space="preserve">to </w:t>
      </w:r>
      <w:r w:rsidR="001C3E51" w:rsidRPr="008B02E0">
        <w:t xml:space="preserve">Month </w:t>
      </w:r>
      <w:r w:rsidR="009E3922" w:rsidRPr="008B02E0">
        <w:t xml:space="preserve">12 and after </w:t>
      </w:r>
      <w:r w:rsidR="00AA1980" w:rsidRPr="008B02E0">
        <w:t>Month 60</w:t>
      </w:r>
      <w:r w:rsidR="009E3922" w:rsidRPr="008B02E0">
        <w:t xml:space="preserve">, </w:t>
      </w:r>
      <w:r w:rsidR="005701EE" w:rsidRPr="008B02E0">
        <w:t>indicating an uncertain treatment effect over time.</w:t>
      </w:r>
      <w:r w:rsidR="00000C66" w:rsidRPr="008B02E0">
        <w:t xml:space="preserve"> The PBAC also noted the loss of randomisation and reduced effective sample size (ESS) for this analysis. </w:t>
      </w:r>
      <w:r w:rsidR="006F5A96" w:rsidRPr="008B02E0">
        <w:t xml:space="preserve">Overall, the PBAC considered that based on the </w:t>
      </w:r>
      <w:r w:rsidR="00517CDA" w:rsidRPr="008B02E0">
        <w:t>clinical evidence presented in the submission, the claim of superior comparative effectiveness</w:t>
      </w:r>
      <w:r w:rsidR="00B93ABC" w:rsidRPr="008B02E0">
        <w:t xml:space="preserve"> </w:t>
      </w:r>
      <w:r w:rsidR="00C01618" w:rsidRPr="008B02E0">
        <w:t>for</w:t>
      </w:r>
      <w:r w:rsidR="00517CDA" w:rsidRPr="008B02E0">
        <w:t xml:space="preserve"> nivolumab plus ipilimumab over pembrolizumab was supported</w:t>
      </w:r>
      <w:r w:rsidR="00B93ABC" w:rsidRPr="008B02E0">
        <w:t xml:space="preserve"> for PFS</w:t>
      </w:r>
      <w:r w:rsidR="00C01618" w:rsidRPr="008B02E0">
        <w:t>. T</w:t>
      </w:r>
      <w:r w:rsidR="00756139" w:rsidRPr="008B02E0">
        <w:t xml:space="preserve">hough due to the limitations of the </w:t>
      </w:r>
      <w:r w:rsidR="00BB483E">
        <w:t>ITCs</w:t>
      </w:r>
      <w:r w:rsidR="00756139" w:rsidRPr="008B02E0">
        <w:t>, the magnitude of</w:t>
      </w:r>
      <w:r w:rsidR="00CD6423" w:rsidRPr="008B02E0">
        <w:t xml:space="preserve"> </w:t>
      </w:r>
      <w:r w:rsidR="00756139" w:rsidRPr="008B02E0">
        <w:t xml:space="preserve">benefit was uncertain. </w:t>
      </w:r>
      <w:r w:rsidR="006F7A9E" w:rsidRPr="008B02E0">
        <w:t xml:space="preserve">The PBAC considered that while </w:t>
      </w:r>
      <w:r w:rsidR="00F54081" w:rsidRPr="008B02E0">
        <w:rPr>
          <w:iCs/>
        </w:rPr>
        <w:t xml:space="preserve">no comparative </w:t>
      </w:r>
      <w:r w:rsidR="00BB483E">
        <w:rPr>
          <w:iCs/>
        </w:rPr>
        <w:t>overall survival (</w:t>
      </w:r>
      <w:r w:rsidR="00F54081" w:rsidRPr="008B02E0">
        <w:rPr>
          <w:iCs/>
        </w:rPr>
        <w:t>OS</w:t>
      </w:r>
      <w:r w:rsidR="00BB483E">
        <w:rPr>
          <w:iCs/>
        </w:rPr>
        <w:t>)</w:t>
      </w:r>
      <w:r w:rsidR="00F54081" w:rsidRPr="008B02E0">
        <w:rPr>
          <w:iCs/>
        </w:rPr>
        <w:t xml:space="preserve"> data were presented in the submission</w:t>
      </w:r>
      <w:r w:rsidR="006F7A9E" w:rsidRPr="008B02E0">
        <w:rPr>
          <w:iCs/>
        </w:rPr>
        <w:t xml:space="preserve">, </w:t>
      </w:r>
      <w:r w:rsidR="006F7A9E" w:rsidRPr="008B02E0">
        <w:t xml:space="preserve">the PFS benefit observed for nivolumab with ipilimumab </w:t>
      </w:r>
      <w:r w:rsidR="006F7A9E" w:rsidRPr="008B02E0">
        <w:rPr>
          <w:iCs/>
        </w:rPr>
        <w:t xml:space="preserve">patients </w:t>
      </w:r>
      <w:r w:rsidR="006F7A9E" w:rsidRPr="008B02E0">
        <w:t>was likely to translate into a survival benefit.</w:t>
      </w:r>
    </w:p>
    <w:p w14:paraId="229E7159" w14:textId="46EA0EAF" w:rsidR="00F54081" w:rsidRPr="008B02E0" w:rsidRDefault="001E756D" w:rsidP="00AE5B32">
      <w:pPr>
        <w:numPr>
          <w:ilvl w:val="1"/>
          <w:numId w:val="1"/>
        </w:numPr>
        <w:spacing w:after="120"/>
        <w:rPr>
          <w:rFonts w:asciiTheme="minorHAnsi" w:hAnsiTheme="minorHAnsi"/>
          <w:snapToGrid w:val="0"/>
        </w:rPr>
      </w:pPr>
      <w:r w:rsidRPr="008B02E0">
        <w:rPr>
          <w:rFonts w:asciiTheme="minorHAnsi" w:hAnsiTheme="minorHAnsi"/>
          <w:snapToGrid w:val="0"/>
        </w:rPr>
        <w:t xml:space="preserve">The PBAC considered </w:t>
      </w:r>
      <w:r w:rsidR="00FE236F" w:rsidRPr="008B02E0">
        <w:rPr>
          <w:rFonts w:asciiTheme="minorHAnsi" w:hAnsiTheme="minorHAnsi"/>
          <w:snapToGrid w:val="0"/>
        </w:rPr>
        <w:t xml:space="preserve">that based on the </w:t>
      </w:r>
      <w:r w:rsidR="00D3127C" w:rsidRPr="008B02E0">
        <w:rPr>
          <w:rFonts w:asciiTheme="minorHAnsi" w:hAnsiTheme="minorHAnsi"/>
          <w:snapToGrid w:val="0"/>
        </w:rPr>
        <w:t xml:space="preserve">evidence presented in the submission, </w:t>
      </w:r>
      <w:r w:rsidR="00601985" w:rsidRPr="008B02E0">
        <w:rPr>
          <w:rFonts w:asciiTheme="minorHAnsi" w:hAnsiTheme="minorHAnsi"/>
          <w:snapToGrid w:val="0"/>
        </w:rPr>
        <w:t>a</w:t>
      </w:r>
      <w:r w:rsidRPr="008B02E0">
        <w:rPr>
          <w:rFonts w:asciiTheme="minorHAnsi" w:hAnsiTheme="minorHAnsi"/>
          <w:snapToGrid w:val="0"/>
        </w:rPr>
        <w:t xml:space="preserve"> claim of inferior safety for </w:t>
      </w:r>
      <w:r w:rsidRPr="008B02E0">
        <w:t xml:space="preserve">nivolumab plus ipilimumab versus </w:t>
      </w:r>
      <w:r w:rsidR="00B770EE" w:rsidRPr="008B02E0">
        <w:t>pembrolizumab was reasonable.</w:t>
      </w:r>
      <w:r w:rsidR="00587BC0" w:rsidRPr="008B02E0">
        <w:t xml:space="preserve"> The PBAC noted the most common </w:t>
      </w:r>
      <w:r w:rsidR="008E4256" w:rsidRPr="008B02E0">
        <w:t>G</w:t>
      </w:r>
      <w:r w:rsidR="00587BC0" w:rsidRPr="008B02E0">
        <w:t>rade 3</w:t>
      </w:r>
      <w:r w:rsidR="00587BC0" w:rsidRPr="008B02E0">
        <w:rPr>
          <w:rFonts w:cs="Calibri"/>
        </w:rPr>
        <w:t>−</w:t>
      </w:r>
      <w:r w:rsidR="00587BC0" w:rsidRPr="008B02E0">
        <w:t>4 immune mediated adverse events (IMAEs) for nivolumab plus ipilimumab in CM</w:t>
      </w:r>
      <w:r w:rsidR="009E5502">
        <w:noBreakHyphen/>
      </w:r>
      <w:r w:rsidR="00587BC0" w:rsidRPr="008B02E0">
        <w:t>8HW 1L were diarrhoea/colitis (5% of patients) and adrenal insufficiency (4% of patients).</w:t>
      </w:r>
    </w:p>
    <w:p w14:paraId="58452B53" w14:textId="32E5060A" w:rsidR="008345B7" w:rsidRPr="008345B7" w:rsidRDefault="003C31F9" w:rsidP="00AE5B32">
      <w:pPr>
        <w:numPr>
          <w:ilvl w:val="1"/>
          <w:numId w:val="1"/>
        </w:numPr>
        <w:spacing w:after="120"/>
        <w:rPr>
          <w:rFonts w:asciiTheme="minorHAnsi" w:hAnsiTheme="minorHAnsi"/>
          <w:snapToGrid w:val="0"/>
        </w:rPr>
      </w:pPr>
      <w:r w:rsidRPr="008B02E0">
        <w:rPr>
          <w:rFonts w:asciiTheme="minorHAnsi" w:hAnsiTheme="minorHAnsi"/>
          <w:snapToGrid w:val="0"/>
        </w:rPr>
        <w:t xml:space="preserve">The PBAC </w:t>
      </w:r>
      <w:r w:rsidR="000255A5">
        <w:rPr>
          <w:rFonts w:asciiTheme="minorHAnsi" w:hAnsiTheme="minorHAnsi"/>
          <w:snapToGrid w:val="0"/>
        </w:rPr>
        <w:t>noted that the</w:t>
      </w:r>
      <w:r w:rsidR="00274C52" w:rsidRPr="008B02E0">
        <w:t xml:space="preserve"> economic model </w:t>
      </w:r>
      <w:r w:rsidR="00A6640F" w:rsidRPr="008B02E0">
        <w:t>was complex</w:t>
      </w:r>
      <w:r w:rsidR="00D352C9">
        <w:t xml:space="preserve"> and lacked transparency</w:t>
      </w:r>
      <w:r w:rsidR="00762AC5">
        <w:t xml:space="preserve"> </w:t>
      </w:r>
      <w:r w:rsidR="00535A2E" w:rsidRPr="008B02E0">
        <w:rPr>
          <w:iCs/>
        </w:rPr>
        <w:t>with multiple data sources, time</w:t>
      </w:r>
      <w:r w:rsidR="009E5502">
        <w:rPr>
          <w:iCs/>
        </w:rPr>
        <w:noBreakHyphen/>
      </w:r>
      <w:r w:rsidR="00535A2E" w:rsidRPr="008B02E0">
        <w:rPr>
          <w:iCs/>
        </w:rPr>
        <w:t xml:space="preserve">varying </w:t>
      </w:r>
      <w:r w:rsidR="007956AF">
        <w:rPr>
          <w:iCs/>
        </w:rPr>
        <w:t>progression free</w:t>
      </w:r>
      <w:r w:rsidR="00535A2E" w:rsidRPr="008B02E0">
        <w:rPr>
          <w:iCs/>
        </w:rPr>
        <w:t xml:space="preserve"> </w:t>
      </w:r>
      <w:r w:rsidR="00850832">
        <w:rPr>
          <w:iCs/>
        </w:rPr>
        <w:t>HRs</w:t>
      </w:r>
      <w:r w:rsidR="00535A2E" w:rsidRPr="008B02E0">
        <w:rPr>
          <w:iCs/>
        </w:rPr>
        <w:t>, and the model followed time in progressed disease.</w:t>
      </w:r>
      <w:r w:rsidR="00274C52" w:rsidRPr="008B02E0">
        <w:t xml:space="preserve"> </w:t>
      </w:r>
    </w:p>
    <w:p w14:paraId="056894B2" w14:textId="6B1CFB88" w:rsidR="00C05502" w:rsidRDefault="00973080" w:rsidP="00AE5B32">
      <w:pPr>
        <w:pStyle w:val="3-BodyText"/>
        <w:rPr>
          <w:iCs/>
        </w:rPr>
      </w:pPr>
      <w:bookmarkStart w:id="110" w:name="_Ref205972000"/>
      <w:r w:rsidRPr="008B02E0">
        <w:t xml:space="preserve">The </w:t>
      </w:r>
      <w:r>
        <w:t xml:space="preserve">PBAC noted that the </w:t>
      </w:r>
      <w:r w:rsidRPr="008B02E0">
        <w:t>submission applied a 20</w:t>
      </w:r>
      <w:r w:rsidR="009E5502">
        <w:noBreakHyphen/>
      </w:r>
      <w:r w:rsidRPr="008B02E0">
        <w:t>year time horizon in the model base case</w:t>
      </w:r>
      <w:r>
        <w:t xml:space="preserve">. </w:t>
      </w:r>
      <w:r w:rsidR="00E049E3">
        <w:t>However, the Committee</w:t>
      </w:r>
      <w:r w:rsidR="00F10449">
        <w:t xml:space="preserve"> </w:t>
      </w:r>
      <w:r w:rsidR="004E77A8">
        <w:t>considered</w:t>
      </w:r>
      <w:r w:rsidR="00725CAC">
        <w:t xml:space="preserve"> </w:t>
      </w:r>
      <w:r w:rsidR="004E77A8">
        <w:t xml:space="preserve">that </w:t>
      </w:r>
      <w:r w:rsidR="00E049E3">
        <w:t>due to the</w:t>
      </w:r>
      <w:r w:rsidR="004E77A8">
        <w:t xml:space="preserve"> high degree of </w:t>
      </w:r>
      <w:r w:rsidR="00F10449">
        <w:t xml:space="preserve">uncertainty related to the </w:t>
      </w:r>
      <w:r w:rsidR="007E193A">
        <w:t xml:space="preserve">ITC </w:t>
      </w:r>
      <w:r w:rsidR="00F10449">
        <w:t xml:space="preserve">informing the PFS in the model </w:t>
      </w:r>
      <w:r w:rsidR="005E34C5">
        <w:t>and there being</w:t>
      </w:r>
      <w:r w:rsidR="00F10449">
        <w:t xml:space="preserve"> </w:t>
      </w:r>
      <w:r w:rsidR="00A86F8C">
        <w:t>no</w:t>
      </w:r>
      <w:r w:rsidR="00F10449">
        <w:t xml:space="preserve"> </w:t>
      </w:r>
      <w:r w:rsidR="009C3E1C">
        <w:t xml:space="preserve">comparative </w:t>
      </w:r>
      <w:r w:rsidR="00F10449">
        <w:t>OS data</w:t>
      </w:r>
      <w:r w:rsidR="00FF793B">
        <w:t xml:space="preserve"> to inform long</w:t>
      </w:r>
      <w:r w:rsidR="009E5502">
        <w:noBreakHyphen/>
      </w:r>
      <w:r w:rsidR="00FF793B">
        <w:t>term project</w:t>
      </w:r>
      <w:r w:rsidR="005C23E8">
        <w:t>ion</w:t>
      </w:r>
      <w:r w:rsidR="00FF793B">
        <w:t>s</w:t>
      </w:r>
      <w:r w:rsidR="00A86F8C">
        <w:t xml:space="preserve">, a </w:t>
      </w:r>
      <w:r w:rsidR="00FA03B4">
        <w:t>15</w:t>
      </w:r>
      <w:r w:rsidR="009E5502">
        <w:noBreakHyphen/>
      </w:r>
      <w:r w:rsidR="00FA03B4">
        <w:t xml:space="preserve">year </w:t>
      </w:r>
      <w:r w:rsidR="005C23E8">
        <w:t>time horizon would be more appropriate</w:t>
      </w:r>
      <w:r w:rsidR="00A86F8C">
        <w:t xml:space="preserve">. </w:t>
      </w:r>
      <w:r w:rsidR="00F634E1" w:rsidRPr="00FF793B">
        <w:rPr>
          <w:iCs/>
        </w:rPr>
        <w:t>The PBAC</w:t>
      </w:r>
      <w:r w:rsidR="000905D0">
        <w:rPr>
          <w:iCs/>
        </w:rPr>
        <w:t xml:space="preserve"> </w:t>
      </w:r>
      <w:r w:rsidR="00F634E1" w:rsidRPr="00FF793B">
        <w:rPr>
          <w:iCs/>
        </w:rPr>
        <w:t xml:space="preserve">noted </w:t>
      </w:r>
      <w:r w:rsidR="0092170D" w:rsidRPr="00FF793B">
        <w:rPr>
          <w:iCs/>
        </w:rPr>
        <w:t>that</w:t>
      </w:r>
      <w:r w:rsidR="00557B90" w:rsidRPr="00FF793B">
        <w:rPr>
          <w:iCs/>
        </w:rPr>
        <w:t xml:space="preserve"> the </w:t>
      </w:r>
      <w:r w:rsidR="00802291">
        <w:rPr>
          <w:iCs/>
        </w:rPr>
        <w:t xml:space="preserve">progression free </w:t>
      </w:r>
      <w:r w:rsidR="00557B90" w:rsidRPr="00FF793B">
        <w:rPr>
          <w:iCs/>
        </w:rPr>
        <w:t>HRs favour</w:t>
      </w:r>
      <w:r w:rsidR="00607B9D" w:rsidRPr="00FF793B">
        <w:rPr>
          <w:iCs/>
        </w:rPr>
        <w:t>ed</w:t>
      </w:r>
      <w:r w:rsidR="00557B90" w:rsidRPr="00FF793B">
        <w:rPr>
          <w:iCs/>
        </w:rPr>
        <w:t xml:space="preserve"> nivolumab plus ipilimumab more than the HRs reported in </w:t>
      </w:r>
      <w:r w:rsidR="00DB522A" w:rsidRPr="00FF793B">
        <w:rPr>
          <w:iCs/>
        </w:rPr>
        <w:t xml:space="preserve">the </w:t>
      </w:r>
      <w:r w:rsidR="00563A96" w:rsidRPr="00FF793B">
        <w:rPr>
          <w:iCs/>
        </w:rPr>
        <w:t>ITC</w:t>
      </w:r>
      <w:r w:rsidR="003F4195" w:rsidRPr="00FF793B">
        <w:rPr>
          <w:iCs/>
        </w:rPr>
        <w:t xml:space="preserve"> and</w:t>
      </w:r>
      <w:r w:rsidR="00DE7741" w:rsidRPr="00FF793B">
        <w:rPr>
          <w:iCs/>
        </w:rPr>
        <w:t xml:space="preserve"> the reason for this difference could not be verified during the evaluation</w:t>
      </w:r>
      <w:r w:rsidR="00557B90" w:rsidRPr="00FF793B">
        <w:rPr>
          <w:iCs/>
        </w:rPr>
        <w:t xml:space="preserve"> </w:t>
      </w:r>
      <w:r w:rsidR="0002439D" w:rsidRPr="00FF793B">
        <w:rPr>
          <w:iCs/>
        </w:rPr>
        <w:t xml:space="preserve">(paragraph </w:t>
      </w:r>
      <w:r w:rsidR="0002439D" w:rsidRPr="00FF793B">
        <w:rPr>
          <w:iCs/>
        </w:rPr>
        <w:fldChar w:fldCharType="begin"/>
      </w:r>
      <w:r w:rsidR="0002439D" w:rsidRPr="00FF793B">
        <w:rPr>
          <w:iCs/>
        </w:rPr>
        <w:instrText xml:space="preserve"> REF _Ref201293309 \r \h </w:instrText>
      </w:r>
      <w:r w:rsidR="0002439D" w:rsidRPr="00FF793B">
        <w:rPr>
          <w:iCs/>
        </w:rPr>
      </w:r>
      <w:r w:rsidR="0002439D" w:rsidRPr="00FF793B">
        <w:rPr>
          <w:iCs/>
        </w:rPr>
        <w:fldChar w:fldCharType="separate"/>
      </w:r>
      <w:r w:rsidR="00B542C9">
        <w:rPr>
          <w:iCs/>
        </w:rPr>
        <w:t>6.79</w:t>
      </w:r>
      <w:r w:rsidR="0002439D" w:rsidRPr="00FF793B">
        <w:rPr>
          <w:iCs/>
        </w:rPr>
        <w:fldChar w:fldCharType="end"/>
      </w:r>
      <w:r w:rsidR="0002439D" w:rsidRPr="00FF793B">
        <w:rPr>
          <w:iCs/>
        </w:rPr>
        <w:t>)</w:t>
      </w:r>
      <w:r w:rsidR="001F04F1" w:rsidRPr="00FF793B">
        <w:rPr>
          <w:iCs/>
        </w:rPr>
        <w:t xml:space="preserve">. </w:t>
      </w:r>
      <w:r w:rsidR="008649CB">
        <w:t>T</w:t>
      </w:r>
      <w:r w:rsidR="008649CB" w:rsidRPr="008B02E0">
        <w:t>he</w:t>
      </w:r>
      <w:r w:rsidR="008649CB">
        <w:t xml:space="preserve"> PBAC also noted that the</w:t>
      </w:r>
      <w:r w:rsidR="008649CB" w:rsidRPr="00FF793B">
        <w:rPr>
          <w:color w:val="0066FF"/>
        </w:rPr>
        <w:t xml:space="preserve"> </w:t>
      </w:r>
      <w:r w:rsidR="008649CB" w:rsidRPr="00FF793B">
        <w:rPr>
          <w:iCs/>
        </w:rPr>
        <w:t>modelled OS did not fit the pembrolizumab KM data from KN</w:t>
      </w:r>
      <w:r w:rsidR="009E5502">
        <w:rPr>
          <w:iCs/>
        </w:rPr>
        <w:noBreakHyphen/>
      </w:r>
      <w:r w:rsidR="008649CB" w:rsidRPr="00FF793B">
        <w:rPr>
          <w:iCs/>
        </w:rPr>
        <w:t>177 nor the nivolumab plus ipilimumab KM data from CM</w:t>
      </w:r>
      <w:r w:rsidR="009E5502">
        <w:rPr>
          <w:iCs/>
        </w:rPr>
        <w:noBreakHyphen/>
      </w:r>
      <w:r w:rsidR="008649CB" w:rsidRPr="00FF793B">
        <w:rPr>
          <w:iCs/>
        </w:rPr>
        <w:t xml:space="preserve">142 (1L or 2L+), tending to overestimate both until Year 5. </w:t>
      </w:r>
      <w:r w:rsidR="008649CB" w:rsidRPr="008B02E0">
        <w:t xml:space="preserve">The </w:t>
      </w:r>
      <w:r w:rsidR="008649CB">
        <w:t>PBAC</w:t>
      </w:r>
      <w:r w:rsidR="008649CB" w:rsidRPr="008B02E0">
        <w:t xml:space="preserve"> agreed with the </w:t>
      </w:r>
      <w:r w:rsidR="008649CB">
        <w:t>ESC</w:t>
      </w:r>
      <w:r w:rsidR="008649CB" w:rsidRPr="008B02E0">
        <w:t xml:space="preserve"> that the extrapolation </w:t>
      </w:r>
      <w:r w:rsidR="008649CB" w:rsidRPr="00FF793B">
        <w:rPr>
          <w:iCs/>
        </w:rPr>
        <w:t xml:space="preserve">beyond this was </w:t>
      </w:r>
      <w:r w:rsidR="009E1A45" w:rsidRPr="00FF793B">
        <w:rPr>
          <w:iCs/>
        </w:rPr>
        <w:t xml:space="preserve">highly </w:t>
      </w:r>
      <w:r w:rsidR="008649CB" w:rsidRPr="00FF793B">
        <w:rPr>
          <w:iCs/>
        </w:rPr>
        <w:t xml:space="preserve">uncertain and appeared </w:t>
      </w:r>
      <w:r w:rsidR="00F46449" w:rsidRPr="00FF793B">
        <w:rPr>
          <w:iCs/>
        </w:rPr>
        <w:t>optimistic</w:t>
      </w:r>
      <w:r w:rsidR="008661F3">
        <w:rPr>
          <w:iCs/>
        </w:rPr>
        <w:t>. The PBAC</w:t>
      </w:r>
      <w:r w:rsidR="00DC22CB">
        <w:rPr>
          <w:iCs/>
        </w:rPr>
        <w:t xml:space="preserve"> also</w:t>
      </w:r>
      <w:r w:rsidR="008661F3">
        <w:rPr>
          <w:iCs/>
        </w:rPr>
        <w:t xml:space="preserve"> considered that an</w:t>
      </w:r>
      <w:r w:rsidR="00EA2345">
        <w:rPr>
          <w:iCs/>
        </w:rPr>
        <w:t xml:space="preserve"> undiscounted </w:t>
      </w:r>
      <w:r w:rsidR="00CC485A">
        <w:rPr>
          <w:iCs/>
        </w:rPr>
        <w:t xml:space="preserve">benefit of 3.3 </w:t>
      </w:r>
      <w:r w:rsidR="00EA2345">
        <w:rPr>
          <w:iCs/>
        </w:rPr>
        <w:t>life years</w:t>
      </w:r>
      <w:r w:rsidR="00CC485A">
        <w:rPr>
          <w:iCs/>
        </w:rPr>
        <w:t xml:space="preserve"> </w:t>
      </w:r>
      <w:r w:rsidR="00D061ED">
        <w:rPr>
          <w:iCs/>
        </w:rPr>
        <w:t xml:space="preserve">for </w:t>
      </w:r>
      <w:r w:rsidR="0067519A" w:rsidRPr="00FF793B">
        <w:rPr>
          <w:iCs/>
        </w:rPr>
        <w:t xml:space="preserve">nivolumab plus ipilimumab </w:t>
      </w:r>
      <w:r w:rsidR="0067519A">
        <w:rPr>
          <w:iCs/>
        </w:rPr>
        <w:t xml:space="preserve">versus pembrolizumab </w:t>
      </w:r>
      <w:r w:rsidR="00CC485A">
        <w:rPr>
          <w:iCs/>
        </w:rPr>
        <w:t>was likely overestimated.</w:t>
      </w:r>
      <w:bookmarkEnd w:id="110"/>
    </w:p>
    <w:p w14:paraId="552FC108" w14:textId="4F74E509" w:rsidR="00E86353" w:rsidRPr="00854E87" w:rsidRDefault="00E86353" w:rsidP="00AE5B32">
      <w:pPr>
        <w:pStyle w:val="3-BodyText"/>
        <w:rPr>
          <w:iCs/>
        </w:rPr>
      </w:pPr>
      <w:r w:rsidRPr="00301BAC">
        <w:rPr>
          <w:iCs/>
        </w:rPr>
        <w:t xml:space="preserve">The </w:t>
      </w:r>
      <w:r w:rsidR="00301BAC">
        <w:rPr>
          <w:iCs/>
        </w:rPr>
        <w:t>PBAC noted that</w:t>
      </w:r>
      <w:r w:rsidR="001F6B0E">
        <w:rPr>
          <w:iCs/>
        </w:rPr>
        <w:t xml:space="preserve"> the</w:t>
      </w:r>
      <w:r w:rsidR="00301BAC">
        <w:rPr>
          <w:iCs/>
        </w:rPr>
        <w:t xml:space="preserve"> </w:t>
      </w:r>
      <w:r w:rsidR="00466A11">
        <w:rPr>
          <w:iCs/>
        </w:rPr>
        <w:t xml:space="preserve">submission used </w:t>
      </w:r>
      <w:r w:rsidR="00301BAC">
        <w:rPr>
          <w:iCs/>
        </w:rPr>
        <w:t>a</w:t>
      </w:r>
      <w:r w:rsidRPr="00301BAC">
        <w:rPr>
          <w:iCs/>
        </w:rPr>
        <w:t xml:space="preserve"> ‘market</w:t>
      </w:r>
      <w:r w:rsidR="009E5502">
        <w:rPr>
          <w:iCs/>
        </w:rPr>
        <w:noBreakHyphen/>
      </w:r>
      <w:r w:rsidRPr="00301BAC">
        <w:rPr>
          <w:iCs/>
        </w:rPr>
        <w:t>share’ approach to estimate the financial impact of nivolumab plus ipilimumab</w:t>
      </w:r>
      <w:r w:rsidR="00466A11">
        <w:rPr>
          <w:iCs/>
        </w:rPr>
        <w:t xml:space="preserve"> </w:t>
      </w:r>
      <w:r w:rsidRPr="00301BAC">
        <w:rPr>
          <w:iCs/>
        </w:rPr>
        <w:t xml:space="preserve">based on pembrolizumab script numbers. </w:t>
      </w:r>
      <w:r w:rsidR="00B36716" w:rsidRPr="00854E87">
        <w:rPr>
          <w:iCs/>
        </w:rPr>
        <w:t>The PBAC noted that</w:t>
      </w:r>
      <w:r w:rsidR="001E3A85" w:rsidRPr="00854E87">
        <w:rPr>
          <w:iCs/>
        </w:rPr>
        <w:t xml:space="preserve"> the</w:t>
      </w:r>
      <w:r w:rsidRPr="00854E87">
        <w:rPr>
          <w:iCs/>
        </w:rPr>
        <w:t xml:space="preserve"> assumptions used to convert pembrolizumab scripts to nivolumab plus ipilimumab scripts based on patient numbers</w:t>
      </w:r>
      <w:r w:rsidR="001E3A85" w:rsidRPr="00854E87">
        <w:rPr>
          <w:iCs/>
        </w:rPr>
        <w:t xml:space="preserve"> were uncertain and could not be verified during the evaluation</w:t>
      </w:r>
      <w:r w:rsidRPr="00854E87">
        <w:rPr>
          <w:iCs/>
        </w:rPr>
        <w:t xml:space="preserve">. </w:t>
      </w:r>
      <w:r w:rsidR="004C1D90" w:rsidRPr="00854E87">
        <w:rPr>
          <w:iCs/>
        </w:rPr>
        <w:t>For this reason, the</w:t>
      </w:r>
      <w:r w:rsidRPr="00854E87">
        <w:rPr>
          <w:iCs/>
        </w:rPr>
        <w:t xml:space="preserve"> PBAC considered </w:t>
      </w:r>
      <w:r w:rsidR="001F6B0E" w:rsidRPr="00854E87">
        <w:rPr>
          <w:iCs/>
        </w:rPr>
        <w:t xml:space="preserve">that </w:t>
      </w:r>
      <w:r w:rsidRPr="00854E87">
        <w:rPr>
          <w:iCs/>
        </w:rPr>
        <w:t>an epidemiological</w:t>
      </w:r>
      <w:r w:rsidR="006B503B" w:rsidRPr="00854E87">
        <w:rPr>
          <w:iCs/>
        </w:rPr>
        <w:t xml:space="preserve"> or mixed</w:t>
      </w:r>
      <w:r w:rsidR="009E5502">
        <w:rPr>
          <w:iCs/>
        </w:rPr>
        <w:noBreakHyphen/>
      </w:r>
      <w:r w:rsidR="006B503B" w:rsidRPr="00854E87">
        <w:rPr>
          <w:iCs/>
        </w:rPr>
        <w:t>model</w:t>
      </w:r>
      <w:r w:rsidRPr="00854E87">
        <w:rPr>
          <w:iCs/>
        </w:rPr>
        <w:t xml:space="preserve"> approach may have been more appropriate. </w:t>
      </w:r>
    </w:p>
    <w:p w14:paraId="77252FFE" w14:textId="72FF8EC6" w:rsidR="00E86353" w:rsidRPr="00BE5A84" w:rsidRDefault="001F6B0E" w:rsidP="00AE5B32">
      <w:pPr>
        <w:numPr>
          <w:ilvl w:val="1"/>
          <w:numId w:val="1"/>
        </w:numPr>
        <w:spacing w:after="120"/>
        <w:rPr>
          <w:rFonts w:asciiTheme="minorHAnsi" w:hAnsiTheme="minorHAnsi"/>
          <w:snapToGrid w:val="0"/>
        </w:rPr>
      </w:pPr>
      <w:bookmarkStart w:id="111" w:name="_Ref205786052"/>
      <w:r>
        <w:rPr>
          <w:rFonts w:asciiTheme="minorHAnsi" w:hAnsiTheme="minorHAnsi"/>
          <w:snapToGrid w:val="0"/>
        </w:rPr>
        <w:lastRenderedPageBreak/>
        <w:t xml:space="preserve">The PBAC also noted </w:t>
      </w:r>
      <w:r w:rsidR="008B7313">
        <w:t>that the</w:t>
      </w:r>
      <w:r w:rsidR="008B7313" w:rsidRPr="008B02E0">
        <w:t xml:space="preserve"> submission assumed </w:t>
      </w:r>
      <w:r w:rsidR="00E11347" w:rsidRPr="00E11347">
        <w:rPr>
          <w:color w:val="000000"/>
          <w:w w:val="61"/>
          <w:shd w:val="solid" w:color="000000" w:fill="000000"/>
          <w:fitText w:val="475" w:id="-628963316"/>
          <w14:textFill>
            <w14:solidFill>
              <w14:srgbClr w14:val="000000">
                <w14:alpha w14:val="100000"/>
              </w14:srgbClr>
            </w14:solidFill>
          </w14:textFill>
        </w:rPr>
        <w:t>|||  ||</w:t>
      </w:r>
      <w:r w:rsidR="00E11347" w:rsidRPr="00E11347">
        <w:rPr>
          <w:color w:val="000000"/>
          <w:spacing w:val="5"/>
          <w:w w:val="61"/>
          <w:shd w:val="solid" w:color="000000" w:fill="000000"/>
          <w:fitText w:val="475" w:id="-628963316"/>
          <w14:textFill>
            <w14:solidFill>
              <w14:srgbClr w14:val="000000">
                <w14:alpha w14:val="100000"/>
              </w14:srgbClr>
            </w14:solidFill>
          </w14:textFill>
        </w:rPr>
        <w:t>|</w:t>
      </w:r>
      <w:r w:rsidR="008B7313" w:rsidRPr="008B02E0">
        <w:t>% of pembrolizumab scripts would be substituted for nivolumab plus ipilimumab scripts</w:t>
      </w:r>
      <w:r w:rsidR="006B503B" w:rsidRPr="008B02E0">
        <w:t xml:space="preserve">. The </w:t>
      </w:r>
      <w:r w:rsidR="00E16708">
        <w:t>PBAC</w:t>
      </w:r>
      <w:r w:rsidR="006B503B" w:rsidRPr="008B02E0">
        <w:t xml:space="preserve"> </w:t>
      </w:r>
      <w:r w:rsidR="00B25B07">
        <w:t xml:space="preserve">agreed with the ESC and </w:t>
      </w:r>
      <w:r w:rsidR="006B503B" w:rsidRPr="008B02E0">
        <w:t>considered that the</w:t>
      </w:r>
      <w:r w:rsidR="006B503B" w:rsidRPr="008B02E0">
        <w:rPr>
          <w:iCs/>
        </w:rPr>
        <w:t xml:space="preserve"> </w:t>
      </w:r>
      <w:r w:rsidR="004B5DE5">
        <w:rPr>
          <w:iCs/>
        </w:rPr>
        <w:t xml:space="preserve">assumed </w:t>
      </w:r>
      <w:r w:rsidR="006B503B" w:rsidRPr="008B02E0">
        <w:rPr>
          <w:iCs/>
        </w:rPr>
        <w:t>substitution rate appeared high</w:t>
      </w:r>
      <w:r w:rsidR="00B25B07">
        <w:rPr>
          <w:iCs/>
        </w:rPr>
        <w:t xml:space="preserve">. </w:t>
      </w:r>
      <w:r w:rsidR="00E960BD">
        <w:t>N</w:t>
      </w:r>
      <w:r w:rsidR="006B503B" w:rsidRPr="008B02E0">
        <w:t>oting the increased toxicity associated with nivolumab plus ipilimumab</w:t>
      </w:r>
      <w:r w:rsidR="00E960BD">
        <w:t xml:space="preserve"> and </w:t>
      </w:r>
      <w:r w:rsidR="00295B47">
        <w:t>the magnitude of survival benefit remained uncertain</w:t>
      </w:r>
      <w:r w:rsidR="006B503B" w:rsidRPr="008B02E0">
        <w:t xml:space="preserve">, </w:t>
      </w:r>
      <w:r w:rsidR="00053E1F">
        <w:t xml:space="preserve">the PBAC </w:t>
      </w:r>
      <w:r w:rsidR="006B503B" w:rsidRPr="008B02E0">
        <w:t xml:space="preserve">considered that </w:t>
      </w:r>
      <w:r w:rsidR="00944B9B">
        <w:t xml:space="preserve">a substitution rate of </w:t>
      </w:r>
      <w:r w:rsidR="006B503B" w:rsidRPr="008B02E0">
        <w:t>80% may be more appropriate.</w:t>
      </w:r>
      <w:bookmarkEnd w:id="111"/>
      <w:r w:rsidR="007359AD">
        <w:t xml:space="preserve"> </w:t>
      </w:r>
    </w:p>
    <w:p w14:paraId="5500D050" w14:textId="6F2E1C8C" w:rsidR="00BE5A84" w:rsidRPr="00BE5A84" w:rsidRDefault="00BE5A84" w:rsidP="00AE5B32">
      <w:pPr>
        <w:numPr>
          <w:ilvl w:val="1"/>
          <w:numId w:val="1"/>
        </w:numPr>
        <w:spacing w:after="120"/>
        <w:rPr>
          <w:rFonts w:asciiTheme="minorHAnsi" w:hAnsiTheme="minorHAnsi"/>
          <w:snapToGrid w:val="0"/>
        </w:rPr>
      </w:pPr>
      <w:r>
        <w:t>The PBAC considered a resubmission for nivolumab plus ipilimumab should address the following issues:</w:t>
      </w:r>
    </w:p>
    <w:p w14:paraId="7CC29E79" w14:textId="74160DFE" w:rsidR="00D24C8D" w:rsidRDefault="00093317" w:rsidP="00AE5B32">
      <w:pPr>
        <w:pStyle w:val="ListParagraph"/>
        <w:numPr>
          <w:ilvl w:val="0"/>
          <w:numId w:val="18"/>
        </w:numPr>
      </w:pPr>
      <w:r>
        <w:t>Revise the proposed restriction</w:t>
      </w:r>
      <w:r w:rsidR="00735667">
        <w:t xml:space="preserve">, </w:t>
      </w:r>
      <w:r>
        <w:t>address</w:t>
      </w:r>
      <w:r w:rsidR="00735667">
        <w:t>ing</w:t>
      </w:r>
      <w:r>
        <w:t xml:space="preserve"> issues </w:t>
      </w:r>
      <w:r w:rsidR="00D24C8D">
        <w:t>noted</w:t>
      </w:r>
      <w:r w:rsidR="002B2B9D">
        <w:t xml:space="preserve"> in paragraphs </w:t>
      </w:r>
      <w:r w:rsidR="002B2B9D">
        <w:fldChar w:fldCharType="begin"/>
      </w:r>
      <w:r w:rsidR="002B2B9D">
        <w:instrText xml:space="preserve"> REF _Ref205785907 \r \h </w:instrText>
      </w:r>
      <w:r w:rsidR="002B2B9D">
        <w:fldChar w:fldCharType="separate"/>
      </w:r>
      <w:r w:rsidR="00B542C9">
        <w:t>7.5</w:t>
      </w:r>
      <w:r w:rsidR="002B2B9D">
        <w:fldChar w:fldCharType="end"/>
      </w:r>
      <w:r w:rsidR="002B2B9D">
        <w:t xml:space="preserve"> and </w:t>
      </w:r>
      <w:r w:rsidR="002B2B9D">
        <w:fldChar w:fldCharType="begin"/>
      </w:r>
      <w:r w:rsidR="002B2B9D">
        <w:instrText xml:space="preserve"> REF _Ref205785912 \r \h </w:instrText>
      </w:r>
      <w:r w:rsidR="002B2B9D">
        <w:fldChar w:fldCharType="separate"/>
      </w:r>
      <w:r w:rsidR="00B542C9">
        <w:t>7.6</w:t>
      </w:r>
      <w:r w:rsidR="002B2B9D">
        <w:fldChar w:fldCharType="end"/>
      </w:r>
      <w:r w:rsidR="002B2B9D">
        <w:t>;</w:t>
      </w:r>
    </w:p>
    <w:p w14:paraId="60D24E5D" w14:textId="2D99A5A9" w:rsidR="00D24C8D" w:rsidRPr="00D24C8D" w:rsidRDefault="008C1784" w:rsidP="00AE5B32">
      <w:pPr>
        <w:pStyle w:val="ListParagraph"/>
        <w:numPr>
          <w:ilvl w:val="0"/>
          <w:numId w:val="18"/>
        </w:numPr>
      </w:pPr>
      <w:r>
        <w:t>For the economic</w:t>
      </w:r>
      <w:r w:rsidR="00A2095F">
        <w:t xml:space="preserve"> evaluation, p</w:t>
      </w:r>
      <w:r w:rsidR="00D24C8D">
        <w:t xml:space="preserve">rovide </w:t>
      </w:r>
      <w:r w:rsidR="00D24C8D" w:rsidRPr="008B02E0">
        <w:t>a more transparent version of the semi</w:t>
      </w:r>
      <w:r w:rsidR="009E5502">
        <w:noBreakHyphen/>
      </w:r>
      <w:r w:rsidR="00D24C8D" w:rsidRPr="008B02E0">
        <w:t xml:space="preserve">Markov model </w:t>
      </w:r>
      <w:r w:rsidR="00D24C8D">
        <w:t>or</w:t>
      </w:r>
      <w:r w:rsidR="00D24C8D" w:rsidRPr="008B02E0">
        <w:t xml:space="preserve"> a simpler model structure with more transparent </w:t>
      </w:r>
      <w:r w:rsidR="00D24C8D" w:rsidRPr="00D24C8D">
        <w:rPr>
          <w:iCs/>
        </w:rPr>
        <w:t>results</w:t>
      </w:r>
      <w:r w:rsidR="002A68C0">
        <w:rPr>
          <w:iCs/>
        </w:rPr>
        <w:t xml:space="preserve"> and </w:t>
      </w:r>
      <w:r w:rsidR="0037086A">
        <w:rPr>
          <w:iCs/>
        </w:rPr>
        <w:t xml:space="preserve">address concerns </w:t>
      </w:r>
      <w:r w:rsidR="00F31036">
        <w:rPr>
          <w:iCs/>
        </w:rPr>
        <w:t xml:space="preserve">related to </w:t>
      </w:r>
      <w:r w:rsidR="00691152">
        <w:rPr>
          <w:iCs/>
        </w:rPr>
        <w:t xml:space="preserve">the </w:t>
      </w:r>
      <w:r w:rsidR="00AC1367">
        <w:rPr>
          <w:iCs/>
        </w:rPr>
        <w:t xml:space="preserve">time horizon and </w:t>
      </w:r>
      <w:r w:rsidR="00461E52">
        <w:rPr>
          <w:iCs/>
        </w:rPr>
        <w:t>an optimistic</w:t>
      </w:r>
      <w:r w:rsidR="00284FFE">
        <w:rPr>
          <w:iCs/>
        </w:rPr>
        <w:t xml:space="preserve"> </w:t>
      </w:r>
      <w:r w:rsidR="00A22B5A">
        <w:rPr>
          <w:iCs/>
        </w:rPr>
        <w:t xml:space="preserve">extrapolation </w:t>
      </w:r>
      <w:r w:rsidR="00461E52">
        <w:rPr>
          <w:iCs/>
        </w:rPr>
        <w:t xml:space="preserve">(paragraph </w:t>
      </w:r>
      <w:r w:rsidR="00461E52">
        <w:rPr>
          <w:iCs/>
        </w:rPr>
        <w:fldChar w:fldCharType="begin"/>
      </w:r>
      <w:r w:rsidR="00461E52">
        <w:rPr>
          <w:iCs/>
        </w:rPr>
        <w:instrText xml:space="preserve"> REF _Ref205972000 \r \h </w:instrText>
      </w:r>
      <w:r w:rsidR="00461E52">
        <w:rPr>
          <w:iCs/>
        </w:rPr>
      </w:r>
      <w:r w:rsidR="00461E52">
        <w:rPr>
          <w:iCs/>
        </w:rPr>
        <w:fldChar w:fldCharType="separate"/>
      </w:r>
      <w:r w:rsidR="00B542C9">
        <w:rPr>
          <w:iCs/>
        </w:rPr>
        <w:t>7.13</w:t>
      </w:r>
      <w:r w:rsidR="00461E52">
        <w:rPr>
          <w:iCs/>
        </w:rPr>
        <w:fldChar w:fldCharType="end"/>
      </w:r>
      <w:r w:rsidR="00461E52">
        <w:rPr>
          <w:iCs/>
        </w:rPr>
        <w:t>)</w:t>
      </w:r>
      <w:r w:rsidR="00D24C8D">
        <w:rPr>
          <w:iCs/>
        </w:rPr>
        <w:t>; and</w:t>
      </w:r>
    </w:p>
    <w:p w14:paraId="6F8E5F03" w14:textId="7AB3CE5A" w:rsidR="002B2B9D" w:rsidRPr="002B2B9D" w:rsidRDefault="00D24C8D" w:rsidP="00AE5B32">
      <w:pPr>
        <w:pStyle w:val="ListParagraph"/>
        <w:numPr>
          <w:ilvl w:val="0"/>
          <w:numId w:val="18"/>
        </w:numPr>
      </w:pPr>
      <w:r>
        <w:t xml:space="preserve">Provide </w:t>
      </w:r>
      <w:r w:rsidR="002C2F23">
        <w:t xml:space="preserve">revised financial estimates adopting either </w:t>
      </w:r>
      <w:r w:rsidR="00A2095F">
        <w:t>an</w:t>
      </w:r>
      <w:r w:rsidR="002C2F23">
        <w:t xml:space="preserve"> </w:t>
      </w:r>
      <w:r w:rsidR="002C2F23" w:rsidRPr="00301BAC">
        <w:rPr>
          <w:iCs/>
        </w:rPr>
        <w:t>epidemiological</w:t>
      </w:r>
      <w:r w:rsidR="002C2F23">
        <w:rPr>
          <w:iCs/>
        </w:rPr>
        <w:t xml:space="preserve"> or mixed</w:t>
      </w:r>
      <w:r w:rsidR="009E5502">
        <w:rPr>
          <w:iCs/>
        </w:rPr>
        <w:noBreakHyphen/>
      </w:r>
      <w:r w:rsidR="002C2F23">
        <w:rPr>
          <w:iCs/>
        </w:rPr>
        <w:t>model</w:t>
      </w:r>
      <w:r w:rsidR="002C2F23" w:rsidRPr="00301BAC">
        <w:rPr>
          <w:iCs/>
        </w:rPr>
        <w:t xml:space="preserve"> approach</w:t>
      </w:r>
      <w:r w:rsidR="002C2F23">
        <w:rPr>
          <w:iCs/>
        </w:rPr>
        <w:t>, with amendments to subs</w:t>
      </w:r>
      <w:r w:rsidR="00DB4524">
        <w:rPr>
          <w:iCs/>
        </w:rPr>
        <w:t xml:space="preserve">titution rates as noted in paragraph </w:t>
      </w:r>
      <w:r w:rsidR="00DB4524">
        <w:rPr>
          <w:iCs/>
        </w:rPr>
        <w:fldChar w:fldCharType="begin"/>
      </w:r>
      <w:r w:rsidR="00DB4524">
        <w:rPr>
          <w:iCs/>
        </w:rPr>
        <w:instrText xml:space="preserve"> REF _Ref205786052 \r \h </w:instrText>
      </w:r>
      <w:r w:rsidR="00DB4524">
        <w:rPr>
          <w:iCs/>
        </w:rPr>
      </w:r>
      <w:r w:rsidR="00DB4524">
        <w:rPr>
          <w:iCs/>
        </w:rPr>
        <w:fldChar w:fldCharType="separate"/>
      </w:r>
      <w:r w:rsidR="00B542C9">
        <w:rPr>
          <w:iCs/>
        </w:rPr>
        <w:t>7.15</w:t>
      </w:r>
      <w:r w:rsidR="00DB4524">
        <w:rPr>
          <w:iCs/>
        </w:rPr>
        <w:fldChar w:fldCharType="end"/>
      </w:r>
      <w:r w:rsidR="00DB4524">
        <w:rPr>
          <w:iCs/>
        </w:rPr>
        <w:t>.</w:t>
      </w:r>
    </w:p>
    <w:p w14:paraId="7131103F" w14:textId="120EA97A" w:rsidR="00555559" w:rsidRPr="00A254A4" w:rsidRDefault="00A254A4" w:rsidP="00AE5B32">
      <w:pPr>
        <w:numPr>
          <w:ilvl w:val="1"/>
          <w:numId w:val="1"/>
        </w:numPr>
        <w:spacing w:after="120"/>
        <w:rPr>
          <w:rFonts w:asciiTheme="minorHAnsi" w:hAnsiTheme="minorHAnsi"/>
          <w:b/>
          <w:bCs/>
          <w:snapToGrid w:val="0"/>
        </w:rPr>
      </w:pPr>
      <w:r w:rsidRPr="00007450">
        <w:rPr>
          <w:rFonts w:asciiTheme="minorHAnsi" w:hAnsiTheme="minorHAnsi"/>
          <w:bCs/>
          <w:snapToGrid w:val="0"/>
        </w:rPr>
        <w:t xml:space="preserve">The PBAC noted that this submission is eligible for an Independent Review. </w:t>
      </w:r>
    </w:p>
    <w:p w14:paraId="02492D89" w14:textId="6AA4842A" w:rsidR="00555559" w:rsidRPr="008B02E0" w:rsidRDefault="00555559" w:rsidP="00AE5B32">
      <w:pPr>
        <w:keepNext/>
        <w:spacing w:before="240"/>
        <w:rPr>
          <w:rFonts w:asciiTheme="minorHAnsi" w:hAnsiTheme="minorHAnsi"/>
          <w:b/>
          <w:bCs/>
          <w:snapToGrid w:val="0"/>
        </w:rPr>
      </w:pPr>
      <w:r w:rsidRPr="008B02E0">
        <w:rPr>
          <w:rFonts w:asciiTheme="minorHAnsi" w:hAnsiTheme="minorHAnsi"/>
          <w:b/>
          <w:bCs/>
          <w:snapToGrid w:val="0"/>
        </w:rPr>
        <w:t>Outcome:</w:t>
      </w:r>
    </w:p>
    <w:p w14:paraId="4B81A11B" w14:textId="77777777" w:rsidR="00723366" w:rsidRPr="00C45103" w:rsidRDefault="00555559" w:rsidP="00A207D0">
      <w:pPr>
        <w:pStyle w:val="2-SectionHeading"/>
        <w:numPr>
          <w:ilvl w:val="0"/>
          <w:numId w:val="0"/>
        </w:numPr>
        <w:spacing w:before="0" w:after="0"/>
        <w:rPr>
          <w:b w:val="0"/>
          <w:sz w:val="24"/>
          <w:szCs w:val="24"/>
        </w:rPr>
      </w:pPr>
      <w:r w:rsidRPr="00C45103">
        <w:rPr>
          <w:b w:val="0"/>
          <w:sz w:val="24"/>
          <w:szCs w:val="24"/>
        </w:rPr>
        <w:t xml:space="preserve">Not recommended </w:t>
      </w:r>
    </w:p>
    <w:p w14:paraId="2928F9FB" w14:textId="386666C7" w:rsidR="00FE1528" w:rsidRDefault="00F540BD" w:rsidP="00FE1528">
      <w:pPr>
        <w:pStyle w:val="2-SectionHeading"/>
      </w:pPr>
      <w:r>
        <w:t>Context for Decision</w:t>
      </w:r>
    </w:p>
    <w:p w14:paraId="6667AFC9" w14:textId="7CAF615C" w:rsidR="00FE1528" w:rsidRPr="00FE1528" w:rsidRDefault="00FE1528" w:rsidP="00FE1528">
      <w:pPr>
        <w:ind w:left="709"/>
      </w:pPr>
      <w:r w:rsidRPr="00FE1528">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17BFD4B" w14:textId="046F9989" w:rsidR="00F431A1" w:rsidRDefault="00FE1528" w:rsidP="00A207D0">
      <w:pPr>
        <w:pStyle w:val="2-SectionHeading"/>
      </w:pPr>
      <w:r>
        <w:t>Sponsor’s Comment</w:t>
      </w:r>
    </w:p>
    <w:p w14:paraId="6144DFA7" w14:textId="7781E77F" w:rsidR="00555559" w:rsidRPr="008B02E0" w:rsidRDefault="00D61D88" w:rsidP="00794413">
      <w:pPr>
        <w:pStyle w:val="3-BodyText"/>
        <w:numPr>
          <w:ilvl w:val="0"/>
          <w:numId w:val="0"/>
        </w:numPr>
        <w:ind w:left="720"/>
        <w:rPr>
          <w:b/>
          <w:sz w:val="32"/>
          <w:szCs w:val="32"/>
        </w:rPr>
      </w:pPr>
      <w:bookmarkStart w:id="112" w:name="_Hlk209446853"/>
      <w:r w:rsidRPr="00D61D88">
        <w:t xml:space="preserve">Bristol Myers Squibb Australia is committed </w:t>
      </w:r>
      <w:r>
        <w:t xml:space="preserve">to </w:t>
      </w:r>
      <w:r w:rsidRPr="00D61D88">
        <w:t xml:space="preserve">working with the </w:t>
      </w:r>
      <w:r w:rsidR="00882EA3">
        <w:t xml:space="preserve">Department of Health, Disability and Ageing and the </w:t>
      </w:r>
      <w:r w:rsidRPr="00D61D88">
        <w:t>PBAC to bring this important treatment advance</w:t>
      </w:r>
      <w:r w:rsidR="00882EA3">
        <w:t>ment</w:t>
      </w:r>
      <w:r w:rsidRPr="00D61D88">
        <w:t xml:space="preserve"> to Australia</w:t>
      </w:r>
      <w:r w:rsidR="00882EA3">
        <w:t>n</w:t>
      </w:r>
      <w:r w:rsidRPr="00D61D88">
        <w:t xml:space="preserve"> patients with microsatellite instability high (MSI H) or mismatch repair deficient (dMMR) unresectable or metastatic colorectal cancer (mCRC).</w:t>
      </w:r>
      <w:bookmarkEnd w:id="106"/>
      <w:bookmarkEnd w:id="107"/>
      <w:bookmarkEnd w:id="112"/>
    </w:p>
    <w:sectPr w:rsidR="00555559" w:rsidRPr="008B02E0" w:rsidSect="00837EF6">
      <w:headerReference w:type="even" r:id="rId30"/>
      <w:headerReference w:type="default" r:id="rId31"/>
      <w:footerReference w:type="even" r:id="rId32"/>
      <w:footerReference w:type="default" r:id="rId33"/>
      <w:headerReference w:type="first" r:id="rId34"/>
      <w:footerReference w:type="first" r:id="rId3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75E73" w14:textId="77777777" w:rsidR="0004202C" w:rsidRDefault="0004202C" w:rsidP="00124A51">
      <w:r>
        <w:separator/>
      </w:r>
    </w:p>
    <w:p w14:paraId="355F2B22" w14:textId="77777777" w:rsidR="0004202C" w:rsidRDefault="0004202C"/>
  </w:endnote>
  <w:endnote w:type="continuationSeparator" w:id="0">
    <w:p w14:paraId="58FD01FB" w14:textId="77777777" w:rsidR="0004202C" w:rsidRDefault="0004202C" w:rsidP="00124A51">
      <w:r>
        <w:continuationSeparator/>
      </w:r>
    </w:p>
    <w:p w14:paraId="7D41E913" w14:textId="77777777" w:rsidR="0004202C" w:rsidRDefault="0004202C"/>
  </w:endnote>
  <w:endnote w:type="continuationNotice" w:id="1">
    <w:p w14:paraId="21D0AEF0" w14:textId="77777777" w:rsidR="0004202C" w:rsidRDefault="00042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DC89" w14:textId="05AC408B" w:rsidR="00EA4AA1" w:rsidRDefault="008C1BBC">
    <w:pPr>
      <w:pStyle w:val="Footer"/>
    </w:pPr>
    <w:r>
      <w:rPr>
        <w:noProof/>
      </w:rPr>
      <mc:AlternateContent>
        <mc:Choice Requires="wps">
          <w:drawing>
            <wp:anchor distT="0" distB="0" distL="0" distR="0" simplePos="0" relativeHeight="251658244" behindDoc="0" locked="0" layoutInCell="1" allowOverlap="1" wp14:anchorId="3C34D233" wp14:editId="5116D35B">
              <wp:simplePos x="635" y="635"/>
              <wp:positionH relativeFrom="page">
                <wp:align>center</wp:align>
              </wp:positionH>
              <wp:positionV relativeFrom="page">
                <wp:align>bottom</wp:align>
              </wp:positionV>
              <wp:extent cx="551815" cy="376555"/>
              <wp:effectExtent l="0" t="0" r="635" b="0"/>
              <wp:wrapNone/>
              <wp:docPr id="91607133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DCDF14" w14:textId="1766CAE0"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34D233"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FDCDF14" w14:textId="1766CAE0"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1D07" w14:textId="566163C6" w:rsidR="00BD0CB9" w:rsidRDefault="008C1BBC" w:rsidP="00753B29">
    <w:pPr>
      <w:pStyle w:val="Footer"/>
      <w:jc w:val="center"/>
    </w:pPr>
    <w:r>
      <w:rPr>
        <w:noProof/>
      </w:rPr>
      <mc:AlternateContent>
        <mc:Choice Requires="wps">
          <w:drawing>
            <wp:anchor distT="0" distB="0" distL="0" distR="0" simplePos="0" relativeHeight="251658245" behindDoc="0" locked="0" layoutInCell="1" allowOverlap="1" wp14:anchorId="713D8A8E" wp14:editId="7556B3A8">
              <wp:simplePos x="914400" y="9410700"/>
              <wp:positionH relativeFrom="page">
                <wp:align>center</wp:align>
              </wp:positionH>
              <wp:positionV relativeFrom="page">
                <wp:align>bottom</wp:align>
              </wp:positionV>
              <wp:extent cx="551815" cy="376555"/>
              <wp:effectExtent l="0" t="0" r="635" b="0"/>
              <wp:wrapNone/>
              <wp:docPr id="17477317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18F881" w14:textId="64020E34"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D8A8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718F881" w14:textId="64020E34"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p>
  <w:p w14:paraId="12C0474C" w14:textId="2D90778D" w:rsidR="00BD0CB9" w:rsidRPr="00FE67C6" w:rsidRDefault="00000000" w:rsidP="00753B29">
    <w:pPr>
      <w:pStyle w:val="Footer"/>
      <w:jc w:val="center"/>
      <w:rPr>
        <w:b/>
        <w:bCs/>
      </w:rPr>
    </w:pPr>
    <w:sdt>
      <w:sdtPr>
        <w:rPr>
          <w:b/>
          <w:bCs/>
        </w:rPr>
        <w:id w:val="-114988675"/>
        <w:docPartObj>
          <w:docPartGallery w:val="Page Numbers (Bottom of Page)"/>
          <w:docPartUnique/>
        </w:docPartObj>
      </w:sdtPr>
      <w:sdtEndPr>
        <w:rPr>
          <w:noProof/>
        </w:rPr>
      </w:sdtEndPr>
      <w:sdtContent>
        <w:r w:rsidR="00BD0CB9" w:rsidRPr="00FE67C6">
          <w:rPr>
            <w:b/>
            <w:bCs/>
          </w:rPr>
          <w:fldChar w:fldCharType="begin"/>
        </w:r>
        <w:r w:rsidR="00BD0CB9" w:rsidRPr="00FE67C6">
          <w:rPr>
            <w:b/>
            <w:bCs/>
          </w:rPr>
          <w:instrText xml:space="preserve"> PAGE   \* MERGEFORMAT </w:instrText>
        </w:r>
        <w:r w:rsidR="00BD0CB9" w:rsidRPr="00FE67C6">
          <w:rPr>
            <w:b/>
            <w:bCs/>
          </w:rPr>
          <w:fldChar w:fldCharType="separate"/>
        </w:r>
        <w:r w:rsidR="00BD0CB9" w:rsidRPr="00FE67C6">
          <w:rPr>
            <w:b/>
            <w:bCs/>
            <w:noProof/>
          </w:rPr>
          <w:t>2</w:t>
        </w:r>
        <w:r w:rsidR="00BD0CB9" w:rsidRPr="00FE67C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1666" w14:textId="6BEAC552" w:rsidR="00EA4AA1" w:rsidRDefault="008C1BBC">
    <w:pPr>
      <w:pStyle w:val="Footer"/>
    </w:pPr>
    <w:r>
      <w:rPr>
        <w:noProof/>
      </w:rPr>
      <mc:AlternateContent>
        <mc:Choice Requires="wps">
          <w:drawing>
            <wp:anchor distT="0" distB="0" distL="0" distR="0" simplePos="0" relativeHeight="251658243" behindDoc="0" locked="0" layoutInCell="1" allowOverlap="1" wp14:anchorId="28A0D526" wp14:editId="0182E517">
              <wp:simplePos x="635" y="635"/>
              <wp:positionH relativeFrom="page">
                <wp:align>center</wp:align>
              </wp:positionH>
              <wp:positionV relativeFrom="page">
                <wp:align>bottom</wp:align>
              </wp:positionV>
              <wp:extent cx="551815" cy="376555"/>
              <wp:effectExtent l="0" t="0" r="635" b="0"/>
              <wp:wrapNone/>
              <wp:docPr id="39489308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0C7ECA3" w14:textId="30CDFB7D"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0D52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0C7ECA3" w14:textId="30CDFB7D"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2B7FB" w14:textId="77777777" w:rsidR="0004202C" w:rsidRDefault="0004202C" w:rsidP="00124A51">
      <w:r>
        <w:separator/>
      </w:r>
    </w:p>
    <w:p w14:paraId="77D90547" w14:textId="77777777" w:rsidR="0004202C" w:rsidRDefault="0004202C"/>
  </w:footnote>
  <w:footnote w:type="continuationSeparator" w:id="0">
    <w:p w14:paraId="7F034F8E" w14:textId="77777777" w:rsidR="0004202C" w:rsidRDefault="0004202C" w:rsidP="00124A51">
      <w:r>
        <w:continuationSeparator/>
      </w:r>
    </w:p>
    <w:p w14:paraId="3D1009B3" w14:textId="77777777" w:rsidR="0004202C" w:rsidRDefault="0004202C"/>
  </w:footnote>
  <w:footnote w:type="continuationNotice" w:id="1">
    <w:p w14:paraId="5AFFA775" w14:textId="77777777" w:rsidR="0004202C" w:rsidRDefault="0004202C"/>
  </w:footnote>
  <w:footnote w:id="2">
    <w:p w14:paraId="002C423C" w14:textId="615F7BE5" w:rsidR="00D55E7D" w:rsidRDefault="00D55E7D" w:rsidP="009E5502">
      <w:pPr>
        <w:pStyle w:val="FootnoteText"/>
        <w:jc w:val="left"/>
      </w:pPr>
      <w:r>
        <w:rPr>
          <w:rStyle w:val="FootnoteReference"/>
        </w:rPr>
        <w:footnoteRef/>
      </w:r>
      <w:r>
        <w:t xml:space="preserve"> </w:t>
      </w:r>
      <w:r w:rsidR="005B303F" w:rsidRPr="005B303F">
        <w:t>Medical Services Advisory Committee</w:t>
      </w:r>
      <w:r w:rsidR="00EB4AD6">
        <w:t xml:space="preserve">. Available at: </w:t>
      </w:r>
      <w:r w:rsidR="00EB4AD6" w:rsidRPr="00EB4AD6">
        <w:t>https://www.msac.gov.au/sites/default/files/2024</w:t>
      </w:r>
      <w:r w:rsidR="009E5502">
        <w:noBreakHyphen/>
      </w:r>
      <w:r w:rsidR="00EB4AD6" w:rsidRPr="00EB4AD6">
        <w:t>10/discussion</w:t>
      </w:r>
      <w:r w:rsidR="009E5502">
        <w:noBreakHyphen/>
      </w:r>
      <w:r w:rsidR="00EB4AD6" w:rsidRPr="00EB4AD6">
        <w:t>paper</w:t>
      </w:r>
      <w:r w:rsidR="009E5502">
        <w:noBreakHyphen/>
      </w:r>
      <w:r w:rsidR="00EB4AD6" w:rsidRPr="00EB4AD6">
        <w:t>on</w:t>
      </w:r>
      <w:r w:rsidR="009E5502">
        <w:noBreakHyphen/>
      </w:r>
      <w:r w:rsidR="00EB4AD6" w:rsidRPr="00EB4AD6">
        <w:t>pan</w:t>
      </w:r>
      <w:r w:rsidR="009E5502">
        <w:noBreakHyphen/>
      </w:r>
      <w:r w:rsidR="00EB4AD6" w:rsidRPr="00EB4AD6">
        <w:t>tumour</w:t>
      </w:r>
      <w:r w:rsidR="009E5502">
        <w:noBreakHyphen/>
      </w:r>
      <w:r w:rsidR="00EB4AD6" w:rsidRPr="00EB4AD6">
        <w:t>biomarker</w:t>
      </w:r>
      <w:r w:rsidR="009E5502">
        <w:noBreakHyphen/>
      </w:r>
      <w:r w:rsidR="00EB4AD6" w:rsidRPr="00EB4AD6">
        <w:t>testing</w:t>
      </w:r>
      <w:r w:rsidR="009E5502">
        <w:noBreakHyphen/>
      </w:r>
      <w:r w:rsidR="00EB4AD6" w:rsidRPr="00EB4AD6">
        <w:t>to</w:t>
      </w:r>
      <w:r w:rsidR="009E5502">
        <w:noBreakHyphen/>
      </w:r>
      <w:r w:rsidR="00EB4AD6" w:rsidRPr="00EB4AD6">
        <w:t>determine</w:t>
      </w:r>
      <w:r w:rsidR="009E5502">
        <w:noBreakHyphen/>
      </w:r>
      <w:r w:rsidR="00EB4AD6" w:rsidRPr="00EB4AD6">
        <w:t>eligibility</w:t>
      </w:r>
      <w:r w:rsidR="009E5502">
        <w:noBreakHyphen/>
      </w:r>
      <w:r w:rsidR="00EB4AD6" w:rsidRPr="00EB4AD6">
        <w:t>for</w:t>
      </w:r>
      <w:r w:rsidR="009E5502">
        <w:noBreakHyphen/>
      </w:r>
      <w:r w:rsidR="00EB4AD6" w:rsidRPr="00EB4AD6">
        <w:t>targeted</w:t>
      </w:r>
      <w:r w:rsidR="009E5502">
        <w:noBreakHyphen/>
      </w:r>
      <w:r w:rsidR="00EB4AD6" w:rsidRPr="00EB4AD6">
        <w:t>treatment.pdf</w:t>
      </w:r>
    </w:p>
  </w:footnote>
  <w:footnote w:id="3">
    <w:p w14:paraId="7BEA79A7" w14:textId="0F9BA0AC" w:rsidR="00496892" w:rsidRDefault="00496892">
      <w:pPr>
        <w:pStyle w:val="FootnoteText"/>
      </w:pPr>
      <w:r>
        <w:rPr>
          <w:rStyle w:val="FootnoteReference"/>
        </w:rPr>
        <w:footnoteRef/>
      </w:r>
      <w:r>
        <w:t xml:space="preserve"> </w:t>
      </w:r>
      <w:r w:rsidRPr="00496892">
        <w:t>Colorectal Cancer Structured Reporting Protocol (4th Edition 2020)</w:t>
      </w:r>
      <w:r>
        <w:t>. Available at:</w:t>
      </w:r>
      <w:r w:rsidRPr="00496892">
        <w:t xml:space="preserve"> https://www.rcpa.edu.au/Library/Practising</w:t>
      </w:r>
      <w:r w:rsidR="009E5502">
        <w:noBreakHyphen/>
      </w:r>
      <w:r w:rsidRPr="00496892">
        <w:t>Pathology/Structured</w:t>
      </w:r>
      <w:r w:rsidR="009E5502">
        <w:noBreakHyphen/>
      </w:r>
      <w:r w:rsidRPr="00496892">
        <w:t>Pathology</w:t>
      </w:r>
      <w:r w:rsidR="009E5502">
        <w:noBreakHyphen/>
      </w:r>
      <w:r w:rsidRPr="00496892">
        <w:t>Reporting</w:t>
      </w:r>
      <w:r w:rsidR="009E5502">
        <w:noBreakHyphen/>
      </w:r>
      <w:r w:rsidRPr="00496892">
        <w:t>of</w:t>
      </w:r>
      <w:r w:rsidR="009E5502">
        <w:noBreakHyphen/>
      </w:r>
      <w:r w:rsidRPr="00496892">
        <w:t>Cancer/Cancer</w:t>
      </w:r>
      <w:r w:rsidR="009E5502">
        <w:noBreakHyphen/>
      </w:r>
      <w:r w:rsidRPr="00496892">
        <w:t>Protocols/Gastrointestinal/Protocol</w:t>
      </w:r>
      <w:r w:rsidR="009E5502">
        <w:noBreakHyphen/>
      </w:r>
      <w:r w:rsidRPr="00496892">
        <w:t>colorectal</w:t>
      </w:r>
      <w:r w:rsidR="009E5502">
        <w:noBreakHyphen/>
      </w:r>
      <w:r w:rsidRPr="00496892">
        <w:t>cancer.aspx</w:t>
      </w:r>
    </w:p>
  </w:footnote>
  <w:footnote w:id="4">
    <w:p w14:paraId="4070CA63" w14:textId="36BCA9A8" w:rsidR="00BD0CB9" w:rsidRPr="00C94AF7" w:rsidRDefault="00BD0CB9" w:rsidP="00F709FD">
      <w:pPr>
        <w:pStyle w:val="FootnoteText"/>
        <w:jc w:val="left"/>
        <w:rPr>
          <w:lang w:val="en-US"/>
        </w:rPr>
      </w:pPr>
      <w:r>
        <w:rPr>
          <w:rStyle w:val="FootnoteReference"/>
        </w:rPr>
        <w:footnoteRef/>
      </w:r>
      <w:r>
        <w:t xml:space="preserve"> </w:t>
      </w:r>
      <w:r w:rsidRPr="00C94AF7">
        <w:t>Australian Government Cancer Australia. Bowel cancer. Available at:</w:t>
      </w:r>
      <w:r>
        <w:t xml:space="preserve"> </w:t>
      </w:r>
      <w:r w:rsidRPr="00C94AF7">
        <w:t>https://www.canceraustralia.gov.au/cancer</w:t>
      </w:r>
      <w:r w:rsidR="009E5502">
        <w:noBreakHyphen/>
      </w:r>
      <w:r w:rsidRPr="00C94AF7">
        <w:t>types/bowelcancer/statistics</w:t>
      </w:r>
    </w:p>
  </w:footnote>
  <w:footnote w:id="5">
    <w:p w14:paraId="4210FC60" w14:textId="773556C4" w:rsidR="00BD0CB9" w:rsidRPr="00C94AF7" w:rsidRDefault="00BD0CB9" w:rsidP="00F709FD">
      <w:pPr>
        <w:pStyle w:val="FootnoteText"/>
        <w:jc w:val="left"/>
        <w:rPr>
          <w:lang w:val="en-US"/>
        </w:rPr>
      </w:pPr>
      <w:r>
        <w:rPr>
          <w:rStyle w:val="FootnoteReference"/>
        </w:rPr>
        <w:footnoteRef/>
      </w:r>
      <w:r>
        <w:t xml:space="preserve"> </w:t>
      </w:r>
      <w:r w:rsidRPr="00C94AF7">
        <w:t>Sung H, Ferlay J, Siegel RL, Laversanne M, Soerjomataram I, Jemal A, Bray F. Global Cancer Statistics 2020: GLOBOCAN Estimates of Incidence and Mortality Worldwide for 36 Cancers in 185 Countries. CA Cancer J Clin. 2021 May;71(3):209</w:t>
      </w:r>
      <w:r w:rsidR="009E5502">
        <w:noBreakHyphen/>
      </w:r>
      <w:r w:rsidRPr="00C94AF7">
        <w:t>249</w:t>
      </w:r>
    </w:p>
  </w:footnote>
  <w:footnote w:id="6">
    <w:p w14:paraId="20AEC27F" w14:textId="77777777" w:rsidR="00BD0CB9" w:rsidRPr="00C94AF7" w:rsidRDefault="00BD0CB9" w:rsidP="00F709FD">
      <w:pPr>
        <w:pStyle w:val="FootnoteText"/>
        <w:jc w:val="left"/>
        <w:rPr>
          <w:lang w:val="en-US"/>
        </w:rPr>
      </w:pPr>
      <w:r>
        <w:rPr>
          <w:rStyle w:val="FootnoteReference"/>
        </w:rPr>
        <w:footnoteRef/>
      </w:r>
      <w:r>
        <w:t xml:space="preserve"> </w:t>
      </w:r>
      <w:r w:rsidRPr="00C94AF7">
        <w:t xml:space="preserve">Australian Institute of Health and Welfare </w:t>
      </w:r>
      <w:r>
        <w:t>(</w:t>
      </w:r>
      <w:r w:rsidRPr="00C94AF7">
        <w:t>2022</w:t>
      </w:r>
      <w:r>
        <w:t>)</w:t>
      </w:r>
      <w:r w:rsidRPr="00C94AF7">
        <w:t>. Cancer data in Australia</w:t>
      </w:r>
    </w:p>
  </w:footnote>
  <w:footnote w:id="7">
    <w:p w14:paraId="6B6850E2" w14:textId="666F76BC" w:rsidR="00BD0CB9" w:rsidRPr="00C94AF7" w:rsidRDefault="00BD0CB9" w:rsidP="00EB6430">
      <w:pPr>
        <w:pStyle w:val="FootnoteText"/>
        <w:rPr>
          <w:lang w:val="en-US"/>
        </w:rPr>
      </w:pPr>
      <w:r>
        <w:rPr>
          <w:rStyle w:val="FootnoteReference"/>
        </w:rPr>
        <w:footnoteRef/>
      </w:r>
      <w:r>
        <w:t xml:space="preserve"> </w:t>
      </w:r>
      <w:r w:rsidRPr="00C94AF7">
        <w:t>MSAC, 2016. 1452 – Pembrolizumab (MK</w:t>
      </w:r>
      <w:r w:rsidR="009E5502">
        <w:noBreakHyphen/>
      </w:r>
      <w:r w:rsidRPr="00C94AF7">
        <w:t>3475) in Mismatch Repair Deficient (dMMR) Stage IV Colorectal Carcinoma [WWW Document]. URL https://www.msac.gov.au/applications/1452</w:t>
      </w:r>
    </w:p>
  </w:footnote>
  <w:footnote w:id="8">
    <w:p w14:paraId="1BF3EAA3" w14:textId="4B1D62BA" w:rsidR="00BD0CB9" w:rsidRPr="00C94AF7" w:rsidRDefault="00BD0CB9" w:rsidP="00EB6430">
      <w:pPr>
        <w:pStyle w:val="FootnoteText"/>
        <w:rPr>
          <w:lang w:val="en-US"/>
        </w:rPr>
      </w:pPr>
      <w:r>
        <w:rPr>
          <w:rStyle w:val="FootnoteReference"/>
        </w:rPr>
        <w:footnoteRef/>
      </w:r>
      <w:r>
        <w:t xml:space="preserve"> </w:t>
      </w:r>
      <w:r w:rsidRPr="00C94AF7">
        <w:t>Dudley JC, Lin M</w:t>
      </w:r>
      <w:r w:rsidR="009E5502">
        <w:noBreakHyphen/>
      </w:r>
      <w:r w:rsidRPr="00C94AF7">
        <w:t>T, Le DT, Eshleman JR. Microsatellite instability as a biomarker for PD</w:t>
      </w:r>
      <w:r w:rsidR="009E5502">
        <w:noBreakHyphen/>
      </w:r>
      <w:r w:rsidRPr="00C94AF7">
        <w:t>1 blockade. Clinical Cancer Research. 2016;22(4):813</w:t>
      </w:r>
      <w:r w:rsidR="009E5502">
        <w:noBreakHyphen/>
      </w:r>
      <w:r w:rsidRPr="00C94AF7">
        <w:t xml:space="preserve">20  </w:t>
      </w:r>
    </w:p>
  </w:footnote>
  <w:footnote w:id="9">
    <w:p w14:paraId="777D1E7E" w14:textId="7796EF41" w:rsidR="00BD0CB9" w:rsidRPr="00C94AF7" w:rsidRDefault="00BD0CB9" w:rsidP="009E5502">
      <w:pPr>
        <w:pStyle w:val="FootnoteText"/>
        <w:jc w:val="left"/>
        <w:rPr>
          <w:lang w:val="en-US"/>
        </w:rPr>
      </w:pPr>
      <w:r>
        <w:rPr>
          <w:rStyle w:val="FootnoteReference"/>
        </w:rPr>
        <w:footnoteRef/>
      </w:r>
      <w:r>
        <w:t xml:space="preserve"> </w:t>
      </w:r>
      <w:r w:rsidRPr="00C94AF7">
        <w:t>Cervantes, A., Candia Montero, L., Pentheroudakis, G., Martinelli, E., 2024. ESMO Metastatic Colorectal Cancer Living Guideline v1.2 [WWW Document]. URL https://www.esmo.org/living</w:t>
      </w:r>
      <w:r w:rsidR="009E5502">
        <w:noBreakHyphen/>
      </w:r>
      <w:r w:rsidRPr="00C94AF7">
        <w:t>guidelines/esmo</w:t>
      </w:r>
      <w:r w:rsidR="009E5502">
        <w:noBreakHyphen/>
      </w:r>
      <w:r w:rsidRPr="00C94AF7">
        <w:t>metastatic</w:t>
      </w:r>
      <w:r w:rsidR="009E5502">
        <w:noBreakHyphen/>
      </w:r>
      <w:r w:rsidRPr="00C94AF7">
        <w:t>colorectalcancer</w:t>
      </w:r>
      <w:r w:rsidR="009E5502">
        <w:noBreakHyphen/>
      </w:r>
      <w:r w:rsidRPr="00C94AF7">
        <w:t>living</w:t>
      </w:r>
      <w:r w:rsidR="009E5502">
        <w:noBreakHyphen/>
      </w:r>
      <w:r w:rsidRPr="00C94AF7">
        <w:t>guideline</w:t>
      </w:r>
    </w:p>
  </w:footnote>
  <w:footnote w:id="10">
    <w:p w14:paraId="1607B938" w14:textId="7629C26A" w:rsidR="00BD0CB9" w:rsidRPr="00C94AF7" w:rsidRDefault="00BD0CB9" w:rsidP="00EB6430">
      <w:pPr>
        <w:pStyle w:val="FootnoteText"/>
        <w:rPr>
          <w:lang w:val="en-US"/>
        </w:rPr>
      </w:pPr>
      <w:r>
        <w:rPr>
          <w:rStyle w:val="FootnoteReference"/>
        </w:rPr>
        <w:footnoteRef/>
      </w:r>
      <w:r>
        <w:t xml:space="preserve"> </w:t>
      </w:r>
      <w:r w:rsidRPr="00C94AF7">
        <w:t>Leclerc, J., Vermaut, C., &amp; Buisine, P. (2021). Diagnosis of Lynch Syndrome and Strategies to Distinguish Lynch</w:t>
      </w:r>
      <w:r w:rsidR="009E5502">
        <w:noBreakHyphen/>
      </w:r>
      <w:r w:rsidRPr="00C94AF7">
        <w:t xml:space="preserve">Related Tumors from Sporadic MSI/dMMR Tumors. Cancers, 13(3), 467. </w:t>
      </w:r>
    </w:p>
  </w:footnote>
  <w:footnote w:id="11">
    <w:p w14:paraId="41594D1F" w14:textId="13DCEA68" w:rsidR="00BD0CB9" w:rsidRPr="00C94AF7" w:rsidRDefault="00BD0CB9" w:rsidP="00EB6430">
      <w:pPr>
        <w:pStyle w:val="FootnoteText"/>
        <w:rPr>
          <w:lang w:val="en-US"/>
        </w:rPr>
      </w:pPr>
      <w:r>
        <w:rPr>
          <w:rStyle w:val="FootnoteReference"/>
        </w:rPr>
        <w:footnoteRef/>
      </w:r>
      <w:r>
        <w:t xml:space="preserve"> </w:t>
      </w:r>
      <w:r w:rsidRPr="00C94AF7">
        <w:t>Koinuma K, Shitoh K, Miyakura Y, Furukawa T, Yamashita Y, Ota J, Ohki R, Choi YL, Wada T, Konishi F, Nagai H, Mano H. Mutations of BRAF are associated with extensive hMLH1 promoter methylation in sporadic colorectal carcinomas. Int J Cancer. 2004 Jan 10;108(2):237</w:t>
      </w:r>
      <w:r w:rsidR="009E5502">
        <w:noBreakHyphen/>
      </w:r>
      <w:r w:rsidRPr="00C94AF7">
        <w:t>42.</w:t>
      </w:r>
    </w:p>
  </w:footnote>
  <w:footnote w:id="12">
    <w:p w14:paraId="19F06572" w14:textId="77777777" w:rsidR="00BD0CB9" w:rsidRPr="00C94AF7" w:rsidRDefault="00BD0CB9" w:rsidP="00EB6430">
      <w:pPr>
        <w:pStyle w:val="FootnoteText"/>
        <w:rPr>
          <w:lang w:val="en-US"/>
        </w:rPr>
      </w:pPr>
      <w:r>
        <w:rPr>
          <w:rStyle w:val="FootnoteReference"/>
        </w:rPr>
        <w:footnoteRef/>
      </w:r>
      <w:r>
        <w:t xml:space="preserve"> </w:t>
      </w:r>
      <w:r w:rsidRPr="00C94AF7">
        <w:t>Venderbosch S, Nagtegaal ID, Maughan TS, Smith CG, Cheadle JP, Fisher D, et al. Mismatch repair status and BRAF mutation status in metastatic colorectal cancer patients: a pooled analysis of the CAIRO, CAIRO2, COIN and FOCUS studies. Clinical Cancer Research. 2014:clincanres. 0332.2014</w:t>
      </w:r>
    </w:p>
  </w:footnote>
  <w:footnote w:id="13">
    <w:p w14:paraId="36708F52" w14:textId="7C9666E5" w:rsidR="00BD0CB9" w:rsidRPr="00C94AF7" w:rsidRDefault="00BD0CB9" w:rsidP="00EB6430">
      <w:pPr>
        <w:pStyle w:val="FootnoteText"/>
        <w:rPr>
          <w:lang w:val="en-US"/>
        </w:rPr>
      </w:pPr>
      <w:r>
        <w:rPr>
          <w:rStyle w:val="FootnoteReference"/>
        </w:rPr>
        <w:footnoteRef/>
      </w:r>
      <w:r>
        <w:t xml:space="preserve"> </w:t>
      </w:r>
      <w:r w:rsidRPr="00C94AF7">
        <w:t>Wong, V., Loft, M., Kosmider, S., Wong, R., Shapiro, J.D., Hong, W., Jennens, R., Tie, J., Caird, S., Steel, S.A., Lee, B., Nott, L.M., Khattak, A., Lim, S.H.</w:t>
      </w:r>
      <w:r w:rsidR="009E5502">
        <w:noBreakHyphen/>
      </w:r>
      <w:r w:rsidRPr="00C94AF7">
        <w:t>S., Chong, G., Hayes, T.M., Underhill, C.R., McLachlan, S.</w:t>
      </w:r>
      <w:r w:rsidR="009E5502">
        <w:noBreakHyphen/>
      </w:r>
      <w:r w:rsidRPr="00C94AF7">
        <w:t>A., Rainey, N., Gibbs, P., 2024. Real world impact of pembrolizumab availability for deficient mismatch repair metastatic colorectal cancer</w:t>
      </w:r>
    </w:p>
  </w:footnote>
  <w:footnote w:id="14">
    <w:p w14:paraId="17370C84" w14:textId="080F0EF3" w:rsidR="00BD0CB9" w:rsidRPr="00C94AF7" w:rsidRDefault="00BD0CB9" w:rsidP="009E5502">
      <w:pPr>
        <w:pStyle w:val="FootnoteText"/>
        <w:jc w:val="left"/>
        <w:rPr>
          <w:lang w:val="en-US"/>
        </w:rPr>
      </w:pPr>
      <w:r>
        <w:rPr>
          <w:rStyle w:val="FootnoteReference"/>
        </w:rPr>
        <w:footnoteRef/>
      </w:r>
      <w:r>
        <w:t xml:space="preserve"> </w:t>
      </w:r>
      <w:r w:rsidRPr="00C94AF7">
        <w:t>Scott P (2020) A review of the current testing methodologies for the detection of mismatch repair deficiency in tumours. Medex Consulting. Available from https://www.msac.gov.au/resources/2019</w:t>
      </w:r>
      <w:r w:rsidR="009E5502">
        <w:noBreakHyphen/>
      </w:r>
      <w:r w:rsidRPr="00C94AF7">
        <w:t>review</w:t>
      </w:r>
      <w:r w:rsidR="009E5502">
        <w:noBreakHyphen/>
      </w:r>
      <w:r w:rsidRPr="00C94AF7">
        <w:t>current</w:t>
      </w:r>
      <w:r w:rsidR="009E5502">
        <w:noBreakHyphen/>
      </w:r>
      <w:r w:rsidRPr="00C94AF7">
        <w:t>testing</w:t>
      </w:r>
      <w:r w:rsidR="009E5502">
        <w:noBreakHyphen/>
      </w:r>
      <w:r w:rsidRPr="00C94AF7">
        <w:t>methodologies</w:t>
      </w:r>
      <w:r w:rsidR="009E5502">
        <w:noBreakHyphen/>
      </w:r>
      <w:r w:rsidRPr="00C94AF7">
        <w:t>detection</w:t>
      </w:r>
      <w:r w:rsidR="009E5502">
        <w:noBreakHyphen/>
      </w:r>
      <w:r w:rsidRPr="00C94AF7">
        <w:t>mismatch</w:t>
      </w:r>
      <w:r w:rsidR="009E5502">
        <w:noBreakHyphen/>
      </w:r>
      <w:r w:rsidRPr="00C94AF7">
        <w:t>repair</w:t>
      </w:r>
      <w:r w:rsidR="009E5502">
        <w:noBreakHyphen/>
      </w:r>
      <w:r w:rsidRPr="00C94AF7">
        <w:t>deficiency</w:t>
      </w:r>
      <w:r w:rsidR="009E5502">
        <w:noBreakHyphen/>
      </w:r>
      <w:r w:rsidRPr="00C94AF7">
        <w:t>tumours</w:t>
      </w:r>
    </w:p>
  </w:footnote>
  <w:footnote w:id="15">
    <w:p w14:paraId="35E7E19F" w14:textId="443A073E" w:rsidR="00BD0CB9" w:rsidRPr="00C94AF7" w:rsidRDefault="00BD0CB9" w:rsidP="009E5502">
      <w:pPr>
        <w:pStyle w:val="FootnoteText"/>
        <w:jc w:val="left"/>
        <w:rPr>
          <w:lang w:val="en-US"/>
        </w:rPr>
      </w:pPr>
      <w:r>
        <w:rPr>
          <w:rStyle w:val="FootnoteReference"/>
        </w:rPr>
        <w:footnoteRef/>
      </w:r>
      <w:r>
        <w:t xml:space="preserve"> </w:t>
      </w:r>
      <w:r w:rsidRPr="00C94AF7">
        <w:t>Nádorvári ML, Lotz G, Kulka J, Kiss A and</w:t>
      </w:r>
      <w:r w:rsidR="00517530">
        <w:t xml:space="preserve"> </w:t>
      </w:r>
      <w:r w:rsidRPr="00C94AF7">
        <w:t>Tímár J (2024), Microsatellite instability</w:t>
      </w:r>
      <w:r w:rsidR="00517530">
        <w:t xml:space="preserve"> </w:t>
      </w:r>
      <w:r w:rsidRPr="00C94AF7">
        <w:t>and mismatch repair protein deficiency:equal predictive markers?Pathol.Oncol.Res.30:1611719</w:t>
      </w:r>
    </w:p>
  </w:footnote>
  <w:footnote w:id="16">
    <w:p w14:paraId="56E1AC0B" w14:textId="1AF9795E" w:rsidR="00B91F30" w:rsidRDefault="00B91F30" w:rsidP="009E5502">
      <w:pPr>
        <w:pStyle w:val="FootnoteText"/>
        <w:jc w:val="left"/>
      </w:pPr>
      <w:r>
        <w:rPr>
          <w:rStyle w:val="FootnoteReference"/>
        </w:rPr>
        <w:footnoteRef/>
      </w:r>
      <w:r>
        <w:t xml:space="preserve"> </w:t>
      </w:r>
      <w:r w:rsidR="002F2AED">
        <w:t xml:space="preserve">NCCN Guidelines Version 3.2025 for Colon Cancer, available from </w:t>
      </w:r>
      <w:hyperlink r:id="rId1" w:history="1">
        <w:r w:rsidR="002F2AED" w:rsidRPr="004C1321">
          <w:rPr>
            <w:rStyle w:val="Hyperlink"/>
          </w:rPr>
          <w:t>https://www.nccn.org/professionals/physician_gls/pdf/colon.pdf</w:t>
        </w:r>
      </w:hyperlink>
      <w:r w:rsidR="002F2AED">
        <w:t>, accessed 20/5/2025.</w:t>
      </w:r>
    </w:p>
  </w:footnote>
  <w:footnote w:id="17">
    <w:p w14:paraId="6E739BC0" w14:textId="0E199425" w:rsidR="00696808" w:rsidRDefault="00696808" w:rsidP="00696808">
      <w:pPr>
        <w:pStyle w:val="TableFigureFooter"/>
      </w:pPr>
      <w:r w:rsidRPr="00111F5C">
        <w:rPr>
          <w:rStyle w:val="FootnoteReference"/>
          <w:rFonts w:asciiTheme="minorHAnsi" w:hAnsiTheme="minorHAnsi" w:cstheme="minorHAnsi"/>
        </w:rPr>
        <w:footnoteRef/>
      </w:r>
      <w:r w:rsidRPr="00111F5C">
        <w:rPr>
          <w:rFonts w:asciiTheme="minorHAnsi" w:hAnsiTheme="minorHAnsi" w:cstheme="minorHAnsi"/>
        </w:rPr>
        <w:t xml:space="preserve"> Cherny NI, Dafni U, Bogaerts J, et al: ESMO</w:t>
      </w:r>
      <w:r w:rsidR="009E5502">
        <w:rPr>
          <w:rFonts w:asciiTheme="minorHAnsi" w:hAnsiTheme="minorHAnsi" w:cstheme="minorHAnsi"/>
        </w:rPr>
        <w:noBreakHyphen/>
      </w:r>
      <w:r w:rsidRPr="00111F5C">
        <w:rPr>
          <w:rFonts w:asciiTheme="minorHAnsi" w:hAnsiTheme="minorHAnsi" w:cstheme="minorHAnsi"/>
        </w:rPr>
        <w:t xml:space="preserve">Magnitude of Clinical Benefit Scale version 1.1. </w:t>
      </w:r>
      <w:r w:rsidRPr="00111F5C">
        <w:rPr>
          <w:rFonts w:asciiTheme="minorHAnsi" w:hAnsiTheme="minorHAnsi" w:cstheme="minorHAnsi"/>
          <w:i/>
          <w:iCs/>
        </w:rPr>
        <w:t>Annals of Oncology</w:t>
      </w:r>
      <w:r w:rsidRPr="00111F5C">
        <w:rPr>
          <w:rFonts w:asciiTheme="minorHAnsi" w:hAnsiTheme="minorHAnsi" w:cstheme="minorHAnsi"/>
        </w:rPr>
        <w:t xml:space="preserve"> 28:2340</w:t>
      </w:r>
      <w:r w:rsidR="009E5502">
        <w:rPr>
          <w:rFonts w:asciiTheme="minorHAnsi" w:hAnsiTheme="minorHAnsi" w:cstheme="minorHAnsi"/>
        </w:rPr>
        <w:noBreakHyphen/>
      </w:r>
      <w:r w:rsidRPr="00111F5C">
        <w:rPr>
          <w:rFonts w:asciiTheme="minorHAnsi" w:hAnsiTheme="minorHAnsi" w:cstheme="minorHAnsi"/>
        </w:rPr>
        <w:t>2366, 2017</w:t>
      </w:r>
      <w:r>
        <w:t>.</w:t>
      </w:r>
    </w:p>
  </w:footnote>
  <w:footnote w:id="18">
    <w:p w14:paraId="36CEFD3B" w14:textId="44C74ED4" w:rsidR="00BD0CB9" w:rsidRPr="002836DA" w:rsidRDefault="00BD0CB9" w:rsidP="00EB6430">
      <w:pPr>
        <w:pStyle w:val="FootnoteText"/>
        <w:rPr>
          <w:sz w:val="18"/>
          <w:szCs w:val="18"/>
          <w:lang w:val="en-US"/>
        </w:rPr>
      </w:pPr>
      <w:r w:rsidRPr="002836DA">
        <w:rPr>
          <w:rStyle w:val="FootnoteReference"/>
          <w:sz w:val="18"/>
          <w:szCs w:val="18"/>
        </w:rPr>
        <w:footnoteRef/>
      </w:r>
      <w:r w:rsidRPr="002836DA">
        <w:rPr>
          <w:sz w:val="18"/>
          <w:szCs w:val="18"/>
        </w:rPr>
        <w:t xml:space="preserve"> Heinz</w:t>
      </w:r>
      <w:r w:rsidR="009E5502">
        <w:rPr>
          <w:sz w:val="18"/>
          <w:szCs w:val="18"/>
        </w:rPr>
        <w:noBreakHyphen/>
      </w:r>
      <w:r w:rsidRPr="002836DA">
        <w:rPr>
          <w:sz w:val="18"/>
          <w:szCs w:val="18"/>
        </w:rPr>
        <w:t>Josef Lenz et al. First</w:t>
      </w:r>
      <w:r w:rsidR="009E5502">
        <w:rPr>
          <w:sz w:val="18"/>
          <w:szCs w:val="18"/>
        </w:rPr>
        <w:noBreakHyphen/>
      </w:r>
      <w:r w:rsidRPr="002836DA">
        <w:rPr>
          <w:sz w:val="18"/>
          <w:szCs w:val="18"/>
        </w:rPr>
        <w:t>Line Nivolumab Plus Low</w:t>
      </w:r>
      <w:r w:rsidR="009E5502">
        <w:rPr>
          <w:sz w:val="18"/>
          <w:szCs w:val="18"/>
        </w:rPr>
        <w:noBreakHyphen/>
      </w:r>
      <w:r w:rsidRPr="002836DA">
        <w:rPr>
          <w:sz w:val="18"/>
          <w:szCs w:val="18"/>
        </w:rPr>
        <w:t>Dose Ipilimumab for Microsatellite Instability</w:t>
      </w:r>
      <w:r w:rsidR="009E5502">
        <w:rPr>
          <w:sz w:val="18"/>
          <w:szCs w:val="18"/>
        </w:rPr>
        <w:noBreakHyphen/>
      </w:r>
      <w:r w:rsidRPr="002836DA">
        <w:rPr>
          <w:sz w:val="18"/>
          <w:szCs w:val="18"/>
        </w:rPr>
        <w:t>High/Mismatch Repair</w:t>
      </w:r>
      <w:r w:rsidR="009E5502">
        <w:rPr>
          <w:sz w:val="18"/>
          <w:szCs w:val="18"/>
        </w:rPr>
        <w:noBreakHyphen/>
      </w:r>
      <w:r w:rsidRPr="002836DA">
        <w:rPr>
          <w:sz w:val="18"/>
          <w:szCs w:val="18"/>
        </w:rPr>
        <w:t>Deficient Metastatic Colorectal Cancer: The Phase II CheckMate 142 Study. JCO 40, 161</w:t>
      </w:r>
      <w:r w:rsidR="009E5502">
        <w:rPr>
          <w:sz w:val="18"/>
          <w:szCs w:val="18"/>
        </w:rPr>
        <w:noBreakHyphen/>
      </w:r>
      <w:r w:rsidRPr="002836DA">
        <w:rPr>
          <w:sz w:val="18"/>
          <w:szCs w:val="18"/>
        </w:rPr>
        <w:t>170(2022).</w:t>
      </w:r>
    </w:p>
  </w:footnote>
  <w:footnote w:id="19">
    <w:p w14:paraId="3DD59554" w14:textId="3217029D" w:rsidR="00BD0CB9" w:rsidRPr="002836DA" w:rsidRDefault="00BD0CB9" w:rsidP="00EB6430">
      <w:pPr>
        <w:pStyle w:val="FootnoteText"/>
        <w:rPr>
          <w:iCs/>
          <w:sz w:val="18"/>
          <w:szCs w:val="18"/>
        </w:rPr>
      </w:pPr>
      <w:r w:rsidRPr="002836DA">
        <w:rPr>
          <w:rStyle w:val="FootnoteReference"/>
          <w:sz w:val="18"/>
          <w:szCs w:val="18"/>
        </w:rPr>
        <w:footnoteRef/>
      </w:r>
      <w:r w:rsidRPr="002836DA">
        <w:rPr>
          <w:sz w:val="18"/>
          <w:szCs w:val="18"/>
        </w:rPr>
        <w:t xml:space="preserve"> </w:t>
      </w:r>
      <w:r w:rsidRPr="002836DA">
        <w:rPr>
          <w:iCs/>
          <w:sz w:val="18"/>
          <w:szCs w:val="18"/>
        </w:rPr>
        <w:t xml:space="preserve">presented at the 2023 ASCO Annual Meeting; </w:t>
      </w:r>
      <w:r w:rsidRPr="002836DA">
        <w:rPr>
          <w:sz w:val="18"/>
          <w:szCs w:val="18"/>
        </w:rPr>
        <w:t>Heinz</w:t>
      </w:r>
      <w:r w:rsidR="009E5502">
        <w:rPr>
          <w:sz w:val="18"/>
          <w:szCs w:val="18"/>
        </w:rPr>
        <w:noBreakHyphen/>
      </w:r>
      <w:r w:rsidRPr="002836DA">
        <w:rPr>
          <w:sz w:val="18"/>
          <w:szCs w:val="18"/>
        </w:rPr>
        <w:t>Josef Lenz et al. First</w:t>
      </w:r>
      <w:r w:rsidR="009E5502">
        <w:rPr>
          <w:sz w:val="18"/>
          <w:szCs w:val="18"/>
        </w:rPr>
        <w:noBreakHyphen/>
      </w:r>
      <w:r w:rsidRPr="002836DA">
        <w:rPr>
          <w:sz w:val="18"/>
          <w:szCs w:val="18"/>
        </w:rPr>
        <w:t>line (1L) nivolumab (NIVO) + ipilimumab (IPI) in patients (pts) with microsatellite instability</w:t>
      </w:r>
      <w:r w:rsidR="009E5502">
        <w:rPr>
          <w:sz w:val="18"/>
          <w:szCs w:val="18"/>
        </w:rPr>
        <w:noBreakHyphen/>
      </w:r>
      <w:r w:rsidRPr="002836DA">
        <w:rPr>
          <w:sz w:val="18"/>
          <w:szCs w:val="18"/>
        </w:rPr>
        <w:t>high/mismatch repair deficient (MSI</w:t>
      </w:r>
      <w:r w:rsidR="009E5502">
        <w:rPr>
          <w:sz w:val="18"/>
          <w:szCs w:val="18"/>
        </w:rPr>
        <w:noBreakHyphen/>
      </w:r>
      <w:r w:rsidRPr="002836DA">
        <w:rPr>
          <w:sz w:val="18"/>
          <w:szCs w:val="18"/>
        </w:rPr>
        <w:t>H/dMMR) metastatic colorectal cancer (mCRC): 64</w:t>
      </w:r>
      <w:r w:rsidR="009E5502">
        <w:rPr>
          <w:sz w:val="18"/>
          <w:szCs w:val="18"/>
        </w:rPr>
        <w:noBreakHyphen/>
      </w:r>
      <w:r w:rsidRPr="002836DA">
        <w:rPr>
          <w:sz w:val="18"/>
          <w:szCs w:val="18"/>
        </w:rPr>
        <w:t>month (mo) follow</w:t>
      </w:r>
      <w:r w:rsidR="009E5502">
        <w:rPr>
          <w:sz w:val="18"/>
          <w:szCs w:val="18"/>
        </w:rPr>
        <w:noBreakHyphen/>
      </w:r>
      <w:r w:rsidRPr="002836DA">
        <w:rPr>
          <w:sz w:val="18"/>
          <w:szCs w:val="18"/>
        </w:rPr>
        <w:t>up from CheckMate 142. JCO 41, 3550</w:t>
      </w:r>
      <w:r w:rsidR="009E5502">
        <w:rPr>
          <w:sz w:val="18"/>
          <w:szCs w:val="18"/>
        </w:rPr>
        <w:noBreakHyphen/>
      </w:r>
      <w:r w:rsidRPr="002836DA">
        <w:rPr>
          <w:sz w:val="18"/>
          <w:szCs w:val="18"/>
        </w:rPr>
        <w:t>3550(2023).</w:t>
      </w:r>
    </w:p>
  </w:footnote>
  <w:footnote w:id="20">
    <w:p w14:paraId="45CE89A3" w14:textId="46CD64DD" w:rsidR="00BD0CB9" w:rsidRPr="002836DA" w:rsidRDefault="00BD0CB9" w:rsidP="00EB6430">
      <w:pPr>
        <w:pStyle w:val="FootnoteText"/>
        <w:rPr>
          <w:sz w:val="18"/>
          <w:szCs w:val="18"/>
          <w:lang w:val="en-US"/>
        </w:rPr>
      </w:pPr>
      <w:r w:rsidRPr="002836DA">
        <w:rPr>
          <w:rStyle w:val="FootnoteReference"/>
          <w:sz w:val="18"/>
          <w:szCs w:val="18"/>
        </w:rPr>
        <w:footnoteRef/>
      </w:r>
      <w:r w:rsidRPr="002836DA">
        <w:rPr>
          <w:sz w:val="18"/>
          <w:szCs w:val="18"/>
        </w:rPr>
        <w:t xml:space="preserve"> André T, Shiu KK, Kim TW, Jensen BV, Jensen LH, Punt CJA, Smith D, Garcia</w:t>
      </w:r>
      <w:r w:rsidR="009E5502">
        <w:rPr>
          <w:sz w:val="18"/>
          <w:szCs w:val="18"/>
        </w:rPr>
        <w:noBreakHyphen/>
      </w:r>
      <w:r w:rsidRPr="002836DA">
        <w:rPr>
          <w:sz w:val="18"/>
          <w:szCs w:val="18"/>
        </w:rPr>
        <w:t>Carbonero R, Alcaide</w:t>
      </w:r>
      <w:r w:rsidR="009E5502">
        <w:rPr>
          <w:sz w:val="18"/>
          <w:szCs w:val="18"/>
        </w:rPr>
        <w:noBreakHyphen/>
      </w:r>
      <w:r w:rsidRPr="002836DA">
        <w:rPr>
          <w:sz w:val="18"/>
          <w:szCs w:val="18"/>
        </w:rPr>
        <w:t>Garcia J, Gibbs P, de la Fouchardiere C, Rivera F, Elez E, Le DT, Yoshino T, Zuo Y, Fogelman D, Adelberg D, Diaz LA. Pembrolizumab versus chemotherapy in microsatellite instability</w:t>
      </w:r>
      <w:r w:rsidR="009E5502">
        <w:rPr>
          <w:sz w:val="18"/>
          <w:szCs w:val="18"/>
        </w:rPr>
        <w:noBreakHyphen/>
      </w:r>
      <w:r w:rsidRPr="002836DA">
        <w:rPr>
          <w:sz w:val="18"/>
          <w:szCs w:val="18"/>
        </w:rPr>
        <w:t>high or mismatch repair</w:t>
      </w:r>
      <w:r w:rsidR="009E5502">
        <w:rPr>
          <w:sz w:val="18"/>
          <w:szCs w:val="18"/>
        </w:rPr>
        <w:noBreakHyphen/>
      </w:r>
      <w:r w:rsidRPr="002836DA">
        <w:rPr>
          <w:sz w:val="18"/>
          <w:szCs w:val="18"/>
        </w:rPr>
        <w:t>deficient metastatic colorectal cancer: 5</w:t>
      </w:r>
      <w:r w:rsidR="009E5502">
        <w:rPr>
          <w:sz w:val="18"/>
          <w:szCs w:val="18"/>
        </w:rPr>
        <w:noBreakHyphen/>
      </w:r>
      <w:r w:rsidRPr="002836DA">
        <w:rPr>
          <w:sz w:val="18"/>
          <w:szCs w:val="18"/>
        </w:rPr>
        <w:t>year follow</w:t>
      </w:r>
      <w:r w:rsidR="009E5502">
        <w:rPr>
          <w:sz w:val="18"/>
          <w:szCs w:val="18"/>
        </w:rPr>
        <w:noBreakHyphen/>
      </w:r>
      <w:r w:rsidRPr="002836DA">
        <w:rPr>
          <w:sz w:val="18"/>
          <w:szCs w:val="18"/>
        </w:rPr>
        <w:t>up from the randomized phase III KEYNOTE</w:t>
      </w:r>
      <w:r w:rsidR="009E5502">
        <w:rPr>
          <w:sz w:val="18"/>
          <w:szCs w:val="18"/>
        </w:rPr>
        <w:noBreakHyphen/>
      </w:r>
      <w:r w:rsidRPr="002836DA">
        <w:rPr>
          <w:sz w:val="18"/>
          <w:szCs w:val="18"/>
        </w:rPr>
        <w:t>177 study. Ann Oncol. 2025 Mar;36(3):277</w:t>
      </w:r>
      <w:r w:rsidR="009E5502">
        <w:rPr>
          <w:sz w:val="18"/>
          <w:szCs w:val="18"/>
        </w:rPr>
        <w:noBreakHyphen/>
      </w:r>
      <w:r w:rsidRPr="002836DA">
        <w:rPr>
          <w:sz w:val="18"/>
          <w:szCs w:val="18"/>
        </w:rPr>
        <w:t>284</w:t>
      </w:r>
    </w:p>
  </w:footnote>
  <w:footnote w:id="21">
    <w:p w14:paraId="1F830F0E" w14:textId="0165D8AC" w:rsidR="00BD0CB9" w:rsidRPr="002836DA" w:rsidRDefault="00BD0CB9" w:rsidP="00EB6430">
      <w:pPr>
        <w:pStyle w:val="FootnoteText"/>
        <w:rPr>
          <w:sz w:val="18"/>
          <w:szCs w:val="18"/>
          <w:lang w:val="en-US"/>
        </w:rPr>
      </w:pPr>
      <w:r w:rsidRPr="002836DA">
        <w:rPr>
          <w:rStyle w:val="FootnoteReference"/>
          <w:sz w:val="18"/>
          <w:szCs w:val="18"/>
        </w:rPr>
        <w:footnoteRef/>
      </w:r>
      <w:r w:rsidRPr="002836DA">
        <w:rPr>
          <w:sz w:val="18"/>
          <w:szCs w:val="18"/>
        </w:rPr>
        <w:t xml:space="preserve"> Diaz LA Jr, Shiu KK, Kim TW, Jensen BV, Jensen LH, Punt C, Smith D, Garcia</w:t>
      </w:r>
      <w:r w:rsidR="009E5502">
        <w:rPr>
          <w:sz w:val="18"/>
          <w:szCs w:val="18"/>
        </w:rPr>
        <w:noBreakHyphen/>
      </w:r>
      <w:r w:rsidRPr="002836DA">
        <w:rPr>
          <w:sz w:val="18"/>
          <w:szCs w:val="18"/>
        </w:rPr>
        <w:t>Carbonero R, Benavides M, Gibbs P, de la Fourchardiere C, Rivera F, Elez E, Le DT, Yoshino T, Zhong WY, Fogelman D, Marinello P, Andre T; KEYNOTE</w:t>
      </w:r>
      <w:r w:rsidR="009E5502">
        <w:rPr>
          <w:sz w:val="18"/>
          <w:szCs w:val="18"/>
        </w:rPr>
        <w:noBreakHyphen/>
      </w:r>
      <w:r w:rsidRPr="002836DA">
        <w:rPr>
          <w:sz w:val="18"/>
          <w:szCs w:val="18"/>
        </w:rPr>
        <w:t>177 Investigators. Pembrolizumab versus chemotherapy for microsatellite instability</w:t>
      </w:r>
      <w:r w:rsidR="009E5502">
        <w:rPr>
          <w:sz w:val="18"/>
          <w:szCs w:val="18"/>
        </w:rPr>
        <w:noBreakHyphen/>
      </w:r>
      <w:r w:rsidRPr="002836DA">
        <w:rPr>
          <w:sz w:val="18"/>
          <w:szCs w:val="18"/>
        </w:rPr>
        <w:t>high or mismatch repair</w:t>
      </w:r>
      <w:r w:rsidR="009E5502">
        <w:rPr>
          <w:sz w:val="18"/>
          <w:szCs w:val="18"/>
        </w:rPr>
        <w:noBreakHyphen/>
      </w:r>
      <w:r w:rsidRPr="002836DA">
        <w:rPr>
          <w:sz w:val="18"/>
          <w:szCs w:val="18"/>
        </w:rPr>
        <w:t>deficient metastatic colorectal cancer (KEYNOTE</w:t>
      </w:r>
      <w:r w:rsidR="009E5502">
        <w:rPr>
          <w:sz w:val="18"/>
          <w:szCs w:val="18"/>
        </w:rPr>
        <w:noBreakHyphen/>
      </w:r>
      <w:r w:rsidRPr="002836DA">
        <w:rPr>
          <w:sz w:val="18"/>
          <w:szCs w:val="18"/>
        </w:rPr>
        <w:t>177): final analysis of a randomised, open</w:t>
      </w:r>
      <w:r w:rsidR="009E5502">
        <w:rPr>
          <w:sz w:val="18"/>
          <w:szCs w:val="18"/>
        </w:rPr>
        <w:noBreakHyphen/>
      </w:r>
      <w:r w:rsidRPr="002836DA">
        <w:rPr>
          <w:sz w:val="18"/>
          <w:szCs w:val="18"/>
        </w:rPr>
        <w:t>label, phase 3 study. Lancet Oncol. 2022 May;23(5):659</w:t>
      </w:r>
      <w:r w:rsidR="009E5502">
        <w:rPr>
          <w:sz w:val="18"/>
          <w:szCs w:val="18"/>
        </w:rPr>
        <w:noBreakHyphen/>
      </w:r>
      <w:r w:rsidRPr="002836DA">
        <w:rPr>
          <w:sz w:val="18"/>
          <w:szCs w:val="18"/>
        </w:rPr>
        <w:t xml:space="preserve">670. </w:t>
      </w:r>
    </w:p>
  </w:footnote>
  <w:footnote w:id="22">
    <w:p w14:paraId="01E54197" w14:textId="2D21D626" w:rsidR="00BD0CB9" w:rsidRPr="002836DA" w:rsidRDefault="00BD0CB9" w:rsidP="00EB6430">
      <w:pPr>
        <w:pStyle w:val="FootnoteText"/>
        <w:rPr>
          <w:sz w:val="18"/>
          <w:szCs w:val="18"/>
          <w:lang w:val="en-US"/>
        </w:rPr>
      </w:pPr>
      <w:r w:rsidRPr="002836DA">
        <w:rPr>
          <w:rStyle w:val="FootnoteReference"/>
          <w:sz w:val="18"/>
          <w:szCs w:val="18"/>
        </w:rPr>
        <w:footnoteRef/>
      </w:r>
      <w:r w:rsidRPr="002836DA">
        <w:rPr>
          <w:sz w:val="18"/>
          <w:szCs w:val="18"/>
        </w:rPr>
        <w:t xml:space="preserve"> André T, Shiu KK, Kim TW, Jensen BV, Jensen LH, Punt C, Smith D, Garcia</w:t>
      </w:r>
      <w:r w:rsidR="009E5502">
        <w:rPr>
          <w:sz w:val="18"/>
          <w:szCs w:val="18"/>
        </w:rPr>
        <w:noBreakHyphen/>
      </w:r>
      <w:r w:rsidRPr="002836DA">
        <w:rPr>
          <w:sz w:val="18"/>
          <w:szCs w:val="18"/>
        </w:rPr>
        <w:t>Carbonero R, Benavides M, Gibbs P, de la Fouchardiere C, Rivera F, Elez E, Bendell J, Le DT, Yoshino T, Van Cutsem E, Yang P, Farooqui MZH, Marinello P, Diaz LA Jr; KEYNOTE</w:t>
      </w:r>
      <w:r w:rsidR="009E5502">
        <w:rPr>
          <w:sz w:val="18"/>
          <w:szCs w:val="18"/>
        </w:rPr>
        <w:noBreakHyphen/>
      </w:r>
      <w:r w:rsidRPr="002836DA">
        <w:rPr>
          <w:sz w:val="18"/>
          <w:szCs w:val="18"/>
        </w:rPr>
        <w:t>177 Investigators. Pembrolizumab in Microsatellite</w:t>
      </w:r>
      <w:r w:rsidR="009E5502">
        <w:rPr>
          <w:sz w:val="18"/>
          <w:szCs w:val="18"/>
        </w:rPr>
        <w:noBreakHyphen/>
      </w:r>
      <w:r w:rsidRPr="002836DA">
        <w:rPr>
          <w:sz w:val="18"/>
          <w:szCs w:val="18"/>
        </w:rPr>
        <w:t>Instability</w:t>
      </w:r>
      <w:r w:rsidR="009E5502">
        <w:rPr>
          <w:sz w:val="18"/>
          <w:szCs w:val="18"/>
        </w:rPr>
        <w:noBreakHyphen/>
      </w:r>
      <w:r w:rsidRPr="002836DA">
        <w:rPr>
          <w:sz w:val="18"/>
          <w:szCs w:val="18"/>
        </w:rPr>
        <w:t>High Advanced Colorectal Cancer. N Engl J Med. 2020 Dec 3;383(23):2207</w:t>
      </w:r>
      <w:r w:rsidR="009E5502">
        <w:rPr>
          <w:sz w:val="18"/>
          <w:szCs w:val="18"/>
        </w:rPr>
        <w:noBreakHyphen/>
      </w:r>
      <w:r w:rsidRPr="002836DA">
        <w:rPr>
          <w:sz w:val="18"/>
          <w:szCs w:val="18"/>
        </w:rPr>
        <w:t xml:space="preserve">2218. </w:t>
      </w:r>
    </w:p>
  </w:footnote>
  <w:footnote w:id="23">
    <w:p w14:paraId="5311E57E" w14:textId="419B0416" w:rsidR="00BD0CB9" w:rsidRPr="00874CDF" w:rsidRDefault="00BD0CB9" w:rsidP="00EB6430">
      <w:pPr>
        <w:pStyle w:val="FootnoteText"/>
        <w:rPr>
          <w:lang w:val="en-US"/>
        </w:rPr>
      </w:pPr>
      <w:r w:rsidRPr="002836DA">
        <w:rPr>
          <w:rStyle w:val="FootnoteReference"/>
          <w:sz w:val="18"/>
          <w:szCs w:val="18"/>
        </w:rPr>
        <w:footnoteRef/>
      </w:r>
      <w:r w:rsidRPr="002836DA">
        <w:rPr>
          <w:sz w:val="18"/>
          <w:szCs w:val="18"/>
        </w:rPr>
        <w:t xml:space="preserve"> Nivolumab with ipilimumab for untreated metastatic colorectal cancer with high microsatellite instability or mismatch repair deficiency [ID1136] available from https://www.nice.org.uk/guidance/indevelopment/gid</w:t>
      </w:r>
      <w:r w:rsidR="009E5502">
        <w:rPr>
          <w:sz w:val="18"/>
          <w:szCs w:val="18"/>
        </w:rPr>
        <w:noBreakHyphen/>
      </w:r>
      <w:r w:rsidRPr="002836DA">
        <w:rPr>
          <w:sz w:val="18"/>
          <w:szCs w:val="18"/>
        </w:rPr>
        <w:t>ta10165</w:t>
      </w:r>
    </w:p>
  </w:footnote>
  <w:footnote w:id="24">
    <w:p w14:paraId="7A73AE2B" w14:textId="44B6E31F" w:rsidR="00BD0CB9" w:rsidRPr="00312D84" w:rsidRDefault="00BD0CB9" w:rsidP="0037097B">
      <w:pPr>
        <w:pStyle w:val="FootnoteText"/>
        <w:rPr>
          <w:lang w:val="en-US"/>
        </w:rPr>
      </w:pPr>
      <w:r>
        <w:rPr>
          <w:rStyle w:val="FootnoteReference"/>
        </w:rPr>
        <w:footnoteRef/>
      </w:r>
      <w:r>
        <w:t xml:space="preserve"> </w:t>
      </w:r>
      <w:r w:rsidRPr="00312D84">
        <w:t>Chong LC, Townsend AR, Young J, Roy A, Piantadosi C, Hardingham JE, Roder D, Karapetis C, Padbury R, Maddern G, Moore J, Price TJ. Outcomes for Metastatic Colorectal Cancer Based on Microsatellite Instability: Results from the South Australian Metastatic Colorectal Cancer Registry. Target Oncol. 2019 Feb;14(1):85</w:t>
      </w:r>
      <w:r w:rsidR="009E5502">
        <w:noBreakHyphen/>
      </w:r>
      <w:r w:rsidRPr="00312D84">
        <w:t>91.</w:t>
      </w:r>
    </w:p>
  </w:footnote>
  <w:footnote w:id="25">
    <w:p w14:paraId="1D908E7B" w14:textId="6404E2D7" w:rsidR="00F41695" w:rsidRDefault="00F41695">
      <w:pPr>
        <w:pStyle w:val="FootnoteText"/>
      </w:pPr>
      <w:r>
        <w:rPr>
          <w:rStyle w:val="FootnoteReference"/>
        </w:rPr>
        <w:footnoteRef/>
      </w:r>
      <w:r>
        <w:t xml:space="preserve"> </w:t>
      </w:r>
      <w:r w:rsidRPr="00F41695">
        <w:t>André T</w:t>
      </w:r>
      <w:r>
        <w:t xml:space="preserve"> et al</w:t>
      </w:r>
      <w:r w:rsidRPr="00F41695">
        <w:t>. Nivolumab plus ipilimumab versus nivolumab in microsatellite instability</w:t>
      </w:r>
      <w:r w:rsidR="009E5502">
        <w:noBreakHyphen/>
      </w:r>
      <w:r w:rsidRPr="00F41695">
        <w:t>high metastatic colorectal cancer (CheckMate 8HW): a randomised, open</w:t>
      </w:r>
      <w:r w:rsidR="009E5502">
        <w:noBreakHyphen/>
      </w:r>
      <w:r w:rsidRPr="00F41695">
        <w:t>label, phase 3 trial. Lancet. 2025 Feb 1;405(10476):383</w:t>
      </w:r>
      <w:r w:rsidR="009E5502">
        <w:noBreakHyphen/>
      </w:r>
      <w:r w:rsidRPr="00F41695">
        <w:t xml:space="preserve">395. </w:t>
      </w:r>
    </w:p>
  </w:footnote>
  <w:footnote w:id="26">
    <w:p w14:paraId="25E698C5" w14:textId="779F8FB6" w:rsidR="00877EAA" w:rsidRPr="002836DA" w:rsidRDefault="00877EAA" w:rsidP="00F85115">
      <w:pPr>
        <w:pStyle w:val="FootnoteText"/>
      </w:pPr>
      <w:r w:rsidRPr="002836DA">
        <w:rPr>
          <w:rStyle w:val="FootnoteReference"/>
        </w:rPr>
        <w:footnoteRef/>
      </w:r>
      <w:r w:rsidRPr="002836DA">
        <w:t xml:space="preserve"> </w:t>
      </w:r>
      <w:r w:rsidR="00B21233" w:rsidRPr="002836DA">
        <w:t xml:space="preserve">Roodhart et al </w:t>
      </w:r>
      <w:r w:rsidRPr="002836DA">
        <w:t xml:space="preserve">2024. </w:t>
      </w:r>
      <w:r w:rsidR="0088490D" w:rsidRPr="002836DA">
        <w:t>Evaluating the patient</w:t>
      </w:r>
      <w:r w:rsidR="009E5502">
        <w:noBreakHyphen/>
      </w:r>
      <w:r w:rsidR="0088490D" w:rsidRPr="002836DA">
        <w:t>level association between progression</w:t>
      </w:r>
      <w:r w:rsidR="009E5502">
        <w:noBreakHyphen/>
      </w:r>
      <w:r w:rsidR="0088490D" w:rsidRPr="002836DA">
        <w:t>free survival and overall survival in microsatellite instability high/mismatch repair</w:t>
      </w:r>
      <w:r w:rsidR="009E5502">
        <w:noBreakHyphen/>
      </w:r>
      <w:r w:rsidR="0088490D" w:rsidRPr="002836DA">
        <w:t>deficient metastatic colorectal cancer (MSI</w:t>
      </w:r>
      <w:r w:rsidR="009E5502">
        <w:noBreakHyphen/>
      </w:r>
      <w:r w:rsidR="0088490D" w:rsidRPr="002836DA">
        <w:t>H/dMMR mCRC) treated with immune checkpoint inhibitors</w:t>
      </w:r>
      <w:r w:rsidR="00F85115" w:rsidRPr="002836DA">
        <w:t>. 2024. European Society for Medical Oncology (ESMO) Gastrointestinal Cancers Annual Congress; June 26–29; Munich, Germany</w:t>
      </w:r>
    </w:p>
  </w:footnote>
  <w:footnote w:id="27">
    <w:p w14:paraId="0E39BF12" w14:textId="1B4CAF5F" w:rsidR="00A40706" w:rsidRPr="00DC651A" w:rsidRDefault="00A40706">
      <w:pPr>
        <w:pStyle w:val="FootnoteText"/>
      </w:pPr>
      <w:r w:rsidRPr="00DC651A">
        <w:rPr>
          <w:vertAlign w:val="superscript"/>
        </w:rPr>
        <w:footnoteRef/>
      </w:r>
      <w:r w:rsidRPr="00DC651A">
        <w:t xml:space="preserve"> André, T., Shiu, K.</w:t>
      </w:r>
      <w:r w:rsidR="009E5502">
        <w:noBreakHyphen/>
      </w:r>
      <w:r w:rsidRPr="00DC651A">
        <w:t>K., Kim, T.W., Jensen, B.V., Jensen, L.H., Punt, C.J.A., Smith, D., Garcia</w:t>
      </w:r>
      <w:r w:rsidR="009E5502">
        <w:noBreakHyphen/>
      </w:r>
      <w:r w:rsidRPr="00DC651A">
        <w:t>Carbonero, R., Alcaide</w:t>
      </w:r>
      <w:r w:rsidR="009E5502">
        <w:noBreakHyphen/>
      </w:r>
      <w:r w:rsidRPr="00DC651A">
        <w:t>Garcia, J., Gibbs, P., de la Fouchardiere, C., Rivera, F., Elez, E., Le, D.T., Yoshino, T., Zuo, Y., Fogelman, D., Adelberg, D., Diaz, L.A., 2024. Pembrolizumab versus chemotherapy in microsatellite instability</w:t>
      </w:r>
      <w:r w:rsidR="009E5502">
        <w:noBreakHyphen/>
      </w:r>
      <w:r w:rsidRPr="00DC651A">
        <w:t>high or mismatch repair</w:t>
      </w:r>
      <w:r w:rsidR="009E5502">
        <w:noBreakHyphen/>
      </w:r>
      <w:r w:rsidRPr="00DC651A">
        <w:t>deficient metastatic colorectal cancer: 5</w:t>
      </w:r>
      <w:r w:rsidR="009E5502">
        <w:noBreakHyphen/>
      </w:r>
      <w:r w:rsidRPr="00DC651A">
        <w:t>year follow</w:t>
      </w:r>
      <w:r w:rsidR="009E5502">
        <w:noBreakHyphen/>
      </w:r>
      <w:r w:rsidRPr="00DC651A">
        <w:t>up from the randomized phase III KEYNOTE</w:t>
      </w:r>
      <w:r w:rsidR="009E5502">
        <w:noBreakHyphen/>
      </w:r>
      <w:r w:rsidRPr="00DC651A">
        <w:t>177 study. Ann Oncol S0923</w:t>
      </w:r>
      <w:r w:rsidR="009E5502">
        <w:noBreakHyphen/>
      </w:r>
      <w:r w:rsidRPr="00DC651A">
        <w:t>7534(24)04949–4.</w:t>
      </w:r>
    </w:p>
  </w:footnote>
  <w:footnote w:id="28">
    <w:p w14:paraId="30B9692E" w14:textId="1444EE66" w:rsidR="00C41F25" w:rsidRPr="002E0858" w:rsidRDefault="00C41F25" w:rsidP="00C41F25">
      <w:pPr>
        <w:pStyle w:val="FootnoteText"/>
        <w:rPr>
          <w:sz w:val="18"/>
          <w:szCs w:val="18"/>
        </w:rPr>
      </w:pPr>
      <w:r w:rsidRPr="002836DA">
        <w:rPr>
          <w:rStyle w:val="FootnoteReference"/>
        </w:rPr>
        <w:footnoteRef/>
      </w:r>
      <w:r w:rsidRPr="002836DA">
        <w:t xml:space="preserve"> Chong LC, Townsend AR, Young J, Roy A, Piantadosi C, Hardingham JE, Roder D, Karapetis C, Padbury R, Maddern G, Moore J, Price TJ. Outcomes for Metastatic Colorectal Cancer Based on Microsatellite Instability: Results from the South Australian Metastatic Colorectal Cancer Registry. Target Oncol. 2019 Feb;14(1):85</w:t>
      </w:r>
      <w:r w:rsidR="009E5502">
        <w:noBreakHyphen/>
      </w:r>
      <w:r w:rsidRPr="002836DA">
        <w:t>91.</w:t>
      </w:r>
    </w:p>
  </w:footnote>
  <w:footnote w:id="29">
    <w:p w14:paraId="709DEFFC" w14:textId="6E5C34FF" w:rsidR="00BD0CB9" w:rsidRPr="002836DA" w:rsidRDefault="00BD0CB9" w:rsidP="00EB6430">
      <w:pPr>
        <w:pStyle w:val="FootnoteText"/>
        <w:rPr>
          <w:lang w:val="en-US"/>
        </w:rPr>
      </w:pPr>
      <w:r w:rsidRPr="002836DA">
        <w:rPr>
          <w:rStyle w:val="FootnoteReference"/>
        </w:rPr>
        <w:footnoteRef/>
      </w:r>
      <w:r w:rsidRPr="002836DA">
        <w:t xml:space="preserve"> Viney R, Norman R, King MT, Cronin P, Street DJ, Knox S, Ratcliffe J. Time trade</w:t>
      </w:r>
      <w:r w:rsidR="009E5502">
        <w:noBreakHyphen/>
      </w:r>
      <w:r w:rsidRPr="002836DA">
        <w:t>off derived EQ</w:t>
      </w:r>
      <w:r w:rsidR="009E5502">
        <w:noBreakHyphen/>
      </w:r>
      <w:r w:rsidRPr="002836DA">
        <w:t>5D weights for Australia. Value Health. 2011 Sep</w:t>
      </w:r>
      <w:r w:rsidR="009E5502">
        <w:noBreakHyphen/>
      </w:r>
      <w:r w:rsidRPr="002836DA">
        <w:t>Oct;14(6):928</w:t>
      </w:r>
      <w:r w:rsidR="009E5502">
        <w:noBreakHyphen/>
      </w:r>
      <w:r w:rsidRPr="002836DA">
        <w:t>36. doi: 10.1016/j.jval.2011.04.009. Epub 2011 Aug 4.</w:t>
      </w:r>
    </w:p>
  </w:footnote>
  <w:footnote w:id="30">
    <w:p w14:paraId="760C85E3" w14:textId="774021AD" w:rsidR="00BD0CB9" w:rsidRPr="00CD48D1" w:rsidRDefault="00BD0CB9" w:rsidP="00EB6430">
      <w:pPr>
        <w:pStyle w:val="FootnoteText"/>
        <w:rPr>
          <w:lang w:val="en-US"/>
        </w:rPr>
      </w:pPr>
      <w:r w:rsidRPr="002836DA">
        <w:rPr>
          <w:rStyle w:val="FootnoteReference"/>
        </w:rPr>
        <w:footnoteRef/>
      </w:r>
      <w:r w:rsidRPr="002836DA">
        <w:t xml:space="preserve"> Clemens S, Begum N, Harper C, Whitty JA, Scuffham PA. A comparison of EQ</w:t>
      </w:r>
      <w:r w:rsidR="009E5502">
        <w:noBreakHyphen/>
      </w:r>
      <w:r w:rsidRPr="002836DA">
        <w:t>5D</w:t>
      </w:r>
      <w:r w:rsidR="009E5502">
        <w:noBreakHyphen/>
      </w:r>
      <w:r w:rsidRPr="002836DA">
        <w:t>3L population norms in Queensland, Australia, estimated using utility value sets from Australia, the UK and USA. Qual Life Res. 2014 Oct;23(8):2375</w:t>
      </w:r>
      <w:r w:rsidR="009E5502">
        <w:noBreakHyphen/>
      </w:r>
      <w:r w:rsidRPr="002836DA">
        <w:t>81. doi: 10.1007/s11136</w:t>
      </w:r>
      <w:r w:rsidR="009E5502">
        <w:noBreakHyphen/>
      </w:r>
      <w:r w:rsidRPr="002836DA">
        <w:t>014</w:t>
      </w:r>
      <w:r w:rsidR="009E5502">
        <w:noBreakHyphen/>
      </w:r>
      <w:r w:rsidRPr="002836DA">
        <w:t>0676</w:t>
      </w:r>
      <w:r w:rsidR="009E5502">
        <w:noBreakHyphen/>
      </w:r>
      <w:r w:rsidRPr="002836DA">
        <w:t>x. Epub 2014 Mar 28. PMID: 24676898.</w:t>
      </w:r>
    </w:p>
  </w:footnote>
  <w:footnote w:id="31">
    <w:p w14:paraId="32C7ADF0" w14:textId="54F5D604" w:rsidR="00AC3F92" w:rsidRPr="00114C30" w:rsidRDefault="00AC3F92" w:rsidP="00AC3F92">
      <w:pPr>
        <w:pStyle w:val="FootnoteText"/>
        <w:rPr>
          <w:lang w:val="en-US"/>
        </w:rPr>
      </w:pPr>
      <w:r>
        <w:rPr>
          <w:rStyle w:val="FootnoteReference"/>
        </w:rPr>
        <w:footnoteRef/>
      </w:r>
      <w:r>
        <w:t xml:space="preserve"> </w:t>
      </w:r>
      <w:r w:rsidRPr="00114C30">
        <w:t>Liu, N., Zhou Y., Lee, J. J (2020). IPDfromKM: Reconstruct Individual Patient Data from Published Kaplan</w:t>
      </w:r>
      <w:r w:rsidR="009E5502">
        <w:noBreakHyphen/>
      </w:r>
      <w:r w:rsidRPr="00114C30">
        <w:t>Meier Survival Curves (submitted).</w:t>
      </w:r>
      <w:r w:rsidR="00D2498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36A58" w14:textId="14297B2E" w:rsidR="00EA4AA1" w:rsidRDefault="008C1BBC">
    <w:pPr>
      <w:pStyle w:val="Header"/>
    </w:pPr>
    <w:r>
      <w:rPr>
        <w:noProof/>
      </w:rPr>
      <mc:AlternateContent>
        <mc:Choice Requires="wps">
          <w:drawing>
            <wp:anchor distT="0" distB="0" distL="0" distR="0" simplePos="0" relativeHeight="251658241" behindDoc="0" locked="0" layoutInCell="1" allowOverlap="1" wp14:anchorId="16675952" wp14:editId="2B7F092F">
              <wp:simplePos x="635" y="635"/>
              <wp:positionH relativeFrom="page">
                <wp:align>center</wp:align>
              </wp:positionH>
              <wp:positionV relativeFrom="page">
                <wp:align>top</wp:align>
              </wp:positionV>
              <wp:extent cx="551815" cy="376555"/>
              <wp:effectExtent l="0" t="0" r="635" b="4445"/>
              <wp:wrapNone/>
              <wp:docPr id="219265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82F09C" w14:textId="3A555455"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675952"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082F09C" w14:textId="3A555455"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7376" w14:textId="70C7A57B" w:rsidR="008255B5" w:rsidRPr="00EA4AA1" w:rsidRDefault="008C1BBC" w:rsidP="008255B5">
    <w:pPr>
      <w:pStyle w:val="Header"/>
      <w:ind w:left="360"/>
      <w:rPr>
        <w:rFonts w:cs="Calibri"/>
        <w:i/>
        <w:color w:val="808080"/>
      </w:rPr>
    </w:pPr>
    <w:r>
      <w:rPr>
        <w:rFonts w:cs="Calibri"/>
        <w:i/>
        <w:noProof/>
        <w:color w:val="808080"/>
      </w:rPr>
      <mc:AlternateContent>
        <mc:Choice Requires="wps">
          <w:drawing>
            <wp:anchor distT="0" distB="0" distL="0" distR="0" simplePos="0" relativeHeight="251658242" behindDoc="0" locked="0" layoutInCell="1" allowOverlap="1" wp14:anchorId="5E558B76" wp14:editId="632A3EEB">
              <wp:simplePos x="914400" y="914400"/>
              <wp:positionH relativeFrom="page">
                <wp:align>center</wp:align>
              </wp:positionH>
              <wp:positionV relativeFrom="page">
                <wp:align>top</wp:align>
              </wp:positionV>
              <wp:extent cx="551815" cy="376555"/>
              <wp:effectExtent l="0" t="0" r="635" b="4445"/>
              <wp:wrapNone/>
              <wp:docPr id="15548580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CA0E153" w14:textId="72F10D95"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558B76"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CA0E153" w14:textId="72F10D95"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r w:rsidR="0069525C">
      <w:rPr>
        <w:rFonts w:cs="Calibri"/>
        <w:i/>
        <w:color w:val="808080"/>
      </w:rPr>
      <w:t>Public Summary Document</w:t>
    </w:r>
    <w:r w:rsidR="008255B5" w:rsidRPr="00EA4AA1">
      <w:rPr>
        <w:rFonts w:cs="Calibri"/>
        <w:i/>
        <w:color w:val="808080"/>
      </w:rPr>
      <w:t xml:space="preserve"> </w:t>
    </w:r>
    <w:r w:rsidR="00FF371C" w:rsidRPr="00EA4AA1">
      <w:rPr>
        <w:rFonts w:cs="Calibri"/>
        <w:i/>
        <w:color w:val="808080"/>
      </w:rPr>
      <w:t>July</w:t>
    </w:r>
    <w:r w:rsidR="008255B5" w:rsidRPr="00EA4AA1">
      <w:rPr>
        <w:rFonts w:cs="Calibri"/>
        <w:i/>
        <w:color w:val="808080"/>
      </w:rPr>
      <w:t xml:space="preserve"> </w:t>
    </w:r>
    <w:r w:rsidR="00FF371C" w:rsidRPr="00EA4AA1">
      <w:rPr>
        <w:rFonts w:cs="Calibri"/>
        <w:i/>
        <w:color w:val="808080"/>
      </w:rPr>
      <w:t>2025</w:t>
    </w:r>
    <w:r w:rsidR="008255B5" w:rsidRPr="00EA4AA1">
      <w:rPr>
        <w:rFonts w:cs="Calibri"/>
        <w:i/>
        <w:color w:val="808080"/>
      </w:rPr>
      <w:t xml:space="preserve"> PBAC Meeting</w:t>
    </w:r>
  </w:p>
  <w:p w14:paraId="4E58397A" w14:textId="77777777" w:rsidR="00846883" w:rsidRPr="00EA4AA1" w:rsidRDefault="00846883">
    <w:pPr>
      <w:pStyle w:val="Header"/>
      <w:rPr>
        <w:rFonts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022B" w14:textId="726C8B34" w:rsidR="00EA4AA1" w:rsidRDefault="008C1BBC">
    <w:pPr>
      <w:pStyle w:val="Header"/>
    </w:pPr>
    <w:r>
      <w:rPr>
        <w:noProof/>
      </w:rPr>
      <mc:AlternateContent>
        <mc:Choice Requires="wps">
          <w:drawing>
            <wp:anchor distT="0" distB="0" distL="0" distR="0" simplePos="0" relativeHeight="251658240" behindDoc="0" locked="0" layoutInCell="1" allowOverlap="1" wp14:anchorId="49253CFB" wp14:editId="2307FEC1">
              <wp:simplePos x="635" y="635"/>
              <wp:positionH relativeFrom="page">
                <wp:align>center</wp:align>
              </wp:positionH>
              <wp:positionV relativeFrom="page">
                <wp:align>top</wp:align>
              </wp:positionV>
              <wp:extent cx="551815" cy="376555"/>
              <wp:effectExtent l="0" t="0" r="635" b="4445"/>
              <wp:wrapNone/>
              <wp:docPr id="11352123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679A95" w14:textId="5FA23AB7" w:rsidR="008C1BBC" w:rsidRPr="008C1BBC" w:rsidRDefault="008C1BBC" w:rsidP="008C1BBC">
                          <w:pPr>
                            <w:rPr>
                              <w:rFonts w:eastAsia="Calibri" w:cs="Calibri"/>
                              <w:noProof/>
                              <w:color w:val="FF0000"/>
                            </w:rPr>
                          </w:pPr>
                          <w:r w:rsidRPr="008C1BB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253CFB"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6679A95" w14:textId="5FA23AB7" w:rsidR="008C1BBC" w:rsidRPr="008C1BBC" w:rsidRDefault="008C1BBC" w:rsidP="008C1BBC">
                    <w:pPr>
                      <w:rPr>
                        <w:rFonts w:eastAsia="Calibri" w:cs="Calibri"/>
                        <w:noProof/>
                        <w:color w:val="FF0000"/>
                      </w:rPr>
                    </w:pPr>
                    <w:r w:rsidRPr="008C1BBC">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8860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493C5D"/>
    <w:multiLevelType w:val="hybridMultilevel"/>
    <w:tmpl w:val="FCF8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FB5B2E"/>
    <w:multiLevelType w:val="hybridMultilevel"/>
    <w:tmpl w:val="99F26400"/>
    <w:lvl w:ilvl="0" w:tplc="0D6EA706">
      <w:start w:val="1"/>
      <w:numFmt w:val="bullet"/>
      <w:lvlText w:val="-"/>
      <w:lvlJc w:val="left"/>
      <w:pPr>
        <w:ind w:left="718" w:hanging="360"/>
      </w:pPr>
      <w:rPr>
        <w:rFonts w:ascii="Courier New" w:hAnsi="Courier New"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3" w15:restartNumberingAfterBreak="0">
    <w:nsid w:val="1638280C"/>
    <w:multiLevelType w:val="hybridMultilevel"/>
    <w:tmpl w:val="2ABAAE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8727AA5"/>
    <w:multiLevelType w:val="hybridMultilevel"/>
    <w:tmpl w:val="B100F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30F12"/>
    <w:multiLevelType w:val="hybridMultilevel"/>
    <w:tmpl w:val="C23883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0CB3E97"/>
    <w:multiLevelType w:val="hybridMultilevel"/>
    <w:tmpl w:val="118CAF6C"/>
    <w:lvl w:ilvl="0" w:tplc="0C09001B">
      <w:start w:val="1"/>
      <w:numFmt w:val="lowerRoman"/>
      <w:lvlText w:val="%1."/>
      <w:lvlJc w:val="right"/>
      <w:pPr>
        <w:ind w:left="1440" w:hanging="360"/>
      </w:pPr>
      <w:rPr>
        <w:i/>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6730B2"/>
    <w:multiLevelType w:val="hybridMultilevel"/>
    <w:tmpl w:val="A40CF15C"/>
    <w:lvl w:ilvl="0" w:tplc="1B90BB22">
      <w:start w:val="1"/>
      <w:numFmt w:val="bullet"/>
      <w:lvlText w:val=""/>
      <w:lvlJc w:val="left"/>
      <w:pPr>
        <w:ind w:left="1440" w:hanging="360"/>
      </w:pPr>
      <w:rPr>
        <w:rFonts w:ascii="Symbol" w:hAnsi="Symbol"/>
      </w:rPr>
    </w:lvl>
    <w:lvl w:ilvl="1" w:tplc="9BEEA9AA">
      <w:start w:val="1"/>
      <w:numFmt w:val="bullet"/>
      <w:lvlText w:val=""/>
      <w:lvlJc w:val="left"/>
      <w:pPr>
        <w:ind w:left="1440" w:hanging="360"/>
      </w:pPr>
      <w:rPr>
        <w:rFonts w:ascii="Symbol" w:hAnsi="Symbol"/>
      </w:rPr>
    </w:lvl>
    <w:lvl w:ilvl="2" w:tplc="8A36A0FA">
      <w:start w:val="1"/>
      <w:numFmt w:val="bullet"/>
      <w:lvlText w:val=""/>
      <w:lvlJc w:val="left"/>
      <w:pPr>
        <w:ind w:left="1440" w:hanging="360"/>
      </w:pPr>
      <w:rPr>
        <w:rFonts w:ascii="Symbol" w:hAnsi="Symbol"/>
      </w:rPr>
    </w:lvl>
    <w:lvl w:ilvl="3" w:tplc="294A8904">
      <w:start w:val="1"/>
      <w:numFmt w:val="bullet"/>
      <w:lvlText w:val=""/>
      <w:lvlJc w:val="left"/>
      <w:pPr>
        <w:ind w:left="1440" w:hanging="360"/>
      </w:pPr>
      <w:rPr>
        <w:rFonts w:ascii="Symbol" w:hAnsi="Symbol"/>
      </w:rPr>
    </w:lvl>
    <w:lvl w:ilvl="4" w:tplc="D4CAE582">
      <w:start w:val="1"/>
      <w:numFmt w:val="bullet"/>
      <w:lvlText w:val=""/>
      <w:lvlJc w:val="left"/>
      <w:pPr>
        <w:ind w:left="1440" w:hanging="360"/>
      </w:pPr>
      <w:rPr>
        <w:rFonts w:ascii="Symbol" w:hAnsi="Symbol"/>
      </w:rPr>
    </w:lvl>
    <w:lvl w:ilvl="5" w:tplc="59F200D0">
      <w:start w:val="1"/>
      <w:numFmt w:val="bullet"/>
      <w:lvlText w:val=""/>
      <w:lvlJc w:val="left"/>
      <w:pPr>
        <w:ind w:left="1440" w:hanging="360"/>
      </w:pPr>
      <w:rPr>
        <w:rFonts w:ascii="Symbol" w:hAnsi="Symbol"/>
      </w:rPr>
    </w:lvl>
    <w:lvl w:ilvl="6" w:tplc="A70058B0">
      <w:start w:val="1"/>
      <w:numFmt w:val="bullet"/>
      <w:lvlText w:val=""/>
      <w:lvlJc w:val="left"/>
      <w:pPr>
        <w:ind w:left="1440" w:hanging="360"/>
      </w:pPr>
      <w:rPr>
        <w:rFonts w:ascii="Symbol" w:hAnsi="Symbol"/>
      </w:rPr>
    </w:lvl>
    <w:lvl w:ilvl="7" w:tplc="F4C6E992">
      <w:start w:val="1"/>
      <w:numFmt w:val="bullet"/>
      <w:lvlText w:val=""/>
      <w:lvlJc w:val="left"/>
      <w:pPr>
        <w:ind w:left="1440" w:hanging="360"/>
      </w:pPr>
      <w:rPr>
        <w:rFonts w:ascii="Symbol" w:hAnsi="Symbol"/>
      </w:rPr>
    </w:lvl>
    <w:lvl w:ilvl="8" w:tplc="4EAEE524">
      <w:start w:val="1"/>
      <w:numFmt w:val="bullet"/>
      <w:lvlText w:val=""/>
      <w:lvlJc w:val="left"/>
      <w:pPr>
        <w:ind w:left="1440" w:hanging="360"/>
      </w:pPr>
      <w:rPr>
        <w:rFonts w:ascii="Symbol" w:hAnsi="Symbol"/>
      </w:rPr>
    </w:lvl>
  </w:abstractNum>
  <w:abstractNum w:abstractNumId="9" w15:restartNumberingAfterBreak="0">
    <w:nsid w:val="28551235"/>
    <w:multiLevelType w:val="hybridMultilevel"/>
    <w:tmpl w:val="7AE07E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1D2B53"/>
    <w:multiLevelType w:val="hybridMultilevel"/>
    <w:tmpl w:val="A7DC4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C04F47"/>
    <w:multiLevelType w:val="hybridMultilevel"/>
    <w:tmpl w:val="5FCCAFCC"/>
    <w:lvl w:ilvl="0" w:tplc="C9900DFE">
      <w:start w:val="1"/>
      <w:numFmt w:val="bullet"/>
      <w:lvlText w:val=""/>
      <w:lvlJc w:val="left"/>
      <w:pPr>
        <w:ind w:left="1440" w:hanging="360"/>
      </w:pPr>
      <w:rPr>
        <w:rFonts w:ascii="Symbol" w:hAnsi="Symbol"/>
      </w:rPr>
    </w:lvl>
    <w:lvl w:ilvl="1" w:tplc="275C8020">
      <w:start w:val="1"/>
      <w:numFmt w:val="bullet"/>
      <w:lvlText w:val=""/>
      <w:lvlJc w:val="left"/>
      <w:pPr>
        <w:ind w:left="1440" w:hanging="360"/>
      </w:pPr>
      <w:rPr>
        <w:rFonts w:ascii="Symbol" w:hAnsi="Symbol"/>
      </w:rPr>
    </w:lvl>
    <w:lvl w:ilvl="2" w:tplc="BE92614C">
      <w:start w:val="1"/>
      <w:numFmt w:val="bullet"/>
      <w:lvlText w:val=""/>
      <w:lvlJc w:val="left"/>
      <w:pPr>
        <w:ind w:left="1440" w:hanging="360"/>
      </w:pPr>
      <w:rPr>
        <w:rFonts w:ascii="Symbol" w:hAnsi="Symbol"/>
      </w:rPr>
    </w:lvl>
    <w:lvl w:ilvl="3" w:tplc="FF389CD4">
      <w:start w:val="1"/>
      <w:numFmt w:val="bullet"/>
      <w:lvlText w:val=""/>
      <w:lvlJc w:val="left"/>
      <w:pPr>
        <w:ind w:left="1440" w:hanging="360"/>
      </w:pPr>
      <w:rPr>
        <w:rFonts w:ascii="Symbol" w:hAnsi="Symbol"/>
      </w:rPr>
    </w:lvl>
    <w:lvl w:ilvl="4" w:tplc="14EE3EB4">
      <w:start w:val="1"/>
      <w:numFmt w:val="bullet"/>
      <w:lvlText w:val=""/>
      <w:lvlJc w:val="left"/>
      <w:pPr>
        <w:ind w:left="1440" w:hanging="360"/>
      </w:pPr>
      <w:rPr>
        <w:rFonts w:ascii="Symbol" w:hAnsi="Symbol"/>
      </w:rPr>
    </w:lvl>
    <w:lvl w:ilvl="5" w:tplc="D6D41D6E">
      <w:start w:val="1"/>
      <w:numFmt w:val="bullet"/>
      <w:lvlText w:val=""/>
      <w:lvlJc w:val="left"/>
      <w:pPr>
        <w:ind w:left="1440" w:hanging="360"/>
      </w:pPr>
      <w:rPr>
        <w:rFonts w:ascii="Symbol" w:hAnsi="Symbol"/>
      </w:rPr>
    </w:lvl>
    <w:lvl w:ilvl="6" w:tplc="50DEC1C8">
      <w:start w:val="1"/>
      <w:numFmt w:val="bullet"/>
      <w:lvlText w:val=""/>
      <w:lvlJc w:val="left"/>
      <w:pPr>
        <w:ind w:left="1440" w:hanging="360"/>
      </w:pPr>
      <w:rPr>
        <w:rFonts w:ascii="Symbol" w:hAnsi="Symbol"/>
      </w:rPr>
    </w:lvl>
    <w:lvl w:ilvl="7" w:tplc="C82E11AA">
      <w:start w:val="1"/>
      <w:numFmt w:val="bullet"/>
      <w:lvlText w:val=""/>
      <w:lvlJc w:val="left"/>
      <w:pPr>
        <w:ind w:left="1440" w:hanging="360"/>
      </w:pPr>
      <w:rPr>
        <w:rFonts w:ascii="Symbol" w:hAnsi="Symbol"/>
      </w:rPr>
    </w:lvl>
    <w:lvl w:ilvl="8" w:tplc="20F48BF8">
      <w:start w:val="1"/>
      <w:numFmt w:val="bullet"/>
      <w:lvlText w:val=""/>
      <w:lvlJc w:val="left"/>
      <w:pPr>
        <w:ind w:left="1440" w:hanging="360"/>
      </w:pPr>
      <w:rPr>
        <w:rFonts w:ascii="Symbol" w:hAnsi="Symbol"/>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81579"/>
    <w:multiLevelType w:val="hybridMultilevel"/>
    <w:tmpl w:val="C9BCD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0F85AFB"/>
    <w:multiLevelType w:val="hybridMultilevel"/>
    <w:tmpl w:val="4C8E5C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5A76C6"/>
    <w:multiLevelType w:val="multilevel"/>
    <w:tmpl w:val="8D7A0A7E"/>
    <w:lvl w:ilvl="0">
      <w:start w:val="1"/>
      <w:numFmt w:val="bullet"/>
      <w:lvlText w:val=""/>
      <w:lvlJc w:val="left"/>
      <w:pPr>
        <w:ind w:left="720" w:hanging="720"/>
      </w:pPr>
      <w:rPr>
        <w:rFonts w:ascii="Symbol" w:hAnsi="Symbol"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51251121">
    <w:abstractNumId w:val="17"/>
  </w:num>
  <w:num w:numId="2" w16cid:durableId="1085570782">
    <w:abstractNumId w:val="12"/>
  </w:num>
  <w:num w:numId="3" w16cid:durableId="1204560119">
    <w:abstractNumId w:val="13"/>
  </w:num>
  <w:num w:numId="4" w16cid:durableId="2005354659">
    <w:abstractNumId w:val="0"/>
  </w:num>
  <w:num w:numId="5" w16cid:durableId="137260220">
    <w:abstractNumId w:val="17"/>
  </w:num>
  <w:num w:numId="6" w16cid:durableId="1813868550">
    <w:abstractNumId w:val="7"/>
  </w:num>
  <w:num w:numId="7" w16cid:durableId="1751661831">
    <w:abstractNumId w:val="16"/>
  </w:num>
  <w:num w:numId="8" w16cid:durableId="852303559">
    <w:abstractNumId w:val="4"/>
  </w:num>
  <w:num w:numId="9" w16cid:durableId="1077216239">
    <w:abstractNumId w:val="2"/>
  </w:num>
  <w:num w:numId="10" w16cid:durableId="1980957692">
    <w:abstractNumId w:val="10"/>
  </w:num>
  <w:num w:numId="11" w16cid:durableId="36051892">
    <w:abstractNumId w:val="1"/>
  </w:num>
  <w:num w:numId="12" w16cid:durableId="1024332281">
    <w:abstractNumId w:val="5"/>
  </w:num>
  <w:num w:numId="13" w16cid:durableId="1627084378">
    <w:abstractNumId w:val="14"/>
  </w:num>
  <w:num w:numId="14" w16cid:durableId="67844984">
    <w:abstractNumId w:val="9"/>
  </w:num>
  <w:num w:numId="15" w16cid:durableId="1888372346">
    <w:abstractNumId w:val="6"/>
  </w:num>
  <w:num w:numId="16" w16cid:durableId="1553880690">
    <w:abstractNumId w:val="3"/>
  </w:num>
  <w:num w:numId="17" w16cid:durableId="1593976038">
    <w:abstractNumId w:val="18"/>
  </w:num>
  <w:num w:numId="18" w16cid:durableId="1908298305">
    <w:abstractNumId w:val="15"/>
  </w:num>
  <w:num w:numId="19" w16cid:durableId="561597694">
    <w:abstractNumId w:val="8"/>
  </w:num>
  <w:num w:numId="20" w16cid:durableId="36846113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424"/>
    <w:rsid w:val="00000790"/>
    <w:rsid w:val="00000C66"/>
    <w:rsid w:val="00000D96"/>
    <w:rsid w:val="0000110B"/>
    <w:rsid w:val="00001758"/>
    <w:rsid w:val="00001D95"/>
    <w:rsid w:val="000021A6"/>
    <w:rsid w:val="00002478"/>
    <w:rsid w:val="000031F6"/>
    <w:rsid w:val="00003499"/>
    <w:rsid w:val="000039B7"/>
    <w:rsid w:val="00003CC3"/>
    <w:rsid w:val="000056B9"/>
    <w:rsid w:val="0000639A"/>
    <w:rsid w:val="00010314"/>
    <w:rsid w:val="0001061C"/>
    <w:rsid w:val="000109B1"/>
    <w:rsid w:val="00011F7F"/>
    <w:rsid w:val="0001210E"/>
    <w:rsid w:val="00013247"/>
    <w:rsid w:val="00013301"/>
    <w:rsid w:val="00013DF8"/>
    <w:rsid w:val="00014122"/>
    <w:rsid w:val="0001448C"/>
    <w:rsid w:val="000150FD"/>
    <w:rsid w:val="0001587A"/>
    <w:rsid w:val="00015886"/>
    <w:rsid w:val="00015C72"/>
    <w:rsid w:val="000162EF"/>
    <w:rsid w:val="0001646A"/>
    <w:rsid w:val="00016992"/>
    <w:rsid w:val="000174EA"/>
    <w:rsid w:val="000207C9"/>
    <w:rsid w:val="00021324"/>
    <w:rsid w:val="00021A0C"/>
    <w:rsid w:val="0002225F"/>
    <w:rsid w:val="00023763"/>
    <w:rsid w:val="00023817"/>
    <w:rsid w:val="000240B5"/>
    <w:rsid w:val="0002439D"/>
    <w:rsid w:val="000245F0"/>
    <w:rsid w:val="00024EB5"/>
    <w:rsid w:val="00025275"/>
    <w:rsid w:val="00025302"/>
    <w:rsid w:val="000255A5"/>
    <w:rsid w:val="000256BB"/>
    <w:rsid w:val="000256D9"/>
    <w:rsid w:val="0002650B"/>
    <w:rsid w:val="00026898"/>
    <w:rsid w:val="00026967"/>
    <w:rsid w:val="00026E14"/>
    <w:rsid w:val="000274B8"/>
    <w:rsid w:val="000275AE"/>
    <w:rsid w:val="00027674"/>
    <w:rsid w:val="0002768D"/>
    <w:rsid w:val="0002790F"/>
    <w:rsid w:val="00030C0F"/>
    <w:rsid w:val="0003142F"/>
    <w:rsid w:val="000316B2"/>
    <w:rsid w:val="00032EB9"/>
    <w:rsid w:val="0003373D"/>
    <w:rsid w:val="00033863"/>
    <w:rsid w:val="00034C74"/>
    <w:rsid w:val="00034E8D"/>
    <w:rsid w:val="00035676"/>
    <w:rsid w:val="00035DC0"/>
    <w:rsid w:val="000363F3"/>
    <w:rsid w:val="00036440"/>
    <w:rsid w:val="00036829"/>
    <w:rsid w:val="0003696C"/>
    <w:rsid w:val="0003779C"/>
    <w:rsid w:val="00037914"/>
    <w:rsid w:val="0004052A"/>
    <w:rsid w:val="00040895"/>
    <w:rsid w:val="000410A0"/>
    <w:rsid w:val="000419C6"/>
    <w:rsid w:val="00041BCC"/>
    <w:rsid w:val="0004202C"/>
    <w:rsid w:val="00042875"/>
    <w:rsid w:val="000435EE"/>
    <w:rsid w:val="00043C37"/>
    <w:rsid w:val="00045017"/>
    <w:rsid w:val="00045981"/>
    <w:rsid w:val="00045A2B"/>
    <w:rsid w:val="00045A72"/>
    <w:rsid w:val="0004698F"/>
    <w:rsid w:val="00046CF1"/>
    <w:rsid w:val="00046D64"/>
    <w:rsid w:val="00047A4D"/>
    <w:rsid w:val="00047F08"/>
    <w:rsid w:val="000500F0"/>
    <w:rsid w:val="000508C2"/>
    <w:rsid w:val="00050CC8"/>
    <w:rsid w:val="00051378"/>
    <w:rsid w:val="0005166A"/>
    <w:rsid w:val="000523AB"/>
    <w:rsid w:val="00052E86"/>
    <w:rsid w:val="000534A1"/>
    <w:rsid w:val="000539D0"/>
    <w:rsid w:val="000539E0"/>
    <w:rsid w:val="00053DE8"/>
    <w:rsid w:val="00053E1F"/>
    <w:rsid w:val="00054621"/>
    <w:rsid w:val="000546D7"/>
    <w:rsid w:val="00054A8D"/>
    <w:rsid w:val="00054D6B"/>
    <w:rsid w:val="00055304"/>
    <w:rsid w:val="00056A48"/>
    <w:rsid w:val="00056B8D"/>
    <w:rsid w:val="00056ECF"/>
    <w:rsid w:val="00057905"/>
    <w:rsid w:val="000604DF"/>
    <w:rsid w:val="00060853"/>
    <w:rsid w:val="00061441"/>
    <w:rsid w:val="00061BE7"/>
    <w:rsid w:val="00062105"/>
    <w:rsid w:val="0006227B"/>
    <w:rsid w:val="0006283E"/>
    <w:rsid w:val="0006350B"/>
    <w:rsid w:val="00063927"/>
    <w:rsid w:val="000653B5"/>
    <w:rsid w:val="0006580C"/>
    <w:rsid w:val="00066225"/>
    <w:rsid w:val="000662AC"/>
    <w:rsid w:val="00066360"/>
    <w:rsid w:val="000664FE"/>
    <w:rsid w:val="000667FF"/>
    <w:rsid w:val="00066AF8"/>
    <w:rsid w:val="000678FF"/>
    <w:rsid w:val="0007036F"/>
    <w:rsid w:val="0007037E"/>
    <w:rsid w:val="00070849"/>
    <w:rsid w:val="000708C4"/>
    <w:rsid w:val="00071248"/>
    <w:rsid w:val="00071EB3"/>
    <w:rsid w:val="00071FE2"/>
    <w:rsid w:val="000720B9"/>
    <w:rsid w:val="00072A91"/>
    <w:rsid w:val="00072E80"/>
    <w:rsid w:val="000731E7"/>
    <w:rsid w:val="000737F7"/>
    <w:rsid w:val="00073C80"/>
    <w:rsid w:val="00075753"/>
    <w:rsid w:val="00075791"/>
    <w:rsid w:val="00075863"/>
    <w:rsid w:val="00075DE2"/>
    <w:rsid w:val="0007672F"/>
    <w:rsid w:val="00076B54"/>
    <w:rsid w:val="00076C6F"/>
    <w:rsid w:val="000774F0"/>
    <w:rsid w:val="00077616"/>
    <w:rsid w:val="00077C62"/>
    <w:rsid w:val="00080909"/>
    <w:rsid w:val="00080F32"/>
    <w:rsid w:val="000812CA"/>
    <w:rsid w:val="00081700"/>
    <w:rsid w:val="00081B07"/>
    <w:rsid w:val="00081E63"/>
    <w:rsid w:val="0008258D"/>
    <w:rsid w:val="00083016"/>
    <w:rsid w:val="00083A0C"/>
    <w:rsid w:val="00083E99"/>
    <w:rsid w:val="00084F06"/>
    <w:rsid w:val="00084FA8"/>
    <w:rsid w:val="000856C5"/>
    <w:rsid w:val="00085C31"/>
    <w:rsid w:val="0008722B"/>
    <w:rsid w:val="00087756"/>
    <w:rsid w:val="00087F63"/>
    <w:rsid w:val="00090129"/>
    <w:rsid w:val="000902D9"/>
    <w:rsid w:val="000905D0"/>
    <w:rsid w:val="00090C7E"/>
    <w:rsid w:val="000911AC"/>
    <w:rsid w:val="00091316"/>
    <w:rsid w:val="00091975"/>
    <w:rsid w:val="00091D15"/>
    <w:rsid w:val="0009215A"/>
    <w:rsid w:val="00092600"/>
    <w:rsid w:val="0009262B"/>
    <w:rsid w:val="00092B38"/>
    <w:rsid w:val="00093310"/>
    <w:rsid w:val="00093317"/>
    <w:rsid w:val="0009345D"/>
    <w:rsid w:val="00093B4F"/>
    <w:rsid w:val="00093E39"/>
    <w:rsid w:val="00093FAB"/>
    <w:rsid w:val="0009445C"/>
    <w:rsid w:val="00094D2F"/>
    <w:rsid w:val="00094E0E"/>
    <w:rsid w:val="00094ED1"/>
    <w:rsid w:val="00095200"/>
    <w:rsid w:val="000955AC"/>
    <w:rsid w:val="00095FE5"/>
    <w:rsid w:val="00096284"/>
    <w:rsid w:val="00096DE1"/>
    <w:rsid w:val="0009760D"/>
    <w:rsid w:val="00097ECA"/>
    <w:rsid w:val="000A0010"/>
    <w:rsid w:val="000A0254"/>
    <w:rsid w:val="000A0880"/>
    <w:rsid w:val="000A0DE9"/>
    <w:rsid w:val="000A141C"/>
    <w:rsid w:val="000A1BC0"/>
    <w:rsid w:val="000A2C9A"/>
    <w:rsid w:val="000A2F9E"/>
    <w:rsid w:val="000A3E47"/>
    <w:rsid w:val="000A44B5"/>
    <w:rsid w:val="000A4644"/>
    <w:rsid w:val="000A4A48"/>
    <w:rsid w:val="000A4F55"/>
    <w:rsid w:val="000A522B"/>
    <w:rsid w:val="000A5362"/>
    <w:rsid w:val="000A6039"/>
    <w:rsid w:val="000A6075"/>
    <w:rsid w:val="000A7453"/>
    <w:rsid w:val="000A75EA"/>
    <w:rsid w:val="000A7D08"/>
    <w:rsid w:val="000B00CC"/>
    <w:rsid w:val="000B0121"/>
    <w:rsid w:val="000B053C"/>
    <w:rsid w:val="000B0670"/>
    <w:rsid w:val="000B0E75"/>
    <w:rsid w:val="000B1410"/>
    <w:rsid w:val="000B2188"/>
    <w:rsid w:val="000B2A38"/>
    <w:rsid w:val="000B2BB1"/>
    <w:rsid w:val="000B2BCA"/>
    <w:rsid w:val="000B2DCB"/>
    <w:rsid w:val="000B3FD5"/>
    <w:rsid w:val="000B571C"/>
    <w:rsid w:val="000B5B6D"/>
    <w:rsid w:val="000B5CE0"/>
    <w:rsid w:val="000B6676"/>
    <w:rsid w:val="000B69FA"/>
    <w:rsid w:val="000B6CAC"/>
    <w:rsid w:val="000B6F8C"/>
    <w:rsid w:val="000B7612"/>
    <w:rsid w:val="000B78AE"/>
    <w:rsid w:val="000B7980"/>
    <w:rsid w:val="000B7D57"/>
    <w:rsid w:val="000C0D24"/>
    <w:rsid w:val="000C0FDC"/>
    <w:rsid w:val="000C0FE2"/>
    <w:rsid w:val="000C1432"/>
    <w:rsid w:val="000C34D1"/>
    <w:rsid w:val="000C3B32"/>
    <w:rsid w:val="000C3DF9"/>
    <w:rsid w:val="000C4902"/>
    <w:rsid w:val="000C4CF2"/>
    <w:rsid w:val="000C4D59"/>
    <w:rsid w:val="000C4DA7"/>
    <w:rsid w:val="000C53AB"/>
    <w:rsid w:val="000C6713"/>
    <w:rsid w:val="000C73E0"/>
    <w:rsid w:val="000C78BF"/>
    <w:rsid w:val="000C7ACB"/>
    <w:rsid w:val="000C7F4E"/>
    <w:rsid w:val="000D07FC"/>
    <w:rsid w:val="000D0E22"/>
    <w:rsid w:val="000D1BFC"/>
    <w:rsid w:val="000D1D5D"/>
    <w:rsid w:val="000D1F7F"/>
    <w:rsid w:val="000D2434"/>
    <w:rsid w:val="000D27AC"/>
    <w:rsid w:val="000D281A"/>
    <w:rsid w:val="000D2848"/>
    <w:rsid w:val="000D2890"/>
    <w:rsid w:val="000D29A1"/>
    <w:rsid w:val="000D2B14"/>
    <w:rsid w:val="000D326A"/>
    <w:rsid w:val="000D3757"/>
    <w:rsid w:val="000D3D23"/>
    <w:rsid w:val="000D416A"/>
    <w:rsid w:val="000D42DD"/>
    <w:rsid w:val="000D47E0"/>
    <w:rsid w:val="000D4B8D"/>
    <w:rsid w:val="000D4F5C"/>
    <w:rsid w:val="000D51FB"/>
    <w:rsid w:val="000D67AF"/>
    <w:rsid w:val="000D7093"/>
    <w:rsid w:val="000D7AAE"/>
    <w:rsid w:val="000D7C59"/>
    <w:rsid w:val="000D7CD3"/>
    <w:rsid w:val="000E062E"/>
    <w:rsid w:val="000E0640"/>
    <w:rsid w:val="000E135D"/>
    <w:rsid w:val="000E1934"/>
    <w:rsid w:val="000E21A2"/>
    <w:rsid w:val="000E3317"/>
    <w:rsid w:val="000E4A15"/>
    <w:rsid w:val="000E5060"/>
    <w:rsid w:val="000E5E7B"/>
    <w:rsid w:val="000E5EBC"/>
    <w:rsid w:val="000E6376"/>
    <w:rsid w:val="000E693B"/>
    <w:rsid w:val="000E7792"/>
    <w:rsid w:val="000E7FCB"/>
    <w:rsid w:val="000F0038"/>
    <w:rsid w:val="000F00BA"/>
    <w:rsid w:val="000F00CF"/>
    <w:rsid w:val="000F0EED"/>
    <w:rsid w:val="000F15FD"/>
    <w:rsid w:val="000F2032"/>
    <w:rsid w:val="000F258A"/>
    <w:rsid w:val="000F2671"/>
    <w:rsid w:val="000F316A"/>
    <w:rsid w:val="000F3C74"/>
    <w:rsid w:val="000F4BB8"/>
    <w:rsid w:val="000F4FA9"/>
    <w:rsid w:val="000F53FB"/>
    <w:rsid w:val="000F54D4"/>
    <w:rsid w:val="000F629A"/>
    <w:rsid w:val="000F7127"/>
    <w:rsid w:val="000F7565"/>
    <w:rsid w:val="000F796E"/>
    <w:rsid w:val="000F7B54"/>
    <w:rsid w:val="0010004D"/>
    <w:rsid w:val="00100063"/>
    <w:rsid w:val="001000B3"/>
    <w:rsid w:val="00100F8A"/>
    <w:rsid w:val="001017E1"/>
    <w:rsid w:val="00101CBF"/>
    <w:rsid w:val="00101D01"/>
    <w:rsid w:val="00101EA6"/>
    <w:rsid w:val="00102F3C"/>
    <w:rsid w:val="001034FD"/>
    <w:rsid w:val="0010407E"/>
    <w:rsid w:val="0010428F"/>
    <w:rsid w:val="0010452E"/>
    <w:rsid w:val="00104AEE"/>
    <w:rsid w:val="00104D41"/>
    <w:rsid w:val="00105A93"/>
    <w:rsid w:val="00105AE2"/>
    <w:rsid w:val="001060C6"/>
    <w:rsid w:val="00106B80"/>
    <w:rsid w:val="00106EB7"/>
    <w:rsid w:val="0010736A"/>
    <w:rsid w:val="00107980"/>
    <w:rsid w:val="00110169"/>
    <w:rsid w:val="0011032E"/>
    <w:rsid w:val="0011074A"/>
    <w:rsid w:val="00111849"/>
    <w:rsid w:val="00111F5C"/>
    <w:rsid w:val="00112666"/>
    <w:rsid w:val="0011348B"/>
    <w:rsid w:val="00114B5A"/>
    <w:rsid w:val="00114EAA"/>
    <w:rsid w:val="00115343"/>
    <w:rsid w:val="00115982"/>
    <w:rsid w:val="00116095"/>
    <w:rsid w:val="00116C53"/>
    <w:rsid w:val="00117654"/>
    <w:rsid w:val="00117910"/>
    <w:rsid w:val="001212AF"/>
    <w:rsid w:val="0012137A"/>
    <w:rsid w:val="00121645"/>
    <w:rsid w:val="00121799"/>
    <w:rsid w:val="00121900"/>
    <w:rsid w:val="001219A0"/>
    <w:rsid w:val="001222FC"/>
    <w:rsid w:val="0012235C"/>
    <w:rsid w:val="0012349B"/>
    <w:rsid w:val="001235EA"/>
    <w:rsid w:val="00123902"/>
    <w:rsid w:val="00124401"/>
    <w:rsid w:val="00124A51"/>
    <w:rsid w:val="00125246"/>
    <w:rsid w:val="001252FA"/>
    <w:rsid w:val="001254CA"/>
    <w:rsid w:val="001262D0"/>
    <w:rsid w:val="00126621"/>
    <w:rsid w:val="00126B1D"/>
    <w:rsid w:val="00127A5D"/>
    <w:rsid w:val="00127C20"/>
    <w:rsid w:val="001301E9"/>
    <w:rsid w:val="0013085D"/>
    <w:rsid w:val="0013090C"/>
    <w:rsid w:val="00130A6C"/>
    <w:rsid w:val="00130A9F"/>
    <w:rsid w:val="00130D18"/>
    <w:rsid w:val="00130D9F"/>
    <w:rsid w:val="00131101"/>
    <w:rsid w:val="00131236"/>
    <w:rsid w:val="0013157E"/>
    <w:rsid w:val="00131953"/>
    <w:rsid w:val="00131967"/>
    <w:rsid w:val="00131D82"/>
    <w:rsid w:val="0013221A"/>
    <w:rsid w:val="001322C6"/>
    <w:rsid w:val="0013242C"/>
    <w:rsid w:val="00132B22"/>
    <w:rsid w:val="00132E81"/>
    <w:rsid w:val="00133965"/>
    <w:rsid w:val="00133D36"/>
    <w:rsid w:val="00134557"/>
    <w:rsid w:val="001346CA"/>
    <w:rsid w:val="00135118"/>
    <w:rsid w:val="00135424"/>
    <w:rsid w:val="0013553E"/>
    <w:rsid w:val="00135C14"/>
    <w:rsid w:val="00135DA3"/>
    <w:rsid w:val="0013706F"/>
    <w:rsid w:val="00137179"/>
    <w:rsid w:val="00137645"/>
    <w:rsid w:val="00137663"/>
    <w:rsid w:val="0013768A"/>
    <w:rsid w:val="00137A8E"/>
    <w:rsid w:val="0014015A"/>
    <w:rsid w:val="00140316"/>
    <w:rsid w:val="00140514"/>
    <w:rsid w:val="00140633"/>
    <w:rsid w:val="00140E99"/>
    <w:rsid w:val="00140F8A"/>
    <w:rsid w:val="00142A43"/>
    <w:rsid w:val="00142A92"/>
    <w:rsid w:val="00142ADF"/>
    <w:rsid w:val="001430C2"/>
    <w:rsid w:val="0014347A"/>
    <w:rsid w:val="00143C84"/>
    <w:rsid w:val="00143F67"/>
    <w:rsid w:val="00145192"/>
    <w:rsid w:val="00145234"/>
    <w:rsid w:val="00145540"/>
    <w:rsid w:val="001456B0"/>
    <w:rsid w:val="0014645C"/>
    <w:rsid w:val="001505B5"/>
    <w:rsid w:val="001508D6"/>
    <w:rsid w:val="00150F6C"/>
    <w:rsid w:val="0015184B"/>
    <w:rsid w:val="00152861"/>
    <w:rsid w:val="00152C37"/>
    <w:rsid w:val="001537A9"/>
    <w:rsid w:val="00153DBB"/>
    <w:rsid w:val="001544AF"/>
    <w:rsid w:val="001547AB"/>
    <w:rsid w:val="00155492"/>
    <w:rsid w:val="00155A05"/>
    <w:rsid w:val="001564C8"/>
    <w:rsid w:val="001569D8"/>
    <w:rsid w:val="00156F8F"/>
    <w:rsid w:val="00157130"/>
    <w:rsid w:val="00157355"/>
    <w:rsid w:val="001576B1"/>
    <w:rsid w:val="00157C97"/>
    <w:rsid w:val="00157E99"/>
    <w:rsid w:val="00157F00"/>
    <w:rsid w:val="0016047B"/>
    <w:rsid w:val="00160552"/>
    <w:rsid w:val="00160A4C"/>
    <w:rsid w:val="00161805"/>
    <w:rsid w:val="00161FA0"/>
    <w:rsid w:val="00162913"/>
    <w:rsid w:val="00163050"/>
    <w:rsid w:val="001638F6"/>
    <w:rsid w:val="00163CA1"/>
    <w:rsid w:val="00163EFF"/>
    <w:rsid w:val="00163F66"/>
    <w:rsid w:val="0016478E"/>
    <w:rsid w:val="0016521B"/>
    <w:rsid w:val="00165EC4"/>
    <w:rsid w:val="00165F78"/>
    <w:rsid w:val="001661FB"/>
    <w:rsid w:val="001667DB"/>
    <w:rsid w:val="001671A0"/>
    <w:rsid w:val="00167600"/>
    <w:rsid w:val="0016767F"/>
    <w:rsid w:val="001703E6"/>
    <w:rsid w:val="0017082C"/>
    <w:rsid w:val="001708EE"/>
    <w:rsid w:val="00170F0A"/>
    <w:rsid w:val="0017264E"/>
    <w:rsid w:val="00172AEB"/>
    <w:rsid w:val="00172CAD"/>
    <w:rsid w:val="00172EAC"/>
    <w:rsid w:val="00173565"/>
    <w:rsid w:val="00173824"/>
    <w:rsid w:val="00173B07"/>
    <w:rsid w:val="00173BF7"/>
    <w:rsid w:val="0017411D"/>
    <w:rsid w:val="0017429D"/>
    <w:rsid w:val="001751FA"/>
    <w:rsid w:val="00176ABF"/>
    <w:rsid w:val="00180E5C"/>
    <w:rsid w:val="001813CE"/>
    <w:rsid w:val="001818F8"/>
    <w:rsid w:val="00181C10"/>
    <w:rsid w:val="00181D9C"/>
    <w:rsid w:val="001822FF"/>
    <w:rsid w:val="00182BE7"/>
    <w:rsid w:val="00183390"/>
    <w:rsid w:val="00183535"/>
    <w:rsid w:val="001836D0"/>
    <w:rsid w:val="001837FF"/>
    <w:rsid w:val="0018385D"/>
    <w:rsid w:val="0018454B"/>
    <w:rsid w:val="00184B0E"/>
    <w:rsid w:val="00186682"/>
    <w:rsid w:val="00186ADB"/>
    <w:rsid w:val="0018752F"/>
    <w:rsid w:val="00187AD4"/>
    <w:rsid w:val="001905D0"/>
    <w:rsid w:val="00190E2D"/>
    <w:rsid w:val="00191011"/>
    <w:rsid w:val="00191885"/>
    <w:rsid w:val="001919FE"/>
    <w:rsid w:val="00191C31"/>
    <w:rsid w:val="00191CE8"/>
    <w:rsid w:val="00191F04"/>
    <w:rsid w:val="0019246D"/>
    <w:rsid w:val="0019252F"/>
    <w:rsid w:val="00192E01"/>
    <w:rsid w:val="00193838"/>
    <w:rsid w:val="00193EBA"/>
    <w:rsid w:val="00194172"/>
    <w:rsid w:val="00194AD8"/>
    <w:rsid w:val="00195222"/>
    <w:rsid w:val="00195452"/>
    <w:rsid w:val="001961FA"/>
    <w:rsid w:val="001970FC"/>
    <w:rsid w:val="001975D8"/>
    <w:rsid w:val="001A0164"/>
    <w:rsid w:val="001A019D"/>
    <w:rsid w:val="001A061A"/>
    <w:rsid w:val="001A11F5"/>
    <w:rsid w:val="001A178E"/>
    <w:rsid w:val="001A18BA"/>
    <w:rsid w:val="001A1C19"/>
    <w:rsid w:val="001A1C73"/>
    <w:rsid w:val="001A2331"/>
    <w:rsid w:val="001A2370"/>
    <w:rsid w:val="001A2871"/>
    <w:rsid w:val="001A297A"/>
    <w:rsid w:val="001A42CB"/>
    <w:rsid w:val="001A43FA"/>
    <w:rsid w:val="001A47C5"/>
    <w:rsid w:val="001A4902"/>
    <w:rsid w:val="001A4D13"/>
    <w:rsid w:val="001A54CB"/>
    <w:rsid w:val="001A58F9"/>
    <w:rsid w:val="001A59FB"/>
    <w:rsid w:val="001A5BCB"/>
    <w:rsid w:val="001A5E9E"/>
    <w:rsid w:val="001A6000"/>
    <w:rsid w:val="001A6354"/>
    <w:rsid w:val="001A6366"/>
    <w:rsid w:val="001A73FF"/>
    <w:rsid w:val="001A7AE8"/>
    <w:rsid w:val="001B0B64"/>
    <w:rsid w:val="001B0E07"/>
    <w:rsid w:val="001B204E"/>
    <w:rsid w:val="001B2372"/>
    <w:rsid w:val="001B2BD9"/>
    <w:rsid w:val="001B2C1B"/>
    <w:rsid w:val="001B2E34"/>
    <w:rsid w:val="001B2EB1"/>
    <w:rsid w:val="001B2F64"/>
    <w:rsid w:val="001B3443"/>
    <w:rsid w:val="001B4D20"/>
    <w:rsid w:val="001B4EEE"/>
    <w:rsid w:val="001B75C1"/>
    <w:rsid w:val="001B78BD"/>
    <w:rsid w:val="001B7A65"/>
    <w:rsid w:val="001B7F84"/>
    <w:rsid w:val="001C00D1"/>
    <w:rsid w:val="001C06EC"/>
    <w:rsid w:val="001C2671"/>
    <w:rsid w:val="001C2A9B"/>
    <w:rsid w:val="001C2B13"/>
    <w:rsid w:val="001C329E"/>
    <w:rsid w:val="001C3577"/>
    <w:rsid w:val="001C36AF"/>
    <w:rsid w:val="001C3DD6"/>
    <w:rsid w:val="001C3E51"/>
    <w:rsid w:val="001C40AA"/>
    <w:rsid w:val="001C4299"/>
    <w:rsid w:val="001C4874"/>
    <w:rsid w:val="001C5334"/>
    <w:rsid w:val="001C5577"/>
    <w:rsid w:val="001C5F94"/>
    <w:rsid w:val="001C60F0"/>
    <w:rsid w:val="001C6510"/>
    <w:rsid w:val="001C66CA"/>
    <w:rsid w:val="001C6E66"/>
    <w:rsid w:val="001C7789"/>
    <w:rsid w:val="001D0596"/>
    <w:rsid w:val="001D05CB"/>
    <w:rsid w:val="001D07D8"/>
    <w:rsid w:val="001D081F"/>
    <w:rsid w:val="001D10A8"/>
    <w:rsid w:val="001D1100"/>
    <w:rsid w:val="001D1391"/>
    <w:rsid w:val="001D1396"/>
    <w:rsid w:val="001D21DF"/>
    <w:rsid w:val="001D25D7"/>
    <w:rsid w:val="001D27C7"/>
    <w:rsid w:val="001D31CD"/>
    <w:rsid w:val="001D3E0A"/>
    <w:rsid w:val="001D3F9D"/>
    <w:rsid w:val="001D4528"/>
    <w:rsid w:val="001D50A8"/>
    <w:rsid w:val="001D50B2"/>
    <w:rsid w:val="001D545E"/>
    <w:rsid w:val="001D5C46"/>
    <w:rsid w:val="001D62C3"/>
    <w:rsid w:val="001D661C"/>
    <w:rsid w:val="001D66E5"/>
    <w:rsid w:val="001D6AD6"/>
    <w:rsid w:val="001D71F4"/>
    <w:rsid w:val="001D752C"/>
    <w:rsid w:val="001D7645"/>
    <w:rsid w:val="001D79AE"/>
    <w:rsid w:val="001E1AAB"/>
    <w:rsid w:val="001E1DC6"/>
    <w:rsid w:val="001E1E86"/>
    <w:rsid w:val="001E238E"/>
    <w:rsid w:val="001E2483"/>
    <w:rsid w:val="001E2AE9"/>
    <w:rsid w:val="001E2B1E"/>
    <w:rsid w:val="001E2CFF"/>
    <w:rsid w:val="001E2F24"/>
    <w:rsid w:val="001E30CB"/>
    <w:rsid w:val="001E30D4"/>
    <w:rsid w:val="001E34DF"/>
    <w:rsid w:val="001E3A85"/>
    <w:rsid w:val="001E4E47"/>
    <w:rsid w:val="001E52EB"/>
    <w:rsid w:val="001E5937"/>
    <w:rsid w:val="001E61D2"/>
    <w:rsid w:val="001E6673"/>
    <w:rsid w:val="001E726C"/>
    <w:rsid w:val="001E740C"/>
    <w:rsid w:val="001E74DC"/>
    <w:rsid w:val="001E756D"/>
    <w:rsid w:val="001E78CE"/>
    <w:rsid w:val="001F03E0"/>
    <w:rsid w:val="001F04F1"/>
    <w:rsid w:val="001F0568"/>
    <w:rsid w:val="001F0901"/>
    <w:rsid w:val="001F0AFA"/>
    <w:rsid w:val="001F0EBC"/>
    <w:rsid w:val="001F1235"/>
    <w:rsid w:val="001F15CC"/>
    <w:rsid w:val="001F164B"/>
    <w:rsid w:val="001F1CB3"/>
    <w:rsid w:val="001F1DEF"/>
    <w:rsid w:val="001F2593"/>
    <w:rsid w:val="001F3429"/>
    <w:rsid w:val="001F35FB"/>
    <w:rsid w:val="001F385D"/>
    <w:rsid w:val="001F38B5"/>
    <w:rsid w:val="001F3923"/>
    <w:rsid w:val="001F3B08"/>
    <w:rsid w:val="001F3E4E"/>
    <w:rsid w:val="001F3ECD"/>
    <w:rsid w:val="001F4081"/>
    <w:rsid w:val="001F4E8B"/>
    <w:rsid w:val="001F6B0E"/>
    <w:rsid w:val="001F6DE4"/>
    <w:rsid w:val="001F70E8"/>
    <w:rsid w:val="001F7361"/>
    <w:rsid w:val="001F74B8"/>
    <w:rsid w:val="001F7AC6"/>
    <w:rsid w:val="001F7BFB"/>
    <w:rsid w:val="0020051D"/>
    <w:rsid w:val="0020119F"/>
    <w:rsid w:val="002011B0"/>
    <w:rsid w:val="002020CD"/>
    <w:rsid w:val="002028A0"/>
    <w:rsid w:val="00203181"/>
    <w:rsid w:val="00203783"/>
    <w:rsid w:val="0020385F"/>
    <w:rsid w:val="00203AD1"/>
    <w:rsid w:val="00203F19"/>
    <w:rsid w:val="00204999"/>
    <w:rsid w:val="002049A0"/>
    <w:rsid w:val="00204B95"/>
    <w:rsid w:val="0020522F"/>
    <w:rsid w:val="00205898"/>
    <w:rsid w:val="00205A3F"/>
    <w:rsid w:val="002068A0"/>
    <w:rsid w:val="00207021"/>
    <w:rsid w:val="0020711A"/>
    <w:rsid w:val="0020732F"/>
    <w:rsid w:val="00207D00"/>
    <w:rsid w:val="00210512"/>
    <w:rsid w:val="002105C1"/>
    <w:rsid w:val="00210F86"/>
    <w:rsid w:val="002115B6"/>
    <w:rsid w:val="00211642"/>
    <w:rsid w:val="002116FD"/>
    <w:rsid w:val="00213AE2"/>
    <w:rsid w:val="00213B68"/>
    <w:rsid w:val="00213EF5"/>
    <w:rsid w:val="00213FE5"/>
    <w:rsid w:val="0021466E"/>
    <w:rsid w:val="00214A65"/>
    <w:rsid w:val="00214DB8"/>
    <w:rsid w:val="00215AB8"/>
    <w:rsid w:val="00216BF5"/>
    <w:rsid w:val="00216D37"/>
    <w:rsid w:val="002172B5"/>
    <w:rsid w:val="00217F7A"/>
    <w:rsid w:val="002205D5"/>
    <w:rsid w:val="002213D7"/>
    <w:rsid w:val="0022162E"/>
    <w:rsid w:val="0022173A"/>
    <w:rsid w:val="00221902"/>
    <w:rsid w:val="00221ABC"/>
    <w:rsid w:val="00222E13"/>
    <w:rsid w:val="00223B49"/>
    <w:rsid w:val="00223D3F"/>
    <w:rsid w:val="00223D5A"/>
    <w:rsid w:val="0022400C"/>
    <w:rsid w:val="002246E1"/>
    <w:rsid w:val="00224A43"/>
    <w:rsid w:val="00224DD4"/>
    <w:rsid w:val="00225267"/>
    <w:rsid w:val="002260DF"/>
    <w:rsid w:val="002265DB"/>
    <w:rsid w:val="002269DF"/>
    <w:rsid w:val="00227014"/>
    <w:rsid w:val="002278A0"/>
    <w:rsid w:val="00227CAD"/>
    <w:rsid w:val="00227DD1"/>
    <w:rsid w:val="00227DF4"/>
    <w:rsid w:val="002309CC"/>
    <w:rsid w:val="0023194A"/>
    <w:rsid w:val="00231BA9"/>
    <w:rsid w:val="0023209F"/>
    <w:rsid w:val="00232985"/>
    <w:rsid w:val="00233315"/>
    <w:rsid w:val="00233646"/>
    <w:rsid w:val="00233A8E"/>
    <w:rsid w:val="00233C01"/>
    <w:rsid w:val="0023413C"/>
    <w:rsid w:val="002346F0"/>
    <w:rsid w:val="0023510B"/>
    <w:rsid w:val="0023572B"/>
    <w:rsid w:val="00235888"/>
    <w:rsid w:val="0023629D"/>
    <w:rsid w:val="00237255"/>
    <w:rsid w:val="00237376"/>
    <w:rsid w:val="00237D6A"/>
    <w:rsid w:val="0024002C"/>
    <w:rsid w:val="002409FA"/>
    <w:rsid w:val="0024145F"/>
    <w:rsid w:val="00241601"/>
    <w:rsid w:val="0024163D"/>
    <w:rsid w:val="002419E4"/>
    <w:rsid w:val="002424AF"/>
    <w:rsid w:val="00242A45"/>
    <w:rsid w:val="00242B4A"/>
    <w:rsid w:val="002439DC"/>
    <w:rsid w:val="00243FDC"/>
    <w:rsid w:val="002441D2"/>
    <w:rsid w:val="00244986"/>
    <w:rsid w:val="00244DC8"/>
    <w:rsid w:val="002458BA"/>
    <w:rsid w:val="002458EF"/>
    <w:rsid w:val="00245CE9"/>
    <w:rsid w:val="0024636C"/>
    <w:rsid w:val="00246625"/>
    <w:rsid w:val="00246BF1"/>
    <w:rsid w:val="00247925"/>
    <w:rsid w:val="00250B2E"/>
    <w:rsid w:val="00250B6A"/>
    <w:rsid w:val="00251006"/>
    <w:rsid w:val="002510F1"/>
    <w:rsid w:val="00251123"/>
    <w:rsid w:val="00251424"/>
    <w:rsid w:val="002514E5"/>
    <w:rsid w:val="002524D5"/>
    <w:rsid w:val="00253575"/>
    <w:rsid w:val="0025373C"/>
    <w:rsid w:val="00253B1D"/>
    <w:rsid w:val="00253BDD"/>
    <w:rsid w:val="00253D94"/>
    <w:rsid w:val="00254757"/>
    <w:rsid w:val="00254DCF"/>
    <w:rsid w:val="0025534B"/>
    <w:rsid w:val="002558AE"/>
    <w:rsid w:val="00255BB7"/>
    <w:rsid w:val="0025603E"/>
    <w:rsid w:val="002569E9"/>
    <w:rsid w:val="00256D65"/>
    <w:rsid w:val="00257541"/>
    <w:rsid w:val="002577A6"/>
    <w:rsid w:val="00257A39"/>
    <w:rsid w:val="00257AC4"/>
    <w:rsid w:val="00257BBE"/>
    <w:rsid w:val="00260027"/>
    <w:rsid w:val="002601CA"/>
    <w:rsid w:val="0026050E"/>
    <w:rsid w:val="00261EEF"/>
    <w:rsid w:val="0026277C"/>
    <w:rsid w:val="0026295E"/>
    <w:rsid w:val="00262A1A"/>
    <w:rsid w:val="00262A87"/>
    <w:rsid w:val="00263953"/>
    <w:rsid w:val="00263D6E"/>
    <w:rsid w:val="0026422C"/>
    <w:rsid w:val="002648B8"/>
    <w:rsid w:val="00264D26"/>
    <w:rsid w:val="00264DF4"/>
    <w:rsid w:val="00265D0D"/>
    <w:rsid w:val="00265FA3"/>
    <w:rsid w:val="00266A4C"/>
    <w:rsid w:val="00267642"/>
    <w:rsid w:val="0026797D"/>
    <w:rsid w:val="00267AEA"/>
    <w:rsid w:val="00267AFA"/>
    <w:rsid w:val="002700E6"/>
    <w:rsid w:val="00270154"/>
    <w:rsid w:val="002701AA"/>
    <w:rsid w:val="00270641"/>
    <w:rsid w:val="00270DA5"/>
    <w:rsid w:val="00271300"/>
    <w:rsid w:val="00271D4C"/>
    <w:rsid w:val="00272223"/>
    <w:rsid w:val="0027252E"/>
    <w:rsid w:val="0027294B"/>
    <w:rsid w:val="002736EF"/>
    <w:rsid w:val="00273C62"/>
    <w:rsid w:val="00273EB4"/>
    <w:rsid w:val="00274682"/>
    <w:rsid w:val="00274C52"/>
    <w:rsid w:val="00274F57"/>
    <w:rsid w:val="00275158"/>
    <w:rsid w:val="00275C5A"/>
    <w:rsid w:val="00275F51"/>
    <w:rsid w:val="0027603F"/>
    <w:rsid w:val="002763C7"/>
    <w:rsid w:val="002766B5"/>
    <w:rsid w:val="00276DEA"/>
    <w:rsid w:val="00277D28"/>
    <w:rsid w:val="0028072D"/>
    <w:rsid w:val="00280A9F"/>
    <w:rsid w:val="00280AD5"/>
    <w:rsid w:val="00280E8C"/>
    <w:rsid w:val="00281014"/>
    <w:rsid w:val="002810B5"/>
    <w:rsid w:val="0028192A"/>
    <w:rsid w:val="00281D8C"/>
    <w:rsid w:val="0028216C"/>
    <w:rsid w:val="0028222E"/>
    <w:rsid w:val="002836DA"/>
    <w:rsid w:val="00283ACA"/>
    <w:rsid w:val="00284322"/>
    <w:rsid w:val="0028439B"/>
    <w:rsid w:val="00284ABE"/>
    <w:rsid w:val="00284E63"/>
    <w:rsid w:val="00284FFE"/>
    <w:rsid w:val="00285173"/>
    <w:rsid w:val="00285BCE"/>
    <w:rsid w:val="00285D7E"/>
    <w:rsid w:val="00285E8C"/>
    <w:rsid w:val="00286358"/>
    <w:rsid w:val="0028665D"/>
    <w:rsid w:val="00286F15"/>
    <w:rsid w:val="00287959"/>
    <w:rsid w:val="00287DFE"/>
    <w:rsid w:val="00287E7B"/>
    <w:rsid w:val="00290446"/>
    <w:rsid w:val="00290457"/>
    <w:rsid w:val="00290B65"/>
    <w:rsid w:val="002919C8"/>
    <w:rsid w:val="00291B94"/>
    <w:rsid w:val="00291CB2"/>
    <w:rsid w:val="00291E12"/>
    <w:rsid w:val="002928EE"/>
    <w:rsid w:val="002938B1"/>
    <w:rsid w:val="00293CF4"/>
    <w:rsid w:val="00294200"/>
    <w:rsid w:val="00294F91"/>
    <w:rsid w:val="00295B47"/>
    <w:rsid w:val="00296601"/>
    <w:rsid w:val="00296A46"/>
    <w:rsid w:val="002A04BD"/>
    <w:rsid w:val="002A0910"/>
    <w:rsid w:val="002A0BA3"/>
    <w:rsid w:val="002A14AB"/>
    <w:rsid w:val="002A23EB"/>
    <w:rsid w:val="002A28A5"/>
    <w:rsid w:val="002A2ADE"/>
    <w:rsid w:val="002A2F50"/>
    <w:rsid w:val="002A2FE5"/>
    <w:rsid w:val="002A33F6"/>
    <w:rsid w:val="002A416A"/>
    <w:rsid w:val="002A466A"/>
    <w:rsid w:val="002A466B"/>
    <w:rsid w:val="002A494E"/>
    <w:rsid w:val="002A541C"/>
    <w:rsid w:val="002A59D1"/>
    <w:rsid w:val="002A654C"/>
    <w:rsid w:val="002A6732"/>
    <w:rsid w:val="002A68C0"/>
    <w:rsid w:val="002A7005"/>
    <w:rsid w:val="002A716A"/>
    <w:rsid w:val="002A76E0"/>
    <w:rsid w:val="002A7943"/>
    <w:rsid w:val="002A7999"/>
    <w:rsid w:val="002B0442"/>
    <w:rsid w:val="002B05A1"/>
    <w:rsid w:val="002B06A2"/>
    <w:rsid w:val="002B071D"/>
    <w:rsid w:val="002B09A4"/>
    <w:rsid w:val="002B10B8"/>
    <w:rsid w:val="002B1C1F"/>
    <w:rsid w:val="002B1EAB"/>
    <w:rsid w:val="002B1FD6"/>
    <w:rsid w:val="002B267B"/>
    <w:rsid w:val="002B27CD"/>
    <w:rsid w:val="002B2B9D"/>
    <w:rsid w:val="002B3552"/>
    <w:rsid w:val="002B36DB"/>
    <w:rsid w:val="002B432F"/>
    <w:rsid w:val="002B563F"/>
    <w:rsid w:val="002B593F"/>
    <w:rsid w:val="002B62B3"/>
    <w:rsid w:val="002B6545"/>
    <w:rsid w:val="002B6754"/>
    <w:rsid w:val="002B6904"/>
    <w:rsid w:val="002B6CCE"/>
    <w:rsid w:val="002B6FF6"/>
    <w:rsid w:val="002B7489"/>
    <w:rsid w:val="002B7FE0"/>
    <w:rsid w:val="002C0119"/>
    <w:rsid w:val="002C1CBC"/>
    <w:rsid w:val="002C2315"/>
    <w:rsid w:val="002C2510"/>
    <w:rsid w:val="002C2775"/>
    <w:rsid w:val="002C27BD"/>
    <w:rsid w:val="002C27C1"/>
    <w:rsid w:val="002C2F23"/>
    <w:rsid w:val="002C36E3"/>
    <w:rsid w:val="002C4CC1"/>
    <w:rsid w:val="002C5019"/>
    <w:rsid w:val="002C5099"/>
    <w:rsid w:val="002C5852"/>
    <w:rsid w:val="002C5889"/>
    <w:rsid w:val="002C5CBC"/>
    <w:rsid w:val="002C5F18"/>
    <w:rsid w:val="002C71CE"/>
    <w:rsid w:val="002C7274"/>
    <w:rsid w:val="002C762B"/>
    <w:rsid w:val="002C7A5F"/>
    <w:rsid w:val="002C7FEC"/>
    <w:rsid w:val="002D08F8"/>
    <w:rsid w:val="002D096A"/>
    <w:rsid w:val="002D0BA2"/>
    <w:rsid w:val="002D0D40"/>
    <w:rsid w:val="002D0DE6"/>
    <w:rsid w:val="002D1491"/>
    <w:rsid w:val="002D1929"/>
    <w:rsid w:val="002D2DF1"/>
    <w:rsid w:val="002D348F"/>
    <w:rsid w:val="002D35A9"/>
    <w:rsid w:val="002D37ED"/>
    <w:rsid w:val="002D478F"/>
    <w:rsid w:val="002D55BD"/>
    <w:rsid w:val="002D5761"/>
    <w:rsid w:val="002D577C"/>
    <w:rsid w:val="002D5F3A"/>
    <w:rsid w:val="002D7832"/>
    <w:rsid w:val="002E013A"/>
    <w:rsid w:val="002E0858"/>
    <w:rsid w:val="002E1071"/>
    <w:rsid w:val="002E15B9"/>
    <w:rsid w:val="002E19E3"/>
    <w:rsid w:val="002E2158"/>
    <w:rsid w:val="002E28ED"/>
    <w:rsid w:val="002E35F5"/>
    <w:rsid w:val="002E3792"/>
    <w:rsid w:val="002E4B93"/>
    <w:rsid w:val="002E4E1D"/>
    <w:rsid w:val="002E4F02"/>
    <w:rsid w:val="002E5360"/>
    <w:rsid w:val="002E5E6B"/>
    <w:rsid w:val="002E6A83"/>
    <w:rsid w:val="002E6D2B"/>
    <w:rsid w:val="002E7722"/>
    <w:rsid w:val="002E7B02"/>
    <w:rsid w:val="002F07BA"/>
    <w:rsid w:val="002F0DA9"/>
    <w:rsid w:val="002F1014"/>
    <w:rsid w:val="002F10A4"/>
    <w:rsid w:val="002F13AC"/>
    <w:rsid w:val="002F1E3B"/>
    <w:rsid w:val="002F297A"/>
    <w:rsid w:val="002F2AED"/>
    <w:rsid w:val="002F52C3"/>
    <w:rsid w:val="002F643C"/>
    <w:rsid w:val="002F686F"/>
    <w:rsid w:val="002F69D9"/>
    <w:rsid w:val="002F6FF0"/>
    <w:rsid w:val="002F71C0"/>
    <w:rsid w:val="002F74F1"/>
    <w:rsid w:val="0030002C"/>
    <w:rsid w:val="00300207"/>
    <w:rsid w:val="003004C0"/>
    <w:rsid w:val="00300D0B"/>
    <w:rsid w:val="00300D1C"/>
    <w:rsid w:val="00300F45"/>
    <w:rsid w:val="00301017"/>
    <w:rsid w:val="0030155F"/>
    <w:rsid w:val="00301931"/>
    <w:rsid w:val="00301BAC"/>
    <w:rsid w:val="00302DBC"/>
    <w:rsid w:val="00304474"/>
    <w:rsid w:val="003044CB"/>
    <w:rsid w:val="0030488F"/>
    <w:rsid w:val="00305171"/>
    <w:rsid w:val="003055C5"/>
    <w:rsid w:val="0030587B"/>
    <w:rsid w:val="00305B11"/>
    <w:rsid w:val="003062EC"/>
    <w:rsid w:val="00306D98"/>
    <w:rsid w:val="00306DCB"/>
    <w:rsid w:val="003076C7"/>
    <w:rsid w:val="003076DA"/>
    <w:rsid w:val="0030786C"/>
    <w:rsid w:val="00307CD4"/>
    <w:rsid w:val="00310066"/>
    <w:rsid w:val="00310315"/>
    <w:rsid w:val="0031031A"/>
    <w:rsid w:val="00310851"/>
    <w:rsid w:val="00310981"/>
    <w:rsid w:val="00310E57"/>
    <w:rsid w:val="00311D9B"/>
    <w:rsid w:val="003124D9"/>
    <w:rsid w:val="00312594"/>
    <w:rsid w:val="00313202"/>
    <w:rsid w:val="00313613"/>
    <w:rsid w:val="00313920"/>
    <w:rsid w:val="00313EB7"/>
    <w:rsid w:val="003144A9"/>
    <w:rsid w:val="003152FD"/>
    <w:rsid w:val="00315498"/>
    <w:rsid w:val="0031606F"/>
    <w:rsid w:val="00316117"/>
    <w:rsid w:val="00316474"/>
    <w:rsid w:val="0031651A"/>
    <w:rsid w:val="00316DFF"/>
    <w:rsid w:val="00320B21"/>
    <w:rsid w:val="00321750"/>
    <w:rsid w:val="00322107"/>
    <w:rsid w:val="00322355"/>
    <w:rsid w:val="00322846"/>
    <w:rsid w:val="00322BB8"/>
    <w:rsid w:val="003232CC"/>
    <w:rsid w:val="003241DA"/>
    <w:rsid w:val="00324780"/>
    <w:rsid w:val="0032564E"/>
    <w:rsid w:val="003257F3"/>
    <w:rsid w:val="00325D53"/>
    <w:rsid w:val="00326A25"/>
    <w:rsid w:val="00326DA7"/>
    <w:rsid w:val="003270E4"/>
    <w:rsid w:val="0032748B"/>
    <w:rsid w:val="003300E9"/>
    <w:rsid w:val="00330DAA"/>
    <w:rsid w:val="00330F5C"/>
    <w:rsid w:val="00332B29"/>
    <w:rsid w:val="0033312E"/>
    <w:rsid w:val="003332AE"/>
    <w:rsid w:val="00333806"/>
    <w:rsid w:val="00334098"/>
    <w:rsid w:val="00334285"/>
    <w:rsid w:val="00334410"/>
    <w:rsid w:val="0033451D"/>
    <w:rsid w:val="00334717"/>
    <w:rsid w:val="003348A7"/>
    <w:rsid w:val="00334AD5"/>
    <w:rsid w:val="00335525"/>
    <w:rsid w:val="003362C7"/>
    <w:rsid w:val="003366C9"/>
    <w:rsid w:val="00336877"/>
    <w:rsid w:val="003371B0"/>
    <w:rsid w:val="0033755C"/>
    <w:rsid w:val="00337982"/>
    <w:rsid w:val="00337B15"/>
    <w:rsid w:val="00337E24"/>
    <w:rsid w:val="0034003D"/>
    <w:rsid w:val="00340392"/>
    <w:rsid w:val="0034060E"/>
    <w:rsid w:val="00340A74"/>
    <w:rsid w:val="00340CA6"/>
    <w:rsid w:val="00340D8A"/>
    <w:rsid w:val="00340DF1"/>
    <w:rsid w:val="00342159"/>
    <w:rsid w:val="00342262"/>
    <w:rsid w:val="00342A36"/>
    <w:rsid w:val="0034403C"/>
    <w:rsid w:val="00344344"/>
    <w:rsid w:val="00344616"/>
    <w:rsid w:val="00345CA7"/>
    <w:rsid w:val="00345E54"/>
    <w:rsid w:val="00346A20"/>
    <w:rsid w:val="0035018C"/>
    <w:rsid w:val="00350CF3"/>
    <w:rsid w:val="00350E3E"/>
    <w:rsid w:val="0035118A"/>
    <w:rsid w:val="003517F9"/>
    <w:rsid w:val="00351A63"/>
    <w:rsid w:val="00351BA9"/>
    <w:rsid w:val="003523F9"/>
    <w:rsid w:val="00352CE8"/>
    <w:rsid w:val="00352D42"/>
    <w:rsid w:val="0035302A"/>
    <w:rsid w:val="0035394C"/>
    <w:rsid w:val="00354F64"/>
    <w:rsid w:val="00354FCD"/>
    <w:rsid w:val="003551EC"/>
    <w:rsid w:val="0035620E"/>
    <w:rsid w:val="003566AB"/>
    <w:rsid w:val="003567B0"/>
    <w:rsid w:val="00356A3A"/>
    <w:rsid w:val="00356B81"/>
    <w:rsid w:val="003575BE"/>
    <w:rsid w:val="0035767B"/>
    <w:rsid w:val="00357BA6"/>
    <w:rsid w:val="00360345"/>
    <w:rsid w:val="003609D3"/>
    <w:rsid w:val="00361A05"/>
    <w:rsid w:val="003624C4"/>
    <w:rsid w:val="0036317B"/>
    <w:rsid w:val="003637FB"/>
    <w:rsid w:val="00363B00"/>
    <w:rsid w:val="00363F72"/>
    <w:rsid w:val="0036497F"/>
    <w:rsid w:val="00364CF4"/>
    <w:rsid w:val="00364DD9"/>
    <w:rsid w:val="003654AC"/>
    <w:rsid w:val="003657AC"/>
    <w:rsid w:val="003662C2"/>
    <w:rsid w:val="0036634E"/>
    <w:rsid w:val="0036672E"/>
    <w:rsid w:val="00366BCF"/>
    <w:rsid w:val="00370130"/>
    <w:rsid w:val="0037086A"/>
    <w:rsid w:val="0037097B"/>
    <w:rsid w:val="00370CCD"/>
    <w:rsid w:val="003710CF"/>
    <w:rsid w:val="0037358A"/>
    <w:rsid w:val="00373C55"/>
    <w:rsid w:val="00373F4D"/>
    <w:rsid w:val="003750F6"/>
    <w:rsid w:val="003760FC"/>
    <w:rsid w:val="003770D0"/>
    <w:rsid w:val="003770EE"/>
    <w:rsid w:val="003771B0"/>
    <w:rsid w:val="00377B8F"/>
    <w:rsid w:val="0038029D"/>
    <w:rsid w:val="003807AA"/>
    <w:rsid w:val="00380AB0"/>
    <w:rsid w:val="00380FEC"/>
    <w:rsid w:val="00381AD3"/>
    <w:rsid w:val="0038365C"/>
    <w:rsid w:val="0038369B"/>
    <w:rsid w:val="00383B78"/>
    <w:rsid w:val="0038462B"/>
    <w:rsid w:val="00384927"/>
    <w:rsid w:val="00384FAA"/>
    <w:rsid w:val="00385A9D"/>
    <w:rsid w:val="00385ACC"/>
    <w:rsid w:val="0038666D"/>
    <w:rsid w:val="00387121"/>
    <w:rsid w:val="0038722A"/>
    <w:rsid w:val="00387D17"/>
    <w:rsid w:val="00387D82"/>
    <w:rsid w:val="00387F76"/>
    <w:rsid w:val="003902B1"/>
    <w:rsid w:val="003909A6"/>
    <w:rsid w:val="00390BDD"/>
    <w:rsid w:val="00391194"/>
    <w:rsid w:val="0039179C"/>
    <w:rsid w:val="00392145"/>
    <w:rsid w:val="00392646"/>
    <w:rsid w:val="00392918"/>
    <w:rsid w:val="003932C5"/>
    <w:rsid w:val="00393598"/>
    <w:rsid w:val="003951DA"/>
    <w:rsid w:val="00395417"/>
    <w:rsid w:val="0039596F"/>
    <w:rsid w:val="00395DC3"/>
    <w:rsid w:val="003964D9"/>
    <w:rsid w:val="00396896"/>
    <w:rsid w:val="00396FD0"/>
    <w:rsid w:val="00397627"/>
    <w:rsid w:val="003A10B3"/>
    <w:rsid w:val="003A1A7A"/>
    <w:rsid w:val="003A2229"/>
    <w:rsid w:val="003A2392"/>
    <w:rsid w:val="003A2831"/>
    <w:rsid w:val="003A3249"/>
    <w:rsid w:val="003A3CB6"/>
    <w:rsid w:val="003A3ED1"/>
    <w:rsid w:val="003A44DB"/>
    <w:rsid w:val="003A4C14"/>
    <w:rsid w:val="003A4D95"/>
    <w:rsid w:val="003A4ED8"/>
    <w:rsid w:val="003A5BF1"/>
    <w:rsid w:val="003A66E9"/>
    <w:rsid w:val="003A6C7B"/>
    <w:rsid w:val="003A70B3"/>
    <w:rsid w:val="003A727D"/>
    <w:rsid w:val="003A7289"/>
    <w:rsid w:val="003A76D4"/>
    <w:rsid w:val="003A7CE8"/>
    <w:rsid w:val="003A7D72"/>
    <w:rsid w:val="003B0299"/>
    <w:rsid w:val="003B02A7"/>
    <w:rsid w:val="003B0412"/>
    <w:rsid w:val="003B0AB5"/>
    <w:rsid w:val="003B0C4B"/>
    <w:rsid w:val="003B0EB4"/>
    <w:rsid w:val="003B180E"/>
    <w:rsid w:val="003B1A3E"/>
    <w:rsid w:val="003B1BCF"/>
    <w:rsid w:val="003B21A2"/>
    <w:rsid w:val="003B2451"/>
    <w:rsid w:val="003B2E90"/>
    <w:rsid w:val="003B338C"/>
    <w:rsid w:val="003B3971"/>
    <w:rsid w:val="003B3B10"/>
    <w:rsid w:val="003B3D87"/>
    <w:rsid w:val="003B4BB1"/>
    <w:rsid w:val="003B4BB7"/>
    <w:rsid w:val="003B50F5"/>
    <w:rsid w:val="003B55D1"/>
    <w:rsid w:val="003B5B61"/>
    <w:rsid w:val="003B63A8"/>
    <w:rsid w:val="003B667C"/>
    <w:rsid w:val="003B72F7"/>
    <w:rsid w:val="003B735E"/>
    <w:rsid w:val="003B79F3"/>
    <w:rsid w:val="003C0256"/>
    <w:rsid w:val="003C0DE8"/>
    <w:rsid w:val="003C1654"/>
    <w:rsid w:val="003C1875"/>
    <w:rsid w:val="003C27E7"/>
    <w:rsid w:val="003C2AE4"/>
    <w:rsid w:val="003C31F9"/>
    <w:rsid w:val="003C3686"/>
    <w:rsid w:val="003C442B"/>
    <w:rsid w:val="003C5542"/>
    <w:rsid w:val="003C654F"/>
    <w:rsid w:val="003C664D"/>
    <w:rsid w:val="003C7BDE"/>
    <w:rsid w:val="003C7C15"/>
    <w:rsid w:val="003C7D19"/>
    <w:rsid w:val="003C7D2F"/>
    <w:rsid w:val="003D0108"/>
    <w:rsid w:val="003D029C"/>
    <w:rsid w:val="003D09BA"/>
    <w:rsid w:val="003D0C5A"/>
    <w:rsid w:val="003D13B0"/>
    <w:rsid w:val="003D14FE"/>
    <w:rsid w:val="003D1828"/>
    <w:rsid w:val="003D185E"/>
    <w:rsid w:val="003D1DE4"/>
    <w:rsid w:val="003D1E9A"/>
    <w:rsid w:val="003D2422"/>
    <w:rsid w:val="003D27AE"/>
    <w:rsid w:val="003D2A24"/>
    <w:rsid w:val="003D2B84"/>
    <w:rsid w:val="003D2DC7"/>
    <w:rsid w:val="003D2E63"/>
    <w:rsid w:val="003D39A1"/>
    <w:rsid w:val="003D3FBF"/>
    <w:rsid w:val="003D4006"/>
    <w:rsid w:val="003D4A30"/>
    <w:rsid w:val="003D4E7D"/>
    <w:rsid w:val="003D52F9"/>
    <w:rsid w:val="003D5772"/>
    <w:rsid w:val="003D656D"/>
    <w:rsid w:val="003D68E1"/>
    <w:rsid w:val="003D7440"/>
    <w:rsid w:val="003D7452"/>
    <w:rsid w:val="003D79BB"/>
    <w:rsid w:val="003D7C98"/>
    <w:rsid w:val="003D7D9D"/>
    <w:rsid w:val="003E0543"/>
    <w:rsid w:val="003E0565"/>
    <w:rsid w:val="003E13DC"/>
    <w:rsid w:val="003E186C"/>
    <w:rsid w:val="003E1C18"/>
    <w:rsid w:val="003E2299"/>
    <w:rsid w:val="003E22D2"/>
    <w:rsid w:val="003E3505"/>
    <w:rsid w:val="003E4373"/>
    <w:rsid w:val="003E487B"/>
    <w:rsid w:val="003E4F31"/>
    <w:rsid w:val="003E53A2"/>
    <w:rsid w:val="003E5603"/>
    <w:rsid w:val="003E5B91"/>
    <w:rsid w:val="003E620A"/>
    <w:rsid w:val="003E6847"/>
    <w:rsid w:val="003E6A8A"/>
    <w:rsid w:val="003E6D63"/>
    <w:rsid w:val="003E749E"/>
    <w:rsid w:val="003E79E9"/>
    <w:rsid w:val="003F11DF"/>
    <w:rsid w:val="003F11F1"/>
    <w:rsid w:val="003F17BC"/>
    <w:rsid w:val="003F1F09"/>
    <w:rsid w:val="003F21CA"/>
    <w:rsid w:val="003F2BD7"/>
    <w:rsid w:val="003F3FC4"/>
    <w:rsid w:val="003F4063"/>
    <w:rsid w:val="003F4156"/>
    <w:rsid w:val="003F4195"/>
    <w:rsid w:val="003F45E5"/>
    <w:rsid w:val="003F4E58"/>
    <w:rsid w:val="003F5275"/>
    <w:rsid w:val="003F560B"/>
    <w:rsid w:val="003F5ADF"/>
    <w:rsid w:val="003F61B2"/>
    <w:rsid w:val="003F6597"/>
    <w:rsid w:val="003F6D1D"/>
    <w:rsid w:val="003F6EE9"/>
    <w:rsid w:val="003F75E1"/>
    <w:rsid w:val="00400A61"/>
    <w:rsid w:val="00400B29"/>
    <w:rsid w:val="00400BA3"/>
    <w:rsid w:val="00400C9E"/>
    <w:rsid w:val="00401BB8"/>
    <w:rsid w:val="0040272C"/>
    <w:rsid w:val="00402812"/>
    <w:rsid w:val="00402928"/>
    <w:rsid w:val="00402EC1"/>
    <w:rsid w:val="00403693"/>
    <w:rsid w:val="00403B8F"/>
    <w:rsid w:val="004043E5"/>
    <w:rsid w:val="00404EAD"/>
    <w:rsid w:val="0040504B"/>
    <w:rsid w:val="0040548E"/>
    <w:rsid w:val="004056D8"/>
    <w:rsid w:val="004059F4"/>
    <w:rsid w:val="0040608F"/>
    <w:rsid w:val="00406137"/>
    <w:rsid w:val="00406364"/>
    <w:rsid w:val="00406D34"/>
    <w:rsid w:val="004076BF"/>
    <w:rsid w:val="00407FE5"/>
    <w:rsid w:val="004100F3"/>
    <w:rsid w:val="004101B0"/>
    <w:rsid w:val="00410326"/>
    <w:rsid w:val="004104D1"/>
    <w:rsid w:val="00410708"/>
    <w:rsid w:val="00410BC2"/>
    <w:rsid w:val="00410EC7"/>
    <w:rsid w:val="00410F74"/>
    <w:rsid w:val="00411992"/>
    <w:rsid w:val="00411B39"/>
    <w:rsid w:val="00411BF2"/>
    <w:rsid w:val="00411E0E"/>
    <w:rsid w:val="004127A7"/>
    <w:rsid w:val="004133FB"/>
    <w:rsid w:val="004137CC"/>
    <w:rsid w:val="00413A1E"/>
    <w:rsid w:val="00413C25"/>
    <w:rsid w:val="00414476"/>
    <w:rsid w:val="00414811"/>
    <w:rsid w:val="00414C2E"/>
    <w:rsid w:val="00415149"/>
    <w:rsid w:val="004151CF"/>
    <w:rsid w:val="004153A8"/>
    <w:rsid w:val="004153EF"/>
    <w:rsid w:val="004158E5"/>
    <w:rsid w:val="00415F14"/>
    <w:rsid w:val="0041632A"/>
    <w:rsid w:val="00416364"/>
    <w:rsid w:val="004167F5"/>
    <w:rsid w:val="00417E21"/>
    <w:rsid w:val="00417F63"/>
    <w:rsid w:val="00420173"/>
    <w:rsid w:val="00420258"/>
    <w:rsid w:val="0042030E"/>
    <w:rsid w:val="0042047F"/>
    <w:rsid w:val="00420AA6"/>
    <w:rsid w:val="00420B9F"/>
    <w:rsid w:val="00420CF8"/>
    <w:rsid w:val="004216B6"/>
    <w:rsid w:val="0042192C"/>
    <w:rsid w:val="00421B9F"/>
    <w:rsid w:val="00422260"/>
    <w:rsid w:val="00422B81"/>
    <w:rsid w:val="0042413F"/>
    <w:rsid w:val="0042447A"/>
    <w:rsid w:val="0042492B"/>
    <w:rsid w:val="00425141"/>
    <w:rsid w:val="0042546A"/>
    <w:rsid w:val="00425892"/>
    <w:rsid w:val="00425CE6"/>
    <w:rsid w:val="00425F1B"/>
    <w:rsid w:val="00427443"/>
    <w:rsid w:val="00427AA2"/>
    <w:rsid w:val="00430BFE"/>
    <w:rsid w:val="0043118A"/>
    <w:rsid w:val="00431350"/>
    <w:rsid w:val="004319F8"/>
    <w:rsid w:val="00431C4E"/>
    <w:rsid w:val="00431E55"/>
    <w:rsid w:val="004321F6"/>
    <w:rsid w:val="00432324"/>
    <w:rsid w:val="004329BD"/>
    <w:rsid w:val="00433044"/>
    <w:rsid w:val="00433FDC"/>
    <w:rsid w:val="00434088"/>
    <w:rsid w:val="00435411"/>
    <w:rsid w:val="00436C92"/>
    <w:rsid w:val="004375B9"/>
    <w:rsid w:val="00437645"/>
    <w:rsid w:val="00437F71"/>
    <w:rsid w:val="00442558"/>
    <w:rsid w:val="004428D0"/>
    <w:rsid w:val="00443DF3"/>
    <w:rsid w:val="00444040"/>
    <w:rsid w:val="00444185"/>
    <w:rsid w:val="00444324"/>
    <w:rsid w:val="004443A7"/>
    <w:rsid w:val="0044442C"/>
    <w:rsid w:val="0044490D"/>
    <w:rsid w:val="00444914"/>
    <w:rsid w:val="004453CA"/>
    <w:rsid w:val="004453F1"/>
    <w:rsid w:val="004454DD"/>
    <w:rsid w:val="00445882"/>
    <w:rsid w:val="00445941"/>
    <w:rsid w:val="00445F63"/>
    <w:rsid w:val="00445FA3"/>
    <w:rsid w:val="004464EB"/>
    <w:rsid w:val="00447D26"/>
    <w:rsid w:val="00447DFC"/>
    <w:rsid w:val="00450425"/>
    <w:rsid w:val="0045146F"/>
    <w:rsid w:val="0045212D"/>
    <w:rsid w:val="004523FF"/>
    <w:rsid w:val="00452992"/>
    <w:rsid w:val="00452CA7"/>
    <w:rsid w:val="00452D91"/>
    <w:rsid w:val="004532BE"/>
    <w:rsid w:val="00453514"/>
    <w:rsid w:val="0045380A"/>
    <w:rsid w:val="00453865"/>
    <w:rsid w:val="00454436"/>
    <w:rsid w:val="00454CD8"/>
    <w:rsid w:val="00454D2A"/>
    <w:rsid w:val="00455D45"/>
    <w:rsid w:val="004562FE"/>
    <w:rsid w:val="00456BB2"/>
    <w:rsid w:val="0045716D"/>
    <w:rsid w:val="0045790A"/>
    <w:rsid w:val="00457C34"/>
    <w:rsid w:val="00457CAE"/>
    <w:rsid w:val="004601CB"/>
    <w:rsid w:val="00460D3E"/>
    <w:rsid w:val="00461093"/>
    <w:rsid w:val="00461659"/>
    <w:rsid w:val="0046181D"/>
    <w:rsid w:val="00461934"/>
    <w:rsid w:val="00461E52"/>
    <w:rsid w:val="00461FCC"/>
    <w:rsid w:val="0046215F"/>
    <w:rsid w:val="00462223"/>
    <w:rsid w:val="0046242D"/>
    <w:rsid w:val="00462B09"/>
    <w:rsid w:val="004632BF"/>
    <w:rsid w:val="004634CE"/>
    <w:rsid w:val="00463A8F"/>
    <w:rsid w:val="00464595"/>
    <w:rsid w:val="004658B5"/>
    <w:rsid w:val="004659B0"/>
    <w:rsid w:val="00466A11"/>
    <w:rsid w:val="00466E68"/>
    <w:rsid w:val="0047044F"/>
    <w:rsid w:val="0047080B"/>
    <w:rsid w:val="0047148B"/>
    <w:rsid w:val="00471748"/>
    <w:rsid w:val="004717DA"/>
    <w:rsid w:val="00471E12"/>
    <w:rsid w:val="00471EA5"/>
    <w:rsid w:val="00472727"/>
    <w:rsid w:val="004727B0"/>
    <w:rsid w:val="004729DF"/>
    <w:rsid w:val="00472A79"/>
    <w:rsid w:val="00472FB5"/>
    <w:rsid w:val="00473911"/>
    <w:rsid w:val="00473F19"/>
    <w:rsid w:val="00474214"/>
    <w:rsid w:val="0047434C"/>
    <w:rsid w:val="00475E22"/>
    <w:rsid w:val="00476A5C"/>
    <w:rsid w:val="00476DBC"/>
    <w:rsid w:val="0047702C"/>
    <w:rsid w:val="00480637"/>
    <w:rsid w:val="0048088E"/>
    <w:rsid w:val="00480DBA"/>
    <w:rsid w:val="00480F2B"/>
    <w:rsid w:val="00481470"/>
    <w:rsid w:val="00481545"/>
    <w:rsid w:val="00481FF6"/>
    <w:rsid w:val="00482720"/>
    <w:rsid w:val="0048317E"/>
    <w:rsid w:val="004835E7"/>
    <w:rsid w:val="00483812"/>
    <w:rsid w:val="0048423B"/>
    <w:rsid w:val="00484570"/>
    <w:rsid w:val="0048477E"/>
    <w:rsid w:val="00485757"/>
    <w:rsid w:val="004859E1"/>
    <w:rsid w:val="00486543"/>
    <w:rsid w:val="00486554"/>
    <w:rsid w:val="004867E2"/>
    <w:rsid w:val="00486DEB"/>
    <w:rsid w:val="00487216"/>
    <w:rsid w:val="0048762C"/>
    <w:rsid w:val="00487FEB"/>
    <w:rsid w:val="00490925"/>
    <w:rsid w:val="00490B17"/>
    <w:rsid w:val="00490C2C"/>
    <w:rsid w:val="00491171"/>
    <w:rsid w:val="004914C9"/>
    <w:rsid w:val="00491B3A"/>
    <w:rsid w:val="00491C6B"/>
    <w:rsid w:val="00492CBF"/>
    <w:rsid w:val="00492CFD"/>
    <w:rsid w:val="004931F0"/>
    <w:rsid w:val="00493AA9"/>
    <w:rsid w:val="00494207"/>
    <w:rsid w:val="00494A4A"/>
    <w:rsid w:val="00494DD5"/>
    <w:rsid w:val="00494DEF"/>
    <w:rsid w:val="0049550A"/>
    <w:rsid w:val="00495B01"/>
    <w:rsid w:val="00495D64"/>
    <w:rsid w:val="004960C1"/>
    <w:rsid w:val="00496250"/>
    <w:rsid w:val="004962D2"/>
    <w:rsid w:val="0049670D"/>
    <w:rsid w:val="00496892"/>
    <w:rsid w:val="00496CBA"/>
    <w:rsid w:val="00496FA4"/>
    <w:rsid w:val="00497C32"/>
    <w:rsid w:val="004A0697"/>
    <w:rsid w:val="004A07B2"/>
    <w:rsid w:val="004A0DA1"/>
    <w:rsid w:val="004A1361"/>
    <w:rsid w:val="004A1396"/>
    <w:rsid w:val="004A13D6"/>
    <w:rsid w:val="004A1979"/>
    <w:rsid w:val="004A1A9A"/>
    <w:rsid w:val="004A32C3"/>
    <w:rsid w:val="004A3971"/>
    <w:rsid w:val="004A4AFA"/>
    <w:rsid w:val="004A50A1"/>
    <w:rsid w:val="004A52E9"/>
    <w:rsid w:val="004A546F"/>
    <w:rsid w:val="004A5960"/>
    <w:rsid w:val="004A6040"/>
    <w:rsid w:val="004A6597"/>
    <w:rsid w:val="004A67DE"/>
    <w:rsid w:val="004A74DC"/>
    <w:rsid w:val="004A7848"/>
    <w:rsid w:val="004A786D"/>
    <w:rsid w:val="004A793B"/>
    <w:rsid w:val="004B06AF"/>
    <w:rsid w:val="004B1C27"/>
    <w:rsid w:val="004B1CB4"/>
    <w:rsid w:val="004B1D36"/>
    <w:rsid w:val="004B1DD0"/>
    <w:rsid w:val="004B2F18"/>
    <w:rsid w:val="004B3DDB"/>
    <w:rsid w:val="004B4310"/>
    <w:rsid w:val="004B44FD"/>
    <w:rsid w:val="004B4893"/>
    <w:rsid w:val="004B5CFC"/>
    <w:rsid w:val="004B5DE5"/>
    <w:rsid w:val="004B6E11"/>
    <w:rsid w:val="004B6F79"/>
    <w:rsid w:val="004B774D"/>
    <w:rsid w:val="004B7C47"/>
    <w:rsid w:val="004B7DCA"/>
    <w:rsid w:val="004C0D5A"/>
    <w:rsid w:val="004C1D90"/>
    <w:rsid w:val="004C284E"/>
    <w:rsid w:val="004C2AC2"/>
    <w:rsid w:val="004C2F9C"/>
    <w:rsid w:val="004C3351"/>
    <w:rsid w:val="004C3705"/>
    <w:rsid w:val="004C3B76"/>
    <w:rsid w:val="004C4176"/>
    <w:rsid w:val="004C4300"/>
    <w:rsid w:val="004C4AED"/>
    <w:rsid w:val="004C5B0C"/>
    <w:rsid w:val="004C6FFA"/>
    <w:rsid w:val="004C713C"/>
    <w:rsid w:val="004C7297"/>
    <w:rsid w:val="004C75FD"/>
    <w:rsid w:val="004C7950"/>
    <w:rsid w:val="004D0503"/>
    <w:rsid w:val="004D2B36"/>
    <w:rsid w:val="004D2C2D"/>
    <w:rsid w:val="004D3191"/>
    <w:rsid w:val="004D3585"/>
    <w:rsid w:val="004D406C"/>
    <w:rsid w:val="004D4897"/>
    <w:rsid w:val="004D5528"/>
    <w:rsid w:val="004D5960"/>
    <w:rsid w:val="004D5B4E"/>
    <w:rsid w:val="004D5F67"/>
    <w:rsid w:val="004D69B5"/>
    <w:rsid w:val="004D7227"/>
    <w:rsid w:val="004D79E5"/>
    <w:rsid w:val="004D7B5E"/>
    <w:rsid w:val="004E00C6"/>
    <w:rsid w:val="004E09B1"/>
    <w:rsid w:val="004E0E7F"/>
    <w:rsid w:val="004E0EB8"/>
    <w:rsid w:val="004E179D"/>
    <w:rsid w:val="004E18E9"/>
    <w:rsid w:val="004E2ADC"/>
    <w:rsid w:val="004E2D0F"/>
    <w:rsid w:val="004E324D"/>
    <w:rsid w:val="004E3E44"/>
    <w:rsid w:val="004E42FD"/>
    <w:rsid w:val="004E43B2"/>
    <w:rsid w:val="004E4C00"/>
    <w:rsid w:val="004E603D"/>
    <w:rsid w:val="004E7687"/>
    <w:rsid w:val="004E76D3"/>
    <w:rsid w:val="004E77A8"/>
    <w:rsid w:val="004F0144"/>
    <w:rsid w:val="004F1340"/>
    <w:rsid w:val="004F1713"/>
    <w:rsid w:val="004F1D02"/>
    <w:rsid w:val="004F2034"/>
    <w:rsid w:val="004F2275"/>
    <w:rsid w:val="004F2679"/>
    <w:rsid w:val="004F2F21"/>
    <w:rsid w:val="004F3DE5"/>
    <w:rsid w:val="004F4D5C"/>
    <w:rsid w:val="004F613C"/>
    <w:rsid w:val="004F6913"/>
    <w:rsid w:val="004F6C17"/>
    <w:rsid w:val="004F76EE"/>
    <w:rsid w:val="004F7865"/>
    <w:rsid w:val="004F7F21"/>
    <w:rsid w:val="00500153"/>
    <w:rsid w:val="00500A39"/>
    <w:rsid w:val="00500A88"/>
    <w:rsid w:val="00500F22"/>
    <w:rsid w:val="00501541"/>
    <w:rsid w:val="005016F7"/>
    <w:rsid w:val="0050174E"/>
    <w:rsid w:val="00501778"/>
    <w:rsid w:val="00501854"/>
    <w:rsid w:val="0050219B"/>
    <w:rsid w:val="00502909"/>
    <w:rsid w:val="00503626"/>
    <w:rsid w:val="00503F17"/>
    <w:rsid w:val="00503F3A"/>
    <w:rsid w:val="00504606"/>
    <w:rsid w:val="005047C3"/>
    <w:rsid w:val="00504A8B"/>
    <w:rsid w:val="00504DE2"/>
    <w:rsid w:val="0050597F"/>
    <w:rsid w:val="005062C2"/>
    <w:rsid w:val="00506928"/>
    <w:rsid w:val="00506CB2"/>
    <w:rsid w:val="00506EA8"/>
    <w:rsid w:val="0050735E"/>
    <w:rsid w:val="005077EF"/>
    <w:rsid w:val="005101C9"/>
    <w:rsid w:val="0051060F"/>
    <w:rsid w:val="005106FC"/>
    <w:rsid w:val="0051095B"/>
    <w:rsid w:val="00510C04"/>
    <w:rsid w:val="00511215"/>
    <w:rsid w:val="00511836"/>
    <w:rsid w:val="00511AD5"/>
    <w:rsid w:val="00511DC4"/>
    <w:rsid w:val="00511DC7"/>
    <w:rsid w:val="00511F9A"/>
    <w:rsid w:val="0051266B"/>
    <w:rsid w:val="005129CB"/>
    <w:rsid w:val="005135F9"/>
    <w:rsid w:val="00514038"/>
    <w:rsid w:val="005142C5"/>
    <w:rsid w:val="00514811"/>
    <w:rsid w:val="0051501B"/>
    <w:rsid w:val="005152B5"/>
    <w:rsid w:val="00515328"/>
    <w:rsid w:val="00515886"/>
    <w:rsid w:val="00517530"/>
    <w:rsid w:val="00517B85"/>
    <w:rsid w:val="00517CDA"/>
    <w:rsid w:val="0052123C"/>
    <w:rsid w:val="00521319"/>
    <w:rsid w:val="00521965"/>
    <w:rsid w:val="00522BC8"/>
    <w:rsid w:val="0052301C"/>
    <w:rsid w:val="00523486"/>
    <w:rsid w:val="00523590"/>
    <w:rsid w:val="00523A26"/>
    <w:rsid w:val="00523C28"/>
    <w:rsid w:val="00523C7C"/>
    <w:rsid w:val="0052423D"/>
    <w:rsid w:val="005245B6"/>
    <w:rsid w:val="00524621"/>
    <w:rsid w:val="00524770"/>
    <w:rsid w:val="00524FA9"/>
    <w:rsid w:val="00525B4B"/>
    <w:rsid w:val="00526D7F"/>
    <w:rsid w:val="005270AA"/>
    <w:rsid w:val="00527401"/>
    <w:rsid w:val="00527537"/>
    <w:rsid w:val="00527563"/>
    <w:rsid w:val="0053087B"/>
    <w:rsid w:val="005309CE"/>
    <w:rsid w:val="005313BA"/>
    <w:rsid w:val="0053176B"/>
    <w:rsid w:val="005319D5"/>
    <w:rsid w:val="00531D73"/>
    <w:rsid w:val="005325D8"/>
    <w:rsid w:val="00532EF1"/>
    <w:rsid w:val="005339FD"/>
    <w:rsid w:val="00533D07"/>
    <w:rsid w:val="00533FB6"/>
    <w:rsid w:val="005341B3"/>
    <w:rsid w:val="00534554"/>
    <w:rsid w:val="00535A2E"/>
    <w:rsid w:val="00535C93"/>
    <w:rsid w:val="00535E1B"/>
    <w:rsid w:val="005360D2"/>
    <w:rsid w:val="005368EA"/>
    <w:rsid w:val="00536F42"/>
    <w:rsid w:val="00537182"/>
    <w:rsid w:val="005377EF"/>
    <w:rsid w:val="00537CBB"/>
    <w:rsid w:val="00537E8A"/>
    <w:rsid w:val="00541268"/>
    <w:rsid w:val="00541288"/>
    <w:rsid w:val="00541501"/>
    <w:rsid w:val="00541EDD"/>
    <w:rsid w:val="00542743"/>
    <w:rsid w:val="00542C2D"/>
    <w:rsid w:val="00543417"/>
    <w:rsid w:val="00543EB0"/>
    <w:rsid w:val="00545EB6"/>
    <w:rsid w:val="00546606"/>
    <w:rsid w:val="005468AD"/>
    <w:rsid w:val="00546A8B"/>
    <w:rsid w:val="00547286"/>
    <w:rsid w:val="005478BD"/>
    <w:rsid w:val="005479E3"/>
    <w:rsid w:val="00547C91"/>
    <w:rsid w:val="00547DF6"/>
    <w:rsid w:val="0055185D"/>
    <w:rsid w:val="00551985"/>
    <w:rsid w:val="0055208C"/>
    <w:rsid w:val="00552475"/>
    <w:rsid w:val="005524EF"/>
    <w:rsid w:val="0055265E"/>
    <w:rsid w:val="00552BD3"/>
    <w:rsid w:val="005532A0"/>
    <w:rsid w:val="0055364D"/>
    <w:rsid w:val="00553D94"/>
    <w:rsid w:val="00553EAE"/>
    <w:rsid w:val="0055423D"/>
    <w:rsid w:val="0055480B"/>
    <w:rsid w:val="00554C39"/>
    <w:rsid w:val="00555109"/>
    <w:rsid w:val="00555559"/>
    <w:rsid w:val="005560BC"/>
    <w:rsid w:val="00556B35"/>
    <w:rsid w:val="005571A3"/>
    <w:rsid w:val="0055741A"/>
    <w:rsid w:val="00557625"/>
    <w:rsid w:val="0055790B"/>
    <w:rsid w:val="00557B90"/>
    <w:rsid w:val="00557C18"/>
    <w:rsid w:val="00560250"/>
    <w:rsid w:val="005611B7"/>
    <w:rsid w:val="00561306"/>
    <w:rsid w:val="005618D4"/>
    <w:rsid w:val="00561B33"/>
    <w:rsid w:val="00562021"/>
    <w:rsid w:val="0056269C"/>
    <w:rsid w:val="00562DC3"/>
    <w:rsid w:val="00563699"/>
    <w:rsid w:val="00563A14"/>
    <w:rsid w:val="00563A96"/>
    <w:rsid w:val="005642BC"/>
    <w:rsid w:val="00564867"/>
    <w:rsid w:val="00564967"/>
    <w:rsid w:val="005655F7"/>
    <w:rsid w:val="00565859"/>
    <w:rsid w:val="00565C41"/>
    <w:rsid w:val="00565C79"/>
    <w:rsid w:val="00565DF0"/>
    <w:rsid w:val="0056623B"/>
    <w:rsid w:val="00566684"/>
    <w:rsid w:val="0056696F"/>
    <w:rsid w:val="00566BE3"/>
    <w:rsid w:val="00566C0E"/>
    <w:rsid w:val="00566E07"/>
    <w:rsid w:val="005671B1"/>
    <w:rsid w:val="0057006E"/>
    <w:rsid w:val="005701EE"/>
    <w:rsid w:val="00570324"/>
    <w:rsid w:val="00571E3F"/>
    <w:rsid w:val="0057203E"/>
    <w:rsid w:val="00572269"/>
    <w:rsid w:val="0057244A"/>
    <w:rsid w:val="0057282C"/>
    <w:rsid w:val="005728BE"/>
    <w:rsid w:val="00572AC3"/>
    <w:rsid w:val="00572F26"/>
    <w:rsid w:val="00572F4E"/>
    <w:rsid w:val="00573212"/>
    <w:rsid w:val="00573FC4"/>
    <w:rsid w:val="00574B24"/>
    <w:rsid w:val="005750C5"/>
    <w:rsid w:val="005752DE"/>
    <w:rsid w:val="00575D60"/>
    <w:rsid w:val="00575D8D"/>
    <w:rsid w:val="00575E78"/>
    <w:rsid w:val="005765BF"/>
    <w:rsid w:val="00576972"/>
    <w:rsid w:val="00576EAE"/>
    <w:rsid w:val="00577248"/>
    <w:rsid w:val="00577C6A"/>
    <w:rsid w:val="00577DB4"/>
    <w:rsid w:val="00577EBD"/>
    <w:rsid w:val="00581266"/>
    <w:rsid w:val="005812AF"/>
    <w:rsid w:val="005818B6"/>
    <w:rsid w:val="00582933"/>
    <w:rsid w:val="00583699"/>
    <w:rsid w:val="005844CE"/>
    <w:rsid w:val="005847B7"/>
    <w:rsid w:val="00584ACE"/>
    <w:rsid w:val="00585CDD"/>
    <w:rsid w:val="00587058"/>
    <w:rsid w:val="00587BC0"/>
    <w:rsid w:val="0059062D"/>
    <w:rsid w:val="00590B9E"/>
    <w:rsid w:val="00590EA0"/>
    <w:rsid w:val="00591957"/>
    <w:rsid w:val="005919EB"/>
    <w:rsid w:val="005928A7"/>
    <w:rsid w:val="00592CF4"/>
    <w:rsid w:val="00594B4E"/>
    <w:rsid w:val="00595202"/>
    <w:rsid w:val="005956BE"/>
    <w:rsid w:val="005959C5"/>
    <w:rsid w:val="00595C47"/>
    <w:rsid w:val="00597961"/>
    <w:rsid w:val="00597BF9"/>
    <w:rsid w:val="00597F80"/>
    <w:rsid w:val="005A0767"/>
    <w:rsid w:val="005A0C11"/>
    <w:rsid w:val="005A0DD3"/>
    <w:rsid w:val="005A11F4"/>
    <w:rsid w:val="005A1399"/>
    <w:rsid w:val="005A1B19"/>
    <w:rsid w:val="005A1EA0"/>
    <w:rsid w:val="005A25FD"/>
    <w:rsid w:val="005A25FF"/>
    <w:rsid w:val="005A2DC1"/>
    <w:rsid w:val="005A309A"/>
    <w:rsid w:val="005A373D"/>
    <w:rsid w:val="005A3AAA"/>
    <w:rsid w:val="005A3ACA"/>
    <w:rsid w:val="005A40B0"/>
    <w:rsid w:val="005A421C"/>
    <w:rsid w:val="005A4A35"/>
    <w:rsid w:val="005A661C"/>
    <w:rsid w:val="005A708E"/>
    <w:rsid w:val="005A75E3"/>
    <w:rsid w:val="005A7CCC"/>
    <w:rsid w:val="005B0589"/>
    <w:rsid w:val="005B05DA"/>
    <w:rsid w:val="005B08F2"/>
    <w:rsid w:val="005B0B31"/>
    <w:rsid w:val="005B0B58"/>
    <w:rsid w:val="005B19AE"/>
    <w:rsid w:val="005B1F91"/>
    <w:rsid w:val="005B2D0F"/>
    <w:rsid w:val="005B303F"/>
    <w:rsid w:val="005B3D9B"/>
    <w:rsid w:val="005B4DDC"/>
    <w:rsid w:val="005B4E53"/>
    <w:rsid w:val="005B5857"/>
    <w:rsid w:val="005B5EF9"/>
    <w:rsid w:val="005B62C8"/>
    <w:rsid w:val="005B6744"/>
    <w:rsid w:val="005B69BB"/>
    <w:rsid w:val="005B7428"/>
    <w:rsid w:val="005B7B90"/>
    <w:rsid w:val="005B7CEB"/>
    <w:rsid w:val="005C0735"/>
    <w:rsid w:val="005C0F0D"/>
    <w:rsid w:val="005C152E"/>
    <w:rsid w:val="005C19C4"/>
    <w:rsid w:val="005C1B83"/>
    <w:rsid w:val="005C23E8"/>
    <w:rsid w:val="005C25FF"/>
    <w:rsid w:val="005C2D55"/>
    <w:rsid w:val="005C3286"/>
    <w:rsid w:val="005C346B"/>
    <w:rsid w:val="005C3585"/>
    <w:rsid w:val="005C38BF"/>
    <w:rsid w:val="005C3E73"/>
    <w:rsid w:val="005C4B65"/>
    <w:rsid w:val="005C4C65"/>
    <w:rsid w:val="005C4CE4"/>
    <w:rsid w:val="005C52BF"/>
    <w:rsid w:val="005C540D"/>
    <w:rsid w:val="005C5ABC"/>
    <w:rsid w:val="005D0267"/>
    <w:rsid w:val="005D044D"/>
    <w:rsid w:val="005D070E"/>
    <w:rsid w:val="005D0ABD"/>
    <w:rsid w:val="005D18AD"/>
    <w:rsid w:val="005D1AA7"/>
    <w:rsid w:val="005D1B90"/>
    <w:rsid w:val="005D26B4"/>
    <w:rsid w:val="005D2A32"/>
    <w:rsid w:val="005D30F7"/>
    <w:rsid w:val="005D33BF"/>
    <w:rsid w:val="005D40E6"/>
    <w:rsid w:val="005D424F"/>
    <w:rsid w:val="005D426B"/>
    <w:rsid w:val="005D4463"/>
    <w:rsid w:val="005D49C3"/>
    <w:rsid w:val="005D4E02"/>
    <w:rsid w:val="005D4E6D"/>
    <w:rsid w:val="005D51FD"/>
    <w:rsid w:val="005D5845"/>
    <w:rsid w:val="005D5AAE"/>
    <w:rsid w:val="005D5D34"/>
    <w:rsid w:val="005D6166"/>
    <w:rsid w:val="005D670E"/>
    <w:rsid w:val="005D673C"/>
    <w:rsid w:val="005D68DE"/>
    <w:rsid w:val="005D6D82"/>
    <w:rsid w:val="005D79A4"/>
    <w:rsid w:val="005D7DE8"/>
    <w:rsid w:val="005E1662"/>
    <w:rsid w:val="005E1983"/>
    <w:rsid w:val="005E1995"/>
    <w:rsid w:val="005E1C1E"/>
    <w:rsid w:val="005E2946"/>
    <w:rsid w:val="005E2DBD"/>
    <w:rsid w:val="005E2E38"/>
    <w:rsid w:val="005E2F8A"/>
    <w:rsid w:val="005E331B"/>
    <w:rsid w:val="005E34C5"/>
    <w:rsid w:val="005E3AC4"/>
    <w:rsid w:val="005E5BAE"/>
    <w:rsid w:val="005E61CA"/>
    <w:rsid w:val="005E6CBC"/>
    <w:rsid w:val="005E7135"/>
    <w:rsid w:val="005E72FF"/>
    <w:rsid w:val="005E73AB"/>
    <w:rsid w:val="005E73C0"/>
    <w:rsid w:val="005E7806"/>
    <w:rsid w:val="005E7D8A"/>
    <w:rsid w:val="005F0505"/>
    <w:rsid w:val="005F07BC"/>
    <w:rsid w:val="005F07ED"/>
    <w:rsid w:val="005F2706"/>
    <w:rsid w:val="005F2C4B"/>
    <w:rsid w:val="005F30A2"/>
    <w:rsid w:val="005F3E80"/>
    <w:rsid w:val="005F429B"/>
    <w:rsid w:val="005F5208"/>
    <w:rsid w:val="005F582B"/>
    <w:rsid w:val="005F5BC2"/>
    <w:rsid w:val="005F6097"/>
    <w:rsid w:val="005F6908"/>
    <w:rsid w:val="005F6A8F"/>
    <w:rsid w:val="005F6BB7"/>
    <w:rsid w:val="005F6CC6"/>
    <w:rsid w:val="005F7153"/>
    <w:rsid w:val="005F7588"/>
    <w:rsid w:val="005F7C80"/>
    <w:rsid w:val="005F7EE7"/>
    <w:rsid w:val="00600281"/>
    <w:rsid w:val="006002D3"/>
    <w:rsid w:val="006006BF"/>
    <w:rsid w:val="006009D4"/>
    <w:rsid w:val="00601985"/>
    <w:rsid w:val="00601B13"/>
    <w:rsid w:val="00603DB9"/>
    <w:rsid w:val="00604071"/>
    <w:rsid w:val="00604978"/>
    <w:rsid w:val="00604A32"/>
    <w:rsid w:val="00605723"/>
    <w:rsid w:val="00605889"/>
    <w:rsid w:val="00605B06"/>
    <w:rsid w:val="00605CBE"/>
    <w:rsid w:val="006062C4"/>
    <w:rsid w:val="00606C8D"/>
    <w:rsid w:val="00606FBA"/>
    <w:rsid w:val="006070DA"/>
    <w:rsid w:val="0060726F"/>
    <w:rsid w:val="006075BC"/>
    <w:rsid w:val="00607669"/>
    <w:rsid w:val="006076F4"/>
    <w:rsid w:val="00607979"/>
    <w:rsid w:val="00607996"/>
    <w:rsid w:val="00607AFD"/>
    <w:rsid w:val="00607B9D"/>
    <w:rsid w:val="00611212"/>
    <w:rsid w:val="00611396"/>
    <w:rsid w:val="006117FD"/>
    <w:rsid w:val="00611B12"/>
    <w:rsid w:val="00611CD8"/>
    <w:rsid w:val="00612F97"/>
    <w:rsid w:val="0061345D"/>
    <w:rsid w:val="006139C3"/>
    <w:rsid w:val="00613BFD"/>
    <w:rsid w:val="00613CEB"/>
    <w:rsid w:val="00614F0A"/>
    <w:rsid w:val="0061549B"/>
    <w:rsid w:val="00615A86"/>
    <w:rsid w:val="00615C98"/>
    <w:rsid w:val="00616802"/>
    <w:rsid w:val="00617395"/>
    <w:rsid w:val="00617A6E"/>
    <w:rsid w:val="00617E12"/>
    <w:rsid w:val="00620055"/>
    <w:rsid w:val="00620C25"/>
    <w:rsid w:val="00620D51"/>
    <w:rsid w:val="00620F7B"/>
    <w:rsid w:val="0062121E"/>
    <w:rsid w:val="00621477"/>
    <w:rsid w:val="00621ADA"/>
    <w:rsid w:val="00621BF4"/>
    <w:rsid w:val="00622469"/>
    <w:rsid w:val="00622935"/>
    <w:rsid w:val="00622AF8"/>
    <w:rsid w:val="006237EC"/>
    <w:rsid w:val="00623F7B"/>
    <w:rsid w:val="0062432A"/>
    <w:rsid w:val="0062475A"/>
    <w:rsid w:val="006248F5"/>
    <w:rsid w:val="00624BD4"/>
    <w:rsid w:val="0062528A"/>
    <w:rsid w:val="006256BF"/>
    <w:rsid w:val="00626EF9"/>
    <w:rsid w:val="00627FB6"/>
    <w:rsid w:val="00630205"/>
    <w:rsid w:val="0063158F"/>
    <w:rsid w:val="00631D6B"/>
    <w:rsid w:val="00631E75"/>
    <w:rsid w:val="00632183"/>
    <w:rsid w:val="006327F1"/>
    <w:rsid w:val="006330A1"/>
    <w:rsid w:val="00633A4E"/>
    <w:rsid w:val="0063479F"/>
    <w:rsid w:val="006348F4"/>
    <w:rsid w:val="00634D1A"/>
    <w:rsid w:val="006353F0"/>
    <w:rsid w:val="006357B5"/>
    <w:rsid w:val="006364A1"/>
    <w:rsid w:val="0063678E"/>
    <w:rsid w:val="006369EE"/>
    <w:rsid w:val="00636BA6"/>
    <w:rsid w:val="00636DF4"/>
    <w:rsid w:val="006372C2"/>
    <w:rsid w:val="00637BFD"/>
    <w:rsid w:val="00637C5C"/>
    <w:rsid w:val="00640225"/>
    <w:rsid w:val="00641B71"/>
    <w:rsid w:val="00641C4E"/>
    <w:rsid w:val="00641FB3"/>
    <w:rsid w:val="006422A6"/>
    <w:rsid w:val="00642FE3"/>
    <w:rsid w:val="00643755"/>
    <w:rsid w:val="0064434C"/>
    <w:rsid w:val="00644CA5"/>
    <w:rsid w:val="00645F67"/>
    <w:rsid w:val="00646612"/>
    <w:rsid w:val="00646893"/>
    <w:rsid w:val="00646E34"/>
    <w:rsid w:val="006471CC"/>
    <w:rsid w:val="006472FE"/>
    <w:rsid w:val="006475F4"/>
    <w:rsid w:val="00647A29"/>
    <w:rsid w:val="0065079F"/>
    <w:rsid w:val="006509EF"/>
    <w:rsid w:val="0065149C"/>
    <w:rsid w:val="0065156A"/>
    <w:rsid w:val="00651F18"/>
    <w:rsid w:val="0065200F"/>
    <w:rsid w:val="006525EA"/>
    <w:rsid w:val="00652612"/>
    <w:rsid w:val="00652A28"/>
    <w:rsid w:val="00652D12"/>
    <w:rsid w:val="00652E83"/>
    <w:rsid w:val="0065379F"/>
    <w:rsid w:val="006542AD"/>
    <w:rsid w:val="0065439F"/>
    <w:rsid w:val="00655988"/>
    <w:rsid w:val="00656188"/>
    <w:rsid w:val="00656ABA"/>
    <w:rsid w:val="0065715A"/>
    <w:rsid w:val="00657754"/>
    <w:rsid w:val="00660504"/>
    <w:rsid w:val="00660D94"/>
    <w:rsid w:val="006610F1"/>
    <w:rsid w:val="006612BE"/>
    <w:rsid w:val="00661A6D"/>
    <w:rsid w:val="00661C6B"/>
    <w:rsid w:val="006626BA"/>
    <w:rsid w:val="00662735"/>
    <w:rsid w:val="00662D3E"/>
    <w:rsid w:val="00662E4C"/>
    <w:rsid w:val="006638C7"/>
    <w:rsid w:val="0066514C"/>
    <w:rsid w:val="00665596"/>
    <w:rsid w:val="00665616"/>
    <w:rsid w:val="0066584E"/>
    <w:rsid w:val="00665B58"/>
    <w:rsid w:val="00666E4A"/>
    <w:rsid w:val="006670FB"/>
    <w:rsid w:val="00667BE3"/>
    <w:rsid w:val="006704A2"/>
    <w:rsid w:val="00670749"/>
    <w:rsid w:val="00671004"/>
    <w:rsid w:val="0067114F"/>
    <w:rsid w:val="00672646"/>
    <w:rsid w:val="00672FB2"/>
    <w:rsid w:val="0067345C"/>
    <w:rsid w:val="0067409C"/>
    <w:rsid w:val="006744E0"/>
    <w:rsid w:val="00674809"/>
    <w:rsid w:val="00674E42"/>
    <w:rsid w:val="00674EBA"/>
    <w:rsid w:val="0067519A"/>
    <w:rsid w:val="006756FE"/>
    <w:rsid w:val="00675766"/>
    <w:rsid w:val="00676563"/>
    <w:rsid w:val="0068033E"/>
    <w:rsid w:val="00680DEA"/>
    <w:rsid w:val="006810E7"/>
    <w:rsid w:val="0068123A"/>
    <w:rsid w:val="006813F8"/>
    <w:rsid w:val="00682112"/>
    <w:rsid w:val="00682A4F"/>
    <w:rsid w:val="00682BA6"/>
    <w:rsid w:val="006833F4"/>
    <w:rsid w:val="006834AC"/>
    <w:rsid w:val="00683D08"/>
    <w:rsid w:val="00684628"/>
    <w:rsid w:val="00685F52"/>
    <w:rsid w:val="0068693F"/>
    <w:rsid w:val="00686957"/>
    <w:rsid w:val="006871E3"/>
    <w:rsid w:val="006872BA"/>
    <w:rsid w:val="00687404"/>
    <w:rsid w:val="006877D2"/>
    <w:rsid w:val="006879FD"/>
    <w:rsid w:val="00687ADF"/>
    <w:rsid w:val="00690795"/>
    <w:rsid w:val="00690844"/>
    <w:rsid w:val="00691152"/>
    <w:rsid w:val="00691648"/>
    <w:rsid w:val="006917D7"/>
    <w:rsid w:val="00691FB0"/>
    <w:rsid w:val="006922EB"/>
    <w:rsid w:val="00692B6A"/>
    <w:rsid w:val="00693028"/>
    <w:rsid w:val="006936CF"/>
    <w:rsid w:val="00693D76"/>
    <w:rsid w:val="00693EF8"/>
    <w:rsid w:val="0069434C"/>
    <w:rsid w:val="0069491A"/>
    <w:rsid w:val="00694A09"/>
    <w:rsid w:val="00694DAE"/>
    <w:rsid w:val="00694F44"/>
    <w:rsid w:val="0069525C"/>
    <w:rsid w:val="006952B7"/>
    <w:rsid w:val="006956CF"/>
    <w:rsid w:val="00695F08"/>
    <w:rsid w:val="0069623C"/>
    <w:rsid w:val="0069631B"/>
    <w:rsid w:val="00696637"/>
    <w:rsid w:val="00696808"/>
    <w:rsid w:val="00696EF9"/>
    <w:rsid w:val="00696F51"/>
    <w:rsid w:val="0069789A"/>
    <w:rsid w:val="006979A5"/>
    <w:rsid w:val="006979D2"/>
    <w:rsid w:val="006A00E1"/>
    <w:rsid w:val="006A016F"/>
    <w:rsid w:val="006A0DF7"/>
    <w:rsid w:val="006A25E3"/>
    <w:rsid w:val="006A2799"/>
    <w:rsid w:val="006A2E99"/>
    <w:rsid w:val="006A327A"/>
    <w:rsid w:val="006A390C"/>
    <w:rsid w:val="006A41B1"/>
    <w:rsid w:val="006A4321"/>
    <w:rsid w:val="006A43D9"/>
    <w:rsid w:val="006A47C6"/>
    <w:rsid w:val="006A490A"/>
    <w:rsid w:val="006A5181"/>
    <w:rsid w:val="006A52B9"/>
    <w:rsid w:val="006A6B99"/>
    <w:rsid w:val="006A75B7"/>
    <w:rsid w:val="006A7E5F"/>
    <w:rsid w:val="006B08CB"/>
    <w:rsid w:val="006B0CDF"/>
    <w:rsid w:val="006B1295"/>
    <w:rsid w:val="006B14A6"/>
    <w:rsid w:val="006B1BAE"/>
    <w:rsid w:val="006B1D6F"/>
    <w:rsid w:val="006B24E7"/>
    <w:rsid w:val="006B2563"/>
    <w:rsid w:val="006B261B"/>
    <w:rsid w:val="006B2887"/>
    <w:rsid w:val="006B2C90"/>
    <w:rsid w:val="006B35E6"/>
    <w:rsid w:val="006B367D"/>
    <w:rsid w:val="006B418E"/>
    <w:rsid w:val="006B465A"/>
    <w:rsid w:val="006B46EF"/>
    <w:rsid w:val="006B4DA2"/>
    <w:rsid w:val="006B503B"/>
    <w:rsid w:val="006B5DE0"/>
    <w:rsid w:val="006B6DD0"/>
    <w:rsid w:val="006B6FED"/>
    <w:rsid w:val="006B796F"/>
    <w:rsid w:val="006C027E"/>
    <w:rsid w:val="006C0399"/>
    <w:rsid w:val="006C0A28"/>
    <w:rsid w:val="006C1545"/>
    <w:rsid w:val="006C2311"/>
    <w:rsid w:val="006C248E"/>
    <w:rsid w:val="006C2A8E"/>
    <w:rsid w:val="006C3060"/>
    <w:rsid w:val="006C3255"/>
    <w:rsid w:val="006C344A"/>
    <w:rsid w:val="006C3993"/>
    <w:rsid w:val="006C3BFB"/>
    <w:rsid w:val="006C3C57"/>
    <w:rsid w:val="006C3E01"/>
    <w:rsid w:val="006C3F26"/>
    <w:rsid w:val="006C4527"/>
    <w:rsid w:val="006C4E7C"/>
    <w:rsid w:val="006C54DD"/>
    <w:rsid w:val="006C5B66"/>
    <w:rsid w:val="006C5E02"/>
    <w:rsid w:val="006D0275"/>
    <w:rsid w:val="006D0D17"/>
    <w:rsid w:val="006D0DCF"/>
    <w:rsid w:val="006D1673"/>
    <w:rsid w:val="006D26EA"/>
    <w:rsid w:val="006D2B2B"/>
    <w:rsid w:val="006D3C7D"/>
    <w:rsid w:val="006D3EA2"/>
    <w:rsid w:val="006D3EC7"/>
    <w:rsid w:val="006D4132"/>
    <w:rsid w:val="006D42F9"/>
    <w:rsid w:val="006D44CE"/>
    <w:rsid w:val="006D4659"/>
    <w:rsid w:val="006D4CF4"/>
    <w:rsid w:val="006D58E6"/>
    <w:rsid w:val="006D5D5F"/>
    <w:rsid w:val="006D644D"/>
    <w:rsid w:val="006D68FB"/>
    <w:rsid w:val="006D6A67"/>
    <w:rsid w:val="006D6B17"/>
    <w:rsid w:val="006D6C39"/>
    <w:rsid w:val="006D7A55"/>
    <w:rsid w:val="006E0B82"/>
    <w:rsid w:val="006E102D"/>
    <w:rsid w:val="006E11E3"/>
    <w:rsid w:val="006E13F0"/>
    <w:rsid w:val="006E1A88"/>
    <w:rsid w:val="006E1CD8"/>
    <w:rsid w:val="006E1ED6"/>
    <w:rsid w:val="006E2868"/>
    <w:rsid w:val="006E422A"/>
    <w:rsid w:val="006E46EB"/>
    <w:rsid w:val="006E4CC8"/>
    <w:rsid w:val="006E4D13"/>
    <w:rsid w:val="006E526A"/>
    <w:rsid w:val="006E5513"/>
    <w:rsid w:val="006E5C34"/>
    <w:rsid w:val="006E60A5"/>
    <w:rsid w:val="006E61C5"/>
    <w:rsid w:val="006E6322"/>
    <w:rsid w:val="006E6670"/>
    <w:rsid w:val="006E6F4C"/>
    <w:rsid w:val="006F0B54"/>
    <w:rsid w:val="006F0FFD"/>
    <w:rsid w:val="006F1B84"/>
    <w:rsid w:val="006F2019"/>
    <w:rsid w:val="006F2410"/>
    <w:rsid w:val="006F306C"/>
    <w:rsid w:val="006F31AF"/>
    <w:rsid w:val="006F345A"/>
    <w:rsid w:val="006F3AAF"/>
    <w:rsid w:val="006F438A"/>
    <w:rsid w:val="006F46C7"/>
    <w:rsid w:val="006F4AA8"/>
    <w:rsid w:val="006F50FC"/>
    <w:rsid w:val="006F5215"/>
    <w:rsid w:val="006F588A"/>
    <w:rsid w:val="006F5A96"/>
    <w:rsid w:val="006F63A5"/>
    <w:rsid w:val="006F6744"/>
    <w:rsid w:val="006F78B6"/>
    <w:rsid w:val="006F79F5"/>
    <w:rsid w:val="006F7A9E"/>
    <w:rsid w:val="007002D1"/>
    <w:rsid w:val="00700A41"/>
    <w:rsid w:val="00700C9D"/>
    <w:rsid w:val="00700EF4"/>
    <w:rsid w:val="0070115C"/>
    <w:rsid w:val="0070142B"/>
    <w:rsid w:val="00701770"/>
    <w:rsid w:val="00702227"/>
    <w:rsid w:val="0070276E"/>
    <w:rsid w:val="00702F8F"/>
    <w:rsid w:val="00703F3D"/>
    <w:rsid w:val="00703F6D"/>
    <w:rsid w:val="007045F2"/>
    <w:rsid w:val="00704FEE"/>
    <w:rsid w:val="0070526E"/>
    <w:rsid w:val="00705B45"/>
    <w:rsid w:val="00706B69"/>
    <w:rsid w:val="00706EEE"/>
    <w:rsid w:val="007078A6"/>
    <w:rsid w:val="007079FC"/>
    <w:rsid w:val="00707F07"/>
    <w:rsid w:val="0071025F"/>
    <w:rsid w:val="007105B9"/>
    <w:rsid w:val="0071061E"/>
    <w:rsid w:val="00711A36"/>
    <w:rsid w:val="00711D47"/>
    <w:rsid w:val="007124C8"/>
    <w:rsid w:val="007125D3"/>
    <w:rsid w:val="00712A79"/>
    <w:rsid w:val="00713212"/>
    <w:rsid w:val="007137B4"/>
    <w:rsid w:val="00713D2A"/>
    <w:rsid w:val="0071420F"/>
    <w:rsid w:val="007147DF"/>
    <w:rsid w:val="00714BA3"/>
    <w:rsid w:val="00714C26"/>
    <w:rsid w:val="00714C9B"/>
    <w:rsid w:val="0071529C"/>
    <w:rsid w:val="007154C9"/>
    <w:rsid w:val="00715D41"/>
    <w:rsid w:val="00716297"/>
    <w:rsid w:val="007170DA"/>
    <w:rsid w:val="007172AD"/>
    <w:rsid w:val="00717546"/>
    <w:rsid w:val="00717FF0"/>
    <w:rsid w:val="00720081"/>
    <w:rsid w:val="0072071E"/>
    <w:rsid w:val="00720760"/>
    <w:rsid w:val="00720801"/>
    <w:rsid w:val="00720843"/>
    <w:rsid w:val="00720F04"/>
    <w:rsid w:val="00721F29"/>
    <w:rsid w:val="00722096"/>
    <w:rsid w:val="00722B1B"/>
    <w:rsid w:val="00722CA8"/>
    <w:rsid w:val="007230E5"/>
    <w:rsid w:val="00723366"/>
    <w:rsid w:val="0072412F"/>
    <w:rsid w:val="0072416F"/>
    <w:rsid w:val="00725473"/>
    <w:rsid w:val="00725CAC"/>
    <w:rsid w:val="00725D45"/>
    <w:rsid w:val="0072647D"/>
    <w:rsid w:val="0072689A"/>
    <w:rsid w:val="0072731E"/>
    <w:rsid w:val="0072734C"/>
    <w:rsid w:val="00727C00"/>
    <w:rsid w:val="00727C8A"/>
    <w:rsid w:val="00727C94"/>
    <w:rsid w:val="0073012F"/>
    <w:rsid w:val="007303C0"/>
    <w:rsid w:val="007305B0"/>
    <w:rsid w:val="00730AEB"/>
    <w:rsid w:val="00730E77"/>
    <w:rsid w:val="00731B0A"/>
    <w:rsid w:val="00731EAE"/>
    <w:rsid w:val="00732356"/>
    <w:rsid w:val="00732674"/>
    <w:rsid w:val="00732C4A"/>
    <w:rsid w:val="00732DC6"/>
    <w:rsid w:val="00733073"/>
    <w:rsid w:val="00733795"/>
    <w:rsid w:val="00734295"/>
    <w:rsid w:val="00734A9C"/>
    <w:rsid w:val="00735033"/>
    <w:rsid w:val="00735328"/>
    <w:rsid w:val="00735667"/>
    <w:rsid w:val="007359AD"/>
    <w:rsid w:val="00736844"/>
    <w:rsid w:val="0073685B"/>
    <w:rsid w:val="00737E8B"/>
    <w:rsid w:val="00740816"/>
    <w:rsid w:val="0074252C"/>
    <w:rsid w:val="00742590"/>
    <w:rsid w:val="00742CFE"/>
    <w:rsid w:val="007449BF"/>
    <w:rsid w:val="00746132"/>
    <w:rsid w:val="007463FE"/>
    <w:rsid w:val="00746BB8"/>
    <w:rsid w:val="00746BC0"/>
    <w:rsid w:val="0074778D"/>
    <w:rsid w:val="007477C5"/>
    <w:rsid w:val="00747A58"/>
    <w:rsid w:val="00747CA1"/>
    <w:rsid w:val="007506CF"/>
    <w:rsid w:val="007510B4"/>
    <w:rsid w:val="007511A1"/>
    <w:rsid w:val="007513D6"/>
    <w:rsid w:val="00751596"/>
    <w:rsid w:val="00751CFA"/>
    <w:rsid w:val="00752142"/>
    <w:rsid w:val="007523F9"/>
    <w:rsid w:val="00752F81"/>
    <w:rsid w:val="00753001"/>
    <w:rsid w:val="0075324B"/>
    <w:rsid w:val="0075357E"/>
    <w:rsid w:val="00753B29"/>
    <w:rsid w:val="00754A6A"/>
    <w:rsid w:val="00756139"/>
    <w:rsid w:val="007572B5"/>
    <w:rsid w:val="007573E8"/>
    <w:rsid w:val="00757A31"/>
    <w:rsid w:val="0076007F"/>
    <w:rsid w:val="00760C4E"/>
    <w:rsid w:val="00760F9E"/>
    <w:rsid w:val="007616E6"/>
    <w:rsid w:val="00761959"/>
    <w:rsid w:val="00761A98"/>
    <w:rsid w:val="00761B98"/>
    <w:rsid w:val="0076213C"/>
    <w:rsid w:val="00762345"/>
    <w:rsid w:val="00762762"/>
    <w:rsid w:val="007627BE"/>
    <w:rsid w:val="00762AC5"/>
    <w:rsid w:val="007635AC"/>
    <w:rsid w:val="007648A6"/>
    <w:rsid w:val="00764D38"/>
    <w:rsid w:val="00764F03"/>
    <w:rsid w:val="00764F4C"/>
    <w:rsid w:val="007655BE"/>
    <w:rsid w:val="00765B1A"/>
    <w:rsid w:val="00765DC1"/>
    <w:rsid w:val="007663D3"/>
    <w:rsid w:val="00767498"/>
    <w:rsid w:val="00767666"/>
    <w:rsid w:val="00767701"/>
    <w:rsid w:val="00770224"/>
    <w:rsid w:val="0077047C"/>
    <w:rsid w:val="007707C4"/>
    <w:rsid w:val="00770A54"/>
    <w:rsid w:val="00770CE9"/>
    <w:rsid w:val="00772EF0"/>
    <w:rsid w:val="00773DEB"/>
    <w:rsid w:val="00775B29"/>
    <w:rsid w:val="00775C9A"/>
    <w:rsid w:val="007765C8"/>
    <w:rsid w:val="00776D1F"/>
    <w:rsid w:val="00776DB2"/>
    <w:rsid w:val="0077724F"/>
    <w:rsid w:val="00777335"/>
    <w:rsid w:val="00777A0D"/>
    <w:rsid w:val="0078007E"/>
    <w:rsid w:val="0078008E"/>
    <w:rsid w:val="00781023"/>
    <w:rsid w:val="0078116F"/>
    <w:rsid w:val="00781548"/>
    <w:rsid w:val="00781B44"/>
    <w:rsid w:val="00781CE4"/>
    <w:rsid w:val="00782128"/>
    <w:rsid w:val="007835C5"/>
    <w:rsid w:val="00784388"/>
    <w:rsid w:val="007843F2"/>
    <w:rsid w:val="0078454C"/>
    <w:rsid w:val="007846FA"/>
    <w:rsid w:val="00785658"/>
    <w:rsid w:val="00785A9F"/>
    <w:rsid w:val="00785C01"/>
    <w:rsid w:val="0078638D"/>
    <w:rsid w:val="00786868"/>
    <w:rsid w:val="00787169"/>
    <w:rsid w:val="00787BB8"/>
    <w:rsid w:val="00787D7C"/>
    <w:rsid w:val="00790F8C"/>
    <w:rsid w:val="00792453"/>
    <w:rsid w:val="007925DF"/>
    <w:rsid w:val="0079311F"/>
    <w:rsid w:val="00793A37"/>
    <w:rsid w:val="00794413"/>
    <w:rsid w:val="00794A54"/>
    <w:rsid w:val="00795104"/>
    <w:rsid w:val="007952DC"/>
    <w:rsid w:val="007956AF"/>
    <w:rsid w:val="00795A08"/>
    <w:rsid w:val="00797970"/>
    <w:rsid w:val="007A057C"/>
    <w:rsid w:val="007A075A"/>
    <w:rsid w:val="007A08AA"/>
    <w:rsid w:val="007A0A12"/>
    <w:rsid w:val="007A132D"/>
    <w:rsid w:val="007A1345"/>
    <w:rsid w:val="007A1C98"/>
    <w:rsid w:val="007A1D78"/>
    <w:rsid w:val="007A20C7"/>
    <w:rsid w:val="007A2797"/>
    <w:rsid w:val="007A2A93"/>
    <w:rsid w:val="007A2DDB"/>
    <w:rsid w:val="007A31C3"/>
    <w:rsid w:val="007A3F2E"/>
    <w:rsid w:val="007A4058"/>
    <w:rsid w:val="007A414C"/>
    <w:rsid w:val="007A4942"/>
    <w:rsid w:val="007A4DD8"/>
    <w:rsid w:val="007A4E9E"/>
    <w:rsid w:val="007A52FB"/>
    <w:rsid w:val="007A5DDB"/>
    <w:rsid w:val="007A671C"/>
    <w:rsid w:val="007A68E4"/>
    <w:rsid w:val="007A6AF2"/>
    <w:rsid w:val="007A6CCC"/>
    <w:rsid w:val="007A70BA"/>
    <w:rsid w:val="007B0C93"/>
    <w:rsid w:val="007B0D68"/>
    <w:rsid w:val="007B1ABD"/>
    <w:rsid w:val="007B22A8"/>
    <w:rsid w:val="007B251D"/>
    <w:rsid w:val="007B2C52"/>
    <w:rsid w:val="007B3533"/>
    <w:rsid w:val="007B4009"/>
    <w:rsid w:val="007B4697"/>
    <w:rsid w:val="007B4F25"/>
    <w:rsid w:val="007B4F58"/>
    <w:rsid w:val="007B525A"/>
    <w:rsid w:val="007B528D"/>
    <w:rsid w:val="007B62F5"/>
    <w:rsid w:val="007B63CA"/>
    <w:rsid w:val="007B6756"/>
    <w:rsid w:val="007B6A85"/>
    <w:rsid w:val="007B6B5F"/>
    <w:rsid w:val="007B77D1"/>
    <w:rsid w:val="007B7BBA"/>
    <w:rsid w:val="007C07C7"/>
    <w:rsid w:val="007C0C3F"/>
    <w:rsid w:val="007C0D4A"/>
    <w:rsid w:val="007C1CD9"/>
    <w:rsid w:val="007C1D63"/>
    <w:rsid w:val="007C21E3"/>
    <w:rsid w:val="007C2CAD"/>
    <w:rsid w:val="007C32EF"/>
    <w:rsid w:val="007C361D"/>
    <w:rsid w:val="007C3B72"/>
    <w:rsid w:val="007C3DEE"/>
    <w:rsid w:val="007C4A40"/>
    <w:rsid w:val="007C4ADD"/>
    <w:rsid w:val="007C4B84"/>
    <w:rsid w:val="007C6046"/>
    <w:rsid w:val="007C68CB"/>
    <w:rsid w:val="007C70FF"/>
    <w:rsid w:val="007C7286"/>
    <w:rsid w:val="007C72E3"/>
    <w:rsid w:val="007C77DF"/>
    <w:rsid w:val="007C7C25"/>
    <w:rsid w:val="007D004F"/>
    <w:rsid w:val="007D035F"/>
    <w:rsid w:val="007D04AF"/>
    <w:rsid w:val="007D057D"/>
    <w:rsid w:val="007D06B2"/>
    <w:rsid w:val="007D0B38"/>
    <w:rsid w:val="007D1253"/>
    <w:rsid w:val="007D2190"/>
    <w:rsid w:val="007D3D9F"/>
    <w:rsid w:val="007D5440"/>
    <w:rsid w:val="007D610C"/>
    <w:rsid w:val="007D6386"/>
    <w:rsid w:val="007D6669"/>
    <w:rsid w:val="007D69EB"/>
    <w:rsid w:val="007E017B"/>
    <w:rsid w:val="007E08F4"/>
    <w:rsid w:val="007E1052"/>
    <w:rsid w:val="007E128F"/>
    <w:rsid w:val="007E12EB"/>
    <w:rsid w:val="007E193A"/>
    <w:rsid w:val="007E19E9"/>
    <w:rsid w:val="007E1CB4"/>
    <w:rsid w:val="007E3AB2"/>
    <w:rsid w:val="007E3DE4"/>
    <w:rsid w:val="007E40A9"/>
    <w:rsid w:val="007E61F6"/>
    <w:rsid w:val="007E69DE"/>
    <w:rsid w:val="007F060B"/>
    <w:rsid w:val="007F0B04"/>
    <w:rsid w:val="007F1017"/>
    <w:rsid w:val="007F10AE"/>
    <w:rsid w:val="007F1313"/>
    <w:rsid w:val="007F1525"/>
    <w:rsid w:val="007F2FFD"/>
    <w:rsid w:val="007F3A49"/>
    <w:rsid w:val="007F4A3F"/>
    <w:rsid w:val="007F4A61"/>
    <w:rsid w:val="007F5145"/>
    <w:rsid w:val="007F5255"/>
    <w:rsid w:val="007F56CC"/>
    <w:rsid w:val="007F6120"/>
    <w:rsid w:val="007F61C2"/>
    <w:rsid w:val="007F6747"/>
    <w:rsid w:val="007F6B24"/>
    <w:rsid w:val="007F7A7B"/>
    <w:rsid w:val="007F7B04"/>
    <w:rsid w:val="008002E7"/>
    <w:rsid w:val="0080045A"/>
    <w:rsid w:val="0080107C"/>
    <w:rsid w:val="00802291"/>
    <w:rsid w:val="00802940"/>
    <w:rsid w:val="00802AA4"/>
    <w:rsid w:val="00802DB0"/>
    <w:rsid w:val="00803594"/>
    <w:rsid w:val="00804788"/>
    <w:rsid w:val="00804D50"/>
    <w:rsid w:val="00805142"/>
    <w:rsid w:val="0080533D"/>
    <w:rsid w:val="00805FCE"/>
    <w:rsid w:val="00806242"/>
    <w:rsid w:val="00806C25"/>
    <w:rsid w:val="0080782C"/>
    <w:rsid w:val="00807A41"/>
    <w:rsid w:val="00807A8B"/>
    <w:rsid w:val="00807B46"/>
    <w:rsid w:val="00807B5D"/>
    <w:rsid w:val="00810AAD"/>
    <w:rsid w:val="00810B73"/>
    <w:rsid w:val="00810BBE"/>
    <w:rsid w:val="00811127"/>
    <w:rsid w:val="00811383"/>
    <w:rsid w:val="008113E5"/>
    <w:rsid w:val="008116B0"/>
    <w:rsid w:val="008117DC"/>
    <w:rsid w:val="008118FB"/>
    <w:rsid w:val="008119A3"/>
    <w:rsid w:val="008119B6"/>
    <w:rsid w:val="00812149"/>
    <w:rsid w:val="00812ABB"/>
    <w:rsid w:val="00812CAC"/>
    <w:rsid w:val="008152D9"/>
    <w:rsid w:val="008161A6"/>
    <w:rsid w:val="008162DC"/>
    <w:rsid w:val="00816361"/>
    <w:rsid w:val="00816473"/>
    <w:rsid w:val="008166EC"/>
    <w:rsid w:val="008166EF"/>
    <w:rsid w:val="00816ABF"/>
    <w:rsid w:val="00816F74"/>
    <w:rsid w:val="00816FEF"/>
    <w:rsid w:val="00817CE4"/>
    <w:rsid w:val="00817EA3"/>
    <w:rsid w:val="00817F59"/>
    <w:rsid w:val="00820686"/>
    <w:rsid w:val="008207E4"/>
    <w:rsid w:val="00820A8C"/>
    <w:rsid w:val="00820E44"/>
    <w:rsid w:val="008215FB"/>
    <w:rsid w:val="008216D2"/>
    <w:rsid w:val="00821F3F"/>
    <w:rsid w:val="008220CC"/>
    <w:rsid w:val="0082298D"/>
    <w:rsid w:val="00822DC8"/>
    <w:rsid w:val="00823174"/>
    <w:rsid w:val="00823FFD"/>
    <w:rsid w:val="008246A6"/>
    <w:rsid w:val="008250A2"/>
    <w:rsid w:val="008255B5"/>
    <w:rsid w:val="00825751"/>
    <w:rsid w:val="008258C7"/>
    <w:rsid w:val="008264EB"/>
    <w:rsid w:val="0082661F"/>
    <w:rsid w:val="008268CE"/>
    <w:rsid w:val="00827C23"/>
    <w:rsid w:val="00830717"/>
    <w:rsid w:val="00830FB0"/>
    <w:rsid w:val="00831ABB"/>
    <w:rsid w:val="00831CC9"/>
    <w:rsid w:val="00831E28"/>
    <w:rsid w:val="00831FC6"/>
    <w:rsid w:val="00832B51"/>
    <w:rsid w:val="00832F29"/>
    <w:rsid w:val="00833105"/>
    <w:rsid w:val="00833523"/>
    <w:rsid w:val="00833B05"/>
    <w:rsid w:val="0083459C"/>
    <w:rsid w:val="008345B7"/>
    <w:rsid w:val="008347C6"/>
    <w:rsid w:val="008351D7"/>
    <w:rsid w:val="008353FD"/>
    <w:rsid w:val="00835A97"/>
    <w:rsid w:val="00835DF6"/>
    <w:rsid w:val="00835F4D"/>
    <w:rsid w:val="00836008"/>
    <w:rsid w:val="008362B4"/>
    <w:rsid w:val="00836723"/>
    <w:rsid w:val="00836BB1"/>
    <w:rsid w:val="00837756"/>
    <w:rsid w:val="00837811"/>
    <w:rsid w:val="00837AB2"/>
    <w:rsid w:val="00837EF6"/>
    <w:rsid w:val="00840494"/>
    <w:rsid w:val="0084089E"/>
    <w:rsid w:val="00840CA2"/>
    <w:rsid w:val="00840CDF"/>
    <w:rsid w:val="00840E43"/>
    <w:rsid w:val="008419FF"/>
    <w:rsid w:val="008429FC"/>
    <w:rsid w:val="00842FA3"/>
    <w:rsid w:val="0084374F"/>
    <w:rsid w:val="00843FEF"/>
    <w:rsid w:val="00844374"/>
    <w:rsid w:val="008445D8"/>
    <w:rsid w:val="00844A0D"/>
    <w:rsid w:val="00844A22"/>
    <w:rsid w:val="00844EEB"/>
    <w:rsid w:val="00845A9A"/>
    <w:rsid w:val="00845E33"/>
    <w:rsid w:val="00845EEC"/>
    <w:rsid w:val="00846883"/>
    <w:rsid w:val="00847703"/>
    <w:rsid w:val="008477CE"/>
    <w:rsid w:val="00847D9F"/>
    <w:rsid w:val="00847DF5"/>
    <w:rsid w:val="008507DF"/>
    <w:rsid w:val="00850832"/>
    <w:rsid w:val="008521A1"/>
    <w:rsid w:val="0085309D"/>
    <w:rsid w:val="00853A2A"/>
    <w:rsid w:val="00853C31"/>
    <w:rsid w:val="00854559"/>
    <w:rsid w:val="00854568"/>
    <w:rsid w:val="00854E87"/>
    <w:rsid w:val="008554D2"/>
    <w:rsid w:val="00856897"/>
    <w:rsid w:val="00856E9A"/>
    <w:rsid w:val="00857DE7"/>
    <w:rsid w:val="00857E07"/>
    <w:rsid w:val="0086033A"/>
    <w:rsid w:val="00860691"/>
    <w:rsid w:val="0086075D"/>
    <w:rsid w:val="00861964"/>
    <w:rsid w:val="00861CB9"/>
    <w:rsid w:val="00861D70"/>
    <w:rsid w:val="00862502"/>
    <w:rsid w:val="00862CC1"/>
    <w:rsid w:val="00863127"/>
    <w:rsid w:val="00863EA6"/>
    <w:rsid w:val="008642A7"/>
    <w:rsid w:val="00864499"/>
    <w:rsid w:val="008647D3"/>
    <w:rsid w:val="00864922"/>
    <w:rsid w:val="008649CB"/>
    <w:rsid w:val="00864CAD"/>
    <w:rsid w:val="00864DCA"/>
    <w:rsid w:val="00865576"/>
    <w:rsid w:val="0086568E"/>
    <w:rsid w:val="008657EF"/>
    <w:rsid w:val="008660D4"/>
    <w:rsid w:val="008661F3"/>
    <w:rsid w:val="0086642C"/>
    <w:rsid w:val="008667B6"/>
    <w:rsid w:val="00866977"/>
    <w:rsid w:val="0086737C"/>
    <w:rsid w:val="0086739B"/>
    <w:rsid w:val="0087035B"/>
    <w:rsid w:val="00871078"/>
    <w:rsid w:val="0087133F"/>
    <w:rsid w:val="00871FA9"/>
    <w:rsid w:val="008725CC"/>
    <w:rsid w:val="008728E9"/>
    <w:rsid w:val="00873CAA"/>
    <w:rsid w:val="00873D75"/>
    <w:rsid w:val="00873EEF"/>
    <w:rsid w:val="008742ED"/>
    <w:rsid w:val="008757B8"/>
    <w:rsid w:val="00875D46"/>
    <w:rsid w:val="008764A2"/>
    <w:rsid w:val="00876E5A"/>
    <w:rsid w:val="008777BD"/>
    <w:rsid w:val="00877C2B"/>
    <w:rsid w:val="00877C6A"/>
    <w:rsid w:val="00877EAA"/>
    <w:rsid w:val="00880BA3"/>
    <w:rsid w:val="008817CB"/>
    <w:rsid w:val="00881C1C"/>
    <w:rsid w:val="00882874"/>
    <w:rsid w:val="008828D8"/>
    <w:rsid w:val="00882E3C"/>
    <w:rsid w:val="00882EA3"/>
    <w:rsid w:val="0088308A"/>
    <w:rsid w:val="00883787"/>
    <w:rsid w:val="008837E8"/>
    <w:rsid w:val="0088490D"/>
    <w:rsid w:val="008855E4"/>
    <w:rsid w:val="00885747"/>
    <w:rsid w:val="00885DE9"/>
    <w:rsid w:val="008863CA"/>
    <w:rsid w:val="008867D8"/>
    <w:rsid w:val="00886959"/>
    <w:rsid w:val="00886CD2"/>
    <w:rsid w:val="00887409"/>
    <w:rsid w:val="00887FAF"/>
    <w:rsid w:val="008916A4"/>
    <w:rsid w:val="0089176F"/>
    <w:rsid w:val="008918F4"/>
    <w:rsid w:val="00891BC9"/>
    <w:rsid w:val="00891E6F"/>
    <w:rsid w:val="0089233E"/>
    <w:rsid w:val="0089275D"/>
    <w:rsid w:val="00892A36"/>
    <w:rsid w:val="00893239"/>
    <w:rsid w:val="00893B5C"/>
    <w:rsid w:val="008943C0"/>
    <w:rsid w:val="00894489"/>
    <w:rsid w:val="00894CD6"/>
    <w:rsid w:val="008963A5"/>
    <w:rsid w:val="00896D5D"/>
    <w:rsid w:val="00897124"/>
    <w:rsid w:val="00897581"/>
    <w:rsid w:val="0089768F"/>
    <w:rsid w:val="008A056A"/>
    <w:rsid w:val="008A0765"/>
    <w:rsid w:val="008A0D90"/>
    <w:rsid w:val="008A1014"/>
    <w:rsid w:val="008A1090"/>
    <w:rsid w:val="008A19F5"/>
    <w:rsid w:val="008A2AE9"/>
    <w:rsid w:val="008A2BF5"/>
    <w:rsid w:val="008A3158"/>
    <w:rsid w:val="008A327D"/>
    <w:rsid w:val="008A3363"/>
    <w:rsid w:val="008A3371"/>
    <w:rsid w:val="008A37B6"/>
    <w:rsid w:val="008A3C3E"/>
    <w:rsid w:val="008A40FB"/>
    <w:rsid w:val="008A43B2"/>
    <w:rsid w:val="008A4A77"/>
    <w:rsid w:val="008A55DC"/>
    <w:rsid w:val="008A55E6"/>
    <w:rsid w:val="008A5744"/>
    <w:rsid w:val="008A5B0D"/>
    <w:rsid w:val="008A5B38"/>
    <w:rsid w:val="008A6842"/>
    <w:rsid w:val="008A6A75"/>
    <w:rsid w:val="008A72CF"/>
    <w:rsid w:val="008A79DE"/>
    <w:rsid w:val="008A7C00"/>
    <w:rsid w:val="008A7DCC"/>
    <w:rsid w:val="008A7FF1"/>
    <w:rsid w:val="008B02E0"/>
    <w:rsid w:val="008B0680"/>
    <w:rsid w:val="008B1757"/>
    <w:rsid w:val="008B1C33"/>
    <w:rsid w:val="008B1F28"/>
    <w:rsid w:val="008B26A2"/>
    <w:rsid w:val="008B26B6"/>
    <w:rsid w:val="008B2A2E"/>
    <w:rsid w:val="008B3098"/>
    <w:rsid w:val="008B3341"/>
    <w:rsid w:val="008B392D"/>
    <w:rsid w:val="008B3A8B"/>
    <w:rsid w:val="008B3AFA"/>
    <w:rsid w:val="008B4060"/>
    <w:rsid w:val="008B49C3"/>
    <w:rsid w:val="008B4B6F"/>
    <w:rsid w:val="008B59FA"/>
    <w:rsid w:val="008B5F01"/>
    <w:rsid w:val="008B7313"/>
    <w:rsid w:val="008B7992"/>
    <w:rsid w:val="008B7B1E"/>
    <w:rsid w:val="008B7C90"/>
    <w:rsid w:val="008B7D7E"/>
    <w:rsid w:val="008B7E1A"/>
    <w:rsid w:val="008C04EB"/>
    <w:rsid w:val="008C0E23"/>
    <w:rsid w:val="008C1784"/>
    <w:rsid w:val="008C1B0F"/>
    <w:rsid w:val="008C1BBC"/>
    <w:rsid w:val="008C3133"/>
    <w:rsid w:val="008C34CB"/>
    <w:rsid w:val="008C3E5A"/>
    <w:rsid w:val="008C415B"/>
    <w:rsid w:val="008C4165"/>
    <w:rsid w:val="008C4762"/>
    <w:rsid w:val="008C55AE"/>
    <w:rsid w:val="008C5610"/>
    <w:rsid w:val="008C5611"/>
    <w:rsid w:val="008C5739"/>
    <w:rsid w:val="008C59D5"/>
    <w:rsid w:val="008C630E"/>
    <w:rsid w:val="008C70B2"/>
    <w:rsid w:val="008C7282"/>
    <w:rsid w:val="008C79C6"/>
    <w:rsid w:val="008C7ECB"/>
    <w:rsid w:val="008D0014"/>
    <w:rsid w:val="008D29E8"/>
    <w:rsid w:val="008D30E1"/>
    <w:rsid w:val="008D390E"/>
    <w:rsid w:val="008D3B86"/>
    <w:rsid w:val="008D4063"/>
    <w:rsid w:val="008D43FD"/>
    <w:rsid w:val="008D4755"/>
    <w:rsid w:val="008D4A41"/>
    <w:rsid w:val="008D4C3D"/>
    <w:rsid w:val="008D5721"/>
    <w:rsid w:val="008D6440"/>
    <w:rsid w:val="008D7189"/>
    <w:rsid w:val="008D743C"/>
    <w:rsid w:val="008D7D57"/>
    <w:rsid w:val="008E07B5"/>
    <w:rsid w:val="008E08B4"/>
    <w:rsid w:val="008E0D3C"/>
    <w:rsid w:val="008E152C"/>
    <w:rsid w:val="008E180C"/>
    <w:rsid w:val="008E1907"/>
    <w:rsid w:val="008E1B9E"/>
    <w:rsid w:val="008E24F4"/>
    <w:rsid w:val="008E2529"/>
    <w:rsid w:val="008E2629"/>
    <w:rsid w:val="008E4256"/>
    <w:rsid w:val="008E5557"/>
    <w:rsid w:val="008E55AB"/>
    <w:rsid w:val="008E568F"/>
    <w:rsid w:val="008E5A43"/>
    <w:rsid w:val="008E6500"/>
    <w:rsid w:val="008E688B"/>
    <w:rsid w:val="008E6E70"/>
    <w:rsid w:val="008F0881"/>
    <w:rsid w:val="008F0BE2"/>
    <w:rsid w:val="008F0D1B"/>
    <w:rsid w:val="008F118E"/>
    <w:rsid w:val="008F120A"/>
    <w:rsid w:val="008F1A14"/>
    <w:rsid w:val="008F20DC"/>
    <w:rsid w:val="008F2605"/>
    <w:rsid w:val="008F27E0"/>
    <w:rsid w:val="008F2BAF"/>
    <w:rsid w:val="008F2E56"/>
    <w:rsid w:val="008F30AC"/>
    <w:rsid w:val="008F324C"/>
    <w:rsid w:val="008F33C3"/>
    <w:rsid w:val="008F48EB"/>
    <w:rsid w:val="008F4CFD"/>
    <w:rsid w:val="008F4F0B"/>
    <w:rsid w:val="008F518E"/>
    <w:rsid w:val="008F66F8"/>
    <w:rsid w:val="008F71AF"/>
    <w:rsid w:val="008F73BC"/>
    <w:rsid w:val="008F7CBB"/>
    <w:rsid w:val="008F7F2D"/>
    <w:rsid w:val="00900E0B"/>
    <w:rsid w:val="00901DC3"/>
    <w:rsid w:val="009025C4"/>
    <w:rsid w:val="009027FF"/>
    <w:rsid w:val="00903D22"/>
    <w:rsid w:val="00903E3E"/>
    <w:rsid w:val="0090403F"/>
    <w:rsid w:val="0090461C"/>
    <w:rsid w:val="009046C4"/>
    <w:rsid w:val="00904C0E"/>
    <w:rsid w:val="00905366"/>
    <w:rsid w:val="00905B90"/>
    <w:rsid w:val="00905FC7"/>
    <w:rsid w:val="00906131"/>
    <w:rsid w:val="00906268"/>
    <w:rsid w:val="009062A5"/>
    <w:rsid w:val="009069A7"/>
    <w:rsid w:val="009069AA"/>
    <w:rsid w:val="00906BC9"/>
    <w:rsid w:val="009074CA"/>
    <w:rsid w:val="00907699"/>
    <w:rsid w:val="009103B6"/>
    <w:rsid w:val="009103C3"/>
    <w:rsid w:val="00910E79"/>
    <w:rsid w:val="00910F4D"/>
    <w:rsid w:val="00910FA7"/>
    <w:rsid w:val="00911272"/>
    <w:rsid w:val="00911339"/>
    <w:rsid w:val="00911BD6"/>
    <w:rsid w:val="0091307A"/>
    <w:rsid w:val="009135D6"/>
    <w:rsid w:val="009136AB"/>
    <w:rsid w:val="00913B19"/>
    <w:rsid w:val="00913BFB"/>
    <w:rsid w:val="0091432D"/>
    <w:rsid w:val="00914C77"/>
    <w:rsid w:val="00915D7E"/>
    <w:rsid w:val="00916129"/>
    <w:rsid w:val="009164D0"/>
    <w:rsid w:val="00916DB1"/>
    <w:rsid w:val="009175EF"/>
    <w:rsid w:val="00917879"/>
    <w:rsid w:val="0092027E"/>
    <w:rsid w:val="0092089D"/>
    <w:rsid w:val="00920F45"/>
    <w:rsid w:val="009215B8"/>
    <w:rsid w:val="0092170D"/>
    <w:rsid w:val="00921977"/>
    <w:rsid w:val="00921ACB"/>
    <w:rsid w:val="00921D60"/>
    <w:rsid w:val="00922626"/>
    <w:rsid w:val="00922C69"/>
    <w:rsid w:val="0092369B"/>
    <w:rsid w:val="00924F17"/>
    <w:rsid w:val="00925202"/>
    <w:rsid w:val="009253ED"/>
    <w:rsid w:val="00925D7C"/>
    <w:rsid w:val="00926778"/>
    <w:rsid w:val="0092693B"/>
    <w:rsid w:val="00930699"/>
    <w:rsid w:val="009307C6"/>
    <w:rsid w:val="0093089F"/>
    <w:rsid w:val="00930B86"/>
    <w:rsid w:val="0093267F"/>
    <w:rsid w:val="00932AE9"/>
    <w:rsid w:val="009335B5"/>
    <w:rsid w:val="00933D70"/>
    <w:rsid w:val="009347BE"/>
    <w:rsid w:val="00934976"/>
    <w:rsid w:val="00934988"/>
    <w:rsid w:val="00936621"/>
    <w:rsid w:val="00936ACF"/>
    <w:rsid w:val="00936BCF"/>
    <w:rsid w:val="00936FA3"/>
    <w:rsid w:val="00936FB2"/>
    <w:rsid w:val="00937089"/>
    <w:rsid w:val="009371F9"/>
    <w:rsid w:val="00941003"/>
    <w:rsid w:val="0094103D"/>
    <w:rsid w:val="00941328"/>
    <w:rsid w:val="00941665"/>
    <w:rsid w:val="0094179E"/>
    <w:rsid w:val="0094185C"/>
    <w:rsid w:val="009420AA"/>
    <w:rsid w:val="0094286A"/>
    <w:rsid w:val="00942EB7"/>
    <w:rsid w:val="00943749"/>
    <w:rsid w:val="00943C4B"/>
    <w:rsid w:val="00943E93"/>
    <w:rsid w:val="00944B9B"/>
    <w:rsid w:val="00944F8A"/>
    <w:rsid w:val="00945413"/>
    <w:rsid w:val="009457EC"/>
    <w:rsid w:val="0094591F"/>
    <w:rsid w:val="00946031"/>
    <w:rsid w:val="009462E5"/>
    <w:rsid w:val="009466DB"/>
    <w:rsid w:val="0095001B"/>
    <w:rsid w:val="00950BF7"/>
    <w:rsid w:val="009510A2"/>
    <w:rsid w:val="009519CC"/>
    <w:rsid w:val="00951DD2"/>
    <w:rsid w:val="00953257"/>
    <w:rsid w:val="00953958"/>
    <w:rsid w:val="009546FE"/>
    <w:rsid w:val="0095474C"/>
    <w:rsid w:val="00954FD4"/>
    <w:rsid w:val="009550E7"/>
    <w:rsid w:val="0095565D"/>
    <w:rsid w:val="009557C2"/>
    <w:rsid w:val="00955984"/>
    <w:rsid w:val="009573F9"/>
    <w:rsid w:val="00957D92"/>
    <w:rsid w:val="00960048"/>
    <w:rsid w:val="00960286"/>
    <w:rsid w:val="00961276"/>
    <w:rsid w:val="0096150A"/>
    <w:rsid w:val="0096250F"/>
    <w:rsid w:val="00962CB9"/>
    <w:rsid w:val="00962D5C"/>
    <w:rsid w:val="00962DEB"/>
    <w:rsid w:val="00963965"/>
    <w:rsid w:val="00964312"/>
    <w:rsid w:val="00964559"/>
    <w:rsid w:val="00965594"/>
    <w:rsid w:val="009655B8"/>
    <w:rsid w:val="0096593F"/>
    <w:rsid w:val="00965B8A"/>
    <w:rsid w:val="009666EA"/>
    <w:rsid w:val="00966E78"/>
    <w:rsid w:val="009675D5"/>
    <w:rsid w:val="0097071F"/>
    <w:rsid w:val="009717AC"/>
    <w:rsid w:val="009728E5"/>
    <w:rsid w:val="00972C38"/>
    <w:rsid w:val="00972E77"/>
    <w:rsid w:val="00972F2D"/>
    <w:rsid w:val="00973080"/>
    <w:rsid w:val="0097508A"/>
    <w:rsid w:val="009751C1"/>
    <w:rsid w:val="009751EF"/>
    <w:rsid w:val="00975416"/>
    <w:rsid w:val="009759C5"/>
    <w:rsid w:val="00976E64"/>
    <w:rsid w:val="009775F3"/>
    <w:rsid w:val="0098118D"/>
    <w:rsid w:val="009811F1"/>
    <w:rsid w:val="00983215"/>
    <w:rsid w:val="0098340E"/>
    <w:rsid w:val="009839C6"/>
    <w:rsid w:val="00983E57"/>
    <w:rsid w:val="009851A4"/>
    <w:rsid w:val="009851C1"/>
    <w:rsid w:val="009858BE"/>
    <w:rsid w:val="00985DE2"/>
    <w:rsid w:val="00986100"/>
    <w:rsid w:val="0098675D"/>
    <w:rsid w:val="00987BA4"/>
    <w:rsid w:val="0099154E"/>
    <w:rsid w:val="0099164B"/>
    <w:rsid w:val="00991E2E"/>
    <w:rsid w:val="00991F06"/>
    <w:rsid w:val="009926E0"/>
    <w:rsid w:val="0099381C"/>
    <w:rsid w:val="0099451E"/>
    <w:rsid w:val="0099475B"/>
    <w:rsid w:val="00994F84"/>
    <w:rsid w:val="00994FEC"/>
    <w:rsid w:val="00995971"/>
    <w:rsid w:val="00996251"/>
    <w:rsid w:val="009966CA"/>
    <w:rsid w:val="00996B1A"/>
    <w:rsid w:val="00996B48"/>
    <w:rsid w:val="009A1219"/>
    <w:rsid w:val="009A1816"/>
    <w:rsid w:val="009A18F6"/>
    <w:rsid w:val="009A202D"/>
    <w:rsid w:val="009A2DCC"/>
    <w:rsid w:val="009A2DDF"/>
    <w:rsid w:val="009A3147"/>
    <w:rsid w:val="009A340A"/>
    <w:rsid w:val="009A410E"/>
    <w:rsid w:val="009A4389"/>
    <w:rsid w:val="009A5761"/>
    <w:rsid w:val="009A5ABC"/>
    <w:rsid w:val="009A674C"/>
    <w:rsid w:val="009A6C1D"/>
    <w:rsid w:val="009A70F3"/>
    <w:rsid w:val="009A7145"/>
    <w:rsid w:val="009A7857"/>
    <w:rsid w:val="009A7CD3"/>
    <w:rsid w:val="009A7F10"/>
    <w:rsid w:val="009A7F82"/>
    <w:rsid w:val="009B0387"/>
    <w:rsid w:val="009B0AA7"/>
    <w:rsid w:val="009B18AB"/>
    <w:rsid w:val="009B2DEB"/>
    <w:rsid w:val="009B3207"/>
    <w:rsid w:val="009B3570"/>
    <w:rsid w:val="009B3E26"/>
    <w:rsid w:val="009B3F3E"/>
    <w:rsid w:val="009B50C0"/>
    <w:rsid w:val="009B6159"/>
    <w:rsid w:val="009B6233"/>
    <w:rsid w:val="009B6B34"/>
    <w:rsid w:val="009B70B1"/>
    <w:rsid w:val="009C0A59"/>
    <w:rsid w:val="009C1271"/>
    <w:rsid w:val="009C365D"/>
    <w:rsid w:val="009C3706"/>
    <w:rsid w:val="009C3A3A"/>
    <w:rsid w:val="009C3E1C"/>
    <w:rsid w:val="009C43F8"/>
    <w:rsid w:val="009C44FD"/>
    <w:rsid w:val="009C5007"/>
    <w:rsid w:val="009C58DB"/>
    <w:rsid w:val="009C5C0D"/>
    <w:rsid w:val="009C6321"/>
    <w:rsid w:val="009C6CEA"/>
    <w:rsid w:val="009C70C6"/>
    <w:rsid w:val="009C7593"/>
    <w:rsid w:val="009C7836"/>
    <w:rsid w:val="009C797F"/>
    <w:rsid w:val="009C7B85"/>
    <w:rsid w:val="009D0254"/>
    <w:rsid w:val="009D07FD"/>
    <w:rsid w:val="009D1A64"/>
    <w:rsid w:val="009D1D45"/>
    <w:rsid w:val="009D1F59"/>
    <w:rsid w:val="009D4F7E"/>
    <w:rsid w:val="009D5B91"/>
    <w:rsid w:val="009D728E"/>
    <w:rsid w:val="009D792E"/>
    <w:rsid w:val="009E0DFE"/>
    <w:rsid w:val="009E1A45"/>
    <w:rsid w:val="009E280F"/>
    <w:rsid w:val="009E3120"/>
    <w:rsid w:val="009E31F6"/>
    <w:rsid w:val="009E3641"/>
    <w:rsid w:val="009E3922"/>
    <w:rsid w:val="009E4306"/>
    <w:rsid w:val="009E460A"/>
    <w:rsid w:val="009E4AAB"/>
    <w:rsid w:val="009E4C07"/>
    <w:rsid w:val="009E4D05"/>
    <w:rsid w:val="009E52ED"/>
    <w:rsid w:val="009E5502"/>
    <w:rsid w:val="009E5534"/>
    <w:rsid w:val="009E5A2E"/>
    <w:rsid w:val="009E5F52"/>
    <w:rsid w:val="009E6825"/>
    <w:rsid w:val="009E777F"/>
    <w:rsid w:val="009F05C6"/>
    <w:rsid w:val="009F0746"/>
    <w:rsid w:val="009F0AAF"/>
    <w:rsid w:val="009F2D69"/>
    <w:rsid w:val="009F2F1B"/>
    <w:rsid w:val="009F4EDE"/>
    <w:rsid w:val="009F6120"/>
    <w:rsid w:val="009F64FD"/>
    <w:rsid w:val="00A00011"/>
    <w:rsid w:val="00A0011A"/>
    <w:rsid w:val="00A00AFA"/>
    <w:rsid w:val="00A00D76"/>
    <w:rsid w:val="00A00E8E"/>
    <w:rsid w:val="00A01135"/>
    <w:rsid w:val="00A01184"/>
    <w:rsid w:val="00A01449"/>
    <w:rsid w:val="00A01954"/>
    <w:rsid w:val="00A01BDA"/>
    <w:rsid w:val="00A02A01"/>
    <w:rsid w:val="00A02C08"/>
    <w:rsid w:val="00A03622"/>
    <w:rsid w:val="00A037C2"/>
    <w:rsid w:val="00A03D43"/>
    <w:rsid w:val="00A04380"/>
    <w:rsid w:val="00A04786"/>
    <w:rsid w:val="00A049B6"/>
    <w:rsid w:val="00A04E4A"/>
    <w:rsid w:val="00A0518C"/>
    <w:rsid w:val="00A0531E"/>
    <w:rsid w:val="00A05472"/>
    <w:rsid w:val="00A057FE"/>
    <w:rsid w:val="00A05C32"/>
    <w:rsid w:val="00A06055"/>
    <w:rsid w:val="00A0653F"/>
    <w:rsid w:val="00A066AE"/>
    <w:rsid w:val="00A07823"/>
    <w:rsid w:val="00A10682"/>
    <w:rsid w:val="00A10FE7"/>
    <w:rsid w:val="00A11670"/>
    <w:rsid w:val="00A11CD0"/>
    <w:rsid w:val="00A12A78"/>
    <w:rsid w:val="00A13225"/>
    <w:rsid w:val="00A13948"/>
    <w:rsid w:val="00A13DCC"/>
    <w:rsid w:val="00A14BF7"/>
    <w:rsid w:val="00A1555B"/>
    <w:rsid w:val="00A155C5"/>
    <w:rsid w:val="00A159F9"/>
    <w:rsid w:val="00A160FE"/>
    <w:rsid w:val="00A16AD8"/>
    <w:rsid w:val="00A171F2"/>
    <w:rsid w:val="00A179DE"/>
    <w:rsid w:val="00A17E81"/>
    <w:rsid w:val="00A2021E"/>
    <w:rsid w:val="00A203FF"/>
    <w:rsid w:val="00A207D0"/>
    <w:rsid w:val="00A2095F"/>
    <w:rsid w:val="00A2130F"/>
    <w:rsid w:val="00A21C95"/>
    <w:rsid w:val="00A21CF3"/>
    <w:rsid w:val="00A22100"/>
    <w:rsid w:val="00A22A15"/>
    <w:rsid w:val="00A22B5A"/>
    <w:rsid w:val="00A22BAC"/>
    <w:rsid w:val="00A23F45"/>
    <w:rsid w:val="00A240AC"/>
    <w:rsid w:val="00A245DF"/>
    <w:rsid w:val="00A24813"/>
    <w:rsid w:val="00A24A3D"/>
    <w:rsid w:val="00A24B2F"/>
    <w:rsid w:val="00A254A4"/>
    <w:rsid w:val="00A26B85"/>
    <w:rsid w:val="00A2704F"/>
    <w:rsid w:val="00A27505"/>
    <w:rsid w:val="00A27AEC"/>
    <w:rsid w:val="00A320DB"/>
    <w:rsid w:val="00A3374F"/>
    <w:rsid w:val="00A34327"/>
    <w:rsid w:val="00A352B8"/>
    <w:rsid w:val="00A3549E"/>
    <w:rsid w:val="00A355DF"/>
    <w:rsid w:val="00A35D16"/>
    <w:rsid w:val="00A35FA5"/>
    <w:rsid w:val="00A36638"/>
    <w:rsid w:val="00A36C42"/>
    <w:rsid w:val="00A36FF9"/>
    <w:rsid w:val="00A37523"/>
    <w:rsid w:val="00A37BCD"/>
    <w:rsid w:val="00A40706"/>
    <w:rsid w:val="00A40C71"/>
    <w:rsid w:val="00A40D03"/>
    <w:rsid w:val="00A41689"/>
    <w:rsid w:val="00A4196B"/>
    <w:rsid w:val="00A41B41"/>
    <w:rsid w:val="00A42592"/>
    <w:rsid w:val="00A42D88"/>
    <w:rsid w:val="00A43C59"/>
    <w:rsid w:val="00A44BF3"/>
    <w:rsid w:val="00A44E2D"/>
    <w:rsid w:val="00A450B8"/>
    <w:rsid w:val="00A469EF"/>
    <w:rsid w:val="00A46A91"/>
    <w:rsid w:val="00A475C8"/>
    <w:rsid w:val="00A47939"/>
    <w:rsid w:val="00A501E1"/>
    <w:rsid w:val="00A50450"/>
    <w:rsid w:val="00A5089F"/>
    <w:rsid w:val="00A509E4"/>
    <w:rsid w:val="00A50ECD"/>
    <w:rsid w:val="00A5161D"/>
    <w:rsid w:val="00A518F3"/>
    <w:rsid w:val="00A52729"/>
    <w:rsid w:val="00A52EB0"/>
    <w:rsid w:val="00A531DD"/>
    <w:rsid w:val="00A53675"/>
    <w:rsid w:val="00A54A20"/>
    <w:rsid w:val="00A56086"/>
    <w:rsid w:val="00A563D7"/>
    <w:rsid w:val="00A564D7"/>
    <w:rsid w:val="00A568F9"/>
    <w:rsid w:val="00A56B3A"/>
    <w:rsid w:val="00A56B6A"/>
    <w:rsid w:val="00A57884"/>
    <w:rsid w:val="00A578DC"/>
    <w:rsid w:val="00A57EE3"/>
    <w:rsid w:val="00A60685"/>
    <w:rsid w:val="00A628DE"/>
    <w:rsid w:val="00A62B7D"/>
    <w:rsid w:val="00A62C5B"/>
    <w:rsid w:val="00A63397"/>
    <w:rsid w:val="00A634F1"/>
    <w:rsid w:val="00A63A5F"/>
    <w:rsid w:val="00A640E2"/>
    <w:rsid w:val="00A645AB"/>
    <w:rsid w:val="00A64D65"/>
    <w:rsid w:val="00A64F17"/>
    <w:rsid w:val="00A65AC1"/>
    <w:rsid w:val="00A6607C"/>
    <w:rsid w:val="00A6640F"/>
    <w:rsid w:val="00A66B3D"/>
    <w:rsid w:val="00A6725B"/>
    <w:rsid w:val="00A67AAA"/>
    <w:rsid w:val="00A70605"/>
    <w:rsid w:val="00A706F0"/>
    <w:rsid w:val="00A70A24"/>
    <w:rsid w:val="00A71362"/>
    <w:rsid w:val="00A723AE"/>
    <w:rsid w:val="00A72ECA"/>
    <w:rsid w:val="00A73134"/>
    <w:rsid w:val="00A7365A"/>
    <w:rsid w:val="00A73C74"/>
    <w:rsid w:val="00A750D0"/>
    <w:rsid w:val="00A751CD"/>
    <w:rsid w:val="00A76001"/>
    <w:rsid w:val="00A76C3F"/>
    <w:rsid w:val="00A7738F"/>
    <w:rsid w:val="00A774B3"/>
    <w:rsid w:val="00A777B2"/>
    <w:rsid w:val="00A77F70"/>
    <w:rsid w:val="00A80E45"/>
    <w:rsid w:val="00A81537"/>
    <w:rsid w:val="00A82060"/>
    <w:rsid w:val="00A825D4"/>
    <w:rsid w:val="00A828F6"/>
    <w:rsid w:val="00A82B73"/>
    <w:rsid w:val="00A83B09"/>
    <w:rsid w:val="00A83E1D"/>
    <w:rsid w:val="00A841FE"/>
    <w:rsid w:val="00A851F8"/>
    <w:rsid w:val="00A852FA"/>
    <w:rsid w:val="00A85322"/>
    <w:rsid w:val="00A854F7"/>
    <w:rsid w:val="00A857F2"/>
    <w:rsid w:val="00A86785"/>
    <w:rsid w:val="00A867D2"/>
    <w:rsid w:val="00A86E8B"/>
    <w:rsid w:val="00A86F8C"/>
    <w:rsid w:val="00A87164"/>
    <w:rsid w:val="00A87351"/>
    <w:rsid w:val="00A87D06"/>
    <w:rsid w:val="00A902F2"/>
    <w:rsid w:val="00A9120C"/>
    <w:rsid w:val="00A91459"/>
    <w:rsid w:val="00A91BA3"/>
    <w:rsid w:val="00A91D69"/>
    <w:rsid w:val="00A92505"/>
    <w:rsid w:val="00A92E7E"/>
    <w:rsid w:val="00A93072"/>
    <w:rsid w:val="00A9344A"/>
    <w:rsid w:val="00A938BD"/>
    <w:rsid w:val="00A93953"/>
    <w:rsid w:val="00A94C50"/>
    <w:rsid w:val="00A94DF4"/>
    <w:rsid w:val="00A95112"/>
    <w:rsid w:val="00A95696"/>
    <w:rsid w:val="00A959D8"/>
    <w:rsid w:val="00A9601E"/>
    <w:rsid w:val="00A9633B"/>
    <w:rsid w:val="00A96CE5"/>
    <w:rsid w:val="00A97A7A"/>
    <w:rsid w:val="00AA10FB"/>
    <w:rsid w:val="00AA113D"/>
    <w:rsid w:val="00AA1980"/>
    <w:rsid w:val="00AA24F0"/>
    <w:rsid w:val="00AA381B"/>
    <w:rsid w:val="00AA3A38"/>
    <w:rsid w:val="00AA43D3"/>
    <w:rsid w:val="00AA5204"/>
    <w:rsid w:val="00AA6BD5"/>
    <w:rsid w:val="00AA6BD8"/>
    <w:rsid w:val="00AA6C7D"/>
    <w:rsid w:val="00AA773D"/>
    <w:rsid w:val="00AA787D"/>
    <w:rsid w:val="00AA7A02"/>
    <w:rsid w:val="00AA7FD6"/>
    <w:rsid w:val="00AB042A"/>
    <w:rsid w:val="00AB0DD7"/>
    <w:rsid w:val="00AB0E9F"/>
    <w:rsid w:val="00AB11AD"/>
    <w:rsid w:val="00AB19EF"/>
    <w:rsid w:val="00AB2495"/>
    <w:rsid w:val="00AB250D"/>
    <w:rsid w:val="00AB2618"/>
    <w:rsid w:val="00AB27F6"/>
    <w:rsid w:val="00AB2C8E"/>
    <w:rsid w:val="00AB2D34"/>
    <w:rsid w:val="00AB3304"/>
    <w:rsid w:val="00AB3430"/>
    <w:rsid w:val="00AB37B9"/>
    <w:rsid w:val="00AB38B3"/>
    <w:rsid w:val="00AB39E1"/>
    <w:rsid w:val="00AB4A53"/>
    <w:rsid w:val="00AB4AD1"/>
    <w:rsid w:val="00AB5664"/>
    <w:rsid w:val="00AB5737"/>
    <w:rsid w:val="00AB5E07"/>
    <w:rsid w:val="00AB6423"/>
    <w:rsid w:val="00AB77B7"/>
    <w:rsid w:val="00AB78F8"/>
    <w:rsid w:val="00AB7CFA"/>
    <w:rsid w:val="00AC049F"/>
    <w:rsid w:val="00AC0605"/>
    <w:rsid w:val="00AC0F5F"/>
    <w:rsid w:val="00AC1367"/>
    <w:rsid w:val="00AC2580"/>
    <w:rsid w:val="00AC2C30"/>
    <w:rsid w:val="00AC2EB8"/>
    <w:rsid w:val="00AC3F92"/>
    <w:rsid w:val="00AC4659"/>
    <w:rsid w:val="00AC511D"/>
    <w:rsid w:val="00AC553B"/>
    <w:rsid w:val="00AC5B42"/>
    <w:rsid w:val="00AC5B48"/>
    <w:rsid w:val="00AC5D3C"/>
    <w:rsid w:val="00AC5D52"/>
    <w:rsid w:val="00AC686D"/>
    <w:rsid w:val="00AC6897"/>
    <w:rsid w:val="00AC6929"/>
    <w:rsid w:val="00AC69CB"/>
    <w:rsid w:val="00AD00A9"/>
    <w:rsid w:val="00AD00B0"/>
    <w:rsid w:val="00AD050A"/>
    <w:rsid w:val="00AD06B5"/>
    <w:rsid w:val="00AD1450"/>
    <w:rsid w:val="00AD15E8"/>
    <w:rsid w:val="00AD1D6B"/>
    <w:rsid w:val="00AD1F47"/>
    <w:rsid w:val="00AD356D"/>
    <w:rsid w:val="00AD55E0"/>
    <w:rsid w:val="00AD5AB7"/>
    <w:rsid w:val="00AD5B0E"/>
    <w:rsid w:val="00AD5F4D"/>
    <w:rsid w:val="00AD635D"/>
    <w:rsid w:val="00AD6464"/>
    <w:rsid w:val="00AD6502"/>
    <w:rsid w:val="00AE032C"/>
    <w:rsid w:val="00AE04ED"/>
    <w:rsid w:val="00AE0695"/>
    <w:rsid w:val="00AE1576"/>
    <w:rsid w:val="00AE1B95"/>
    <w:rsid w:val="00AE2128"/>
    <w:rsid w:val="00AE235B"/>
    <w:rsid w:val="00AE2738"/>
    <w:rsid w:val="00AE3E7E"/>
    <w:rsid w:val="00AE4940"/>
    <w:rsid w:val="00AE5268"/>
    <w:rsid w:val="00AE5B32"/>
    <w:rsid w:val="00AE5D8E"/>
    <w:rsid w:val="00AE5F1E"/>
    <w:rsid w:val="00AE62AE"/>
    <w:rsid w:val="00AE71DB"/>
    <w:rsid w:val="00AE7631"/>
    <w:rsid w:val="00AE7E53"/>
    <w:rsid w:val="00AF076E"/>
    <w:rsid w:val="00AF0D1D"/>
    <w:rsid w:val="00AF121E"/>
    <w:rsid w:val="00AF12D6"/>
    <w:rsid w:val="00AF1315"/>
    <w:rsid w:val="00AF19BF"/>
    <w:rsid w:val="00AF1BCE"/>
    <w:rsid w:val="00AF1CD7"/>
    <w:rsid w:val="00AF1DC7"/>
    <w:rsid w:val="00AF1E7C"/>
    <w:rsid w:val="00AF2DC3"/>
    <w:rsid w:val="00AF319A"/>
    <w:rsid w:val="00AF425D"/>
    <w:rsid w:val="00AF4DBB"/>
    <w:rsid w:val="00AF4F56"/>
    <w:rsid w:val="00AF522D"/>
    <w:rsid w:val="00AF5ABA"/>
    <w:rsid w:val="00AF62FF"/>
    <w:rsid w:val="00B00E29"/>
    <w:rsid w:val="00B018F0"/>
    <w:rsid w:val="00B01D50"/>
    <w:rsid w:val="00B033E5"/>
    <w:rsid w:val="00B03A63"/>
    <w:rsid w:val="00B041B0"/>
    <w:rsid w:val="00B04400"/>
    <w:rsid w:val="00B04C44"/>
    <w:rsid w:val="00B059F4"/>
    <w:rsid w:val="00B05A2C"/>
    <w:rsid w:val="00B05AF2"/>
    <w:rsid w:val="00B06447"/>
    <w:rsid w:val="00B0647E"/>
    <w:rsid w:val="00B07BC4"/>
    <w:rsid w:val="00B101C0"/>
    <w:rsid w:val="00B109D6"/>
    <w:rsid w:val="00B11353"/>
    <w:rsid w:val="00B120EA"/>
    <w:rsid w:val="00B12370"/>
    <w:rsid w:val="00B129A4"/>
    <w:rsid w:val="00B129CC"/>
    <w:rsid w:val="00B12E7B"/>
    <w:rsid w:val="00B12FD0"/>
    <w:rsid w:val="00B13791"/>
    <w:rsid w:val="00B15E4E"/>
    <w:rsid w:val="00B16279"/>
    <w:rsid w:val="00B16CB6"/>
    <w:rsid w:val="00B17D4B"/>
    <w:rsid w:val="00B201A4"/>
    <w:rsid w:val="00B201D1"/>
    <w:rsid w:val="00B20E6B"/>
    <w:rsid w:val="00B21233"/>
    <w:rsid w:val="00B213A6"/>
    <w:rsid w:val="00B22D3F"/>
    <w:rsid w:val="00B22E07"/>
    <w:rsid w:val="00B22F14"/>
    <w:rsid w:val="00B235B0"/>
    <w:rsid w:val="00B2370D"/>
    <w:rsid w:val="00B237D3"/>
    <w:rsid w:val="00B24DF6"/>
    <w:rsid w:val="00B25B07"/>
    <w:rsid w:val="00B26672"/>
    <w:rsid w:val="00B26FCD"/>
    <w:rsid w:val="00B2733B"/>
    <w:rsid w:val="00B27A61"/>
    <w:rsid w:val="00B27B76"/>
    <w:rsid w:val="00B27D5A"/>
    <w:rsid w:val="00B30062"/>
    <w:rsid w:val="00B3137D"/>
    <w:rsid w:val="00B313E1"/>
    <w:rsid w:val="00B31535"/>
    <w:rsid w:val="00B31B45"/>
    <w:rsid w:val="00B31F5C"/>
    <w:rsid w:val="00B324DB"/>
    <w:rsid w:val="00B33306"/>
    <w:rsid w:val="00B33344"/>
    <w:rsid w:val="00B33B27"/>
    <w:rsid w:val="00B344FA"/>
    <w:rsid w:val="00B34967"/>
    <w:rsid w:val="00B34FE2"/>
    <w:rsid w:val="00B35166"/>
    <w:rsid w:val="00B357D8"/>
    <w:rsid w:val="00B35EA8"/>
    <w:rsid w:val="00B360F4"/>
    <w:rsid w:val="00B36716"/>
    <w:rsid w:val="00B36A00"/>
    <w:rsid w:val="00B36B94"/>
    <w:rsid w:val="00B371F2"/>
    <w:rsid w:val="00B3792B"/>
    <w:rsid w:val="00B37BFC"/>
    <w:rsid w:val="00B37F4F"/>
    <w:rsid w:val="00B40358"/>
    <w:rsid w:val="00B40624"/>
    <w:rsid w:val="00B406EE"/>
    <w:rsid w:val="00B40749"/>
    <w:rsid w:val="00B41148"/>
    <w:rsid w:val="00B413CA"/>
    <w:rsid w:val="00B41614"/>
    <w:rsid w:val="00B41690"/>
    <w:rsid w:val="00B42517"/>
    <w:rsid w:val="00B42851"/>
    <w:rsid w:val="00B429AB"/>
    <w:rsid w:val="00B42D67"/>
    <w:rsid w:val="00B42F80"/>
    <w:rsid w:val="00B435CB"/>
    <w:rsid w:val="00B435D1"/>
    <w:rsid w:val="00B43857"/>
    <w:rsid w:val="00B438AD"/>
    <w:rsid w:val="00B4391B"/>
    <w:rsid w:val="00B44985"/>
    <w:rsid w:val="00B44E2D"/>
    <w:rsid w:val="00B465EC"/>
    <w:rsid w:val="00B4697D"/>
    <w:rsid w:val="00B47100"/>
    <w:rsid w:val="00B47385"/>
    <w:rsid w:val="00B47987"/>
    <w:rsid w:val="00B50473"/>
    <w:rsid w:val="00B505C8"/>
    <w:rsid w:val="00B50B95"/>
    <w:rsid w:val="00B50DB8"/>
    <w:rsid w:val="00B5127B"/>
    <w:rsid w:val="00B513F9"/>
    <w:rsid w:val="00B51D74"/>
    <w:rsid w:val="00B5287E"/>
    <w:rsid w:val="00B5304C"/>
    <w:rsid w:val="00B53654"/>
    <w:rsid w:val="00B53905"/>
    <w:rsid w:val="00B540AA"/>
    <w:rsid w:val="00B541F2"/>
    <w:rsid w:val="00B542C9"/>
    <w:rsid w:val="00B546A0"/>
    <w:rsid w:val="00B546DB"/>
    <w:rsid w:val="00B5470A"/>
    <w:rsid w:val="00B54AC3"/>
    <w:rsid w:val="00B54B5B"/>
    <w:rsid w:val="00B5562E"/>
    <w:rsid w:val="00B55862"/>
    <w:rsid w:val="00B55D65"/>
    <w:rsid w:val="00B55E7B"/>
    <w:rsid w:val="00B5625D"/>
    <w:rsid w:val="00B56305"/>
    <w:rsid w:val="00B5638E"/>
    <w:rsid w:val="00B568A5"/>
    <w:rsid w:val="00B57000"/>
    <w:rsid w:val="00B570F2"/>
    <w:rsid w:val="00B57651"/>
    <w:rsid w:val="00B578A8"/>
    <w:rsid w:val="00B57E42"/>
    <w:rsid w:val="00B60890"/>
    <w:rsid w:val="00B60939"/>
    <w:rsid w:val="00B60AFD"/>
    <w:rsid w:val="00B617DA"/>
    <w:rsid w:val="00B61B94"/>
    <w:rsid w:val="00B61F36"/>
    <w:rsid w:val="00B62715"/>
    <w:rsid w:val="00B62E88"/>
    <w:rsid w:val="00B63237"/>
    <w:rsid w:val="00B63541"/>
    <w:rsid w:val="00B64459"/>
    <w:rsid w:val="00B6448B"/>
    <w:rsid w:val="00B65611"/>
    <w:rsid w:val="00B70E8E"/>
    <w:rsid w:val="00B71EF8"/>
    <w:rsid w:val="00B71F56"/>
    <w:rsid w:val="00B728EC"/>
    <w:rsid w:val="00B72BD0"/>
    <w:rsid w:val="00B73C05"/>
    <w:rsid w:val="00B73FFB"/>
    <w:rsid w:val="00B7416F"/>
    <w:rsid w:val="00B7537E"/>
    <w:rsid w:val="00B766B6"/>
    <w:rsid w:val="00B76C92"/>
    <w:rsid w:val="00B770EE"/>
    <w:rsid w:val="00B77255"/>
    <w:rsid w:val="00B804C4"/>
    <w:rsid w:val="00B80C5B"/>
    <w:rsid w:val="00B80CB2"/>
    <w:rsid w:val="00B80EFD"/>
    <w:rsid w:val="00B816B0"/>
    <w:rsid w:val="00B818A4"/>
    <w:rsid w:val="00B819D8"/>
    <w:rsid w:val="00B81B08"/>
    <w:rsid w:val="00B81E0A"/>
    <w:rsid w:val="00B826B7"/>
    <w:rsid w:val="00B834CD"/>
    <w:rsid w:val="00B836AC"/>
    <w:rsid w:val="00B83739"/>
    <w:rsid w:val="00B838F7"/>
    <w:rsid w:val="00B83CEE"/>
    <w:rsid w:val="00B84117"/>
    <w:rsid w:val="00B844B6"/>
    <w:rsid w:val="00B849CC"/>
    <w:rsid w:val="00B84C93"/>
    <w:rsid w:val="00B8503D"/>
    <w:rsid w:val="00B8554F"/>
    <w:rsid w:val="00B858F0"/>
    <w:rsid w:val="00B85AA2"/>
    <w:rsid w:val="00B85F7C"/>
    <w:rsid w:val="00B8649C"/>
    <w:rsid w:val="00B86764"/>
    <w:rsid w:val="00B8695D"/>
    <w:rsid w:val="00B872F1"/>
    <w:rsid w:val="00B87B3A"/>
    <w:rsid w:val="00B87EB7"/>
    <w:rsid w:val="00B87F0A"/>
    <w:rsid w:val="00B90231"/>
    <w:rsid w:val="00B90BFF"/>
    <w:rsid w:val="00B91938"/>
    <w:rsid w:val="00B91C40"/>
    <w:rsid w:val="00B91F30"/>
    <w:rsid w:val="00B92D0B"/>
    <w:rsid w:val="00B93673"/>
    <w:rsid w:val="00B937B6"/>
    <w:rsid w:val="00B9395C"/>
    <w:rsid w:val="00B93ABC"/>
    <w:rsid w:val="00B94945"/>
    <w:rsid w:val="00B94AA9"/>
    <w:rsid w:val="00B94CE7"/>
    <w:rsid w:val="00B94D2A"/>
    <w:rsid w:val="00B94DD6"/>
    <w:rsid w:val="00B95B30"/>
    <w:rsid w:val="00B968F8"/>
    <w:rsid w:val="00B9695E"/>
    <w:rsid w:val="00B96C81"/>
    <w:rsid w:val="00B96D84"/>
    <w:rsid w:val="00B9753C"/>
    <w:rsid w:val="00B9767B"/>
    <w:rsid w:val="00BA0ED3"/>
    <w:rsid w:val="00BA1578"/>
    <w:rsid w:val="00BA2622"/>
    <w:rsid w:val="00BA2A0C"/>
    <w:rsid w:val="00BA30E8"/>
    <w:rsid w:val="00BA322D"/>
    <w:rsid w:val="00BA3895"/>
    <w:rsid w:val="00BA38FB"/>
    <w:rsid w:val="00BA3B28"/>
    <w:rsid w:val="00BA3EAF"/>
    <w:rsid w:val="00BA434C"/>
    <w:rsid w:val="00BA4F0D"/>
    <w:rsid w:val="00BA568A"/>
    <w:rsid w:val="00BA5D88"/>
    <w:rsid w:val="00BA5FA0"/>
    <w:rsid w:val="00BA63FA"/>
    <w:rsid w:val="00BA68CA"/>
    <w:rsid w:val="00BA6C43"/>
    <w:rsid w:val="00BA7307"/>
    <w:rsid w:val="00BA7F90"/>
    <w:rsid w:val="00BB00B3"/>
    <w:rsid w:val="00BB0BDD"/>
    <w:rsid w:val="00BB176C"/>
    <w:rsid w:val="00BB1FDA"/>
    <w:rsid w:val="00BB2A73"/>
    <w:rsid w:val="00BB2A9A"/>
    <w:rsid w:val="00BB3826"/>
    <w:rsid w:val="00BB3A45"/>
    <w:rsid w:val="00BB3DD7"/>
    <w:rsid w:val="00BB4459"/>
    <w:rsid w:val="00BB4471"/>
    <w:rsid w:val="00BB483E"/>
    <w:rsid w:val="00BB4ACC"/>
    <w:rsid w:val="00BB52F7"/>
    <w:rsid w:val="00BB5585"/>
    <w:rsid w:val="00BB55FA"/>
    <w:rsid w:val="00BB5D73"/>
    <w:rsid w:val="00BB6E9A"/>
    <w:rsid w:val="00BB703E"/>
    <w:rsid w:val="00BB705B"/>
    <w:rsid w:val="00BB7072"/>
    <w:rsid w:val="00BB732D"/>
    <w:rsid w:val="00BB7405"/>
    <w:rsid w:val="00BC28DE"/>
    <w:rsid w:val="00BC32AC"/>
    <w:rsid w:val="00BC34B3"/>
    <w:rsid w:val="00BC35B0"/>
    <w:rsid w:val="00BC3631"/>
    <w:rsid w:val="00BC40B8"/>
    <w:rsid w:val="00BC50A1"/>
    <w:rsid w:val="00BC5534"/>
    <w:rsid w:val="00BC591F"/>
    <w:rsid w:val="00BC6395"/>
    <w:rsid w:val="00BC79BA"/>
    <w:rsid w:val="00BC7D6D"/>
    <w:rsid w:val="00BC7E7A"/>
    <w:rsid w:val="00BD0985"/>
    <w:rsid w:val="00BD0CB9"/>
    <w:rsid w:val="00BD1A56"/>
    <w:rsid w:val="00BD1A83"/>
    <w:rsid w:val="00BD2108"/>
    <w:rsid w:val="00BD218B"/>
    <w:rsid w:val="00BD247F"/>
    <w:rsid w:val="00BD2BB6"/>
    <w:rsid w:val="00BD2D03"/>
    <w:rsid w:val="00BD3814"/>
    <w:rsid w:val="00BD3C97"/>
    <w:rsid w:val="00BD4059"/>
    <w:rsid w:val="00BD46D0"/>
    <w:rsid w:val="00BD5C2F"/>
    <w:rsid w:val="00BD64A0"/>
    <w:rsid w:val="00BD68A3"/>
    <w:rsid w:val="00BD6938"/>
    <w:rsid w:val="00BD6CF3"/>
    <w:rsid w:val="00BD70F4"/>
    <w:rsid w:val="00BD77A6"/>
    <w:rsid w:val="00BD78C6"/>
    <w:rsid w:val="00BD7F72"/>
    <w:rsid w:val="00BE0017"/>
    <w:rsid w:val="00BE0ECA"/>
    <w:rsid w:val="00BE109E"/>
    <w:rsid w:val="00BE2180"/>
    <w:rsid w:val="00BE21F2"/>
    <w:rsid w:val="00BE28EA"/>
    <w:rsid w:val="00BE30C5"/>
    <w:rsid w:val="00BE334D"/>
    <w:rsid w:val="00BE3B83"/>
    <w:rsid w:val="00BE3D9A"/>
    <w:rsid w:val="00BE4275"/>
    <w:rsid w:val="00BE58BB"/>
    <w:rsid w:val="00BE5A84"/>
    <w:rsid w:val="00BE6093"/>
    <w:rsid w:val="00BE6240"/>
    <w:rsid w:val="00BE6301"/>
    <w:rsid w:val="00BE6352"/>
    <w:rsid w:val="00BE66BA"/>
    <w:rsid w:val="00BE6C64"/>
    <w:rsid w:val="00BE7761"/>
    <w:rsid w:val="00BF03EB"/>
    <w:rsid w:val="00BF06AE"/>
    <w:rsid w:val="00BF094F"/>
    <w:rsid w:val="00BF0F95"/>
    <w:rsid w:val="00BF177D"/>
    <w:rsid w:val="00BF237A"/>
    <w:rsid w:val="00BF2433"/>
    <w:rsid w:val="00BF2AD8"/>
    <w:rsid w:val="00BF2B0A"/>
    <w:rsid w:val="00BF2DC8"/>
    <w:rsid w:val="00BF2E6E"/>
    <w:rsid w:val="00BF3DA0"/>
    <w:rsid w:val="00BF4003"/>
    <w:rsid w:val="00BF45F4"/>
    <w:rsid w:val="00BF4E94"/>
    <w:rsid w:val="00BF507D"/>
    <w:rsid w:val="00BF561B"/>
    <w:rsid w:val="00BF5A58"/>
    <w:rsid w:val="00BF61C9"/>
    <w:rsid w:val="00BF68F3"/>
    <w:rsid w:val="00BF6C94"/>
    <w:rsid w:val="00BF6E40"/>
    <w:rsid w:val="00C00424"/>
    <w:rsid w:val="00C00879"/>
    <w:rsid w:val="00C00BB0"/>
    <w:rsid w:val="00C010B1"/>
    <w:rsid w:val="00C01618"/>
    <w:rsid w:val="00C0261B"/>
    <w:rsid w:val="00C02A99"/>
    <w:rsid w:val="00C03997"/>
    <w:rsid w:val="00C03A4B"/>
    <w:rsid w:val="00C049B5"/>
    <w:rsid w:val="00C04A10"/>
    <w:rsid w:val="00C05502"/>
    <w:rsid w:val="00C07510"/>
    <w:rsid w:val="00C07778"/>
    <w:rsid w:val="00C07815"/>
    <w:rsid w:val="00C1179F"/>
    <w:rsid w:val="00C11F2A"/>
    <w:rsid w:val="00C12233"/>
    <w:rsid w:val="00C127B9"/>
    <w:rsid w:val="00C128FA"/>
    <w:rsid w:val="00C12C14"/>
    <w:rsid w:val="00C135C7"/>
    <w:rsid w:val="00C14341"/>
    <w:rsid w:val="00C15599"/>
    <w:rsid w:val="00C15A2D"/>
    <w:rsid w:val="00C15F04"/>
    <w:rsid w:val="00C179B3"/>
    <w:rsid w:val="00C179BC"/>
    <w:rsid w:val="00C17BE4"/>
    <w:rsid w:val="00C17E3F"/>
    <w:rsid w:val="00C200AA"/>
    <w:rsid w:val="00C20F5A"/>
    <w:rsid w:val="00C214DB"/>
    <w:rsid w:val="00C22A26"/>
    <w:rsid w:val="00C22C0E"/>
    <w:rsid w:val="00C22CCF"/>
    <w:rsid w:val="00C22FE6"/>
    <w:rsid w:val="00C237CD"/>
    <w:rsid w:val="00C237ED"/>
    <w:rsid w:val="00C24632"/>
    <w:rsid w:val="00C25418"/>
    <w:rsid w:val="00C25506"/>
    <w:rsid w:val="00C25B60"/>
    <w:rsid w:val="00C25D9C"/>
    <w:rsid w:val="00C26139"/>
    <w:rsid w:val="00C2630D"/>
    <w:rsid w:val="00C26AE4"/>
    <w:rsid w:val="00C2702A"/>
    <w:rsid w:val="00C27237"/>
    <w:rsid w:val="00C27420"/>
    <w:rsid w:val="00C27477"/>
    <w:rsid w:val="00C27638"/>
    <w:rsid w:val="00C2778B"/>
    <w:rsid w:val="00C27EF5"/>
    <w:rsid w:val="00C30B37"/>
    <w:rsid w:val="00C3101F"/>
    <w:rsid w:val="00C31649"/>
    <w:rsid w:val="00C3179A"/>
    <w:rsid w:val="00C31CF7"/>
    <w:rsid w:val="00C320D2"/>
    <w:rsid w:val="00C326A9"/>
    <w:rsid w:val="00C327CA"/>
    <w:rsid w:val="00C335E6"/>
    <w:rsid w:val="00C342F1"/>
    <w:rsid w:val="00C3434C"/>
    <w:rsid w:val="00C346A6"/>
    <w:rsid w:val="00C35061"/>
    <w:rsid w:val="00C35A80"/>
    <w:rsid w:val="00C35B4C"/>
    <w:rsid w:val="00C377C0"/>
    <w:rsid w:val="00C37EE5"/>
    <w:rsid w:val="00C40385"/>
    <w:rsid w:val="00C4082D"/>
    <w:rsid w:val="00C41744"/>
    <w:rsid w:val="00C41768"/>
    <w:rsid w:val="00C41C76"/>
    <w:rsid w:val="00C41F25"/>
    <w:rsid w:val="00C422F5"/>
    <w:rsid w:val="00C423F6"/>
    <w:rsid w:val="00C427D4"/>
    <w:rsid w:val="00C42A40"/>
    <w:rsid w:val="00C436FE"/>
    <w:rsid w:val="00C437DD"/>
    <w:rsid w:val="00C43C3D"/>
    <w:rsid w:val="00C44AE3"/>
    <w:rsid w:val="00C45103"/>
    <w:rsid w:val="00C455B2"/>
    <w:rsid w:val="00C45668"/>
    <w:rsid w:val="00C45D11"/>
    <w:rsid w:val="00C4694F"/>
    <w:rsid w:val="00C46CCC"/>
    <w:rsid w:val="00C470DE"/>
    <w:rsid w:val="00C475AA"/>
    <w:rsid w:val="00C502EC"/>
    <w:rsid w:val="00C503C8"/>
    <w:rsid w:val="00C50649"/>
    <w:rsid w:val="00C50808"/>
    <w:rsid w:val="00C50A61"/>
    <w:rsid w:val="00C516F5"/>
    <w:rsid w:val="00C523F5"/>
    <w:rsid w:val="00C5262F"/>
    <w:rsid w:val="00C527C7"/>
    <w:rsid w:val="00C530FD"/>
    <w:rsid w:val="00C53C36"/>
    <w:rsid w:val="00C53C98"/>
    <w:rsid w:val="00C557FD"/>
    <w:rsid w:val="00C55B4D"/>
    <w:rsid w:val="00C56FCF"/>
    <w:rsid w:val="00C57374"/>
    <w:rsid w:val="00C57B6C"/>
    <w:rsid w:val="00C601AE"/>
    <w:rsid w:val="00C60FF6"/>
    <w:rsid w:val="00C613C9"/>
    <w:rsid w:val="00C61A59"/>
    <w:rsid w:val="00C61E37"/>
    <w:rsid w:val="00C628A6"/>
    <w:rsid w:val="00C62ECD"/>
    <w:rsid w:val="00C63837"/>
    <w:rsid w:val="00C63C78"/>
    <w:rsid w:val="00C64344"/>
    <w:rsid w:val="00C644A2"/>
    <w:rsid w:val="00C64849"/>
    <w:rsid w:val="00C64D78"/>
    <w:rsid w:val="00C650FA"/>
    <w:rsid w:val="00C65108"/>
    <w:rsid w:val="00C652D1"/>
    <w:rsid w:val="00C654C0"/>
    <w:rsid w:val="00C65576"/>
    <w:rsid w:val="00C66165"/>
    <w:rsid w:val="00C66BDB"/>
    <w:rsid w:val="00C66CFE"/>
    <w:rsid w:val="00C67374"/>
    <w:rsid w:val="00C6778C"/>
    <w:rsid w:val="00C67AF8"/>
    <w:rsid w:val="00C67BE1"/>
    <w:rsid w:val="00C7060A"/>
    <w:rsid w:val="00C70BB7"/>
    <w:rsid w:val="00C7151A"/>
    <w:rsid w:val="00C7176F"/>
    <w:rsid w:val="00C717E3"/>
    <w:rsid w:val="00C718AE"/>
    <w:rsid w:val="00C71F60"/>
    <w:rsid w:val="00C72241"/>
    <w:rsid w:val="00C724D6"/>
    <w:rsid w:val="00C72AEE"/>
    <w:rsid w:val="00C738FF"/>
    <w:rsid w:val="00C73AA0"/>
    <w:rsid w:val="00C742F4"/>
    <w:rsid w:val="00C74CA9"/>
    <w:rsid w:val="00C750C8"/>
    <w:rsid w:val="00C7560F"/>
    <w:rsid w:val="00C7587C"/>
    <w:rsid w:val="00C75A5F"/>
    <w:rsid w:val="00C7635B"/>
    <w:rsid w:val="00C767E8"/>
    <w:rsid w:val="00C76CCC"/>
    <w:rsid w:val="00C8038E"/>
    <w:rsid w:val="00C80A0E"/>
    <w:rsid w:val="00C80ACB"/>
    <w:rsid w:val="00C81A46"/>
    <w:rsid w:val="00C81E52"/>
    <w:rsid w:val="00C8213F"/>
    <w:rsid w:val="00C82195"/>
    <w:rsid w:val="00C821F2"/>
    <w:rsid w:val="00C823E3"/>
    <w:rsid w:val="00C82711"/>
    <w:rsid w:val="00C829DF"/>
    <w:rsid w:val="00C82A05"/>
    <w:rsid w:val="00C82B55"/>
    <w:rsid w:val="00C8303F"/>
    <w:rsid w:val="00C83341"/>
    <w:rsid w:val="00C83E12"/>
    <w:rsid w:val="00C84358"/>
    <w:rsid w:val="00C85154"/>
    <w:rsid w:val="00C8563D"/>
    <w:rsid w:val="00C85A70"/>
    <w:rsid w:val="00C864DE"/>
    <w:rsid w:val="00C86520"/>
    <w:rsid w:val="00C8715E"/>
    <w:rsid w:val="00C874EF"/>
    <w:rsid w:val="00C87583"/>
    <w:rsid w:val="00C8797A"/>
    <w:rsid w:val="00C87EAE"/>
    <w:rsid w:val="00C900B8"/>
    <w:rsid w:val="00C90197"/>
    <w:rsid w:val="00C90430"/>
    <w:rsid w:val="00C90C71"/>
    <w:rsid w:val="00C916CD"/>
    <w:rsid w:val="00C91FD1"/>
    <w:rsid w:val="00C925B5"/>
    <w:rsid w:val="00C92784"/>
    <w:rsid w:val="00C931CF"/>
    <w:rsid w:val="00C938CF"/>
    <w:rsid w:val="00C93F99"/>
    <w:rsid w:val="00C93FBF"/>
    <w:rsid w:val="00C94053"/>
    <w:rsid w:val="00C94AF7"/>
    <w:rsid w:val="00C95A52"/>
    <w:rsid w:val="00C9624D"/>
    <w:rsid w:val="00C96278"/>
    <w:rsid w:val="00C9676F"/>
    <w:rsid w:val="00C969DA"/>
    <w:rsid w:val="00C9788D"/>
    <w:rsid w:val="00CA0277"/>
    <w:rsid w:val="00CA08D6"/>
    <w:rsid w:val="00CA092D"/>
    <w:rsid w:val="00CA0CB3"/>
    <w:rsid w:val="00CA21BA"/>
    <w:rsid w:val="00CA2657"/>
    <w:rsid w:val="00CA292C"/>
    <w:rsid w:val="00CA2C77"/>
    <w:rsid w:val="00CA42DD"/>
    <w:rsid w:val="00CA444F"/>
    <w:rsid w:val="00CA4791"/>
    <w:rsid w:val="00CA505A"/>
    <w:rsid w:val="00CA5245"/>
    <w:rsid w:val="00CA5264"/>
    <w:rsid w:val="00CA545A"/>
    <w:rsid w:val="00CA5CB8"/>
    <w:rsid w:val="00CA678C"/>
    <w:rsid w:val="00CA6AA0"/>
    <w:rsid w:val="00CA6DE5"/>
    <w:rsid w:val="00CA6E34"/>
    <w:rsid w:val="00CA71F4"/>
    <w:rsid w:val="00CA752F"/>
    <w:rsid w:val="00CA7B09"/>
    <w:rsid w:val="00CA7C41"/>
    <w:rsid w:val="00CB12A5"/>
    <w:rsid w:val="00CB161E"/>
    <w:rsid w:val="00CB1882"/>
    <w:rsid w:val="00CB1CAC"/>
    <w:rsid w:val="00CB1EF0"/>
    <w:rsid w:val="00CB1F23"/>
    <w:rsid w:val="00CB236A"/>
    <w:rsid w:val="00CB243B"/>
    <w:rsid w:val="00CB2F2A"/>
    <w:rsid w:val="00CB35FA"/>
    <w:rsid w:val="00CB368E"/>
    <w:rsid w:val="00CB394B"/>
    <w:rsid w:val="00CB4209"/>
    <w:rsid w:val="00CB48AE"/>
    <w:rsid w:val="00CB53CD"/>
    <w:rsid w:val="00CB54C6"/>
    <w:rsid w:val="00CB5524"/>
    <w:rsid w:val="00CB5638"/>
    <w:rsid w:val="00CB5B1A"/>
    <w:rsid w:val="00CB5BB5"/>
    <w:rsid w:val="00CB5FD7"/>
    <w:rsid w:val="00CB6B22"/>
    <w:rsid w:val="00CB6E4D"/>
    <w:rsid w:val="00CB7CD5"/>
    <w:rsid w:val="00CB7F5F"/>
    <w:rsid w:val="00CC0381"/>
    <w:rsid w:val="00CC039E"/>
    <w:rsid w:val="00CC093A"/>
    <w:rsid w:val="00CC0A38"/>
    <w:rsid w:val="00CC15C9"/>
    <w:rsid w:val="00CC1B39"/>
    <w:rsid w:val="00CC1BFA"/>
    <w:rsid w:val="00CC23A3"/>
    <w:rsid w:val="00CC2E9F"/>
    <w:rsid w:val="00CC35EA"/>
    <w:rsid w:val="00CC3848"/>
    <w:rsid w:val="00CC4746"/>
    <w:rsid w:val="00CC4804"/>
    <w:rsid w:val="00CC485A"/>
    <w:rsid w:val="00CC547B"/>
    <w:rsid w:val="00CC559F"/>
    <w:rsid w:val="00CC6011"/>
    <w:rsid w:val="00CC6128"/>
    <w:rsid w:val="00CC6305"/>
    <w:rsid w:val="00CC630E"/>
    <w:rsid w:val="00CC6D5E"/>
    <w:rsid w:val="00CC7073"/>
    <w:rsid w:val="00CC7424"/>
    <w:rsid w:val="00CC7614"/>
    <w:rsid w:val="00CC7998"/>
    <w:rsid w:val="00CC7C74"/>
    <w:rsid w:val="00CC7CA0"/>
    <w:rsid w:val="00CD0200"/>
    <w:rsid w:val="00CD0723"/>
    <w:rsid w:val="00CD0F11"/>
    <w:rsid w:val="00CD13B5"/>
    <w:rsid w:val="00CD1501"/>
    <w:rsid w:val="00CD22CE"/>
    <w:rsid w:val="00CD258B"/>
    <w:rsid w:val="00CD2916"/>
    <w:rsid w:val="00CD3F3B"/>
    <w:rsid w:val="00CD3F77"/>
    <w:rsid w:val="00CD44CE"/>
    <w:rsid w:val="00CD5008"/>
    <w:rsid w:val="00CD578F"/>
    <w:rsid w:val="00CD5F15"/>
    <w:rsid w:val="00CD6423"/>
    <w:rsid w:val="00CD64AD"/>
    <w:rsid w:val="00CD67B7"/>
    <w:rsid w:val="00CD6ADC"/>
    <w:rsid w:val="00CD6D5D"/>
    <w:rsid w:val="00CD7193"/>
    <w:rsid w:val="00CE00A5"/>
    <w:rsid w:val="00CE0F71"/>
    <w:rsid w:val="00CE110B"/>
    <w:rsid w:val="00CE1D07"/>
    <w:rsid w:val="00CE2125"/>
    <w:rsid w:val="00CE38C8"/>
    <w:rsid w:val="00CE3CFF"/>
    <w:rsid w:val="00CE431E"/>
    <w:rsid w:val="00CE524F"/>
    <w:rsid w:val="00CE58CC"/>
    <w:rsid w:val="00CE6274"/>
    <w:rsid w:val="00CE6418"/>
    <w:rsid w:val="00CE66CC"/>
    <w:rsid w:val="00CE6CEC"/>
    <w:rsid w:val="00CE71E2"/>
    <w:rsid w:val="00CE7692"/>
    <w:rsid w:val="00CE76CD"/>
    <w:rsid w:val="00CE77B6"/>
    <w:rsid w:val="00CF0DE7"/>
    <w:rsid w:val="00CF0E30"/>
    <w:rsid w:val="00CF1311"/>
    <w:rsid w:val="00CF1575"/>
    <w:rsid w:val="00CF1921"/>
    <w:rsid w:val="00CF206C"/>
    <w:rsid w:val="00CF2AD9"/>
    <w:rsid w:val="00CF2B8D"/>
    <w:rsid w:val="00CF3A1B"/>
    <w:rsid w:val="00CF3B36"/>
    <w:rsid w:val="00CF3E80"/>
    <w:rsid w:val="00CF456B"/>
    <w:rsid w:val="00CF475A"/>
    <w:rsid w:val="00CF5A22"/>
    <w:rsid w:val="00CF5E32"/>
    <w:rsid w:val="00CF7498"/>
    <w:rsid w:val="00CF75A7"/>
    <w:rsid w:val="00D006AC"/>
    <w:rsid w:val="00D00C49"/>
    <w:rsid w:val="00D01428"/>
    <w:rsid w:val="00D01B01"/>
    <w:rsid w:val="00D01B73"/>
    <w:rsid w:val="00D0262E"/>
    <w:rsid w:val="00D033A4"/>
    <w:rsid w:val="00D03589"/>
    <w:rsid w:val="00D03679"/>
    <w:rsid w:val="00D04955"/>
    <w:rsid w:val="00D05381"/>
    <w:rsid w:val="00D05516"/>
    <w:rsid w:val="00D0561C"/>
    <w:rsid w:val="00D05E3D"/>
    <w:rsid w:val="00D06139"/>
    <w:rsid w:val="00D061ED"/>
    <w:rsid w:val="00D06373"/>
    <w:rsid w:val="00D06987"/>
    <w:rsid w:val="00D073A5"/>
    <w:rsid w:val="00D07826"/>
    <w:rsid w:val="00D10033"/>
    <w:rsid w:val="00D105E9"/>
    <w:rsid w:val="00D10A0C"/>
    <w:rsid w:val="00D10FAC"/>
    <w:rsid w:val="00D110BD"/>
    <w:rsid w:val="00D11293"/>
    <w:rsid w:val="00D1138B"/>
    <w:rsid w:val="00D12972"/>
    <w:rsid w:val="00D13675"/>
    <w:rsid w:val="00D141E1"/>
    <w:rsid w:val="00D14971"/>
    <w:rsid w:val="00D14C61"/>
    <w:rsid w:val="00D14D10"/>
    <w:rsid w:val="00D14E78"/>
    <w:rsid w:val="00D150C8"/>
    <w:rsid w:val="00D15314"/>
    <w:rsid w:val="00D15B48"/>
    <w:rsid w:val="00D16088"/>
    <w:rsid w:val="00D16857"/>
    <w:rsid w:val="00D168E9"/>
    <w:rsid w:val="00D16A6F"/>
    <w:rsid w:val="00D16D88"/>
    <w:rsid w:val="00D17D6C"/>
    <w:rsid w:val="00D17F3A"/>
    <w:rsid w:val="00D203D4"/>
    <w:rsid w:val="00D20445"/>
    <w:rsid w:val="00D20FF7"/>
    <w:rsid w:val="00D210EF"/>
    <w:rsid w:val="00D2155B"/>
    <w:rsid w:val="00D21943"/>
    <w:rsid w:val="00D2235F"/>
    <w:rsid w:val="00D22F7D"/>
    <w:rsid w:val="00D2367A"/>
    <w:rsid w:val="00D23B04"/>
    <w:rsid w:val="00D23D11"/>
    <w:rsid w:val="00D244B6"/>
    <w:rsid w:val="00D24987"/>
    <w:rsid w:val="00D24C8D"/>
    <w:rsid w:val="00D24EA8"/>
    <w:rsid w:val="00D26180"/>
    <w:rsid w:val="00D263F1"/>
    <w:rsid w:val="00D26570"/>
    <w:rsid w:val="00D2660D"/>
    <w:rsid w:val="00D26877"/>
    <w:rsid w:val="00D2754D"/>
    <w:rsid w:val="00D27B27"/>
    <w:rsid w:val="00D27E8A"/>
    <w:rsid w:val="00D30D3C"/>
    <w:rsid w:val="00D30D5B"/>
    <w:rsid w:val="00D3109F"/>
    <w:rsid w:val="00D3127C"/>
    <w:rsid w:val="00D31449"/>
    <w:rsid w:val="00D31B73"/>
    <w:rsid w:val="00D327B5"/>
    <w:rsid w:val="00D32C6D"/>
    <w:rsid w:val="00D33BE9"/>
    <w:rsid w:val="00D33C08"/>
    <w:rsid w:val="00D33F93"/>
    <w:rsid w:val="00D34CBA"/>
    <w:rsid w:val="00D35166"/>
    <w:rsid w:val="00D352C9"/>
    <w:rsid w:val="00D3531B"/>
    <w:rsid w:val="00D355F9"/>
    <w:rsid w:val="00D357FF"/>
    <w:rsid w:val="00D363EC"/>
    <w:rsid w:val="00D40E30"/>
    <w:rsid w:val="00D4118F"/>
    <w:rsid w:val="00D417E0"/>
    <w:rsid w:val="00D41C5C"/>
    <w:rsid w:val="00D424C7"/>
    <w:rsid w:val="00D42A4F"/>
    <w:rsid w:val="00D42B82"/>
    <w:rsid w:val="00D42C13"/>
    <w:rsid w:val="00D43B2A"/>
    <w:rsid w:val="00D43CF1"/>
    <w:rsid w:val="00D43D83"/>
    <w:rsid w:val="00D43F4D"/>
    <w:rsid w:val="00D4443F"/>
    <w:rsid w:val="00D456FC"/>
    <w:rsid w:val="00D46655"/>
    <w:rsid w:val="00D46786"/>
    <w:rsid w:val="00D47575"/>
    <w:rsid w:val="00D5042B"/>
    <w:rsid w:val="00D508C1"/>
    <w:rsid w:val="00D50F44"/>
    <w:rsid w:val="00D50F84"/>
    <w:rsid w:val="00D51559"/>
    <w:rsid w:val="00D51B22"/>
    <w:rsid w:val="00D5243B"/>
    <w:rsid w:val="00D527C2"/>
    <w:rsid w:val="00D52A1A"/>
    <w:rsid w:val="00D52A8B"/>
    <w:rsid w:val="00D5316A"/>
    <w:rsid w:val="00D53219"/>
    <w:rsid w:val="00D533EC"/>
    <w:rsid w:val="00D53586"/>
    <w:rsid w:val="00D53F41"/>
    <w:rsid w:val="00D54178"/>
    <w:rsid w:val="00D54297"/>
    <w:rsid w:val="00D54708"/>
    <w:rsid w:val="00D54E9E"/>
    <w:rsid w:val="00D55E7D"/>
    <w:rsid w:val="00D56A95"/>
    <w:rsid w:val="00D57471"/>
    <w:rsid w:val="00D57FD1"/>
    <w:rsid w:val="00D60018"/>
    <w:rsid w:val="00D6076E"/>
    <w:rsid w:val="00D6093B"/>
    <w:rsid w:val="00D61D88"/>
    <w:rsid w:val="00D61DF7"/>
    <w:rsid w:val="00D62368"/>
    <w:rsid w:val="00D62507"/>
    <w:rsid w:val="00D62F99"/>
    <w:rsid w:val="00D64358"/>
    <w:rsid w:val="00D644E8"/>
    <w:rsid w:val="00D646F8"/>
    <w:rsid w:val="00D6518E"/>
    <w:rsid w:val="00D66700"/>
    <w:rsid w:val="00D6692C"/>
    <w:rsid w:val="00D6696C"/>
    <w:rsid w:val="00D672CF"/>
    <w:rsid w:val="00D67301"/>
    <w:rsid w:val="00D70ED7"/>
    <w:rsid w:val="00D70F16"/>
    <w:rsid w:val="00D71B2C"/>
    <w:rsid w:val="00D72617"/>
    <w:rsid w:val="00D728A6"/>
    <w:rsid w:val="00D7295A"/>
    <w:rsid w:val="00D72DAF"/>
    <w:rsid w:val="00D72F57"/>
    <w:rsid w:val="00D735D7"/>
    <w:rsid w:val="00D73873"/>
    <w:rsid w:val="00D75892"/>
    <w:rsid w:val="00D75C44"/>
    <w:rsid w:val="00D75FB7"/>
    <w:rsid w:val="00D76080"/>
    <w:rsid w:val="00D7631C"/>
    <w:rsid w:val="00D76A44"/>
    <w:rsid w:val="00D7741A"/>
    <w:rsid w:val="00D80068"/>
    <w:rsid w:val="00D8037E"/>
    <w:rsid w:val="00D81483"/>
    <w:rsid w:val="00D815EF"/>
    <w:rsid w:val="00D8183D"/>
    <w:rsid w:val="00D81949"/>
    <w:rsid w:val="00D81DC0"/>
    <w:rsid w:val="00D81F26"/>
    <w:rsid w:val="00D822E2"/>
    <w:rsid w:val="00D83724"/>
    <w:rsid w:val="00D8389F"/>
    <w:rsid w:val="00D83915"/>
    <w:rsid w:val="00D843F2"/>
    <w:rsid w:val="00D84EFB"/>
    <w:rsid w:val="00D85398"/>
    <w:rsid w:val="00D86231"/>
    <w:rsid w:val="00D86549"/>
    <w:rsid w:val="00D869DB"/>
    <w:rsid w:val="00D87B02"/>
    <w:rsid w:val="00D90FEC"/>
    <w:rsid w:val="00D910A5"/>
    <w:rsid w:val="00D912AB"/>
    <w:rsid w:val="00D91342"/>
    <w:rsid w:val="00D91485"/>
    <w:rsid w:val="00D91923"/>
    <w:rsid w:val="00D91B61"/>
    <w:rsid w:val="00D91CBD"/>
    <w:rsid w:val="00D91E51"/>
    <w:rsid w:val="00D91F81"/>
    <w:rsid w:val="00D920D6"/>
    <w:rsid w:val="00D924B9"/>
    <w:rsid w:val="00D928CC"/>
    <w:rsid w:val="00D93753"/>
    <w:rsid w:val="00D94DC7"/>
    <w:rsid w:val="00D94F49"/>
    <w:rsid w:val="00D96816"/>
    <w:rsid w:val="00D97379"/>
    <w:rsid w:val="00DA01F6"/>
    <w:rsid w:val="00DA1849"/>
    <w:rsid w:val="00DA1A04"/>
    <w:rsid w:val="00DA3167"/>
    <w:rsid w:val="00DA3C48"/>
    <w:rsid w:val="00DA3CDF"/>
    <w:rsid w:val="00DA42A6"/>
    <w:rsid w:val="00DA4CCC"/>
    <w:rsid w:val="00DA4DC3"/>
    <w:rsid w:val="00DA5E97"/>
    <w:rsid w:val="00DA7198"/>
    <w:rsid w:val="00DA77A5"/>
    <w:rsid w:val="00DA77B0"/>
    <w:rsid w:val="00DA7FED"/>
    <w:rsid w:val="00DB02D4"/>
    <w:rsid w:val="00DB0B1A"/>
    <w:rsid w:val="00DB0B89"/>
    <w:rsid w:val="00DB0E36"/>
    <w:rsid w:val="00DB1DEC"/>
    <w:rsid w:val="00DB30BF"/>
    <w:rsid w:val="00DB3729"/>
    <w:rsid w:val="00DB3978"/>
    <w:rsid w:val="00DB3DBF"/>
    <w:rsid w:val="00DB3F7B"/>
    <w:rsid w:val="00DB40FC"/>
    <w:rsid w:val="00DB4524"/>
    <w:rsid w:val="00DB4815"/>
    <w:rsid w:val="00DB484F"/>
    <w:rsid w:val="00DB4F99"/>
    <w:rsid w:val="00DB4FFA"/>
    <w:rsid w:val="00DB51D1"/>
    <w:rsid w:val="00DB522A"/>
    <w:rsid w:val="00DB5F7C"/>
    <w:rsid w:val="00DB628F"/>
    <w:rsid w:val="00DC04F6"/>
    <w:rsid w:val="00DC0690"/>
    <w:rsid w:val="00DC083B"/>
    <w:rsid w:val="00DC163A"/>
    <w:rsid w:val="00DC1D65"/>
    <w:rsid w:val="00DC22CB"/>
    <w:rsid w:val="00DC2748"/>
    <w:rsid w:val="00DC2E72"/>
    <w:rsid w:val="00DC3C57"/>
    <w:rsid w:val="00DC47F1"/>
    <w:rsid w:val="00DC4F32"/>
    <w:rsid w:val="00DC5501"/>
    <w:rsid w:val="00DC5DE4"/>
    <w:rsid w:val="00DC5E72"/>
    <w:rsid w:val="00DC63BD"/>
    <w:rsid w:val="00DC6449"/>
    <w:rsid w:val="00DC651A"/>
    <w:rsid w:val="00DC7154"/>
    <w:rsid w:val="00DC7E8A"/>
    <w:rsid w:val="00DD02AB"/>
    <w:rsid w:val="00DD07B3"/>
    <w:rsid w:val="00DD0F78"/>
    <w:rsid w:val="00DD1038"/>
    <w:rsid w:val="00DD273C"/>
    <w:rsid w:val="00DD30E3"/>
    <w:rsid w:val="00DD3A23"/>
    <w:rsid w:val="00DD3F28"/>
    <w:rsid w:val="00DD4446"/>
    <w:rsid w:val="00DD4537"/>
    <w:rsid w:val="00DD4E15"/>
    <w:rsid w:val="00DD4FE2"/>
    <w:rsid w:val="00DD5180"/>
    <w:rsid w:val="00DD5735"/>
    <w:rsid w:val="00DD6319"/>
    <w:rsid w:val="00DD6431"/>
    <w:rsid w:val="00DD6C23"/>
    <w:rsid w:val="00DE04D7"/>
    <w:rsid w:val="00DE20C4"/>
    <w:rsid w:val="00DE2304"/>
    <w:rsid w:val="00DE3138"/>
    <w:rsid w:val="00DE37F8"/>
    <w:rsid w:val="00DE3B7B"/>
    <w:rsid w:val="00DE3D39"/>
    <w:rsid w:val="00DE4273"/>
    <w:rsid w:val="00DE4458"/>
    <w:rsid w:val="00DE4F7E"/>
    <w:rsid w:val="00DE4FCB"/>
    <w:rsid w:val="00DE5634"/>
    <w:rsid w:val="00DE57F4"/>
    <w:rsid w:val="00DE5D07"/>
    <w:rsid w:val="00DE69B9"/>
    <w:rsid w:val="00DE6F75"/>
    <w:rsid w:val="00DE72A7"/>
    <w:rsid w:val="00DE7741"/>
    <w:rsid w:val="00DE7832"/>
    <w:rsid w:val="00DE7EAA"/>
    <w:rsid w:val="00DF004C"/>
    <w:rsid w:val="00DF07AD"/>
    <w:rsid w:val="00DF1026"/>
    <w:rsid w:val="00DF114B"/>
    <w:rsid w:val="00DF1491"/>
    <w:rsid w:val="00DF18FC"/>
    <w:rsid w:val="00DF382C"/>
    <w:rsid w:val="00DF38C6"/>
    <w:rsid w:val="00DF3FE9"/>
    <w:rsid w:val="00DF5658"/>
    <w:rsid w:val="00DF5C81"/>
    <w:rsid w:val="00DF5D2B"/>
    <w:rsid w:val="00DF620C"/>
    <w:rsid w:val="00DF6341"/>
    <w:rsid w:val="00DF653F"/>
    <w:rsid w:val="00DF75AF"/>
    <w:rsid w:val="00DF762D"/>
    <w:rsid w:val="00DF78A8"/>
    <w:rsid w:val="00DF7DFA"/>
    <w:rsid w:val="00DF7F53"/>
    <w:rsid w:val="00E0026C"/>
    <w:rsid w:val="00E003D4"/>
    <w:rsid w:val="00E0057E"/>
    <w:rsid w:val="00E00E8E"/>
    <w:rsid w:val="00E015E4"/>
    <w:rsid w:val="00E01BB9"/>
    <w:rsid w:val="00E01E22"/>
    <w:rsid w:val="00E0247B"/>
    <w:rsid w:val="00E033C8"/>
    <w:rsid w:val="00E03630"/>
    <w:rsid w:val="00E049E3"/>
    <w:rsid w:val="00E05000"/>
    <w:rsid w:val="00E05245"/>
    <w:rsid w:val="00E053F9"/>
    <w:rsid w:val="00E05630"/>
    <w:rsid w:val="00E06649"/>
    <w:rsid w:val="00E068B5"/>
    <w:rsid w:val="00E06DBB"/>
    <w:rsid w:val="00E07120"/>
    <w:rsid w:val="00E07C9D"/>
    <w:rsid w:val="00E10149"/>
    <w:rsid w:val="00E103CB"/>
    <w:rsid w:val="00E10B31"/>
    <w:rsid w:val="00E10D14"/>
    <w:rsid w:val="00E1114E"/>
    <w:rsid w:val="00E11340"/>
    <w:rsid w:val="00E11347"/>
    <w:rsid w:val="00E11B4C"/>
    <w:rsid w:val="00E122A1"/>
    <w:rsid w:val="00E12608"/>
    <w:rsid w:val="00E1266A"/>
    <w:rsid w:val="00E12AA8"/>
    <w:rsid w:val="00E12ED5"/>
    <w:rsid w:val="00E145EB"/>
    <w:rsid w:val="00E14FDD"/>
    <w:rsid w:val="00E15FC3"/>
    <w:rsid w:val="00E162B4"/>
    <w:rsid w:val="00E16372"/>
    <w:rsid w:val="00E164BC"/>
    <w:rsid w:val="00E16708"/>
    <w:rsid w:val="00E16AD8"/>
    <w:rsid w:val="00E1766B"/>
    <w:rsid w:val="00E17904"/>
    <w:rsid w:val="00E17FFA"/>
    <w:rsid w:val="00E203C2"/>
    <w:rsid w:val="00E20E4D"/>
    <w:rsid w:val="00E20ED6"/>
    <w:rsid w:val="00E21358"/>
    <w:rsid w:val="00E21E7B"/>
    <w:rsid w:val="00E21F1D"/>
    <w:rsid w:val="00E2249B"/>
    <w:rsid w:val="00E22A0D"/>
    <w:rsid w:val="00E22CCE"/>
    <w:rsid w:val="00E2332F"/>
    <w:rsid w:val="00E236CB"/>
    <w:rsid w:val="00E23FB5"/>
    <w:rsid w:val="00E244F6"/>
    <w:rsid w:val="00E24EEE"/>
    <w:rsid w:val="00E24F8D"/>
    <w:rsid w:val="00E258DB"/>
    <w:rsid w:val="00E25FFB"/>
    <w:rsid w:val="00E26FBE"/>
    <w:rsid w:val="00E27183"/>
    <w:rsid w:val="00E2771E"/>
    <w:rsid w:val="00E30A00"/>
    <w:rsid w:val="00E30DDB"/>
    <w:rsid w:val="00E31089"/>
    <w:rsid w:val="00E311EF"/>
    <w:rsid w:val="00E31355"/>
    <w:rsid w:val="00E316DE"/>
    <w:rsid w:val="00E32180"/>
    <w:rsid w:val="00E32D1A"/>
    <w:rsid w:val="00E33482"/>
    <w:rsid w:val="00E33799"/>
    <w:rsid w:val="00E338EF"/>
    <w:rsid w:val="00E34948"/>
    <w:rsid w:val="00E35762"/>
    <w:rsid w:val="00E36039"/>
    <w:rsid w:val="00E36C32"/>
    <w:rsid w:val="00E36D45"/>
    <w:rsid w:val="00E3717E"/>
    <w:rsid w:val="00E37569"/>
    <w:rsid w:val="00E3778D"/>
    <w:rsid w:val="00E37D89"/>
    <w:rsid w:val="00E37E9A"/>
    <w:rsid w:val="00E401B2"/>
    <w:rsid w:val="00E41E22"/>
    <w:rsid w:val="00E41E30"/>
    <w:rsid w:val="00E4270A"/>
    <w:rsid w:val="00E42F73"/>
    <w:rsid w:val="00E4343B"/>
    <w:rsid w:val="00E43D70"/>
    <w:rsid w:val="00E43E1A"/>
    <w:rsid w:val="00E44611"/>
    <w:rsid w:val="00E44776"/>
    <w:rsid w:val="00E44886"/>
    <w:rsid w:val="00E44EC0"/>
    <w:rsid w:val="00E45C1A"/>
    <w:rsid w:val="00E466F3"/>
    <w:rsid w:val="00E47843"/>
    <w:rsid w:val="00E47B2C"/>
    <w:rsid w:val="00E50391"/>
    <w:rsid w:val="00E50732"/>
    <w:rsid w:val="00E5080E"/>
    <w:rsid w:val="00E50CE2"/>
    <w:rsid w:val="00E50F53"/>
    <w:rsid w:val="00E50F7D"/>
    <w:rsid w:val="00E51560"/>
    <w:rsid w:val="00E51821"/>
    <w:rsid w:val="00E518AD"/>
    <w:rsid w:val="00E528A7"/>
    <w:rsid w:val="00E528F5"/>
    <w:rsid w:val="00E53FC8"/>
    <w:rsid w:val="00E54247"/>
    <w:rsid w:val="00E54347"/>
    <w:rsid w:val="00E54B9A"/>
    <w:rsid w:val="00E5526E"/>
    <w:rsid w:val="00E55424"/>
    <w:rsid w:val="00E5550E"/>
    <w:rsid w:val="00E55915"/>
    <w:rsid w:val="00E55BB5"/>
    <w:rsid w:val="00E55C24"/>
    <w:rsid w:val="00E55D33"/>
    <w:rsid w:val="00E55D40"/>
    <w:rsid w:val="00E55F5C"/>
    <w:rsid w:val="00E560BC"/>
    <w:rsid w:val="00E56EA7"/>
    <w:rsid w:val="00E5746A"/>
    <w:rsid w:val="00E57C98"/>
    <w:rsid w:val="00E57CC4"/>
    <w:rsid w:val="00E60D69"/>
    <w:rsid w:val="00E60F58"/>
    <w:rsid w:val="00E611DF"/>
    <w:rsid w:val="00E62339"/>
    <w:rsid w:val="00E62795"/>
    <w:rsid w:val="00E64902"/>
    <w:rsid w:val="00E64E32"/>
    <w:rsid w:val="00E64F85"/>
    <w:rsid w:val="00E65A19"/>
    <w:rsid w:val="00E65E79"/>
    <w:rsid w:val="00E66385"/>
    <w:rsid w:val="00E666DC"/>
    <w:rsid w:val="00E6674A"/>
    <w:rsid w:val="00E66A75"/>
    <w:rsid w:val="00E66BA2"/>
    <w:rsid w:val="00E66D1B"/>
    <w:rsid w:val="00E66DAE"/>
    <w:rsid w:val="00E67416"/>
    <w:rsid w:val="00E67692"/>
    <w:rsid w:val="00E70D96"/>
    <w:rsid w:val="00E718B6"/>
    <w:rsid w:val="00E71E1E"/>
    <w:rsid w:val="00E71F77"/>
    <w:rsid w:val="00E72379"/>
    <w:rsid w:val="00E723BA"/>
    <w:rsid w:val="00E725DF"/>
    <w:rsid w:val="00E72937"/>
    <w:rsid w:val="00E7342A"/>
    <w:rsid w:val="00E73581"/>
    <w:rsid w:val="00E74832"/>
    <w:rsid w:val="00E74DF9"/>
    <w:rsid w:val="00E75040"/>
    <w:rsid w:val="00E7512A"/>
    <w:rsid w:val="00E75210"/>
    <w:rsid w:val="00E75296"/>
    <w:rsid w:val="00E75D2D"/>
    <w:rsid w:val="00E75E86"/>
    <w:rsid w:val="00E7644D"/>
    <w:rsid w:val="00E765E9"/>
    <w:rsid w:val="00E76F51"/>
    <w:rsid w:val="00E778F0"/>
    <w:rsid w:val="00E8056F"/>
    <w:rsid w:val="00E8082E"/>
    <w:rsid w:val="00E816E1"/>
    <w:rsid w:val="00E819B9"/>
    <w:rsid w:val="00E81FE6"/>
    <w:rsid w:val="00E833F7"/>
    <w:rsid w:val="00E83949"/>
    <w:rsid w:val="00E83BDF"/>
    <w:rsid w:val="00E83E71"/>
    <w:rsid w:val="00E83F6C"/>
    <w:rsid w:val="00E8409F"/>
    <w:rsid w:val="00E842E8"/>
    <w:rsid w:val="00E843A8"/>
    <w:rsid w:val="00E84D22"/>
    <w:rsid w:val="00E857D4"/>
    <w:rsid w:val="00E85A5E"/>
    <w:rsid w:val="00E86353"/>
    <w:rsid w:val="00E865C9"/>
    <w:rsid w:val="00E8691B"/>
    <w:rsid w:val="00E86FCC"/>
    <w:rsid w:val="00E8747C"/>
    <w:rsid w:val="00E87504"/>
    <w:rsid w:val="00E87A1D"/>
    <w:rsid w:val="00E87D77"/>
    <w:rsid w:val="00E90390"/>
    <w:rsid w:val="00E906CC"/>
    <w:rsid w:val="00E9094A"/>
    <w:rsid w:val="00E91484"/>
    <w:rsid w:val="00E9158F"/>
    <w:rsid w:val="00E91952"/>
    <w:rsid w:val="00E91D35"/>
    <w:rsid w:val="00E924A5"/>
    <w:rsid w:val="00E926A5"/>
    <w:rsid w:val="00E93047"/>
    <w:rsid w:val="00E93602"/>
    <w:rsid w:val="00E936B4"/>
    <w:rsid w:val="00E93B3C"/>
    <w:rsid w:val="00E93B66"/>
    <w:rsid w:val="00E93DB6"/>
    <w:rsid w:val="00E94C43"/>
    <w:rsid w:val="00E95A9A"/>
    <w:rsid w:val="00E960BD"/>
    <w:rsid w:val="00E962CC"/>
    <w:rsid w:val="00E96EC5"/>
    <w:rsid w:val="00E973A7"/>
    <w:rsid w:val="00EA06A4"/>
    <w:rsid w:val="00EA17C3"/>
    <w:rsid w:val="00EA1B6F"/>
    <w:rsid w:val="00EA2345"/>
    <w:rsid w:val="00EA240F"/>
    <w:rsid w:val="00EA2CAA"/>
    <w:rsid w:val="00EA34BC"/>
    <w:rsid w:val="00EA3864"/>
    <w:rsid w:val="00EA39FC"/>
    <w:rsid w:val="00EA437C"/>
    <w:rsid w:val="00EA49DC"/>
    <w:rsid w:val="00EA4AA1"/>
    <w:rsid w:val="00EA4D5F"/>
    <w:rsid w:val="00EA4E63"/>
    <w:rsid w:val="00EA53E6"/>
    <w:rsid w:val="00EA54BF"/>
    <w:rsid w:val="00EA597A"/>
    <w:rsid w:val="00EA5D46"/>
    <w:rsid w:val="00EA5E4D"/>
    <w:rsid w:val="00EA5E7F"/>
    <w:rsid w:val="00EA606F"/>
    <w:rsid w:val="00EA78B3"/>
    <w:rsid w:val="00EA7C46"/>
    <w:rsid w:val="00EA7F1C"/>
    <w:rsid w:val="00EB0614"/>
    <w:rsid w:val="00EB09CE"/>
    <w:rsid w:val="00EB11FB"/>
    <w:rsid w:val="00EB15B6"/>
    <w:rsid w:val="00EB1D01"/>
    <w:rsid w:val="00EB269D"/>
    <w:rsid w:val="00EB3D06"/>
    <w:rsid w:val="00EB3DA2"/>
    <w:rsid w:val="00EB3E39"/>
    <w:rsid w:val="00EB4713"/>
    <w:rsid w:val="00EB4916"/>
    <w:rsid w:val="00EB4AD6"/>
    <w:rsid w:val="00EB4F8D"/>
    <w:rsid w:val="00EB6430"/>
    <w:rsid w:val="00EB6538"/>
    <w:rsid w:val="00EB66BD"/>
    <w:rsid w:val="00EB670C"/>
    <w:rsid w:val="00EB6876"/>
    <w:rsid w:val="00EB6AEB"/>
    <w:rsid w:val="00EC00C9"/>
    <w:rsid w:val="00EC02FB"/>
    <w:rsid w:val="00EC09BB"/>
    <w:rsid w:val="00EC0ABB"/>
    <w:rsid w:val="00EC0DD9"/>
    <w:rsid w:val="00EC0FFD"/>
    <w:rsid w:val="00EC11BE"/>
    <w:rsid w:val="00EC134D"/>
    <w:rsid w:val="00EC1906"/>
    <w:rsid w:val="00EC1925"/>
    <w:rsid w:val="00EC2649"/>
    <w:rsid w:val="00EC2B29"/>
    <w:rsid w:val="00EC2F0B"/>
    <w:rsid w:val="00EC2F31"/>
    <w:rsid w:val="00EC31ED"/>
    <w:rsid w:val="00EC3FC2"/>
    <w:rsid w:val="00EC412A"/>
    <w:rsid w:val="00EC43DA"/>
    <w:rsid w:val="00EC44A8"/>
    <w:rsid w:val="00EC4CBA"/>
    <w:rsid w:val="00EC4CEC"/>
    <w:rsid w:val="00EC5836"/>
    <w:rsid w:val="00EC5D76"/>
    <w:rsid w:val="00EC60AD"/>
    <w:rsid w:val="00EC688C"/>
    <w:rsid w:val="00EC6AF6"/>
    <w:rsid w:val="00EC6BB7"/>
    <w:rsid w:val="00EC6E7D"/>
    <w:rsid w:val="00ED021C"/>
    <w:rsid w:val="00ED096B"/>
    <w:rsid w:val="00ED12E3"/>
    <w:rsid w:val="00ED1446"/>
    <w:rsid w:val="00ED169D"/>
    <w:rsid w:val="00ED1ED4"/>
    <w:rsid w:val="00ED2FB9"/>
    <w:rsid w:val="00ED4536"/>
    <w:rsid w:val="00ED4A3A"/>
    <w:rsid w:val="00ED4B04"/>
    <w:rsid w:val="00ED4F29"/>
    <w:rsid w:val="00ED549A"/>
    <w:rsid w:val="00ED565E"/>
    <w:rsid w:val="00ED57EA"/>
    <w:rsid w:val="00ED5BD4"/>
    <w:rsid w:val="00ED6044"/>
    <w:rsid w:val="00ED6425"/>
    <w:rsid w:val="00ED71EA"/>
    <w:rsid w:val="00ED74DA"/>
    <w:rsid w:val="00EE029B"/>
    <w:rsid w:val="00EE07D3"/>
    <w:rsid w:val="00EE0A69"/>
    <w:rsid w:val="00EE0C23"/>
    <w:rsid w:val="00EE11DC"/>
    <w:rsid w:val="00EE1996"/>
    <w:rsid w:val="00EE1C01"/>
    <w:rsid w:val="00EE201D"/>
    <w:rsid w:val="00EE212B"/>
    <w:rsid w:val="00EE22AF"/>
    <w:rsid w:val="00EE249B"/>
    <w:rsid w:val="00EE2D82"/>
    <w:rsid w:val="00EE31F5"/>
    <w:rsid w:val="00EE351E"/>
    <w:rsid w:val="00EE3543"/>
    <w:rsid w:val="00EE3D26"/>
    <w:rsid w:val="00EE4B94"/>
    <w:rsid w:val="00EE5070"/>
    <w:rsid w:val="00EE5245"/>
    <w:rsid w:val="00EE552E"/>
    <w:rsid w:val="00EE5CE1"/>
    <w:rsid w:val="00EF0171"/>
    <w:rsid w:val="00EF090C"/>
    <w:rsid w:val="00EF0A22"/>
    <w:rsid w:val="00EF0AC6"/>
    <w:rsid w:val="00EF110C"/>
    <w:rsid w:val="00EF1B25"/>
    <w:rsid w:val="00EF1CD5"/>
    <w:rsid w:val="00EF1DA0"/>
    <w:rsid w:val="00EF22E4"/>
    <w:rsid w:val="00EF2AD1"/>
    <w:rsid w:val="00EF365B"/>
    <w:rsid w:val="00EF3E02"/>
    <w:rsid w:val="00EF4747"/>
    <w:rsid w:val="00EF4855"/>
    <w:rsid w:val="00EF4BF8"/>
    <w:rsid w:val="00EF4F13"/>
    <w:rsid w:val="00EF5AC8"/>
    <w:rsid w:val="00EF5E4F"/>
    <w:rsid w:val="00EF64F9"/>
    <w:rsid w:val="00EF6B11"/>
    <w:rsid w:val="00EF6D55"/>
    <w:rsid w:val="00EF7AB3"/>
    <w:rsid w:val="00EF7B12"/>
    <w:rsid w:val="00F001A6"/>
    <w:rsid w:val="00F00340"/>
    <w:rsid w:val="00F00C4D"/>
    <w:rsid w:val="00F01A07"/>
    <w:rsid w:val="00F01B0F"/>
    <w:rsid w:val="00F02253"/>
    <w:rsid w:val="00F028BD"/>
    <w:rsid w:val="00F03C2E"/>
    <w:rsid w:val="00F04A66"/>
    <w:rsid w:val="00F04B4B"/>
    <w:rsid w:val="00F04C83"/>
    <w:rsid w:val="00F05083"/>
    <w:rsid w:val="00F0516C"/>
    <w:rsid w:val="00F05647"/>
    <w:rsid w:val="00F06796"/>
    <w:rsid w:val="00F067A2"/>
    <w:rsid w:val="00F06B7C"/>
    <w:rsid w:val="00F076F9"/>
    <w:rsid w:val="00F07B9E"/>
    <w:rsid w:val="00F07E40"/>
    <w:rsid w:val="00F10449"/>
    <w:rsid w:val="00F10496"/>
    <w:rsid w:val="00F106E1"/>
    <w:rsid w:val="00F109A0"/>
    <w:rsid w:val="00F10A02"/>
    <w:rsid w:val="00F10CA1"/>
    <w:rsid w:val="00F10FDA"/>
    <w:rsid w:val="00F1116F"/>
    <w:rsid w:val="00F12036"/>
    <w:rsid w:val="00F121E4"/>
    <w:rsid w:val="00F12384"/>
    <w:rsid w:val="00F123DD"/>
    <w:rsid w:val="00F12585"/>
    <w:rsid w:val="00F1263A"/>
    <w:rsid w:val="00F13289"/>
    <w:rsid w:val="00F13880"/>
    <w:rsid w:val="00F139C5"/>
    <w:rsid w:val="00F14012"/>
    <w:rsid w:val="00F14AB0"/>
    <w:rsid w:val="00F15B77"/>
    <w:rsid w:val="00F15E0E"/>
    <w:rsid w:val="00F161EE"/>
    <w:rsid w:val="00F16971"/>
    <w:rsid w:val="00F16A71"/>
    <w:rsid w:val="00F17B67"/>
    <w:rsid w:val="00F17CF6"/>
    <w:rsid w:val="00F17F78"/>
    <w:rsid w:val="00F21236"/>
    <w:rsid w:val="00F218DF"/>
    <w:rsid w:val="00F220E6"/>
    <w:rsid w:val="00F226B5"/>
    <w:rsid w:val="00F239CB"/>
    <w:rsid w:val="00F244FA"/>
    <w:rsid w:val="00F24837"/>
    <w:rsid w:val="00F25489"/>
    <w:rsid w:val="00F25518"/>
    <w:rsid w:val="00F2575F"/>
    <w:rsid w:val="00F25F93"/>
    <w:rsid w:val="00F261D6"/>
    <w:rsid w:val="00F2673F"/>
    <w:rsid w:val="00F27565"/>
    <w:rsid w:val="00F27CBA"/>
    <w:rsid w:val="00F27CED"/>
    <w:rsid w:val="00F27DD3"/>
    <w:rsid w:val="00F3045A"/>
    <w:rsid w:val="00F31036"/>
    <w:rsid w:val="00F310D4"/>
    <w:rsid w:val="00F312C1"/>
    <w:rsid w:val="00F3161F"/>
    <w:rsid w:val="00F31D5A"/>
    <w:rsid w:val="00F33975"/>
    <w:rsid w:val="00F33DE9"/>
    <w:rsid w:val="00F34ED1"/>
    <w:rsid w:val="00F34EF6"/>
    <w:rsid w:val="00F3584B"/>
    <w:rsid w:val="00F358EA"/>
    <w:rsid w:val="00F35E6D"/>
    <w:rsid w:val="00F35EF4"/>
    <w:rsid w:val="00F3619A"/>
    <w:rsid w:val="00F36AA1"/>
    <w:rsid w:val="00F36FDD"/>
    <w:rsid w:val="00F372CF"/>
    <w:rsid w:val="00F37578"/>
    <w:rsid w:val="00F37DE6"/>
    <w:rsid w:val="00F407D3"/>
    <w:rsid w:val="00F40917"/>
    <w:rsid w:val="00F40AAA"/>
    <w:rsid w:val="00F40BA7"/>
    <w:rsid w:val="00F40E88"/>
    <w:rsid w:val="00F40F9D"/>
    <w:rsid w:val="00F41175"/>
    <w:rsid w:val="00F41260"/>
    <w:rsid w:val="00F414C1"/>
    <w:rsid w:val="00F41695"/>
    <w:rsid w:val="00F416ED"/>
    <w:rsid w:val="00F418FD"/>
    <w:rsid w:val="00F41ACD"/>
    <w:rsid w:val="00F422CB"/>
    <w:rsid w:val="00F431A1"/>
    <w:rsid w:val="00F4358C"/>
    <w:rsid w:val="00F43D62"/>
    <w:rsid w:val="00F44C33"/>
    <w:rsid w:val="00F461BD"/>
    <w:rsid w:val="00F46449"/>
    <w:rsid w:val="00F46CB6"/>
    <w:rsid w:val="00F473A0"/>
    <w:rsid w:val="00F4756D"/>
    <w:rsid w:val="00F477B1"/>
    <w:rsid w:val="00F47DE8"/>
    <w:rsid w:val="00F47F28"/>
    <w:rsid w:val="00F502A9"/>
    <w:rsid w:val="00F50DC5"/>
    <w:rsid w:val="00F512AC"/>
    <w:rsid w:val="00F51549"/>
    <w:rsid w:val="00F526EE"/>
    <w:rsid w:val="00F528CB"/>
    <w:rsid w:val="00F53518"/>
    <w:rsid w:val="00F54081"/>
    <w:rsid w:val="00F540BD"/>
    <w:rsid w:val="00F542C1"/>
    <w:rsid w:val="00F5441B"/>
    <w:rsid w:val="00F54A42"/>
    <w:rsid w:val="00F54C81"/>
    <w:rsid w:val="00F550E3"/>
    <w:rsid w:val="00F551A0"/>
    <w:rsid w:val="00F55E73"/>
    <w:rsid w:val="00F55EDA"/>
    <w:rsid w:val="00F55FB5"/>
    <w:rsid w:val="00F56BA3"/>
    <w:rsid w:val="00F56C80"/>
    <w:rsid w:val="00F56DBC"/>
    <w:rsid w:val="00F60092"/>
    <w:rsid w:val="00F619D4"/>
    <w:rsid w:val="00F61C18"/>
    <w:rsid w:val="00F62222"/>
    <w:rsid w:val="00F630CB"/>
    <w:rsid w:val="00F634E1"/>
    <w:rsid w:val="00F635E5"/>
    <w:rsid w:val="00F63FC7"/>
    <w:rsid w:val="00F64527"/>
    <w:rsid w:val="00F658FF"/>
    <w:rsid w:val="00F65F4B"/>
    <w:rsid w:val="00F66E68"/>
    <w:rsid w:val="00F6797D"/>
    <w:rsid w:val="00F67A69"/>
    <w:rsid w:val="00F701AD"/>
    <w:rsid w:val="00F709FD"/>
    <w:rsid w:val="00F70BFF"/>
    <w:rsid w:val="00F70C9D"/>
    <w:rsid w:val="00F71C73"/>
    <w:rsid w:val="00F71DF5"/>
    <w:rsid w:val="00F71EAC"/>
    <w:rsid w:val="00F725B1"/>
    <w:rsid w:val="00F72AD1"/>
    <w:rsid w:val="00F737F9"/>
    <w:rsid w:val="00F73E08"/>
    <w:rsid w:val="00F74110"/>
    <w:rsid w:val="00F74CD9"/>
    <w:rsid w:val="00F7506F"/>
    <w:rsid w:val="00F7517E"/>
    <w:rsid w:val="00F751F0"/>
    <w:rsid w:val="00F758B6"/>
    <w:rsid w:val="00F75990"/>
    <w:rsid w:val="00F76512"/>
    <w:rsid w:val="00F7686D"/>
    <w:rsid w:val="00F76990"/>
    <w:rsid w:val="00F76DC9"/>
    <w:rsid w:val="00F76DD8"/>
    <w:rsid w:val="00F778EB"/>
    <w:rsid w:val="00F77A29"/>
    <w:rsid w:val="00F77FEE"/>
    <w:rsid w:val="00F80A7B"/>
    <w:rsid w:val="00F80B64"/>
    <w:rsid w:val="00F80E5D"/>
    <w:rsid w:val="00F81E78"/>
    <w:rsid w:val="00F8229D"/>
    <w:rsid w:val="00F834E8"/>
    <w:rsid w:val="00F83916"/>
    <w:rsid w:val="00F843A8"/>
    <w:rsid w:val="00F84AEC"/>
    <w:rsid w:val="00F84EF4"/>
    <w:rsid w:val="00F85115"/>
    <w:rsid w:val="00F851CE"/>
    <w:rsid w:val="00F85F60"/>
    <w:rsid w:val="00F867CE"/>
    <w:rsid w:val="00F86BE4"/>
    <w:rsid w:val="00F86FFE"/>
    <w:rsid w:val="00F873CD"/>
    <w:rsid w:val="00F8762E"/>
    <w:rsid w:val="00F8794B"/>
    <w:rsid w:val="00F90304"/>
    <w:rsid w:val="00F9116C"/>
    <w:rsid w:val="00F91219"/>
    <w:rsid w:val="00F914D7"/>
    <w:rsid w:val="00F91910"/>
    <w:rsid w:val="00F91DCA"/>
    <w:rsid w:val="00F92107"/>
    <w:rsid w:val="00F92365"/>
    <w:rsid w:val="00F92444"/>
    <w:rsid w:val="00F9279F"/>
    <w:rsid w:val="00F92A2A"/>
    <w:rsid w:val="00F9393E"/>
    <w:rsid w:val="00F93AE4"/>
    <w:rsid w:val="00F94F90"/>
    <w:rsid w:val="00F95D89"/>
    <w:rsid w:val="00F96088"/>
    <w:rsid w:val="00F96592"/>
    <w:rsid w:val="00F96ED6"/>
    <w:rsid w:val="00F96FD0"/>
    <w:rsid w:val="00F9741A"/>
    <w:rsid w:val="00F97824"/>
    <w:rsid w:val="00F97A78"/>
    <w:rsid w:val="00F97B55"/>
    <w:rsid w:val="00FA03B4"/>
    <w:rsid w:val="00FA0697"/>
    <w:rsid w:val="00FA0B20"/>
    <w:rsid w:val="00FA0D65"/>
    <w:rsid w:val="00FA0EB7"/>
    <w:rsid w:val="00FA109D"/>
    <w:rsid w:val="00FA1881"/>
    <w:rsid w:val="00FA1DC5"/>
    <w:rsid w:val="00FA24E7"/>
    <w:rsid w:val="00FA2AF9"/>
    <w:rsid w:val="00FA2D62"/>
    <w:rsid w:val="00FA350D"/>
    <w:rsid w:val="00FA4854"/>
    <w:rsid w:val="00FA4FF6"/>
    <w:rsid w:val="00FA56DF"/>
    <w:rsid w:val="00FA5EE6"/>
    <w:rsid w:val="00FA5FB7"/>
    <w:rsid w:val="00FA63C5"/>
    <w:rsid w:val="00FA68FC"/>
    <w:rsid w:val="00FA73A6"/>
    <w:rsid w:val="00FA78E8"/>
    <w:rsid w:val="00FA7956"/>
    <w:rsid w:val="00FB011E"/>
    <w:rsid w:val="00FB0824"/>
    <w:rsid w:val="00FB137D"/>
    <w:rsid w:val="00FB19D1"/>
    <w:rsid w:val="00FB2567"/>
    <w:rsid w:val="00FB2569"/>
    <w:rsid w:val="00FB2745"/>
    <w:rsid w:val="00FB28BF"/>
    <w:rsid w:val="00FB2FCB"/>
    <w:rsid w:val="00FB395C"/>
    <w:rsid w:val="00FB3C94"/>
    <w:rsid w:val="00FB4AF0"/>
    <w:rsid w:val="00FB4C55"/>
    <w:rsid w:val="00FB4C9C"/>
    <w:rsid w:val="00FB4F38"/>
    <w:rsid w:val="00FB4FA9"/>
    <w:rsid w:val="00FB599F"/>
    <w:rsid w:val="00FB5F2C"/>
    <w:rsid w:val="00FB6452"/>
    <w:rsid w:val="00FB6C2C"/>
    <w:rsid w:val="00FB6FC5"/>
    <w:rsid w:val="00FB793F"/>
    <w:rsid w:val="00FB7A02"/>
    <w:rsid w:val="00FB7C55"/>
    <w:rsid w:val="00FC1074"/>
    <w:rsid w:val="00FC1884"/>
    <w:rsid w:val="00FC2963"/>
    <w:rsid w:val="00FC2E92"/>
    <w:rsid w:val="00FC2F1C"/>
    <w:rsid w:val="00FC35E8"/>
    <w:rsid w:val="00FC371D"/>
    <w:rsid w:val="00FC3AB0"/>
    <w:rsid w:val="00FC4447"/>
    <w:rsid w:val="00FC517F"/>
    <w:rsid w:val="00FC5C77"/>
    <w:rsid w:val="00FC5F0B"/>
    <w:rsid w:val="00FC6923"/>
    <w:rsid w:val="00FC6D6A"/>
    <w:rsid w:val="00FC77F9"/>
    <w:rsid w:val="00FC78D6"/>
    <w:rsid w:val="00FD087F"/>
    <w:rsid w:val="00FD0B50"/>
    <w:rsid w:val="00FD1CDF"/>
    <w:rsid w:val="00FD1D7A"/>
    <w:rsid w:val="00FD2100"/>
    <w:rsid w:val="00FD27D1"/>
    <w:rsid w:val="00FD2DA8"/>
    <w:rsid w:val="00FD42E6"/>
    <w:rsid w:val="00FD42EC"/>
    <w:rsid w:val="00FD436C"/>
    <w:rsid w:val="00FD446D"/>
    <w:rsid w:val="00FD4492"/>
    <w:rsid w:val="00FD4551"/>
    <w:rsid w:val="00FD4BDD"/>
    <w:rsid w:val="00FD4F2C"/>
    <w:rsid w:val="00FD509B"/>
    <w:rsid w:val="00FD542E"/>
    <w:rsid w:val="00FD6394"/>
    <w:rsid w:val="00FD6615"/>
    <w:rsid w:val="00FD6BEF"/>
    <w:rsid w:val="00FD742B"/>
    <w:rsid w:val="00FD7553"/>
    <w:rsid w:val="00FE0BA3"/>
    <w:rsid w:val="00FE0C59"/>
    <w:rsid w:val="00FE0E6C"/>
    <w:rsid w:val="00FE1528"/>
    <w:rsid w:val="00FE1536"/>
    <w:rsid w:val="00FE16EE"/>
    <w:rsid w:val="00FE1930"/>
    <w:rsid w:val="00FE1BAA"/>
    <w:rsid w:val="00FE1C3E"/>
    <w:rsid w:val="00FE1CDC"/>
    <w:rsid w:val="00FE236F"/>
    <w:rsid w:val="00FE27CB"/>
    <w:rsid w:val="00FE319C"/>
    <w:rsid w:val="00FE346A"/>
    <w:rsid w:val="00FE37CC"/>
    <w:rsid w:val="00FE3EB5"/>
    <w:rsid w:val="00FE598D"/>
    <w:rsid w:val="00FE5991"/>
    <w:rsid w:val="00FE6478"/>
    <w:rsid w:val="00FE67C6"/>
    <w:rsid w:val="00FE6905"/>
    <w:rsid w:val="00FE70C3"/>
    <w:rsid w:val="00FF0B34"/>
    <w:rsid w:val="00FF0D33"/>
    <w:rsid w:val="00FF1A8B"/>
    <w:rsid w:val="00FF1C10"/>
    <w:rsid w:val="00FF1C48"/>
    <w:rsid w:val="00FF1C6B"/>
    <w:rsid w:val="00FF1C92"/>
    <w:rsid w:val="00FF2353"/>
    <w:rsid w:val="00FF29D9"/>
    <w:rsid w:val="00FF2AD9"/>
    <w:rsid w:val="00FF2C11"/>
    <w:rsid w:val="00FF342E"/>
    <w:rsid w:val="00FF359F"/>
    <w:rsid w:val="00FF371C"/>
    <w:rsid w:val="00FF37ED"/>
    <w:rsid w:val="00FF3A0F"/>
    <w:rsid w:val="00FF3C36"/>
    <w:rsid w:val="00FF3DCF"/>
    <w:rsid w:val="00FF492C"/>
    <w:rsid w:val="00FF498B"/>
    <w:rsid w:val="00FF4A21"/>
    <w:rsid w:val="00FF5AA3"/>
    <w:rsid w:val="00FF5AD8"/>
    <w:rsid w:val="00FF5C0A"/>
    <w:rsid w:val="00FF622E"/>
    <w:rsid w:val="00FF64C3"/>
    <w:rsid w:val="00FF6700"/>
    <w:rsid w:val="00FF6CF3"/>
    <w:rsid w:val="00FF7360"/>
    <w:rsid w:val="00FF762D"/>
    <w:rsid w:val="00FF79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42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 2,Figure_name,Numbered Indented Text,Bullet- First level,List NUmber,Listenabsatz1,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2 Char,Figure_name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qFormat/>
    <w:rsid w:val="00124A51"/>
    <w:pPr>
      <w:tabs>
        <w:tab w:val="center" w:pos="4513"/>
        <w:tab w:val="right" w:pos="9026"/>
      </w:tabs>
    </w:pPr>
  </w:style>
  <w:style w:type="character" w:customStyle="1" w:styleId="FooterChar">
    <w:name w:val="Footer Char"/>
    <w:basedOn w:val="DefaultParagraphFont"/>
    <w:link w:val="Footer"/>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FE67C6"/>
    <w:pPr>
      <w:numPr>
        <w:ilvl w:val="1"/>
        <w:numId w:val="1"/>
      </w:numPr>
      <w:spacing w:before="60" w:after="60"/>
    </w:pPr>
  </w:style>
  <w:style w:type="character" w:customStyle="1" w:styleId="3-BodyTextChar">
    <w:name w:val="3-Body Text Char"/>
    <w:basedOn w:val="ListParagraphChar"/>
    <w:link w:val="3-BodyText"/>
    <w:rsid w:val="00FE67C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link w:val="DefaultChar"/>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basedOn w:val="Normal"/>
    <w:link w:val="FootnoteTextChar"/>
    <w:unhideWhenUsed/>
    <w:rsid w:val="00F15E0E"/>
    <w:rPr>
      <w:sz w:val="20"/>
      <w:szCs w:val="20"/>
    </w:rPr>
  </w:style>
  <w:style w:type="character" w:customStyle="1" w:styleId="FootnoteTextChar">
    <w:name w:val="Footnote Text Char"/>
    <w:basedOn w:val="DefaultParagraphFont"/>
    <w:link w:val="FootnoteText"/>
    <w:rsid w:val="00F15E0E"/>
    <w:rPr>
      <w:rFonts w:ascii="Calibri" w:hAnsi="Calibri" w:cs="Arial"/>
    </w:rPr>
  </w:style>
  <w:style w:type="character" w:styleId="FootnoteReference">
    <w:name w:val="footnote reference"/>
    <w:basedOn w:val="DefaultParagraphFont"/>
    <w:semiHidden/>
    <w:unhideWhenUsed/>
    <w:rsid w:val="00F15E0E"/>
    <w:rPr>
      <w:vertAlign w:val="superscript"/>
    </w:rPr>
  </w:style>
  <w:style w:type="character" w:customStyle="1" w:styleId="Heading4Char">
    <w:name w:val="Heading 4 Char"/>
    <w:basedOn w:val="DefaultParagraphFont"/>
    <w:link w:val="Heading4"/>
    <w:rsid w:val="001E5937"/>
    <w:rPr>
      <w:rFonts w:ascii="Calibri" w:hAnsi="Calibri" w:cs="Arial"/>
      <w:b/>
      <w:bCs/>
      <w:i/>
      <w:sz w:val="26"/>
      <w:szCs w:val="28"/>
    </w:rPr>
  </w:style>
  <w:style w:type="character" w:styleId="UnresolvedMention">
    <w:name w:val="Unresolved Mention"/>
    <w:basedOn w:val="DefaultParagraphFont"/>
    <w:uiPriority w:val="99"/>
    <w:semiHidden/>
    <w:unhideWhenUsed/>
    <w:rsid w:val="001E5937"/>
    <w:rPr>
      <w:color w:val="605E5C"/>
      <w:shd w:val="clear" w:color="auto" w:fill="E1DFDD"/>
    </w:rPr>
  </w:style>
  <w:style w:type="character" w:styleId="Mention">
    <w:name w:val="Mention"/>
    <w:basedOn w:val="DefaultParagraphFont"/>
    <w:uiPriority w:val="99"/>
    <w:unhideWhenUsed/>
    <w:rsid w:val="00804D50"/>
    <w:rPr>
      <w:color w:val="2B579A"/>
      <w:shd w:val="clear" w:color="auto" w:fill="E1DFDD"/>
    </w:rPr>
  </w:style>
  <w:style w:type="table" w:styleId="ListTable3">
    <w:name w:val="List Table 3"/>
    <w:basedOn w:val="TableNormal"/>
    <w:uiPriority w:val="48"/>
    <w:rsid w:val="00D2660D"/>
    <w:rPr>
      <w:rFonts w:ascii="Arial" w:hAnsi="Arial" w:cs="Arial"/>
      <w:color w:val="000000"/>
      <w:sz w:val="21"/>
      <w:szCs w:val="21"/>
      <w:lang w:val="nl-NL" w:eastAsia="nl-NL"/>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3-SubsectionHeading">
    <w:name w:val="3-Subsection Heading"/>
    <w:basedOn w:val="Heading2"/>
    <w:next w:val="Normal"/>
    <w:link w:val="3-SubsectionHeadingChar"/>
    <w:qFormat/>
    <w:rsid w:val="00FF6700"/>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F6700"/>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null1">
    <w:name w:val="null1"/>
    <w:basedOn w:val="DefaultParagraphFont"/>
    <w:rsid w:val="001D66E5"/>
  </w:style>
  <w:style w:type="character" w:customStyle="1" w:styleId="DefaultChar">
    <w:name w:val="Default Char"/>
    <w:basedOn w:val="DefaultParagraphFont"/>
    <w:link w:val="Default"/>
    <w:rsid w:val="00E12608"/>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276">
      <w:bodyDiv w:val="1"/>
      <w:marLeft w:val="0"/>
      <w:marRight w:val="0"/>
      <w:marTop w:val="0"/>
      <w:marBottom w:val="0"/>
      <w:divBdr>
        <w:top w:val="none" w:sz="0" w:space="0" w:color="auto"/>
        <w:left w:val="none" w:sz="0" w:space="0" w:color="auto"/>
        <w:bottom w:val="none" w:sz="0" w:space="0" w:color="auto"/>
        <w:right w:val="none" w:sz="0" w:space="0" w:color="auto"/>
      </w:divBdr>
    </w:div>
    <w:div w:id="4510763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90170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894938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39886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10819848">
      <w:bodyDiv w:val="1"/>
      <w:marLeft w:val="0"/>
      <w:marRight w:val="0"/>
      <w:marTop w:val="0"/>
      <w:marBottom w:val="0"/>
      <w:divBdr>
        <w:top w:val="none" w:sz="0" w:space="0" w:color="auto"/>
        <w:left w:val="none" w:sz="0" w:space="0" w:color="auto"/>
        <w:bottom w:val="none" w:sz="0" w:space="0" w:color="auto"/>
        <w:right w:val="none" w:sz="0" w:space="0" w:color="auto"/>
      </w:divBdr>
    </w:div>
    <w:div w:id="1855608691">
      <w:bodyDiv w:val="1"/>
      <w:marLeft w:val="0"/>
      <w:marRight w:val="0"/>
      <w:marTop w:val="0"/>
      <w:marBottom w:val="0"/>
      <w:divBdr>
        <w:top w:val="none" w:sz="0" w:space="0" w:color="auto"/>
        <w:left w:val="none" w:sz="0" w:space="0" w:color="auto"/>
        <w:bottom w:val="none" w:sz="0" w:space="0" w:color="auto"/>
        <w:right w:val="none" w:sz="0" w:space="0" w:color="auto"/>
      </w:divBdr>
    </w:div>
    <w:div w:id="19152390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36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nccn.org/professionals/physician_gls/pdf/col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08152A0-10F8-4AD7-9980-7FA7E82F5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AEDE1-DFFB-41AA-8A77-6CFCEDF2C559}">
  <ds:schemaRefs>
    <ds:schemaRef ds:uri="http://schemas.openxmlformats.org/officeDocument/2006/bibliography"/>
  </ds:schemaRefs>
</ds:datastoreItem>
</file>

<file path=customXml/itemProps3.xml><?xml version="1.0" encoding="utf-8"?>
<ds:datastoreItem xmlns:ds="http://schemas.openxmlformats.org/officeDocument/2006/customXml" ds:itemID="{2D01C3B3-5E2E-4C21-A9F8-2439F43D8E80}">
  <ds:schemaRefs>
    <ds:schemaRef ds:uri="http://schemas.microsoft.com/sharepoint/v3/contenttype/forms"/>
  </ds:schemaRefs>
</ds:datastoreItem>
</file>

<file path=customXml/itemProps4.xml><?xml version="1.0" encoding="utf-8"?>
<ds:datastoreItem xmlns:ds="http://schemas.openxmlformats.org/officeDocument/2006/customXml" ds:itemID="{7BD0F0A5-D301-4597-84A6-22099C095F4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21051</Words>
  <Characters>119992</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140762</CharactersWithSpaces>
  <SharedDoc>false</SharedDoc>
  <HLinks>
    <vt:vector size="6" baseType="variant">
      <vt:variant>
        <vt:i4>2818073</vt:i4>
      </vt:variant>
      <vt:variant>
        <vt:i4>0</vt:i4>
      </vt:variant>
      <vt:variant>
        <vt:i4>0</vt:i4>
      </vt:variant>
      <vt:variant>
        <vt:i4>5</vt:i4>
      </vt:variant>
      <vt:variant>
        <vt:lpwstr>https://www.nccn.org/professionals/physician_gls/pdf/colon.pdf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2025-09-23T22:23:00Z</dcterms:created>
  <dcterms:modified xsi:type="dcterms:W3CDTF">2025-10-27T07:00:00Z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43a9f756,14e9282,5cad4049</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1789971f,369a23ab,682c4503</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2025-09-11T23:43:53Z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6206026f-32ee-4710-9935-69e2d195dfc3</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